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CC19D" w14:textId="77777777" w:rsidR="001C5013" w:rsidRPr="00F84E30" w:rsidRDefault="001C5013" w:rsidP="001C5013">
      <w:pPr>
        <w:pStyle w:val="Ttulo1"/>
        <w:keepLines/>
        <w:spacing w:before="40" w:after="240"/>
        <w:rPr>
          <w:sz w:val="20"/>
          <w:szCs w:val="20"/>
        </w:rPr>
      </w:pPr>
      <w:bookmarkStart w:id="0" w:name="_GoBack"/>
      <w:bookmarkEnd w:id="0"/>
      <w:r w:rsidRPr="00F84E30">
        <w:rPr>
          <w:sz w:val="20"/>
          <w:szCs w:val="20"/>
        </w:rPr>
        <w:t xml:space="preserve">VERSIÓN PÚBLICA DEL ACUERDO </w:t>
      </w:r>
      <w:r w:rsidRPr="001C0516">
        <w:rPr>
          <w:sz w:val="20"/>
          <w:szCs w:val="20"/>
        </w:rPr>
        <w:t>P/IFT/250917/593</w:t>
      </w:r>
    </w:p>
    <w:p w14:paraId="691C849E" w14:textId="77777777" w:rsidR="001C5013" w:rsidRPr="005B4B17" w:rsidRDefault="001C5013" w:rsidP="001C5013">
      <w:pPr>
        <w:pStyle w:val="Default"/>
        <w:ind w:left="-284" w:right="-377"/>
        <w:jc w:val="center"/>
        <w:rPr>
          <w:rFonts w:ascii="ITC Avant Garde" w:hAnsi="ITC Avant Garde"/>
          <w:b/>
          <w:sz w:val="20"/>
          <w:szCs w:val="20"/>
        </w:rPr>
      </w:pPr>
      <w:r w:rsidRPr="005B4B17">
        <w:rPr>
          <w:rFonts w:ascii="ITC Avant Garde" w:hAnsi="ITC Avant Garde"/>
          <w:b/>
          <w:sz w:val="20"/>
          <w:szCs w:val="20"/>
        </w:rPr>
        <w:t>DE LA SESIÓN DEL PLENO DEL INSTITUTO FEDERAL</w:t>
      </w:r>
      <w:r>
        <w:rPr>
          <w:rFonts w:ascii="ITC Avant Garde" w:hAnsi="ITC Avant Garde"/>
          <w:b/>
          <w:sz w:val="20"/>
          <w:szCs w:val="20"/>
        </w:rPr>
        <w:t xml:space="preserve"> DE TELECOMUNICACIONES EN SU </w:t>
      </w:r>
      <w:r w:rsidRPr="001C0516">
        <w:rPr>
          <w:rFonts w:ascii="ITC Avant Garde" w:hAnsi="ITC Avant Garde"/>
          <w:b/>
          <w:sz w:val="20"/>
          <w:szCs w:val="20"/>
        </w:rPr>
        <w:t>XXXIX</w:t>
      </w:r>
      <w:r>
        <w:rPr>
          <w:rFonts w:ascii="ITC Avant Garde" w:hAnsi="ITC Avant Garde"/>
          <w:b/>
          <w:sz w:val="20"/>
          <w:szCs w:val="20"/>
        </w:rPr>
        <w:t xml:space="preserve"> </w:t>
      </w:r>
      <w:r w:rsidRPr="00BD2557">
        <w:rPr>
          <w:rFonts w:ascii="ITC Avant Garde" w:hAnsi="ITC Avant Garde"/>
          <w:b/>
          <w:sz w:val="20"/>
          <w:szCs w:val="20"/>
        </w:rPr>
        <w:t>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25</w:t>
      </w:r>
      <w:r w:rsidRPr="00BD2557">
        <w:rPr>
          <w:rFonts w:ascii="ITC Avant Garde" w:hAnsi="ITC Avant Garde"/>
          <w:b/>
          <w:sz w:val="20"/>
          <w:szCs w:val="20"/>
        </w:rPr>
        <w:t xml:space="preserve"> DE </w:t>
      </w:r>
      <w:r>
        <w:rPr>
          <w:rFonts w:ascii="ITC Avant Garde" w:hAnsi="ITC Avant Garde"/>
          <w:b/>
          <w:sz w:val="20"/>
          <w:szCs w:val="20"/>
        </w:rPr>
        <w:t>SEPTIEMBRE</w:t>
      </w:r>
      <w:r w:rsidRPr="00BD2557">
        <w:rPr>
          <w:rFonts w:ascii="ITC Avant Garde" w:hAnsi="ITC Avant Garde"/>
          <w:b/>
          <w:sz w:val="20"/>
          <w:szCs w:val="20"/>
        </w:rPr>
        <w:t xml:space="preserve"> DE 2017</w:t>
      </w:r>
      <w:r>
        <w:rPr>
          <w:rFonts w:ascii="ITC Avant Garde" w:hAnsi="ITC Avant Garde"/>
          <w:b/>
          <w:sz w:val="20"/>
          <w:szCs w:val="20"/>
        </w:rPr>
        <w:t>.</w:t>
      </w:r>
    </w:p>
    <w:p w14:paraId="06188069" w14:textId="77777777" w:rsidR="001C5013" w:rsidRPr="008E605A" w:rsidRDefault="001C5013" w:rsidP="001C5013">
      <w:pPr>
        <w:pStyle w:val="Ttulo2"/>
        <w:spacing w:before="360" w:line="360" w:lineRule="auto"/>
        <w:contextualSpacing/>
        <w:jc w:val="center"/>
        <w:rPr>
          <w:rFonts w:eastAsia="Arial" w:cs="Arial"/>
          <w:b w:val="0"/>
          <w:color w:val="000000"/>
          <w:sz w:val="21"/>
          <w:szCs w:val="21"/>
          <w:lang w:eastAsia="es-MX"/>
        </w:rPr>
      </w:pPr>
      <w:r w:rsidRPr="008E605A">
        <w:rPr>
          <w:rFonts w:eastAsia="Arial" w:cs="Arial"/>
          <w:color w:val="000000"/>
          <w:sz w:val="21"/>
          <w:szCs w:val="21"/>
          <w:lang w:eastAsia="es-MX"/>
        </w:rPr>
        <w:t>LEYENDA DE LA CLASIFICACIÓN</w:t>
      </w:r>
    </w:p>
    <w:p w14:paraId="7502FBE8"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Fecha de Clasificación:</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sz w:val="20"/>
          <w:szCs w:val="20"/>
        </w:rPr>
        <w:t>25 de septiembre de 2017</w:t>
      </w:r>
      <w:r w:rsidRPr="00C17197">
        <w:rPr>
          <w:rFonts w:ascii="ITC Avant Garde" w:eastAsia="Times New Roman" w:hAnsi="ITC Avant Garde"/>
          <w:bCs/>
          <w:color w:val="000000"/>
          <w:sz w:val="20"/>
          <w:szCs w:val="20"/>
          <w:lang w:eastAsia="es-MX"/>
        </w:rPr>
        <w:t xml:space="preserve">. </w:t>
      </w:r>
    </w:p>
    <w:p w14:paraId="0E86E33A"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Unidad Administrativa:</w:t>
      </w:r>
      <w:r w:rsidRPr="00C17197">
        <w:rPr>
          <w:rFonts w:ascii="ITC Avant Garde" w:eastAsia="Times New Roman" w:hAnsi="ITC Avant Garde"/>
          <w:bCs/>
          <w:color w:val="000000"/>
          <w:sz w:val="20"/>
          <w:szCs w:val="20"/>
          <w:lang w:eastAsia="es-MX"/>
        </w:rPr>
        <w:t xml:space="preserve"> Secretaría Técnica del Pleno.</w:t>
      </w:r>
    </w:p>
    <w:p w14:paraId="67C7E9EE" w14:textId="77777777" w:rsidR="001C5013" w:rsidRPr="00C17197" w:rsidRDefault="001C5013" w:rsidP="001C5013">
      <w:pPr>
        <w:pStyle w:val="Textoindependiente"/>
        <w:spacing w:after="0" w:line="360" w:lineRule="auto"/>
        <w:jc w:val="both"/>
        <w:rPr>
          <w:rFonts w:ascii="ITC Avant Garde" w:hAnsi="ITC Avant Garde"/>
          <w:sz w:val="20"/>
          <w:szCs w:val="20"/>
        </w:rPr>
      </w:pPr>
      <w:r w:rsidRPr="00C17197">
        <w:rPr>
          <w:rFonts w:ascii="ITC Avant Garde" w:eastAsia="Times New Roman" w:hAnsi="ITC Avant Garde"/>
          <w:b/>
          <w:bCs/>
          <w:color w:val="000000"/>
          <w:sz w:val="20"/>
          <w:szCs w:val="20"/>
          <w:lang w:eastAsia="es-MX"/>
        </w:rPr>
        <w:t>Clasificación:</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b/>
          <w:sz w:val="20"/>
          <w:szCs w:val="20"/>
        </w:rPr>
        <w:t>Confidencial</w:t>
      </w:r>
      <w:r w:rsidRPr="00C17197">
        <w:rPr>
          <w:rFonts w:ascii="ITC Avant Garde" w:hAnsi="ITC Avant Garde"/>
          <w:sz w:val="20"/>
          <w:szCs w:val="20"/>
        </w:rPr>
        <w:t>,</w:t>
      </w:r>
      <w:r w:rsidRPr="00C17197">
        <w:rPr>
          <w:rFonts w:ascii="ITC Avant Garde" w:hAnsi="ITC Avant Garde"/>
          <w:b/>
          <w:sz w:val="20"/>
          <w:szCs w:val="20"/>
        </w:rPr>
        <w:t xml:space="preserve"> </w:t>
      </w:r>
      <w:r w:rsidRPr="00C17197">
        <w:rPr>
          <w:rFonts w:ascii="ITC Avant Garde" w:hAnsi="ITC Avant Garde" w:cs="Tahoma"/>
          <w:color w:val="000000"/>
          <w:sz w:val="20"/>
          <w:szCs w:val="20"/>
          <w:lang w:eastAsia="es-MX"/>
        </w:rPr>
        <w:t>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Concentraciones y Concesiones, remitida mediante correo electrónico de fecha 16 de octubre de 2017.</w:t>
      </w:r>
    </w:p>
    <w:p w14:paraId="7B6642B3"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Núm. de Resolución:</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sz w:val="20"/>
          <w:szCs w:val="20"/>
        </w:rPr>
        <w:t>P/IFT/250917/593.</w:t>
      </w:r>
    </w:p>
    <w:p w14:paraId="1D19B4CE"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Descripción del asunto:</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sz w:val="20"/>
          <w:szCs w:val="20"/>
        </w:rPr>
        <w:t xml:space="preserve">Resolución mediante la cual el Pleno del Instituto Federal de Telecomunicaciones autoriza la concentración radicada bajo el Expediente No. UCE/CNC-001-2017, notificada por </w:t>
      </w:r>
      <w:proofErr w:type="spellStart"/>
      <w:r w:rsidRPr="00C17197">
        <w:rPr>
          <w:rFonts w:ascii="ITC Avant Garde" w:hAnsi="ITC Avant Garde"/>
          <w:sz w:val="20"/>
          <w:szCs w:val="20"/>
        </w:rPr>
        <w:t>Centurylink</w:t>
      </w:r>
      <w:proofErr w:type="spellEnd"/>
      <w:r w:rsidRPr="00C17197">
        <w:rPr>
          <w:rFonts w:ascii="ITC Avant Garde" w:hAnsi="ITC Avant Garde"/>
          <w:sz w:val="20"/>
          <w:szCs w:val="20"/>
        </w:rPr>
        <w:t xml:space="preserve">, Inc., WWG </w:t>
      </w:r>
      <w:proofErr w:type="spellStart"/>
      <w:r w:rsidRPr="00C17197">
        <w:rPr>
          <w:rFonts w:ascii="ITC Avant Garde" w:hAnsi="ITC Avant Garde"/>
          <w:sz w:val="20"/>
          <w:szCs w:val="20"/>
        </w:rPr>
        <w:t>Merger</w:t>
      </w:r>
      <w:proofErr w:type="spellEnd"/>
      <w:r w:rsidRPr="00C17197">
        <w:rPr>
          <w:rFonts w:ascii="ITC Avant Garde" w:hAnsi="ITC Avant Garde"/>
          <w:sz w:val="20"/>
          <w:szCs w:val="20"/>
        </w:rPr>
        <w:t xml:space="preserve"> Sub, LLC. </w:t>
      </w:r>
      <w:proofErr w:type="gramStart"/>
      <w:r w:rsidRPr="00C17197">
        <w:rPr>
          <w:rFonts w:ascii="ITC Avant Garde" w:hAnsi="ITC Avant Garde"/>
          <w:sz w:val="20"/>
          <w:szCs w:val="20"/>
        </w:rPr>
        <w:t>y</w:t>
      </w:r>
      <w:proofErr w:type="gramEnd"/>
      <w:r w:rsidRPr="00C17197">
        <w:rPr>
          <w:rFonts w:ascii="ITC Avant Garde" w:hAnsi="ITC Avant Garde"/>
          <w:sz w:val="20"/>
          <w:szCs w:val="20"/>
        </w:rPr>
        <w:t xml:space="preserve"> </w:t>
      </w:r>
      <w:proofErr w:type="spellStart"/>
      <w:r w:rsidRPr="00C17197">
        <w:rPr>
          <w:rFonts w:ascii="ITC Avant Garde" w:hAnsi="ITC Avant Garde"/>
          <w:sz w:val="20"/>
          <w:szCs w:val="20"/>
        </w:rPr>
        <w:t>Level</w:t>
      </w:r>
      <w:proofErr w:type="spellEnd"/>
      <w:r w:rsidRPr="00C17197">
        <w:rPr>
          <w:rFonts w:ascii="ITC Avant Garde" w:hAnsi="ITC Avant Garde"/>
          <w:sz w:val="20"/>
          <w:szCs w:val="20"/>
        </w:rPr>
        <w:t xml:space="preserve"> 3 </w:t>
      </w:r>
      <w:proofErr w:type="spellStart"/>
      <w:r w:rsidRPr="00C17197">
        <w:rPr>
          <w:rFonts w:ascii="ITC Avant Garde" w:hAnsi="ITC Avant Garde"/>
          <w:sz w:val="20"/>
          <w:szCs w:val="20"/>
        </w:rPr>
        <w:t>Communications</w:t>
      </w:r>
      <w:proofErr w:type="spellEnd"/>
      <w:r w:rsidRPr="00C17197">
        <w:rPr>
          <w:rFonts w:ascii="ITC Avant Garde" w:hAnsi="ITC Avant Garde"/>
          <w:sz w:val="20"/>
          <w:szCs w:val="20"/>
        </w:rPr>
        <w:t>, Inc.</w:t>
      </w:r>
    </w:p>
    <w:p w14:paraId="7E3A0C56" w14:textId="77777777" w:rsidR="001C5013" w:rsidRPr="00C17197" w:rsidRDefault="001C5013" w:rsidP="001C5013">
      <w:pPr>
        <w:pStyle w:val="Textoindependiente"/>
        <w:spacing w:after="0" w:line="360" w:lineRule="auto"/>
        <w:jc w:val="both"/>
        <w:rPr>
          <w:rFonts w:ascii="ITC Avant Garde" w:hAnsi="ITC Avant Garde"/>
          <w:sz w:val="20"/>
          <w:szCs w:val="20"/>
        </w:rPr>
      </w:pPr>
      <w:r w:rsidRPr="00C17197">
        <w:rPr>
          <w:rFonts w:ascii="ITC Avant Garde" w:eastAsia="Times New Roman" w:hAnsi="ITC Avant Garde"/>
          <w:b/>
          <w:bCs/>
          <w:color w:val="000000"/>
          <w:sz w:val="20"/>
          <w:szCs w:val="20"/>
          <w:lang w:eastAsia="es-MX"/>
        </w:rPr>
        <w:t>Fundamento legal:</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sz w:val="20"/>
          <w:szCs w:val="20"/>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y Cuadragésimo, fracción II de los “LCCDIEVP”, publicado en el DOF el 15 de abril de 2016.</w:t>
      </w:r>
    </w:p>
    <w:p w14:paraId="13F846B7"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Motivación:</w:t>
      </w:r>
      <w:r w:rsidRPr="00C17197">
        <w:rPr>
          <w:rFonts w:ascii="ITC Avant Garde" w:eastAsia="Times New Roman" w:hAnsi="ITC Avant Garde"/>
          <w:bCs/>
          <w:color w:val="000000"/>
          <w:sz w:val="20"/>
          <w:szCs w:val="20"/>
          <w:lang w:eastAsia="es-MX"/>
        </w:rPr>
        <w:t xml:space="preserve"> </w:t>
      </w:r>
      <w:r w:rsidRPr="00C17197">
        <w:rPr>
          <w:rFonts w:ascii="ITC Avant Garde" w:hAnsi="ITC Avant Garde"/>
          <w:sz w:val="20"/>
          <w:szCs w:val="20"/>
        </w:rPr>
        <w:t>Contiene datos personales concernientes a una persona identificada o identificable, así como hechos y actos de carácter económico, contable, jurídico o administrativo que pudieran ser útiles a los competidores.</w:t>
      </w:r>
    </w:p>
    <w:p w14:paraId="36BD9D8B" w14:textId="77777777" w:rsidR="001C5013" w:rsidRPr="00C17197" w:rsidRDefault="001C5013" w:rsidP="001C5013">
      <w:pPr>
        <w:pStyle w:val="Textoindependiente"/>
        <w:spacing w:after="0" w:line="360" w:lineRule="auto"/>
        <w:jc w:val="both"/>
        <w:rPr>
          <w:rFonts w:ascii="ITC Avant Garde" w:eastAsia="Times New Roman" w:hAnsi="ITC Avant Garde"/>
          <w:bCs/>
          <w:color w:val="000000"/>
          <w:sz w:val="20"/>
          <w:szCs w:val="20"/>
          <w:lang w:eastAsia="es-MX"/>
        </w:rPr>
      </w:pPr>
      <w:r w:rsidRPr="00C17197">
        <w:rPr>
          <w:rFonts w:ascii="ITC Avant Garde" w:eastAsia="Times New Roman" w:hAnsi="ITC Avant Garde"/>
          <w:b/>
          <w:bCs/>
          <w:color w:val="000000"/>
          <w:sz w:val="20"/>
          <w:szCs w:val="20"/>
          <w:lang w:eastAsia="es-MX"/>
        </w:rPr>
        <w:t>Secciones Confidenciales:</w:t>
      </w:r>
      <w:r w:rsidRPr="00C17197">
        <w:rPr>
          <w:rFonts w:ascii="ITC Avant Garde" w:eastAsia="Times New Roman" w:hAnsi="ITC Avant Garde"/>
          <w:bCs/>
          <w:color w:val="000000"/>
          <w:sz w:val="20"/>
          <w:szCs w:val="20"/>
          <w:lang w:eastAsia="es-MX"/>
        </w:rPr>
        <w:t xml:space="preserve"> Las secciones marcadas en color azul con la inscripción que dice </w:t>
      </w:r>
      <w:r w:rsidRPr="00C17197">
        <w:rPr>
          <w:rFonts w:ascii="ITC Avant Garde" w:eastAsia="Times New Roman" w:hAnsi="ITC Avant Garde"/>
          <w:b/>
          <w:bCs/>
          <w:color w:val="0000CC"/>
          <w:sz w:val="20"/>
          <w:szCs w:val="20"/>
          <w:lang w:eastAsia="es-MX"/>
        </w:rPr>
        <w:t>“CONFIDENCIAL POR LEY”</w:t>
      </w:r>
      <w:r w:rsidRPr="00C17197">
        <w:rPr>
          <w:rFonts w:ascii="ITC Avant Garde" w:eastAsia="Times New Roman" w:hAnsi="ITC Avant Garde"/>
          <w:bCs/>
          <w:color w:val="000000"/>
          <w:sz w:val="20"/>
          <w:szCs w:val="20"/>
          <w:lang w:eastAsia="es-MX"/>
        </w:rPr>
        <w:t>.</w:t>
      </w:r>
    </w:p>
    <w:p w14:paraId="2351A6C7" w14:textId="77777777" w:rsidR="001C5013" w:rsidRDefault="001C5013" w:rsidP="001C5013">
      <w:pPr>
        <w:pStyle w:val="Default"/>
        <w:spacing w:line="360" w:lineRule="auto"/>
        <w:ind w:right="-377"/>
        <w:jc w:val="both"/>
        <w:rPr>
          <w:rFonts w:ascii="ITC Avant Garde" w:eastAsia="Times New Roman" w:hAnsi="ITC Avant Garde" w:cs="Times New Roman"/>
          <w:bCs/>
          <w:sz w:val="19"/>
          <w:szCs w:val="19"/>
        </w:rPr>
        <w:sectPr w:rsidR="001C5013" w:rsidSect="00CF08A8">
          <w:headerReference w:type="even" r:id="rId11"/>
          <w:headerReference w:type="first" r:id="rId12"/>
          <w:pgSz w:w="12240" w:h="15840"/>
          <w:pgMar w:top="2268" w:right="1418" w:bottom="1418" w:left="1418" w:header="709" w:footer="709" w:gutter="0"/>
          <w:cols w:space="708"/>
          <w:docGrid w:linePitch="360"/>
        </w:sectPr>
      </w:pPr>
      <w:r w:rsidRPr="00C17197">
        <w:rPr>
          <w:rFonts w:ascii="ITC Avant Garde" w:eastAsia="Times New Roman" w:hAnsi="ITC Avant Garde" w:cs="Times New Roman"/>
          <w:bCs/>
          <w:sz w:val="20"/>
          <w:szCs w:val="20"/>
        </w:rPr>
        <w:t>Fin de la leyenda.</w:t>
      </w:r>
    </w:p>
    <w:p w14:paraId="07AFBD18" w14:textId="77777777" w:rsidR="00845B00" w:rsidRPr="00B24849" w:rsidRDefault="00126571" w:rsidP="00B24849">
      <w:pPr>
        <w:pStyle w:val="Ttulo1"/>
        <w:keepLines/>
        <w:spacing w:before="240" w:after="240" w:line="240" w:lineRule="auto"/>
        <w:ind w:left="0" w:firstLine="0"/>
        <w:jc w:val="both"/>
        <w:rPr>
          <w:rFonts w:eastAsiaTheme="majorEastAsia" w:cstheme="majorBidi"/>
          <w:bCs w:val="0"/>
          <w:color w:val="000000" w:themeColor="text1"/>
          <w:lang w:eastAsia="es-MX"/>
        </w:rPr>
      </w:pPr>
      <w:r w:rsidRPr="00B24849">
        <w:rPr>
          <w:rFonts w:eastAsiaTheme="majorEastAsia" w:cstheme="majorBidi"/>
          <w:bCs w:val="0"/>
          <w:color w:val="000000" w:themeColor="text1"/>
          <w:lang w:eastAsia="es-MX"/>
        </w:rPr>
        <w:lastRenderedPageBreak/>
        <w:t>RESOLUCIÓN MEDIANTE LA CUAL EL PLENO DEL INSTITUTO FEDERAL DE TELECOMUNICACIONES AUTORIZA LA CONCENTRACIÓN RADICADA BAJO EL EXPEDIENTE NO. UCE/CNC-001-2017, NOTIFICADA POR</w:t>
      </w:r>
      <w:r w:rsidR="00C412BA" w:rsidRPr="00B24849">
        <w:rPr>
          <w:rFonts w:eastAsiaTheme="majorEastAsia" w:cstheme="majorBidi"/>
          <w:bCs w:val="0"/>
          <w:color w:val="000000" w:themeColor="text1"/>
          <w:lang w:eastAsia="es-MX"/>
        </w:rPr>
        <w:t xml:space="preserve"> CENTURYLINK, INC., WWG MERGER SUB, LLC. Y LEVEL 3 COMMUNICATIONS, INC.</w:t>
      </w:r>
    </w:p>
    <w:p w14:paraId="0B67A3BB" w14:textId="20DE354E" w:rsidR="00126571" w:rsidRPr="00E5244B" w:rsidRDefault="00126571" w:rsidP="00B24849">
      <w:pPr>
        <w:pStyle w:val="Ttulo2"/>
        <w:autoSpaceDE/>
        <w:autoSpaceDN/>
        <w:adjustRightInd/>
        <w:spacing w:before="40"/>
        <w:jc w:val="center"/>
      </w:pPr>
      <w:bookmarkStart w:id="1" w:name="_Toc435697300"/>
      <w:bookmarkStart w:id="2" w:name="_Toc435697376"/>
      <w:r w:rsidRPr="00E5244B">
        <w:t>I. ANTECEDENTES</w:t>
      </w:r>
      <w:bookmarkEnd w:id="1"/>
      <w:bookmarkEnd w:id="2"/>
    </w:p>
    <w:p w14:paraId="2200F967" w14:textId="7B6C57DD" w:rsidR="00C52B53" w:rsidRPr="00845B00" w:rsidRDefault="00C52B53"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 xml:space="preserve">Escrito con anexos presentados el cinco de abril de dos mil diecisiete (Escrito de Notificación) en la oficialía de partes del Instituto Federal de Telecomunicaciones (Instituto) por </w:t>
      </w:r>
      <w:r w:rsidR="00BC13A6" w:rsidRPr="002B05D3">
        <w:rPr>
          <w:rFonts w:cs="Times New Roman"/>
          <w:b/>
          <w:bCs/>
          <w:color w:val="0000CC"/>
          <w:sz w:val="19"/>
          <w:szCs w:val="19"/>
          <w:lang w:eastAsia="es-MX"/>
        </w:rPr>
        <w:t>“CONFIDENCIAL POR LEY”</w:t>
      </w:r>
      <w:r w:rsidRPr="00845B00">
        <w:rPr>
          <w:rFonts w:ascii="ITC Avant Garde" w:hAnsi="ITC Avant Garde"/>
          <w:sz w:val="22"/>
          <w:szCs w:val="22"/>
        </w:rPr>
        <w:t xml:space="preserve"> (Apoderado) en representación de CenturyLink, Inc, (CenturyLink), WWG Merger Sub, LLC (Merger Sub) y Level 3 Communications, Inc. (Level 3</w:t>
      </w:r>
      <w:r w:rsidR="009409B3" w:rsidRPr="00845B00">
        <w:rPr>
          <w:rFonts w:ascii="ITC Avant Garde" w:hAnsi="ITC Avant Garde"/>
          <w:sz w:val="22"/>
          <w:szCs w:val="22"/>
        </w:rPr>
        <w:t xml:space="preserve"> y,</w:t>
      </w:r>
      <w:r w:rsidRPr="00845B00">
        <w:rPr>
          <w:rFonts w:ascii="ITC Avant Garde" w:hAnsi="ITC Avant Garde"/>
          <w:sz w:val="22"/>
          <w:szCs w:val="22"/>
        </w:rPr>
        <w:t xml:space="preserve"> en conjunto con CenturyLink y Merger Sub, los Promoventes) por medio del cual se notificó a</w:t>
      </w:r>
      <w:r w:rsidRPr="00845B00">
        <w:rPr>
          <w:rFonts w:ascii="ITC Avant Garde" w:hAnsi="ITC Avant Garde"/>
          <w:bCs/>
          <w:noProof/>
          <w:color w:val="000000"/>
          <w:sz w:val="22"/>
          <w:szCs w:val="22"/>
        </w:rPr>
        <w:t xml:space="preserve"> este Instituto una concentración consistente en la adquisicion</w:t>
      </w:r>
      <w:r w:rsidR="00BC5F84" w:rsidRPr="00845B00">
        <w:rPr>
          <w:rFonts w:ascii="ITC Avant Garde" w:hAnsi="ITC Avant Garde"/>
          <w:bCs/>
          <w:noProof/>
          <w:color w:val="000000"/>
          <w:sz w:val="22"/>
          <w:szCs w:val="22"/>
        </w:rPr>
        <w:t>,</w:t>
      </w:r>
      <w:r w:rsidRPr="00845B00">
        <w:rPr>
          <w:rFonts w:ascii="ITC Avant Garde" w:hAnsi="ITC Avant Garde"/>
          <w:bCs/>
          <w:noProof/>
          <w:color w:val="000000"/>
          <w:sz w:val="22"/>
          <w:szCs w:val="22"/>
        </w:rPr>
        <w:t xml:space="preserve"> por parte de </w:t>
      </w:r>
      <w:r w:rsidRPr="00845B00">
        <w:rPr>
          <w:rFonts w:ascii="ITC Avant Garde" w:hAnsi="ITC Avant Garde"/>
          <w:sz w:val="22"/>
          <w:szCs w:val="22"/>
        </w:rPr>
        <w:t>CenturyLink</w:t>
      </w:r>
      <w:r w:rsidR="00BC5F84" w:rsidRPr="00845B00">
        <w:rPr>
          <w:rFonts w:ascii="ITC Avant Garde" w:hAnsi="ITC Avant Garde"/>
          <w:sz w:val="22"/>
          <w:szCs w:val="22"/>
        </w:rPr>
        <w:t xml:space="preserve">, de la totalidad de las acciones representativas del capital social </w:t>
      </w:r>
      <w:r w:rsidRPr="00845B00">
        <w:rPr>
          <w:rFonts w:ascii="ITC Avant Garde" w:hAnsi="ITC Avant Garde"/>
          <w:sz w:val="22"/>
          <w:szCs w:val="22"/>
        </w:rPr>
        <w:t>de Level 3 (Operación</w:t>
      </w:r>
      <w:r w:rsidRPr="00845B00">
        <w:rPr>
          <w:rFonts w:ascii="ITC Avant Garde" w:hAnsi="ITC Avant Garde"/>
          <w:bCs/>
          <w:noProof/>
          <w:color w:val="000000"/>
          <w:sz w:val="22"/>
          <w:szCs w:val="22"/>
        </w:rPr>
        <w:t>).</w:t>
      </w:r>
    </w:p>
    <w:p w14:paraId="1A6CAE4D" w14:textId="77777777" w:rsidR="00C52B53" w:rsidRPr="00845B00" w:rsidRDefault="00C52B53"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Acuerdo firmado por la Titular de la Unidad de Competencia Económica, y notificado personalmente el veinticinco de abril de dos mil diecisiete, por medio del cual se radicó el Escrito de Notificación en el libro de gobierno de la Unidad de Competencia Económica (UCE) bajo el número de expediente citado al rubro y, entre otras cuestiones, se previno a los Promoventes para que en un plazo de diez (10) días hábiles, presentaran diversa información faltante (Acuerdo de Prevención)</w:t>
      </w:r>
      <w:r w:rsidR="00B41841" w:rsidRPr="00845B00">
        <w:rPr>
          <w:rFonts w:ascii="ITC Avant Garde" w:hAnsi="ITC Avant Garde"/>
          <w:sz w:val="22"/>
          <w:szCs w:val="22"/>
        </w:rPr>
        <w:t xml:space="preserve"> en términos de los artículos 89 y 90, fracción I, de la Ley Federal de Competencia Económica (LFCE).</w:t>
      </w:r>
    </w:p>
    <w:p w14:paraId="56677732" w14:textId="77777777" w:rsidR="00C52B53" w:rsidRPr="00845B00" w:rsidRDefault="00C52B53"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Escrito con un anexo presentado por los Promoventes en la oficialía de partes del Instituto el diez de mayo de dos mil diecisiete, por medio del cual presentaron información en respuesta al Acuerdo de Prevención (Escrito de Respuesta a Prevención).</w:t>
      </w:r>
    </w:p>
    <w:p w14:paraId="4B82A2E1" w14:textId="77777777" w:rsidR="00845B00" w:rsidRDefault="00C52B53"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cs="Times New Roman"/>
          <w:sz w:val="22"/>
          <w:szCs w:val="22"/>
        </w:rPr>
        <w:t xml:space="preserve">Acuerdo emitido por el Director General de Procedimientos de Competencia en suplencia de </w:t>
      </w:r>
      <w:r w:rsidRPr="00845B00">
        <w:rPr>
          <w:rFonts w:ascii="ITC Avant Garde" w:hAnsi="ITC Avant Garde"/>
          <w:sz w:val="22"/>
          <w:szCs w:val="22"/>
        </w:rPr>
        <w:t xml:space="preserve">la Titular de la Unidad de Competencia Económica de fecha dieciséis de mayo de dos mil diecisiete y notificado por lista en la misma fecha, a través del cual se tuvo por desahogado en tiempo y forma el Acuerdo de Prevención, y se tuvo por recibida la notificación de concentración con fecha diez de mayo de dos mil diecisiete, fecha en que los Promoventes desahogaron el Acuerdo de Prevención. </w:t>
      </w:r>
    </w:p>
    <w:p w14:paraId="78D7C7B2" w14:textId="5D136125" w:rsidR="006C0618" w:rsidRPr="00845B00" w:rsidRDefault="006C0618"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 xml:space="preserve">Acuerdo emitido por el Director General de Concentraciones y Concesiones de fecha veintinueve de mayo de dos mil diecisiete por medio del cual, en términos del artículo 90, fracción III, párrafo primero, de la LFCE, se requirió Información </w:t>
      </w:r>
      <w:r w:rsidRPr="00845B00">
        <w:rPr>
          <w:rFonts w:ascii="ITC Avant Garde" w:hAnsi="ITC Avant Garde"/>
          <w:sz w:val="22"/>
          <w:szCs w:val="22"/>
        </w:rPr>
        <w:lastRenderedPageBreak/>
        <w:t>Adicional a los Promoventes a fin de evaluar la operación notificada (Requerimiento de Información Adicional).</w:t>
      </w:r>
    </w:p>
    <w:p w14:paraId="0914FEFD" w14:textId="77777777" w:rsidR="006C0618" w:rsidRPr="00845B00" w:rsidRDefault="006C0618"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cs="Times New Roman"/>
          <w:sz w:val="22"/>
          <w:szCs w:val="22"/>
        </w:rPr>
        <w:t xml:space="preserve">Escrito </w:t>
      </w:r>
      <w:r w:rsidR="00BC5F84" w:rsidRPr="00845B00">
        <w:rPr>
          <w:rFonts w:ascii="ITC Avant Garde" w:hAnsi="ITC Avant Garde" w:cs="Times New Roman"/>
          <w:sz w:val="22"/>
          <w:szCs w:val="22"/>
        </w:rPr>
        <w:t xml:space="preserve">con anexos presentado por los Promoventes en la oficialía de partes del Instituto </w:t>
      </w:r>
      <w:r w:rsidRPr="00845B00">
        <w:rPr>
          <w:rFonts w:ascii="ITC Avant Garde" w:hAnsi="ITC Avant Garde" w:cs="Times New Roman"/>
          <w:sz w:val="22"/>
          <w:szCs w:val="22"/>
        </w:rPr>
        <w:t>e</w:t>
      </w:r>
      <w:r w:rsidR="00BC5F84" w:rsidRPr="00845B00">
        <w:rPr>
          <w:rFonts w:ascii="ITC Avant Garde" w:hAnsi="ITC Avant Garde" w:cs="Times New Roman"/>
          <w:sz w:val="22"/>
          <w:szCs w:val="22"/>
        </w:rPr>
        <w:t>l</w:t>
      </w:r>
      <w:r w:rsidRPr="00845B00">
        <w:rPr>
          <w:rFonts w:ascii="ITC Avant Garde" w:hAnsi="ITC Avant Garde" w:cs="Times New Roman"/>
          <w:sz w:val="22"/>
          <w:szCs w:val="22"/>
        </w:rPr>
        <w:t xml:space="preserve"> veinte de junio de dos mil diecisiete</w:t>
      </w:r>
      <w:r w:rsidR="00BC5F84" w:rsidRPr="00845B00">
        <w:rPr>
          <w:rFonts w:ascii="ITC Avant Garde" w:hAnsi="ITC Avant Garde" w:cs="Times New Roman"/>
          <w:sz w:val="22"/>
          <w:szCs w:val="22"/>
        </w:rPr>
        <w:t>,</w:t>
      </w:r>
      <w:r w:rsidRPr="00845B00">
        <w:rPr>
          <w:rFonts w:ascii="ITC Avant Garde" w:hAnsi="ITC Avant Garde" w:cs="Times New Roman"/>
          <w:sz w:val="22"/>
          <w:szCs w:val="22"/>
        </w:rPr>
        <w:t xml:space="preserve"> por medio del cual los Promoventes dieron respuesta al Requerim</w:t>
      </w:r>
      <w:r w:rsidR="00BC5F84" w:rsidRPr="00845B00">
        <w:rPr>
          <w:rFonts w:ascii="ITC Avant Garde" w:hAnsi="ITC Avant Garde" w:cs="Times New Roman"/>
          <w:sz w:val="22"/>
          <w:szCs w:val="22"/>
        </w:rPr>
        <w:t>iento de Información Adicional;</w:t>
      </w:r>
      <w:r w:rsidRPr="00845B00">
        <w:rPr>
          <w:rFonts w:ascii="ITC Avant Garde" w:hAnsi="ITC Avant Garde" w:cs="Times New Roman"/>
          <w:sz w:val="22"/>
          <w:szCs w:val="22"/>
        </w:rPr>
        <w:t xml:space="preserve"> fecha a partir de la cual, en términos del artículo 90, fracción V, párrafo primero, de la LFCE, comenzó a contar el plazo de sesenta (60) días con que el Instituto cuenta para resolver sobre el presente expediente</w:t>
      </w:r>
      <w:r w:rsidR="00E175B0" w:rsidRPr="00845B00">
        <w:rPr>
          <w:rFonts w:ascii="ITC Avant Garde" w:hAnsi="ITC Avant Garde" w:cs="Times New Roman"/>
          <w:sz w:val="22"/>
          <w:szCs w:val="22"/>
        </w:rPr>
        <w:t xml:space="preserve"> (Respuesta al Requerimiento de Información Adicional)</w:t>
      </w:r>
      <w:r w:rsidRPr="00845B00">
        <w:rPr>
          <w:rFonts w:ascii="ITC Avant Garde" w:hAnsi="ITC Avant Garde" w:cs="Times New Roman"/>
          <w:sz w:val="22"/>
          <w:szCs w:val="22"/>
        </w:rPr>
        <w:t>.</w:t>
      </w:r>
    </w:p>
    <w:p w14:paraId="0586E530" w14:textId="77777777" w:rsidR="006C0618" w:rsidRPr="00845B00" w:rsidRDefault="00E175B0"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 xml:space="preserve">Acuerdo emitido por el Director General de Concentraciones y Concesiones de fecha </w:t>
      </w:r>
      <w:r w:rsidR="00BC5F84" w:rsidRPr="00845B00">
        <w:rPr>
          <w:rFonts w:ascii="ITC Avant Garde" w:hAnsi="ITC Avant Garde"/>
          <w:sz w:val="22"/>
          <w:szCs w:val="22"/>
        </w:rPr>
        <w:t xml:space="preserve">veintitrés de junio </w:t>
      </w:r>
      <w:r w:rsidRPr="00845B00">
        <w:rPr>
          <w:rFonts w:ascii="ITC Avant Garde" w:hAnsi="ITC Avant Garde"/>
          <w:sz w:val="22"/>
          <w:szCs w:val="22"/>
        </w:rPr>
        <w:t>de dos mil dieci</w:t>
      </w:r>
      <w:r w:rsidR="00002DAF" w:rsidRPr="00845B00">
        <w:rPr>
          <w:rFonts w:ascii="ITC Avant Garde" w:hAnsi="ITC Avant Garde"/>
          <w:sz w:val="22"/>
          <w:szCs w:val="22"/>
        </w:rPr>
        <w:t>siete por medio del cual se recibió</w:t>
      </w:r>
      <w:r w:rsidRPr="00845B00">
        <w:rPr>
          <w:rFonts w:ascii="ITC Avant Garde" w:hAnsi="ITC Avant Garde"/>
          <w:sz w:val="22"/>
          <w:szCs w:val="22"/>
        </w:rPr>
        <w:t xml:space="preserve"> </w:t>
      </w:r>
      <w:r w:rsidR="00002DAF" w:rsidRPr="00845B00">
        <w:rPr>
          <w:rFonts w:ascii="ITC Avant Garde" w:hAnsi="ITC Avant Garde"/>
          <w:sz w:val="22"/>
          <w:szCs w:val="22"/>
        </w:rPr>
        <w:t>en e</w:t>
      </w:r>
      <w:r w:rsidRPr="00845B00">
        <w:rPr>
          <w:rFonts w:ascii="ITC Avant Garde" w:hAnsi="ITC Avant Garde"/>
          <w:sz w:val="22"/>
          <w:szCs w:val="22"/>
        </w:rPr>
        <w:t>l Expediente la Respuesta al Requerimiento de Información Adicional.</w:t>
      </w:r>
    </w:p>
    <w:p w14:paraId="23131B89" w14:textId="77777777" w:rsidR="00BC5F84" w:rsidRPr="00845B00" w:rsidRDefault="00735C68"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 xml:space="preserve">Escrito presentado por los Promoventes en la </w:t>
      </w:r>
      <w:r w:rsidRPr="00845B00">
        <w:rPr>
          <w:rFonts w:ascii="ITC Avant Garde" w:hAnsi="ITC Avant Garde" w:cs="Times New Roman"/>
          <w:sz w:val="22"/>
          <w:szCs w:val="22"/>
        </w:rPr>
        <w:t>oficialía de partes del Instituto el dieciocho de agosto de dos mil diecisiete, por medio del cual voluntariamente realizan diversas manifestaciones y aportan información relacionada con la Operación (Escrito Libre 1).</w:t>
      </w:r>
    </w:p>
    <w:p w14:paraId="2F1419FB" w14:textId="77777777" w:rsidR="00735C68" w:rsidRPr="00845B00" w:rsidRDefault="00735C68" w:rsidP="00F342F9">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cs="Times New Roman"/>
          <w:sz w:val="22"/>
          <w:szCs w:val="22"/>
        </w:rPr>
        <w:t xml:space="preserve">Acuerdo </w:t>
      </w:r>
      <w:r w:rsidRPr="00845B00">
        <w:rPr>
          <w:rFonts w:ascii="ITC Avant Garde" w:hAnsi="ITC Avant Garde"/>
          <w:sz w:val="22"/>
          <w:szCs w:val="22"/>
        </w:rPr>
        <w:t>emitido por el Director General de Concentraciones y Concesiones de fecha veintidós de agosto de dos mil diecisiete por medio del cual se tomó conocimiento y se glosó al Expediente el Escrito Libre 1.</w:t>
      </w:r>
    </w:p>
    <w:p w14:paraId="7F206E87" w14:textId="77777777" w:rsidR="00845B00" w:rsidRDefault="009409B3" w:rsidP="00F55D26">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El nueve de agosto de dos mil diecisiete el Instituto, a través de la Unidad de Concesiones y Servicios, solicitó a</w:t>
      </w:r>
      <w:r w:rsidR="00F55D26" w:rsidRPr="00845B00">
        <w:rPr>
          <w:rFonts w:ascii="ITC Avant Garde" w:hAnsi="ITC Avant Garde"/>
          <w:sz w:val="22"/>
          <w:szCs w:val="22"/>
        </w:rPr>
        <w:t xml:space="preserve"> la Dirección General de Política de Telecomunicaciones y de Radiodifusión de la Secretaría de Comunicaciones y Transportes </w:t>
      </w:r>
      <w:r w:rsidRPr="00845B00">
        <w:rPr>
          <w:rFonts w:ascii="ITC Avant Garde" w:hAnsi="ITC Avant Garde"/>
          <w:sz w:val="22"/>
          <w:szCs w:val="22"/>
        </w:rPr>
        <w:t xml:space="preserve">una </w:t>
      </w:r>
      <w:r w:rsidR="00F55D26" w:rsidRPr="00845B00">
        <w:rPr>
          <w:rFonts w:ascii="ITC Avant Garde" w:hAnsi="ITC Avant Garde"/>
          <w:sz w:val="22"/>
          <w:szCs w:val="22"/>
        </w:rPr>
        <w:t xml:space="preserve">opinión técnica </w:t>
      </w:r>
      <w:r w:rsidRPr="00845B00">
        <w:rPr>
          <w:rFonts w:ascii="ITC Avant Garde" w:hAnsi="ITC Avant Garde"/>
          <w:sz w:val="22"/>
          <w:szCs w:val="22"/>
        </w:rPr>
        <w:t xml:space="preserve">no vinculante </w:t>
      </w:r>
      <w:r w:rsidR="00F55D26" w:rsidRPr="00845B00">
        <w:rPr>
          <w:rFonts w:ascii="ITC Avant Garde" w:hAnsi="ITC Avant Garde"/>
          <w:sz w:val="22"/>
          <w:szCs w:val="22"/>
        </w:rPr>
        <w:t>respecto de la concentración</w:t>
      </w:r>
      <w:r w:rsidR="00756060" w:rsidRPr="00845B00">
        <w:rPr>
          <w:rFonts w:ascii="ITC Avant Garde" w:hAnsi="ITC Avant Garde"/>
          <w:sz w:val="22"/>
          <w:szCs w:val="22"/>
        </w:rPr>
        <w:t xml:space="preserve"> (Opinión Técnica de la SCT)</w:t>
      </w:r>
      <w:r w:rsidR="00F55D26" w:rsidRPr="00845B00">
        <w:rPr>
          <w:rFonts w:ascii="ITC Avant Garde" w:hAnsi="ITC Avant Garde"/>
          <w:sz w:val="22"/>
          <w:szCs w:val="22"/>
        </w:rPr>
        <w:t>, con fundamento en los artículos 28, párrafo décimo séptimo, de la Constitución Política de los Estados Unidos Mexicanos, 9, fracción I, y 112, penúltimo párrafo, de la Ley Federal de Telecomunicaciones y Radiodifusión.</w:t>
      </w:r>
      <w:r w:rsidRPr="00845B00">
        <w:rPr>
          <w:rFonts w:ascii="ITC Avant Garde" w:hAnsi="ITC Avant Garde"/>
          <w:sz w:val="22"/>
          <w:szCs w:val="22"/>
        </w:rPr>
        <w:t xml:space="preserve"> Estas disposiciones legales otorgan un plazo de treinta días naturales contados a partir de la solicitud, para emitir la opinión. </w:t>
      </w:r>
      <w:r w:rsidR="00756060" w:rsidRPr="00845B00">
        <w:rPr>
          <w:rFonts w:ascii="ITC Avant Garde" w:hAnsi="ITC Avant Garde"/>
          <w:sz w:val="22"/>
          <w:szCs w:val="22"/>
        </w:rPr>
        <w:t>La Opinión Técnica de la SCT fue presentada ante la Oficialía de Partes del Instituto</w:t>
      </w:r>
      <w:r w:rsidRPr="00845B00">
        <w:rPr>
          <w:rFonts w:ascii="ITC Avant Garde" w:hAnsi="ITC Avant Garde"/>
          <w:sz w:val="22"/>
          <w:szCs w:val="22"/>
        </w:rPr>
        <w:t xml:space="preserve"> el </w:t>
      </w:r>
      <w:r w:rsidR="00756060" w:rsidRPr="00845B00">
        <w:rPr>
          <w:rFonts w:ascii="ITC Avant Garde" w:hAnsi="ITC Avant Garde"/>
          <w:sz w:val="22"/>
          <w:szCs w:val="22"/>
        </w:rPr>
        <w:t>trece</w:t>
      </w:r>
      <w:r w:rsidRPr="00845B00">
        <w:rPr>
          <w:rFonts w:ascii="ITC Avant Garde" w:hAnsi="ITC Avant Garde"/>
          <w:sz w:val="22"/>
          <w:szCs w:val="22"/>
        </w:rPr>
        <w:t xml:space="preserve"> de septiembre de dos mil diecisiete. </w:t>
      </w:r>
    </w:p>
    <w:p w14:paraId="0419716A" w14:textId="77777777" w:rsidR="00B33CAD" w:rsidRPr="00845B00" w:rsidRDefault="00B33CAD" w:rsidP="00B33CAD">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eastAsiaTheme="minorHAnsi" w:hAnsi="ITC Avant Garde" w:cs="Century Gothic"/>
          <w:bCs/>
          <w:color w:val="000000"/>
          <w:sz w:val="22"/>
          <w:szCs w:val="22"/>
          <w:lang w:val="es-MX" w:eastAsia="en-US"/>
        </w:rPr>
        <w:t xml:space="preserve">El diecinueve de septiembre de dos mil diecisiete el Pleno del Instituto emitió y publicó un Acuerdo que declaró </w:t>
      </w:r>
      <w:r w:rsidRPr="00845B00">
        <w:rPr>
          <w:rFonts w:ascii="ITC Avant Garde" w:hAnsi="ITC Avant Garde"/>
          <w:sz w:val="22"/>
          <w:szCs w:val="22"/>
        </w:rPr>
        <w:t xml:space="preserve">la suspensión de labores en todas sus áreas administrativas, por causas de fuerza mayor, los días veinte y veintiuno de septiembre de dos mil diecisiete. </w:t>
      </w:r>
    </w:p>
    <w:p w14:paraId="5F20B0C5" w14:textId="77777777" w:rsidR="00B33CAD" w:rsidRPr="00845B00" w:rsidRDefault="00B33CAD" w:rsidP="00B33CAD">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eastAsiaTheme="minorHAnsi" w:hAnsi="ITC Avant Garde" w:cs="Century Gothic"/>
          <w:bCs/>
          <w:color w:val="000000"/>
          <w:sz w:val="22"/>
          <w:szCs w:val="22"/>
          <w:lang w:eastAsia="en-US"/>
        </w:rPr>
        <w:t xml:space="preserve">El </w:t>
      </w:r>
      <w:r w:rsidRPr="00845B00">
        <w:rPr>
          <w:rFonts w:ascii="ITC Avant Garde" w:hAnsi="ITC Avant Garde"/>
          <w:sz w:val="22"/>
          <w:szCs w:val="22"/>
        </w:rPr>
        <w:t xml:space="preserve">veintiuno de septiembre de dos mil diecisiete el Pleno </w:t>
      </w:r>
      <w:r w:rsidRPr="00845B00">
        <w:rPr>
          <w:rFonts w:ascii="ITC Avant Garde" w:eastAsiaTheme="minorHAnsi" w:hAnsi="ITC Avant Garde" w:cs="Century Gothic"/>
          <w:bCs/>
          <w:color w:val="000000"/>
          <w:sz w:val="22"/>
          <w:szCs w:val="22"/>
          <w:lang w:val="es-MX" w:eastAsia="en-US"/>
        </w:rPr>
        <w:t xml:space="preserve">del Instituto emitió y publicó un Acuerdo que declaró </w:t>
      </w:r>
      <w:r w:rsidRPr="00845B00">
        <w:rPr>
          <w:rFonts w:ascii="ITC Avant Garde" w:hAnsi="ITC Avant Garde"/>
          <w:sz w:val="22"/>
          <w:szCs w:val="22"/>
        </w:rPr>
        <w:t xml:space="preserve">la suspensión de labores en todas sus áreas </w:t>
      </w:r>
      <w:r w:rsidRPr="00845B00">
        <w:rPr>
          <w:rFonts w:ascii="ITC Avant Garde" w:hAnsi="ITC Avant Garde"/>
          <w:sz w:val="22"/>
          <w:szCs w:val="22"/>
        </w:rPr>
        <w:lastRenderedPageBreak/>
        <w:t>administrativas, por causas de fuerza mayor,</w:t>
      </w:r>
      <w:r w:rsidRPr="00845B00">
        <w:rPr>
          <w:rFonts w:ascii="ITC Avant Garde" w:eastAsiaTheme="minorHAnsi" w:hAnsi="ITC Avant Garde" w:cs="Century Gothic"/>
          <w:bCs/>
          <w:color w:val="000000"/>
          <w:sz w:val="22"/>
          <w:szCs w:val="22"/>
          <w:lang w:val="es-MX" w:eastAsia="en-US"/>
        </w:rPr>
        <w:t xml:space="preserve"> el día </w:t>
      </w:r>
      <w:r w:rsidRPr="00845B00">
        <w:rPr>
          <w:rFonts w:ascii="ITC Avant Garde" w:hAnsi="ITC Avant Garde"/>
          <w:sz w:val="22"/>
          <w:szCs w:val="22"/>
        </w:rPr>
        <w:t xml:space="preserve">veintidós de septiembre de dos mil diecisiete. </w:t>
      </w:r>
    </w:p>
    <w:p w14:paraId="042A576D" w14:textId="77777777" w:rsidR="00B33CAD" w:rsidRPr="00845B00" w:rsidRDefault="00B33CAD" w:rsidP="00B33CAD">
      <w:pPr>
        <w:pStyle w:val="Texto"/>
        <w:numPr>
          <w:ilvl w:val="0"/>
          <w:numId w:val="6"/>
        </w:numPr>
        <w:spacing w:before="120" w:after="120" w:line="276" w:lineRule="auto"/>
        <w:ind w:left="426"/>
        <w:rPr>
          <w:rFonts w:ascii="ITC Avant Garde" w:hAnsi="ITC Avant Garde" w:cs="Times New Roman"/>
          <w:sz w:val="22"/>
          <w:szCs w:val="22"/>
        </w:rPr>
      </w:pPr>
      <w:r w:rsidRPr="00845B00">
        <w:rPr>
          <w:rFonts w:ascii="ITC Avant Garde" w:hAnsi="ITC Avant Garde"/>
          <w:sz w:val="22"/>
          <w:szCs w:val="22"/>
        </w:rPr>
        <w:t xml:space="preserve">De conformidad con lo señalado en los antecedentes Undécimo y Duodécimo de esta resolución, quedaron suspendidos los plazos y términos previstos en el artículo 90, fracción V, primer párrafo en este procedimiento del veinte al veintidós de septiembre de dos mil diecisiete, reanudándose al día hábil siguiente que corresponde al veinticinco de septiembre de dos mil diecisiete. </w:t>
      </w:r>
    </w:p>
    <w:p w14:paraId="374F5E61" w14:textId="77777777" w:rsidR="00845B00" w:rsidRDefault="00126571" w:rsidP="00126571">
      <w:pPr>
        <w:pStyle w:val="Texto"/>
        <w:spacing w:before="120" w:after="120" w:line="276" w:lineRule="auto"/>
        <w:ind w:firstLine="0"/>
        <w:rPr>
          <w:rFonts w:ascii="ITC Avant Garde" w:hAnsi="ITC Avant Garde" w:cs="Times New Roman"/>
          <w:sz w:val="22"/>
          <w:szCs w:val="22"/>
        </w:rPr>
      </w:pPr>
      <w:r w:rsidRPr="00845B00">
        <w:rPr>
          <w:rFonts w:ascii="ITC Avant Garde" w:hAnsi="ITC Avant Garde" w:cs="Times New Roman"/>
          <w:sz w:val="22"/>
          <w:szCs w:val="22"/>
        </w:rPr>
        <w:t xml:space="preserve">En virtud de los Antecedentes referidos y </w:t>
      </w:r>
    </w:p>
    <w:p w14:paraId="330BFF16" w14:textId="1A3D28B5" w:rsidR="00126571" w:rsidRPr="00E5244B" w:rsidRDefault="00126571" w:rsidP="00B24849">
      <w:pPr>
        <w:pStyle w:val="Ttulo2"/>
        <w:autoSpaceDE/>
        <w:autoSpaceDN/>
        <w:adjustRightInd/>
        <w:spacing w:before="40"/>
        <w:jc w:val="center"/>
      </w:pPr>
      <w:bookmarkStart w:id="3" w:name="_Toc435697301"/>
      <w:bookmarkStart w:id="4" w:name="_Toc435697377"/>
      <w:r w:rsidRPr="00E5244B">
        <w:t>II. CONSIDERANDO</w:t>
      </w:r>
      <w:bookmarkEnd w:id="3"/>
      <w:bookmarkEnd w:id="4"/>
    </w:p>
    <w:p w14:paraId="6E45CF46" w14:textId="7B64DC57" w:rsidR="00126571" w:rsidRPr="00D1492E" w:rsidRDefault="00E5244B" w:rsidP="00D1492E">
      <w:pPr>
        <w:pStyle w:val="Texto"/>
        <w:spacing w:before="120" w:after="120" w:line="276" w:lineRule="auto"/>
        <w:ind w:firstLine="0"/>
        <w:rPr>
          <w:rFonts w:ascii="ITC Avant Garde" w:hAnsi="ITC Avant Garde"/>
          <w:b/>
          <w:bCs/>
          <w:noProof/>
          <w:color w:val="000000"/>
          <w:sz w:val="22"/>
          <w:szCs w:val="22"/>
        </w:rPr>
      </w:pPr>
      <w:bookmarkStart w:id="5" w:name="_Toc435697302"/>
      <w:bookmarkStart w:id="6" w:name="_Toc435697378"/>
      <w:r w:rsidRPr="00D1492E">
        <w:rPr>
          <w:rFonts w:ascii="ITC Avant Garde" w:hAnsi="ITC Avant Garde"/>
          <w:b/>
          <w:bCs/>
          <w:noProof/>
          <w:color w:val="000000"/>
          <w:sz w:val="22"/>
          <w:szCs w:val="22"/>
        </w:rPr>
        <w:t xml:space="preserve">Primero.- </w:t>
      </w:r>
      <w:r w:rsidR="00126571" w:rsidRPr="00D1492E">
        <w:rPr>
          <w:rFonts w:ascii="ITC Avant Garde" w:hAnsi="ITC Avant Garde"/>
          <w:b/>
          <w:bCs/>
          <w:noProof/>
          <w:color w:val="000000"/>
          <w:sz w:val="22"/>
          <w:szCs w:val="22"/>
        </w:rPr>
        <w:t>Facultades del Instituto</w:t>
      </w:r>
      <w:bookmarkEnd w:id="5"/>
      <w:bookmarkEnd w:id="6"/>
    </w:p>
    <w:p w14:paraId="072D99EF" w14:textId="77777777" w:rsidR="00126571" w:rsidRPr="00845B00" w:rsidRDefault="00126571" w:rsidP="00E41E4D">
      <w:pPr>
        <w:pStyle w:val="Prraforproyecto"/>
        <w:rPr>
          <w:rStyle w:val="Refdecomentario"/>
          <w:rFonts w:eastAsia="Calibri"/>
          <w:b/>
        </w:rPr>
      </w:pPr>
      <w:r w:rsidRPr="00845B00">
        <w:t xml:space="preserve">De conformidad con lo dispuesto en el artículo 28, párrafo décimo sexto, de la </w:t>
      </w:r>
      <w:r w:rsidR="00AF38D9" w:rsidRPr="00845B00">
        <w:t>Constitución Política de los Estados Unidos Mexicanos (</w:t>
      </w:r>
      <w:r w:rsidRPr="00845B00">
        <w:t>CPEUM</w:t>
      </w:r>
      <w:r w:rsidR="00AF38D9" w:rsidRPr="00845B00">
        <w:t>)</w:t>
      </w:r>
      <w:r w:rsidRPr="00845B00">
        <w:t xml:space="preserve">; 5, párrafo primero, de la LFCE y 7, párrafo tercero, de la </w:t>
      </w:r>
      <w:r w:rsidR="00AF38D9" w:rsidRPr="00845B00">
        <w:t>Ley Federal de Telecomunicaciones y Radiodifusión (</w:t>
      </w:r>
      <w:r w:rsidRPr="00845B00">
        <w:t>LFTR</w:t>
      </w:r>
      <w:r w:rsidR="00AF38D9" w:rsidRPr="00845B00">
        <w:t>)</w:t>
      </w:r>
      <w:r w:rsidRPr="00845B00">
        <w:t xml:space="preserve">, el Instituto es un órgano autónomo, con personalidad jurídica y patrimonio propio que tiene por objeto el desarrollo eficiente de la radiodifusión y las telecomunicaciones, y para tales efectos tiene a su cargo, la regulación, promoción y supervisión, entre otros, del uso, aprovechamiento y explotación del espectro radioeléctrico; asimismo, es la autoridad </w:t>
      </w:r>
      <w:r w:rsidR="009409B3" w:rsidRPr="00845B00">
        <w:t xml:space="preserve">exclusiva </w:t>
      </w:r>
      <w:r w:rsidRPr="00845B00">
        <w:t>en materia de competencia económica en los sectores de radiodifusión y telecomunicaciones.</w:t>
      </w:r>
    </w:p>
    <w:p w14:paraId="7B770FB5" w14:textId="77777777" w:rsidR="00126571" w:rsidRPr="00845B00" w:rsidRDefault="00AF38D9" w:rsidP="00E41E4D">
      <w:pPr>
        <w:pStyle w:val="Prraforproyecto"/>
      </w:pPr>
      <w:r w:rsidRPr="00845B00">
        <w:t>E</w:t>
      </w:r>
      <w:r w:rsidR="00126571" w:rsidRPr="00845B00">
        <w:t>l Instituto es competente para tramitar, evaluar y resolver la Operación, pues constituye una concentración que involucra a agentes económicos</w:t>
      </w:r>
      <w:r w:rsidR="0065655F" w:rsidRPr="00845B00">
        <w:t xml:space="preserve"> prestadores de servicios de</w:t>
      </w:r>
      <w:r w:rsidR="00126571" w:rsidRPr="00845B00">
        <w:t xml:space="preserve"> telecomunicaciones.</w:t>
      </w:r>
      <w:r w:rsidRPr="00845B00">
        <w:t xml:space="preserve"> </w:t>
      </w:r>
    </w:p>
    <w:p w14:paraId="21A28133" w14:textId="77777777" w:rsidR="00771240" w:rsidRPr="00845B00" w:rsidRDefault="00AF38D9" w:rsidP="00E41E4D">
      <w:pPr>
        <w:pStyle w:val="Prraforproyecto"/>
      </w:pPr>
      <w:r w:rsidRPr="00845B00">
        <w:t xml:space="preserve">CenturyLink y Level 3 coinciden a nivel internacional en la prestación de </w:t>
      </w:r>
      <w:r w:rsidR="00002DAF" w:rsidRPr="00845B00">
        <w:t xml:space="preserve">diversos </w:t>
      </w:r>
      <w:r w:rsidRPr="00845B00">
        <w:t>servicios</w:t>
      </w:r>
      <w:r w:rsidR="00002DAF" w:rsidRPr="00845B00">
        <w:t>, entre ellos</w:t>
      </w:r>
      <w:r w:rsidRPr="00845B00">
        <w:t xml:space="preserve"> de internet de banda ancha</w:t>
      </w:r>
      <w:r w:rsidR="00002DAF" w:rsidRPr="00845B00">
        <w:t xml:space="preserve"> fija</w:t>
      </w:r>
      <w:r w:rsidRPr="00845B00">
        <w:t xml:space="preserve">, </w:t>
      </w:r>
      <w:r w:rsidR="00002DAF" w:rsidRPr="00845B00">
        <w:t>redes privadas virtuales (</w:t>
      </w:r>
      <w:r w:rsidR="00002DAF" w:rsidRPr="00845B00">
        <w:rPr>
          <w:i/>
        </w:rPr>
        <w:t>Virtual Private Networks</w:t>
      </w:r>
      <w:r w:rsidR="00002DAF" w:rsidRPr="00845B00">
        <w:t xml:space="preserve"> –VPN- por sus siglas en inglés), enlaces dedicados, </w:t>
      </w:r>
      <w:r w:rsidR="00E127D6" w:rsidRPr="00845B00">
        <w:t>Ethernet, capacidad de red,</w:t>
      </w:r>
      <w:r w:rsidR="00002DAF" w:rsidRPr="00845B00">
        <w:t xml:space="preserve"> centros de datos y redes de entrega de contenidos (</w:t>
      </w:r>
      <w:r w:rsidR="00002DAF" w:rsidRPr="00845B00">
        <w:rPr>
          <w:i/>
        </w:rPr>
        <w:t>Content Delivery Networks</w:t>
      </w:r>
      <w:r w:rsidR="00002DAF" w:rsidRPr="00845B00">
        <w:t xml:space="preserve"> –por sus siglas en inglés-), mismos que</w:t>
      </w:r>
      <w:r w:rsidRPr="00845B00">
        <w:t xml:space="preserve"> a</w:t>
      </w:r>
      <w:r w:rsidR="00002DAF" w:rsidRPr="00845B00">
        <w:t>delante se describen y que, como consecuencia de la transacción, pretenden adquirirse por parte de CenturyLink en México</w:t>
      </w:r>
      <w:r w:rsidRPr="00845B00">
        <w:t xml:space="preserve">. </w:t>
      </w:r>
    </w:p>
    <w:p w14:paraId="72435179" w14:textId="3CE192E3" w:rsidR="00AF38D9" w:rsidRPr="00845B00" w:rsidRDefault="00002DAF" w:rsidP="00E41E4D">
      <w:pPr>
        <w:pStyle w:val="Prraforproyecto"/>
      </w:pPr>
      <w:r w:rsidRPr="00845B00">
        <w:t>U</w:t>
      </w:r>
      <w:r w:rsidR="00AF38D9" w:rsidRPr="00845B00">
        <w:t xml:space="preserve">na de las subsidiarias de Level 3 </w:t>
      </w:r>
      <w:r w:rsidR="00771240" w:rsidRPr="00845B00">
        <w:t xml:space="preserve">en México </w:t>
      </w:r>
      <w:r w:rsidR="00AF38D9" w:rsidRPr="00845B00">
        <w:t>(</w:t>
      </w:r>
      <w:r w:rsidR="00771240" w:rsidRPr="00845B00">
        <w:t>Level 3 México Landing, S. de R.L. de C.V.</w:t>
      </w:r>
      <w:r w:rsidR="00AF38D9" w:rsidRPr="00845B00">
        <w:t>) es titular de una concesión única para prestar todo tipo de servicios de telecomunicaciones y/o radiodifusión que sean técnicamente factibles</w:t>
      </w:r>
      <w:r w:rsidR="00CB7D27" w:rsidRPr="00845B00">
        <w:t>.</w:t>
      </w:r>
      <w:r w:rsidR="00771240" w:rsidRPr="00845B00">
        <w:t xml:space="preserve"> </w:t>
      </w:r>
      <w:r w:rsidR="00CB7D27" w:rsidRPr="00845B00">
        <w:t>C</w:t>
      </w:r>
      <w:r w:rsidR="00771240" w:rsidRPr="00845B00">
        <w:t>on motivo de la Operación, CenturyLink pretende adquirir indirectamente los negocios involucrados por dicha concesión en México</w:t>
      </w:r>
      <w:r w:rsidR="00AF38D9" w:rsidRPr="00845B00">
        <w:t>.</w:t>
      </w:r>
      <w:r w:rsidR="00845B00">
        <w:t xml:space="preserve"> </w:t>
      </w:r>
    </w:p>
    <w:p w14:paraId="1B9987E5" w14:textId="77777777" w:rsidR="00794DCC" w:rsidRPr="00845B00" w:rsidRDefault="00794DCC" w:rsidP="00E41E4D">
      <w:pPr>
        <w:pStyle w:val="Prraforproyecto"/>
      </w:pPr>
      <w:r w:rsidRPr="00845B00">
        <w:t xml:space="preserve">Así, la Operación notificada a esta autoridad constituye una concentración que también implicaría </w:t>
      </w:r>
      <w:r w:rsidRPr="00845B00">
        <w:rPr>
          <w:shd w:val="clear" w:color="auto" w:fill="FFFFFF"/>
        </w:rPr>
        <w:t xml:space="preserve">una enajenación de acciones que tendría como consecuencia un </w:t>
      </w:r>
      <w:r w:rsidRPr="00845B00">
        <w:rPr>
          <w:shd w:val="clear" w:color="auto" w:fill="FFFFFF"/>
        </w:rPr>
        <w:lastRenderedPageBreak/>
        <w:t>cambio indirecto en el control accionario en una sociedad que es titular de una concesión</w:t>
      </w:r>
      <w:r w:rsidR="00CB7D27" w:rsidRPr="00845B00">
        <w:rPr>
          <w:shd w:val="clear" w:color="auto" w:fill="FFFFFF"/>
        </w:rPr>
        <w:t xml:space="preserve"> única sujeta a la LFTR.</w:t>
      </w:r>
    </w:p>
    <w:p w14:paraId="6BFF1642" w14:textId="77777777" w:rsidR="009D5F46" w:rsidRPr="00845B00" w:rsidRDefault="00126571" w:rsidP="009D5F46">
      <w:pPr>
        <w:pStyle w:val="Prraforproyecto"/>
      </w:pPr>
      <w:r w:rsidRPr="00845B00">
        <w:t xml:space="preserve">La LFCE faculta al Instituto para conocer y resolver sobre las concentraciones antes de que se lleven a cabo, cuando actualicen los umbrales establecidos en el artículo 86 del mismo ordenamiento. </w:t>
      </w:r>
    </w:p>
    <w:p w14:paraId="3405D96A" w14:textId="77777777" w:rsidR="009D5F46" w:rsidRPr="00845B00" w:rsidRDefault="009D5F46" w:rsidP="009D5F46">
      <w:pPr>
        <w:pStyle w:val="Prraforproyecto"/>
        <w:rPr>
          <w:szCs w:val="20"/>
        </w:rPr>
      </w:pPr>
      <w:r w:rsidRPr="00845B00">
        <w:t xml:space="preserve">Así, en términos de los párrafos segundo y séptimo del artículo 112 de la LFTR y dado que la Operación actualiza los umbrales del artículo 86 de la LFCE, la misma debe tramitarse y resolverse conforme al artículo 90 de la LFCE. </w:t>
      </w:r>
      <w:r w:rsidRPr="00845B00">
        <w:rPr>
          <w:szCs w:val="20"/>
        </w:rPr>
        <w:t xml:space="preserve">Al respecto, el párrafo séptimo del artículo 112 aludido ordena expresamente lo siguiente: </w:t>
      </w:r>
    </w:p>
    <w:p w14:paraId="2B0DB7B3" w14:textId="77777777" w:rsidR="00845B00" w:rsidRDefault="009D5F46" w:rsidP="009D5F46">
      <w:pPr>
        <w:spacing w:after="0" w:line="240" w:lineRule="auto"/>
        <w:ind w:left="567" w:right="333"/>
        <w:jc w:val="both"/>
        <w:rPr>
          <w:rFonts w:ascii="ITC Avant Garde" w:hAnsi="ITC Avant Garde"/>
          <w:b/>
          <w:szCs w:val="20"/>
        </w:rPr>
      </w:pPr>
      <w:r w:rsidRPr="00845B00">
        <w:rPr>
          <w:rFonts w:ascii="ITC Avant Garde" w:hAnsi="ITC Avant Garde"/>
          <w:i/>
          <w:szCs w:val="20"/>
        </w:rPr>
        <w:t xml:space="preserve">“En caso de que se actualice la obligación de notificar una concentración conforme a lo previsto en la Ley Federal de Competencia Económica, el Instituto </w:t>
      </w:r>
      <w:r w:rsidRPr="00845B00">
        <w:rPr>
          <w:rFonts w:ascii="ITC Avant Garde" w:hAnsi="ITC Avant Garde"/>
          <w:b/>
          <w:i/>
          <w:szCs w:val="20"/>
        </w:rPr>
        <w:t>dará trámite a la solicitud conforme a lo previsto para dicho procedimiento en la ley de la materia</w:t>
      </w:r>
      <w:r w:rsidRPr="00845B00">
        <w:rPr>
          <w:rFonts w:ascii="ITC Avant Garde" w:hAnsi="ITC Avant Garde"/>
          <w:i/>
          <w:szCs w:val="20"/>
        </w:rPr>
        <w:t xml:space="preserve">, </w:t>
      </w:r>
      <w:r w:rsidRPr="00845B00">
        <w:rPr>
          <w:rFonts w:ascii="ITC Avant Garde" w:hAnsi="ITC Avant Garde"/>
          <w:b/>
          <w:i/>
          <w:szCs w:val="20"/>
        </w:rPr>
        <w:t>considerando además los criterios establecidos en esta Ley</w:t>
      </w:r>
      <w:r w:rsidRPr="00845B00">
        <w:rPr>
          <w:rFonts w:ascii="ITC Avant Garde" w:hAnsi="ITC Avant Garde"/>
          <w:i/>
          <w:szCs w:val="20"/>
        </w:rPr>
        <w:t>.”</w:t>
      </w:r>
      <w:r w:rsidR="00A8748C" w:rsidRPr="00845B00">
        <w:rPr>
          <w:rFonts w:ascii="ITC Avant Garde" w:hAnsi="ITC Avant Garde"/>
          <w:b/>
          <w:i/>
          <w:szCs w:val="20"/>
        </w:rPr>
        <w:t xml:space="preserve"> </w:t>
      </w:r>
      <w:r w:rsidR="00A8748C" w:rsidRPr="00845B00">
        <w:rPr>
          <w:rFonts w:ascii="ITC Avant Garde" w:hAnsi="ITC Avant Garde"/>
          <w:szCs w:val="20"/>
        </w:rPr>
        <w:t>[Énfasis añadido]</w:t>
      </w:r>
    </w:p>
    <w:p w14:paraId="6194C28E" w14:textId="24FA2297" w:rsidR="009D5F46" w:rsidRPr="00845B00" w:rsidRDefault="009D5F46" w:rsidP="009D5F46">
      <w:pPr>
        <w:spacing w:after="0" w:line="240" w:lineRule="auto"/>
        <w:jc w:val="both"/>
        <w:rPr>
          <w:rFonts w:ascii="ITC Avant Garde" w:hAnsi="ITC Avant Garde"/>
        </w:rPr>
      </w:pPr>
      <w:r w:rsidRPr="00845B00">
        <w:rPr>
          <w:rFonts w:ascii="ITC Avant Garde" w:hAnsi="ITC Avant Garde"/>
          <w:szCs w:val="20"/>
        </w:rPr>
        <w:t>Por lo anterior, procede resolver sobre la Operación con el procedimiento establecido en el artículo 90 de la LFCE, razón por la cual este Pleno atenderá el estudio de fondo con base en las normas aplicables de la LFCE</w:t>
      </w:r>
      <w:r w:rsidR="00A8748C" w:rsidRPr="00845B00">
        <w:rPr>
          <w:rFonts w:ascii="ITC Avant Garde" w:hAnsi="ITC Avant Garde"/>
          <w:szCs w:val="20"/>
        </w:rPr>
        <w:t xml:space="preserve"> y tomando en consideración los criterios establecidos en la LFTR</w:t>
      </w:r>
      <w:r w:rsidR="00CB7D27" w:rsidRPr="00845B00">
        <w:rPr>
          <w:rFonts w:ascii="ITC Avant Garde" w:hAnsi="ITC Avant Garde"/>
          <w:szCs w:val="20"/>
        </w:rPr>
        <w:t>.</w:t>
      </w:r>
    </w:p>
    <w:p w14:paraId="5013E2F2" w14:textId="77777777" w:rsidR="00845B00" w:rsidRDefault="009579EB" w:rsidP="009D5F46">
      <w:pPr>
        <w:pStyle w:val="Prraforproyecto"/>
        <w:rPr>
          <w:lang w:val="es-MX"/>
        </w:rPr>
      </w:pPr>
      <w:r w:rsidRPr="00845B00">
        <w:t>D</w:t>
      </w:r>
      <w:r w:rsidR="009D5F46" w:rsidRPr="00845B00">
        <w:t xml:space="preserve">e conformidad con el párrafo décimo séptimo del artículo 28 de la CPEUM, también corresponde al Instituto, entre otros aspectos, el otorgamiento, la revocación, así como la autorización de cesiones o cambios de control accionario, titularidad u operación de sociedades relacionadas con concesiones en materia de radiodifusión y telecomunicaciones. Esta disposición </w:t>
      </w:r>
      <w:r w:rsidRPr="00845B00">
        <w:t>y el artículo 112, párrafo segundo, fracciones II, III y IV</w:t>
      </w:r>
      <w:r w:rsidR="00955812" w:rsidRPr="00845B00">
        <w:t>,</w:t>
      </w:r>
      <w:r w:rsidRPr="00845B00">
        <w:t xml:space="preserve"> </w:t>
      </w:r>
      <w:r w:rsidR="009D5F46" w:rsidRPr="00845B00">
        <w:t>también establece</w:t>
      </w:r>
      <w:r w:rsidRPr="00845B00">
        <w:t>n</w:t>
      </w:r>
      <w:r w:rsidR="009D5F46" w:rsidRPr="00845B00">
        <w:t xml:space="preserve"> que el Instituto notificará a la SCT, previ</w:t>
      </w:r>
      <w:r w:rsidR="00024533" w:rsidRPr="00845B00">
        <w:t>amente</w:t>
      </w:r>
      <w:r w:rsidR="009D5F46" w:rsidRPr="00845B00">
        <w:t xml:space="preserve"> a su determinación, quien podrá emitir una opinión técnica no vinculante. </w:t>
      </w:r>
      <w:r w:rsidR="00756060" w:rsidRPr="00845B00">
        <w:t>La Opinión Técnica</w:t>
      </w:r>
      <w:r w:rsidR="009D5F46" w:rsidRPr="00845B00">
        <w:t xml:space="preserve"> de </w:t>
      </w:r>
      <w:r w:rsidR="00756060" w:rsidRPr="00845B00">
        <w:t>la SCT fue presentada al Instituto el trece de septiembre de dos mil diecisiete.</w:t>
      </w:r>
      <w:r w:rsidR="005E7400" w:rsidRPr="00845B00">
        <w:t xml:space="preserve"> </w:t>
      </w:r>
      <w:r w:rsidR="001A6F50" w:rsidRPr="00845B00">
        <w:rPr>
          <w:lang w:val="es-MX"/>
        </w:rPr>
        <w:t xml:space="preserve">Al respecto, </w:t>
      </w:r>
      <w:r w:rsidR="005E7400" w:rsidRPr="00845B00">
        <w:rPr>
          <w:lang w:val="es-MX"/>
        </w:rPr>
        <w:t xml:space="preserve">de </w:t>
      </w:r>
      <w:r w:rsidR="001A6F50" w:rsidRPr="00845B00">
        <w:rPr>
          <w:lang w:val="es-MX"/>
        </w:rPr>
        <w:t xml:space="preserve">la Opinión de la SCT </w:t>
      </w:r>
      <w:r w:rsidR="005E7400" w:rsidRPr="00845B00">
        <w:rPr>
          <w:lang w:val="es-MX"/>
        </w:rPr>
        <w:t xml:space="preserve">no se advierten elementos adicionales que deban considerarse </w:t>
      </w:r>
      <w:r w:rsidR="009D5F46" w:rsidRPr="00845B00">
        <w:rPr>
          <w:lang w:val="es-MX"/>
        </w:rPr>
        <w:t xml:space="preserve">para efectos </w:t>
      </w:r>
      <w:r w:rsidR="005E7400" w:rsidRPr="00845B00">
        <w:rPr>
          <w:lang w:val="es-MX"/>
        </w:rPr>
        <w:t xml:space="preserve">del análisis de la concentración. </w:t>
      </w:r>
    </w:p>
    <w:p w14:paraId="64D736F3" w14:textId="484D1463" w:rsidR="001319BF" w:rsidRPr="00845B00" w:rsidRDefault="00A92511" w:rsidP="00E41E4D">
      <w:pPr>
        <w:pStyle w:val="Prraforproyecto"/>
        <w:rPr>
          <w:szCs w:val="20"/>
        </w:rPr>
      </w:pPr>
      <w:r w:rsidRPr="00845B00">
        <w:t xml:space="preserve">Con base en lo anterior, en la presente resolución, este Pleno </w:t>
      </w:r>
      <w:r w:rsidR="00CB7D27" w:rsidRPr="00845B00">
        <w:t xml:space="preserve">analiza y </w:t>
      </w:r>
      <w:r w:rsidRPr="00845B00">
        <w:t xml:space="preserve">se pronuncia </w:t>
      </w:r>
      <w:r w:rsidRPr="00845B00">
        <w:rPr>
          <w:shd w:val="clear" w:color="auto" w:fill="FFFFFF"/>
        </w:rPr>
        <w:t>respecto de la solicitud de autorización de la</w:t>
      </w:r>
      <w:r w:rsidR="00CB7D27" w:rsidRPr="00845B00">
        <w:rPr>
          <w:shd w:val="clear" w:color="auto" w:fill="FFFFFF"/>
        </w:rPr>
        <w:t xml:space="preserve"> Operación que constituye una concentración en términos de la LFCE, la cual incluiría una </w:t>
      </w:r>
      <w:r w:rsidRPr="00845B00">
        <w:rPr>
          <w:shd w:val="clear" w:color="auto" w:fill="FFFFFF"/>
        </w:rPr>
        <w:t xml:space="preserve">enajenación de acciones </w:t>
      </w:r>
      <w:r w:rsidR="00CB7D27" w:rsidRPr="00845B00">
        <w:rPr>
          <w:shd w:val="clear" w:color="auto" w:fill="FFFFFF"/>
        </w:rPr>
        <w:t xml:space="preserve">de </w:t>
      </w:r>
      <w:r w:rsidR="009579EB" w:rsidRPr="00845B00">
        <w:rPr>
          <w:shd w:val="clear" w:color="auto" w:fill="FFFFFF"/>
        </w:rPr>
        <w:t xml:space="preserve">una sociedad que </w:t>
      </w:r>
      <w:r w:rsidR="00CB7D27" w:rsidRPr="00845B00">
        <w:rPr>
          <w:shd w:val="clear" w:color="auto" w:fill="FFFFFF"/>
        </w:rPr>
        <w:t xml:space="preserve">es titular de </w:t>
      </w:r>
      <w:r w:rsidR="009579EB" w:rsidRPr="00845B00">
        <w:rPr>
          <w:shd w:val="clear" w:color="auto" w:fill="FFFFFF"/>
        </w:rPr>
        <w:t xml:space="preserve">una concesión </w:t>
      </w:r>
      <w:r w:rsidR="00CB7D27" w:rsidRPr="00845B00">
        <w:rPr>
          <w:shd w:val="clear" w:color="auto" w:fill="FFFFFF"/>
        </w:rPr>
        <w:t>única sujeta a la LFTR</w:t>
      </w:r>
      <w:r w:rsidR="009579EB" w:rsidRPr="00845B00">
        <w:rPr>
          <w:shd w:val="clear" w:color="auto" w:fill="FFFFFF"/>
        </w:rPr>
        <w:t xml:space="preserve">. </w:t>
      </w:r>
      <w:r w:rsidR="00CB7D27" w:rsidRPr="00845B00">
        <w:rPr>
          <w:shd w:val="clear" w:color="auto" w:fill="FFFFFF"/>
        </w:rPr>
        <w:t xml:space="preserve">La </w:t>
      </w:r>
      <w:r w:rsidR="00AD4BAA" w:rsidRPr="00845B00">
        <w:rPr>
          <w:shd w:val="clear" w:color="auto" w:fill="FFFFFF"/>
        </w:rPr>
        <w:t xml:space="preserve">solicitud de autorización de la </w:t>
      </w:r>
      <w:r w:rsidR="00CB7D27" w:rsidRPr="00845B00">
        <w:rPr>
          <w:shd w:val="clear" w:color="auto" w:fill="FFFFFF"/>
        </w:rPr>
        <w:t xml:space="preserve">Operación, en su totalidad, </w:t>
      </w:r>
      <w:r w:rsidRPr="00845B00">
        <w:t>se sustancia de conformidad con lo señalado en los artículos 86 y 90 de la LFCE</w:t>
      </w:r>
      <w:r w:rsidR="00CB7D27" w:rsidRPr="00845B00">
        <w:t xml:space="preserve">, tomando en consideración </w:t>
      </w:r>
      <w:r w:rsidR="00CB7D27" w:rsidRPr="00845B00">
        <w:rPr>
          <w:szCs w:val="20"/>
        </w:rPr>
        <w:t>los criterios establecidos en la LFTR</w:t>
      </w:r>
      <w:r w:rsidR="00AD4BAA" w:rsidRPr="00845B00">
        <w:rPr>
          <w:szCs w:val="20"/>
        </w:rPr>
        <w:t xml:space="preserve"> en términos de lo dispuesto en el artículo 112, párrafo séptimo, de ese ordenamiento.</w:t>
      </w:r>
      <w:r w:rsidR="001319BF" w:rsidRPr="00845B00">
        <w:rPr>
          <w:szCs w:val="20"/>
        </w:rPr>
        <w:t xml:space="preserve"> </w:t>
      </w:r>
    </w:p>
    <w:p w14:paraId="0262327C" w14:textId="2F64039C" w:rsidR="00126571" w:rsidRPr="00845B00" w:rsidRDefault="00AF38D9" w:rsidP="00E41E4D">
      <w:pPr>
        <w:pStyle w:val="Prraforproyecto"/>
      </w:pPr>
      <w:r w:rsidRPr="00845B00">
        <w:t>E</w:t>
      </w:r>
      <w:r w:rsidR="00126571" w:rsidRPr="00845B00">
        <w:t xml:space="preserve">l actuar de este Instituto </w:t>
      </w:r>
      <w:r w:rsidR="00002DAF" w:rsidRPr="00845B00">
        <w:t xml:space="preserve">en el presente caso </w:t>
      </w:r>
      <w:r w:rsidRPr="00845B00">
        <w:t xml:space="preserve">tiene fundamento </w:t>
      </w:r>
      <w:r w:rsidR="00126571" w:rsidRPr="00845B00">
        <w:t xml:space="preserve">conforme a lo establecido en los artículos 28, párrafos </w:t>
      </w:r>
      <w:r w:rsidR="009409B3" w:rsidRPr="00845B00">
        <w:t xml:space="preserve">décimo cuarto, décimo quinto, </w:t>
      </w:r>
      <w:r w:rsidR="00126571" w:rsidRPr="00845B00">
        <w:t xml:space="preserve">décimo sexto y </w:t>
      </w:r>
      <w:r w:rsidR="00126571" w:rsidRPr="00845B00">
        <w:lastRenderedPageBreak/>
        <w:t>décimo séptimo, de la CPEUM; 58, 59, 61, 63, 64, 86, fracción I</w:t>
      </w:r>
      <w:r w:rsidR="00756060" w:rsidRPr="00845B00">
        <w:t>I</w:t>
      </w:r>
      <w:r w:rsidR="00126571" w:rsidRPr="00845B00">
        <w:t xml:space="preserve">, 87, 88, 89, 90 y 120, párrafo tercero, de la LFCE; 7 </w:t>
      </w:r>
      <w:r w:rsidR="00A92511" w:rsidRPr="00845B00">
        <w:t>y 112</w:t>
      </w:r>
      <w:r w:rsidR="00955812" w:rsidRPr="00845B00">
        <w:t xml:space="preserve"> párrafos segundo y séptimo,</w:t>
      </w:r>
      <w:r w:rsidR="00A92511" w:rsidRPr="00845B00">
        <w:t xml:space="preserve"> </w:t>
      </w:r>
      <w:r w:rsidR="00126571" w:rsidRPr="00845B00">
        <w:t xml:space="preserve">de la LFTR; </w:t>
      </w:r>
      <w:r w:rsidR="009D5F46" w:rsidRPr="00845B00">
        <w:t xml:space="preserve">y </w:t>
      </w:r>
      <w:r w:rsidR="00126571" w:rsidRPr="00845B00">
        <w:t>15 de las Disposiciones Regulatorias de la Ley Federal de Competencia Económica para los sectores de telecomunicaciones y radiodifusi</w:t>
      </w:r>
      <w:r w:rsidR="009D5F46" w:rsidRPr="00845B00">
        <w:t xml:space="preserve">ón (Disposiciones Regulatorias). </w:t>
      </w:r>
    </w:p>
    <w:p w14:paraId="0C37657D" w14:textId="70984D23" w:rsidR="00126571" w:rsidRPr="00E5244B" w:rsidRDefault="00E5244B" w:rsidP="00E5244B">
      <w:pPr>
        <w:pStyle w:val="Prraforproyecto"/>
        <w:rPr>
          <w:b/>
        </w:rPr>
      </w:pPr>
      <w:bookmarkStart w:id="7" w:name="_Toc435697303"/>
      <w:bookmarkStart w:id="8" w:name="_Toc435697379"/>
      <w:bookmarkStart w:id="9" w:name="_Ref473542032"/>
      <w:bookmarkStart w:id="10" w:name="_Ref473712366"/>
      <w:r>
        <w:rPr>
          <w:b/>
        </w:rPr>
        <w:t xml:space="preserve">Segundo.- </w:t>
      </w:r>
      <w:r w:rsidR="00126571" w:rsidRPr="00E5244B">
        <w:rPr>
          <w:b/>
        </w:rPr>
        <w:t>La Operación</w:t>
      </w:r>
      <w:bookmarkEnd w:id="7"/>
      <w:bookmarkEnd w:id="8"/>
      <w:bookmarkEnd w:id="9"/>
      <w:bookmarkEnd w:id="10"/>
    </w:p>
    <w:p w14:paraId="443D26DB" w14:textId="77777777" w:rsidR="00FA42C8" w:rsidRPr="00845B00" w:rsidRDefault="00FA42C8" w:rsidP="00E41E4D">
      <w:pPr>
        <w:pStyle w:val="Prraforproyecto"/>
      </w:pPr>
      <w:r w:rsidRPr="00845B00">
        <w:t>La Operación es una concentración internacional que consiste en la adquisición, por parte de CenturyLink, de la totalidad de las acciones representativas del capital social de Level 3, a través de la fusión de ésta última con Merger Sub, quien es una subsidiaria al 100% de la primera.</w:t>
      </w:r>
    </w:p>
    <w:p w14:paraId="7908841A" w14:textId="77777777" w:rsidR="00FA42C8" w:rsidRPr="00845B00" w:rsidRDefault="00FA42C8" w:rsidP="00E41E4D">
      <w:pPr>
        <w:pStyle w:val="Prraforproyecto"/>
      </w:pPr>
      <w:r w:rsidRPr="00845B00">
        <w:t xml:space="preserve">A través de esta Operación, CenturyLink tiene el propósito de adquirir indirectamente el control de Level 3 y sus subsidiarias, incluyendo </w:t>
      </w:r>
      <w:r w:rsidR="009409B3" w:rsidRPr="00845B00">
        <w:t xml:space="preserve">tres </w:t>
      </w:r>
      <w:r w:rsidRPr="00845B00">
        <w:t xml:space="preserve">que tienen operaciones en México: Level 3 México II, S. de R.L. de C.V. (México II), Level 3 México Landing, S. de R.L. de C.V. (México Landing) y Level 3 México Servicios, S. de R.L. de C.V. (México Servicios). </w:t>
      </w:r>
    </w:p>
    <w:p w14:paraId="56C0C138" w14:textId="77777777" w:rsidR="00FA42C8" w:rsidRPr="00845B00" w:rsidRDefault="00FA42C8" w:rsidP="00E41E4D">
      <w:pPr>
        <w:pStyle w:val="Prraforproyecto"/>
      </w:pPr>
      <w:r w:rsidRPr="00845B00">
        <w:t>Los términos de la Operación a nivel internacional fueron documentados por los Promoventes mediante un acuerdo de fusión (</w:t>
      </w:r>
      <w:r w:rsidRPr="00845B00">
        <w:rPr>
          <w:i/>
        </w:rPr>
        <w:t>Agreement and Plan of Merger</w:t>
      </w:r>
      <w:r w:rsidRPr="00845B00">
        <w:t xml:space="preserve">) de fecha treinta y uno de octubre de dos mil dieciséis (Acuerdo de Fusión). </w:t>
      </w:r>
    </w:p>
    <w:p w14:paraId="3BC17136" w14:textId="77777777" w:rsidR="009C7662" w:rsidRPr="00845B00" w:rsidRDefault="00FA42C8" w:rsidP="00E41E4D">
      <w:pPr>
        <w:pStyle w:val="Prraforproyecto"/>
      </w:pPr>
      <w:r w:rsidRPr="00845B00">
        <w:t>En términos del</w:t>
      </w:r>
      <w:r w:rsidR="009C7662" w:rsidRPr="00845B00">
        <w:t xml:space="preserve"> Acuerdo de Fusión</w:t>
      </w:r>
      <w:r w:rsidRPr="00845B00">
        <w:t xml:space="preserve">, la Operación se </w:t>
      </w:r>
      <w:r w:rsidR="009C7662" w:rsidRPr="00845B00">
        <w:t>r</w:t>
      </w:r>
      <w:r w:rsidR="009409B3" w:rsidRPr="00845B00">
        <w:t>ealizará en dos actos consecutivos</w:t>
      </w:r>
      <w:r w:rsidR="009C7662" w:rsidRPr="00845B00">
        <w:t>:</w:t>
      </w:r>
    </w:p>
    <w:p w14:paraId="072105BA" w14:textId="5E24DC4B" w:rsidR="0031317B" w:rsidRPr="00845B00" w:rsidRDefault="000252C4" w:rsidP="00E41E4D">
      <w:pPr>
        <w:pStyle w:val="Prraforproyecto"/>
        <w:numPr>
          <w:ilvl w:val="0"/>
          <w:numId w:val="9"/>
        </w:numPr>
      </w:pPr>
      <w:r w:rsidRPr="00845B00">
        <w:t>Primero, l</w:t>
      </w:r>
      <w:r w:rsidR="009C7662" w:rsidRPr="00845B00">
        <w:t xml:space="preserve">a empresa Wildcat Merger Sub 2 LLC, controlada totalmente por CenturyLink, </w:t>
      </w:r>
      <w:r w:rsidRPr="00845B00">
        <w:t xml:space="preserve">se fusionará con </w:t>
      </w:r>
      <w:r w:rsidR="009C7662" w:rsidRPr="00845B00">
        <w:t xml:space="preserve">Level 3. </w:t>
      </w:r>
      <w:r w:rsidRPr="00845B00">
        <w:t>L</w:t>
      </w:r>
      <w:r w:rsidR="0031317B" w:rsidRPr="00845B00">
        <w:t xml:space="preserve">a primera sociedad </w:t>
      </w:r>
      <w:r w:rsidRPr="00845B00">
        <w:t xml:space="preserve">es </w:t>
      </w:r>
      <w:r w:rsidR="0031317B" w:rsidRPr="00845B00">
        <w:t>fusionada</w:t>
      </w:r>
      <w:r w:rsidRPr="00845B00">
        <w:t xml:space="preserve"> y</w:t>
      </w:r>
      <w:r w:rsidR="0031317B" w:rsidRPr="00845B00">
        <w:t xml:space="preserve"> desaparece</w:t>
      </w:r>
      <w:r w:rsidRPr="00845B00">
        <w:t xml:space="preserve">, mientras que </w:t>
      </w:r>
      <w:r w:rsidR="0031317B" w:rsidRPr="00845B00">
        <w:t>Level 3 subsistirá como fusionante.</w:t>
      </w:r>
    </w:p>
    <w:p w14:paraId="18E573A2" w14:textId="77777777" w:rsidR="005D646F" w:rsidRPr="00845B00" w:rsidRDefault="005D646F" w:rsidP="00B33CAD">
      <w:pPr>
        <w:pStyle w:val="Prraforproyecto"/>
        <w:keepNext/>
        <w:ind w:left="720"/>
        <w:jc w:val="center"/>
        <w:rPr>
          <w:b/>
          <w:sz w:val="20"/>
          <w:szCs w:val="20"/>
        </w:rPr>
      </w:pPr>
      <w:r w:rsidRPr="00845B00">
        <w:rPr>
          <w:b/>
          <w:sz w:val="20"/>
          <w:szCs w:val="20"/>
        </w:rPr>
        <w:t>Diagrama del primer acto de fusión</w:t>
      </w:r>
    </w:p>
    <w:p w14:paraId="3591D722" w14:textId="77777777" w:rsidR="005D646F" w:rsidRPr="00845B00" w:rsidRDefault="005D646F" w:rsidP="00B33CAD">
      <w:pPr>
        <w:pStyle w:val="Prraforproyecto"/>
        <w:ind w:left="720"/>
        <w:jc w:val="center"/>
      </w:pPr>
      <w:r w:rsidRPr="00845B00">
        <w:rPr>
          <w:noProof/>
          <w:lang w:val="es-MX"/>
        </w:rPr>
        <w:drawing>
          <wp:inline distT="0" distB="0" distL="0" distR="0" wp14:anchorId="1D47E658" wp14:editId="567DD7A8">
            <wp:extent cx="3761582" cy="2066925"/>
            <wp:effectExtent l="0" t="0" r="0" b="0"/>
            <wp:docPr id="4" name="Imagen 4" descr="Diagrama del primer acto de fusión" title="Diagrama del primer acto de 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3802" cy="2084629"/>
                    </a:xfrm>
                    <a:prstGeom prst="rect">
                      <a:avLst/>
                    </a:prstGeom>
                    <a:noFill/>
                    <a:ln>
                      <a:noFill/>
                    </a:ln>
                  </pic:spPr>
                </pic:pic>
              </a:graphicData>
            </a:graphic>
          </wp:inline>
        </w:drawing>
      </w:r>
    </w:p>
    <w:p w14:paraId="36F6FF8E" w14:textId="77777777" w:rsidR="005D646F" w:rsidRPr="00845B00" w:rsidRDefault="005D646F" w:rsidP="00B33CAD">
      <w:pPr>
        <w:pStyle w:val="Prraforproyecto"/>
        <w:keepNext/>
        <w:ind w:left="720"/>
      </w:pPr>
      <w:r w:rsidRPr="00845B00">
        <w:lastRenderedPageBreak/>
        <w:t>Es decir, el resultado será el siguiente:</w:t>
      </w:r>
    </w:p>
    <w:p w14:paraId="3CB6BA03" w14:textId="77777777" w:rsidR="005D646F" w:rsidRPr="00845B00" w:rsidRDefault="005D646F" w:rsidP="00AB3E17">
      <w:pPr>
        <w:pStyle w:val="Prraforproyecto"/>
        <w:keepNext/>
        <w:ind w:left="720"/>
        <w:jc w:val="center"/>
        <w:rPr>
          <w:b/>
          <w:sz w:val="20"/>
          <w:szCs w:val="20"/>
        </w:rPr>
      </w:pPr>
      <w:r w:rsidRPr="00845B00">
        <w:rPr>
          <w:b/>
          <w:sz w:val="20"/>
          <w:szCs w:val="20"/>
        </w:rPr>
        <w:t>Resultado del primer acto de fusión</w:t>
      </w:r>
    </w:p>
    <w:p w14:paraId="714CFE37" w14:textId="77777777" w:rsidR="00845B00" w:rsidRDefault="005D646F" w:rsidP="00A26BB8">
      <w:pPr>
        <w:pStyle w:val="Prraforproyecto"/>
        <w:ind w:left="720"/>
        <w:jc w:val="center"/>
      </w:pPr>
      <w:r w:rsidRPr="00845B00">
        <w:rPr>
          <w:noProof/>
          <w:lang w:val="es-MX"/>
        </w:rPr>
        <w:drawing>
          <wp:inline distT="0" distB="0" distL="0" distR="0" wp14:anchorId="7D71A4F6" wp14:editId="5CA430D8">
            <wp:extent cx="1600174" cy="2409825"/>
            <wp:effectExtent l="0" t="0" r="635" b="0"/>
            <wp:docPr id="6" name="Imagen 6" descr="Resultado del primer acto de fusión" title="Resultado del primer acto de 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0206" cy="2424933"/>
                    </a:xfrm>
                    <a:prstGeom prst="rect">
                      <a:avLst/>
                    </a:prstGeom>
                    <a:noFill/>
                    <a:ln>
                      <a:noFill/>
                    </a:ln>
                  </pic:spPr>
                </pic:pic>
              </a:graphicData>
            </a:graphic>
          </wp:inline>
        </w:drawing>
      </w:r>
    </w:p>
    <w:p w14:paraId="6518F1ED" w14:textId="77777777" w:rsidR="00845B00" w:rsidRDefault="000252C4" w:rsidP="002B3E21">
      <w:pPr>
        <w:pStyle w:val="Prraforproyecto"/>
        <w:numPr>
          <w:ilvl w:val="0"/>
          <w:numId w:val="9"/>
        </w:numPr>
      </w:pPr>
      <w:r w:rsidRPr="00845B00">
        <w:t xml:space="preserve">Después, </w:t>
      </w:r>
      <w:proofErr w:type="spellStart"/>
      <w:r w:rsidR="0031317B" w:rsidRPr="00845B00">
        <w:t>Level</w:t>
      </w:r>
      <w:proofErr w:type="spellEnd"/>
      <w:r w:rsidR="0031317B" w:rsidRPr="00845B00">
        <w:t xml:space="preserve"> 3</w:t>
      </w:r>
      <w:r w:rsidRPr="00845B00">
        <w:t xml:space="preserve"> </w:t>
      </w:r>
      <w:r w:rsidR="0031317B" w:rsidRPr="00845B00">
        <w:t xml:space="preserve">se fusionará </w:t>
      </w:r>
      <w:r w:rsidRPr="00845B00">
        <w:t xml:space="preserve">con Merger Sub y </w:t>
      </w:r>
      <w:r w:rsidR="0031317B" w:rsidRPr="00845B00">
        <w:t xml:space="preserve">la segunda subsistirá como fusionante. Merger Sub </w:t>
      </w:r>
      <w:r w:rsidRPr="00845B00">
        <w:t>es</w:t>
      </w:r>
      <w:r w:rsidR="0031317B" w:rsidRPr="00845B00">
        <w:t xml:space="preserve"> una sociedad de responsabilidad limitada controlada </w:t>
      </w:r>
      <w:r w:rsidRPr="00845B00">
        <w:t xml:space="preserve">en su totalidad </w:t>
      </w:r>
      <w:r w:rsidR="0031317B" w:rsidRPr="00845B00">
        <w:t xml:space="preserve">por </w:t>
      </w:r>
      <w:proofErr w:type="spellStart"/>
      <w:r w:rsidR="0031317B" w:rsidRPr="00845B00">
        <w:t>CenturyLink</w:t>
      </w:r>
      <w:proofErr w:type="spellEnd"/>
      <w:r w:rsidR="0031317B" w:rsidRPr="00845B00">
        <w:t>.</w:t>
      </w:r>
    </w:p>
    <w:p w14:paraId="1D5D9666" w14:textId="77777777" w:rsidR="003221DA" w:rsidRPr="00845B00" w:rsidRDefault="003221DA" w:rsidP="00B33CAD">
      <w:pPr>
        <w:pStyle w:val="Prraforproyecto"/>
        <w:ind w:left="720"/>
        <w:jc w:val="center"/>
        <w:rPr>
          <w:b/>
          <w:sz w:val="20"/>
          <w:szCs w:val="20"/>
        </w:rPr>
      </w:pPr>
      <w:r w:rsidRPr="00845B00">
        <w:rPr>
          <w:b/>
          <w:sz w:val="20"/>
          <w:szCs w:val="20"/>
        </w:rPr>
        <w:t xml:space="preserve">Diagrama del segundo acto de fusión </w:t>
      </w:r>
    </w:p>
    <w:p w14:paraId="2A5F85EC" w14:textId="77777777" w:rsidR="003221DA" w:rsidRPr="00845B00" w:rsidRDefault="003221DA" w:rsidP="00B33CAD">
      <w:pPr>
        <w:pStyle w:val="Prraforproyecto"/>
        <w:ind w:left="720"/>
        <w:jc w:val="center"/>
        <w:rPr>
          <w:b/>
          <w:sz w:val="20"/>
          <w:szCs w:val="20"/>
        </w:rPr>
      </w:pPr>
      <w:r w:rsidRPr="00845B00">
        <w:rPr>
          <w:b/>
          <w:noProof/>
          <w:sz w:val="20"/>
          <w:szCs w:val="20"/>
          <w:lang w:val="es-MX"/>
        </w:rPr>
        <w:drawing>
          <wp:inline distT="0" distB="0" distL="0" distR="0" wp14:anchorId="4882EEA5" wp14:editId="0699FFD6">
            <wp:extent cx="4224460" cy="2419350"/>
            <wp:effectExtent l="0" t="0" r="5080" b="0"/>
            <wp:docPr id="7" name="Imagen 7" descr="Diagrama del segundo acto de fusión" title="Diagrama del segundo acto de 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90" cy="2432940"/>
                    </a:xfrm>
                    <a:prstGeom prst="rect">
                      <a:avLst/>
                    </a:prstGeom>
                    <a:noFill/>
                    <a:ln>
                      <a:noFill/>
                    </a:ln>
                  </pic:spPr>
                </pic:pic>
              </a:graphicData>
            </a:graphic>
          </wp:inline>
        </w:drawing>
      </w:r>
    </w:p>
    <w:p w14:paraId="2DA1716C" w14:textId="77777777" w:rsidR="005D646F" w:rsidRPr="00845B00" w:rsidRDefault="003221DA" w:rsidP="00B33CAD">
      <w:pPr>
        <w:pStyle w:val="Prraforproyecto"/>
        <w:keepNext/>
        <w:ind w:left="720"/>
      </w:pPr>
      <w:r w:rsidRPr="00845B00">
        <w:lastRenderedPageBreak/>
        <w:t>Es decir, el resultado será el siguiente:</w:t>
      </w:r>
    </w:p>
    <w:p w14:paraId="2589090A" w14:textId="77777777" w:rsidR="003221DA" w:rsidRPr="00845B00" w:rsidRDefault="003221DA" w:rsidP="00B33CAD">
      <w:pPr>
        <w:pStyle w:val="Prraforproyecto"/>
        <w:keepNext/>
        <w:ind w:left="720"/>
        <w:jc w:val="center"/>
        <w:rPr>
          <w:b/>
          <w:sz w:val="20"/>
          <w:szCs w:val="20"/>
        </w:rPr>
      </w:pPr>
      <w:r w:rsidRPr="00845B00">
        <w:rPr>
          <w:b/>
          <w:sz w:val="20"/>
          <w:szCs w:val="20"/>
        </w:rPr>
        <w:t>Resultado del segundo acto de fusión</w:t>
      </w:r>
    </w:p>
    <w:p w14:paraId="152C7F14" w14:textId="77777777" w:rsidR="003221DA" w:rsidRPr="00845B00" w:rsidRDefault="003221DA" w:rsidP="00B33CAD">
      <w:pPr>
        <w:pStyle w:val="Prraforproyecto"/>
        <w:ind w:left="720"/>
        <w:jc w:val="center"/>
      </w:pPr>
      <w:r w:rsidRPr="00845B00">
        <w:rPr>
          <w:noProof/>
          <w:lang w:val="es-MX"/>
        </w:rPr>
        <w:drawing>
          <wp:inline distT="0" distB="0" distL="0" distR="0" wp14:anchorId="3393CCF2" wp14:editId="64B61BE5">
            <wp:extent cx="1733550" cy="2572809"/>
            <wp:effectExtent l="0" t="0" r="0" b="0"/>
            <wp:docPr id="9" name="Imagen 9" descr="Resultado del segundo acto de fusión" title="Resultado del segundo acto de 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9311" cy="2611041"/>
                    </a:xfrm>
                    <a:prstGeom prst="rect">
                      <a:avLst/>
                    </a:prstGeom>
                    <a:noFill/>
                    <a:ln>
                      <a:noFill/>
                    </a:ln>
                  </pic:spPr>
                </pic:pic>
              </a:graphicData>
            </a:graphic>
          </wp:inline>
        </w:drawing>
      </w:r>
    </w:p>
    <w:p w14:paraId="6713EFD0" w14:textId="77777777" w:rsidR="00FA42C8" w:rsidRPr="00845B00" w:rsidRDefault="00FA42C8" w:rsidP="00B33CAD">
      <w:pPr>
        <w:pStyle w:val="Prraforproyecto"/>
        <w:keepNext/>
      </w:pPr>
      <w:r w:rsidRPr="00845B00">
        <w:t>Como resultado</w:t>
      </w:r>
      <w:r w:rsidR="00156B95" w:rsidRPr="00845B00">
        <w:t xml:space="preserve"> de la Operación</w:t>
      </w:r>
      <w:r w:rsidRPr="00845B00">
        <w:t>:</w:t>
      </w:r>
    </w:p>
    <w:p w14:paraId="02E3FEB2" w14:textId="77777777" w:rsidR="00156B95" w:rsidRPr="00845B00" w:rsidRDefault="00156B95" w:rsidP="00E41E4D">
      <w:pPr>
        <w:pStyle w:val="Prraforproyecto"/>
        <w:numPr>
          <w:ilvl w:val="0"/>
          <w:numId w:val="10"/>
        </w:numPr>
      </w:pPr>
      <w:r w:rsidRPr="00845B00">
        <w:t>CenturyLink adquirirá la totalidad de Level 3 a nive</w:t>
      </w:r>
      <w:r w:rsidR="006B0D0A" w:rsidRPr="00845B00">
        <w:t>l internacional, incluyendo</w:t>
      </w:r>
      <w:r w:rsidRPr="00845B00">
        <w:t xml:space="preserve"> a las tres subsidiarias de Level 3 en México.</w:t>
      </w:r>
    </w:p>
    <w:p w14:paraId="7FAE9700" w14:textId="77777777" w:rsidR="00156B95" w:rsidRPr="00845B00" w:rsidRDefault="006B0D0A" w:rsidP="00E41E4D">
      <w:pPr>
        <w:pStyle w:val="Prraforproyecto"/>
        <w:numPr>
          <w:ilvl w:val="0"/>
          <w:numId w:val="10"/>
        </w:numPr>
      </w:pPr>
      <w:r w:rsidRPr="00845B00">
        <w:t xml:space="preserve">Los accionistas de Level 3 recibirán acciones de CenturyLink. </w:t>
      </w:r>
      <w:r w:rsidR="002D0961" w:rsidRPr="00845B00">
        <w:t>Las acciones representativas del capital social de CenturyLink quedarán distribuidas, aproximad</w:t>
      </w:r>
      <w:r w:rsidR="000252C4" w:rsidRPr="00845B00">
        <w:t>amente, en un 51% (cincuenta y uno por ciento) a favor de sus</w:t>
      </w:r>
      <w:r w:rsidR="002D0961" w:rsidRPr="00845B00">
        <w:t xml:space="preserve"> </w:t>
      </w:r>
      <w:r w:rsidR="000252C4" w:rsidRPr="00845B00">
        <w:t xml:space="preserve">actuales accionistas; y </w:t>
      </w:r>
      <w:r w:rsidR="002D0961" w:rsidRPr="00845B00">
        <w:t xml:space="preserve">el 49% </w:t>
      </w:r>
      <w:r w:rsidR="000252C4" w:rsidRPr="00845B00">
        <w:t xml:space="preserve">(cuarenta y nueve por ciento) </w:t>
      </w:r>
      <w:r w:rsidR="002D0961" w:rsidRPr="00845B00">
        <w:t xml:space="preserve">restante </w:t>
      </w:r>
      <w:r w:rsidR="000252C4" w:rsidRPr="00845B00">
        <w:t xml:space="preserve">las recibirán </w:t>
      </w:r>
      <w:r w:rsidR="002D0961" w:rsidRPr="00845B00">
        <w:t xml:space="preserve">los </w:t>
      </w:r>
      <w:r w:rsidR="000252C4" w:rsidRPr="00845B00">
        <w:t xml:space="preserve">ahora </w:t>
      </w:r>
      <w:r w:rsidR="002D0961" w:rsidRPr="00845B00">
        <w:t>accionistas de Level 3.</w:t>
      </w:r>
    </w:p>
    <w:p w14:paraId="67E3DEE0" w14:textId="10C8DF7F" w:rsidR="002D0961" w:rsidRPr="00845B00" w:rsidRDefault="006B0D0A" w:rsidP="00E41E4D">
      <w:pPr>
        <w:pStyle w:val="Prraforproyecto"/>
        <w:numPr>
          <w:ilvl w:val="0"/>
          <w:numId w:val="10"/>
        </w:numPr>
      </w:pPr>
      <w:r w:rsidRPr="00845B00">
        <w:t>Después de realizarse la concentración, s</w:t>
      </w:r>
      <w:r w:rsidR="002D0961" w:rsidRPr="00845B00">
        <w:t xml:space="preserve">ólo dos accionistas tendrán acciones representativas de más del 5% del capital social de </w:t>
      </w:r>
      <w:proofErr w:type="spellStart"/>
      <w:r w:rsidR="002D0961" w:rsidRPr="00845B00">
        <w:t>CenturyLink</w:t>
      </w:r>
      <w:proofErr w:type="spellEnd"/>
      <w:r w:rsidR="002D0961" w:rsidRPr="00845B00">
        <w:t xml:space="preserve">: </w:t>
      </w:r>
      <w:proofErr w:type="spellStart"/>
      <w:r w:rsidR="002D0961" w:rsidRPr="00845B00">
        <w:t>The</w:t>
      </w:r>
      <w:proofErr w:type="spellEnd"/>
      <w:r w:rsidR="002D0961" w:rsidRPr="00845B00">
        <w:t xml:space="preserve"> </w:t>
      </w:r>
      <w:proofErr w:type="spellStart"/>
      <w:r w:rsidR="002D0961" w:rsidRPr="00845B00">
        <w:t>Vanguard</w:t>
      </w:r>
      <w:proofErr w:type="spellEnd"/>
      <w:r w:rsidR="002D0961" w:rsidRPr="00845B00">
        <w:t xml:space="preserve"> </w:t>
      </w:r>
      <w:proofErr w:type="spellStart"/>
      <w:r w:rsidR="002D0961" w:rsidRPr="00845B00">
        <w:t>Group</w:t>
      </w:r>
      <w:proofErr w:type="spellEnd"/>
      <w:r w:rsidR="002D0961" w:rsidRPr="00845B00">
        <w:t xml:space="preserve"> con el </w:t>
      </w:r>
      <w:r w:rsidR="00BC13A6" w:rsidRPr="002B05D3">
        <w:rPr>
          <w:b/>
          <w:color w:val="0000CC"/>
          <w:sz w:val="19"/>
          <w:szCs w:val="19"/>
        </w:rPr>
        <w:t>“CONFIDENCIAL POR LEY”</w:t>
      </w:r>
      <w:r w:rsidR="000252C4" w:rsidRPr="00845B00">
        <w:t xml:space="preserve"> por ciento) </w:t>
      </w:r>
      <w:r w:rsidR="002D0961" w:rsidRPr="00845B00">
        <w:t xml:space="preserve">y STT Crossing Ltd. con el </w:t>
      </w:r>
      <w:r w:rsidR="00BC13A6" w:rsidRPr="002B05D3">
        <w:rPr>
          <w:b/>
          <w:color w:val="0000CC"/>
          <w:sz w:val="19"/>
          <w:szCs w:val="19"/>
        </w:rPr>
        <w:t>“CONFIDENCIAL POR LEY”</w:t>
      </w:r>
      <w:r w:rsidR="000252C4" w:rsidRPr="00845B00">
        <w:t xml:space="preserve"> por ciento)</w:t>
      </w:r>
      <w:r w:rsidRPr="00845B00">
        <w:t>; e</w:t>
      </w:r>
      <w:r w:rsidR="002D0961" w:rsidRPr="00845B00">
        <w:t xml:space="preserve">sta última sociedad </w:t>
      </w:r>
      <w:r w:rsidRPr="00845B00">
        <w:t xml:space="preserve">es una </w:t>
      </w:r>
      <w:r w:rsidR="002D0961" w:rsidRPr="00845B00">
        <w:t xml:space="preserve">subsidiaria </w:t>
      </w:r>
      <w:r w:rsidR="00BC13A6" w:rsidRPr="002B05D3">
        <w:rPr>
          <w:b/>
          <w:color w:val="0000CC"/>
          <w:sz w:val="19"/>
          <w:szCs w:val="19"/>
        </w:rPr>
        <w:t>“CONFIDENCIAL POR LEY”</w:t>
      </w:r>
      <w:r w:rsidR="000252C4" w:rsidRPr="00845B00">
        <w:t xml:space="preserve"> </w:t>
      </w:r>
      <w:r w:rsidR="002D0961" w:rsidRPr="00845B00">
        <w:t xml:space="preserve">de </w:t>
      </w:r>
      <w:proofErr w:type="spellStart"/>
      <w:r w:rsidR="002D0961" w:rsidRPr="00845B00">
        <w:t>Singapore</w:t>
      </w:r>
      <w:proofErr w:type="spellEnd"/>
      <w:r w:rsidR="002D0961" w:rsidRPr="00845B00">
        <w:t xml:space="preserve"> Technologies </w:t>
      </w:r>
      <w:proofErr w:type="spellStart"/>
      <w:r w:rsidR="002D0961" w:rsidRPr="00845B00">
        <w:t>Telemedia</w:t>
      </w:r>
      <w:proofErr w:type="spellEnd"/>
      <w:r w:rsidR="002D0961" w:rsidRPr="00845B00">
        <w:t xml:space="preserve"> Pte., Ltd.</w:t>
      </w:r>
    </w:p>
    <w:p w14:paraId="2BEA1C4E" w14:textId="77777777" w:rsidR="003221DA" w:rsidRPr="00845B00" w:rsidRDefault="003221DA" w:rsidP="00B33CAD">
      <w:pPr>
        <w:pStyle w:val="Prraforproyecto"/>
        <w:keepNext/>
        <w:jc w:val="center"/>
        <w:rPr>
          <w:b/>
          <w:sz w:val="20"/>
          <w:szCs w:val="20"/>
        </w:rPr>
      </w:pPr>
      <w:r w:rsidRPr="00845B00">
        <w:rPr>
          <w:b/>
          <w:sz w:val="20"/>
          <w:szCs w:val="20"/>
        </w:rPr>
        <w:lastRenderedPageBreak/>
        <w:t>Diagrama final de la Operación</w:t>
      </w:r>
    </w:p>
    <w:p w14:paraId="5BDFBF04" w14:textId="16F54483" w:rsidR="00F84327" w:rsidRPr="00845B00" w:rsidRDefault="00F84327" w:rsidP="00B33CAD">
      <w:pPr>
        <w:pStyle w:val="Prraforproyecto"/>
        <w:jc w:val="center"/>
        <w:rPr>
          <w:sz w:val="20"/>
          <w:szCs w:val="20"/>
        </w:rPr>
      </w:pPr>
      <w:r>
        <w:rPr>
          <w:noProof/>
          <w:sz w:val="20"/>
          <w:szCs w:val="20"/>
          <w:lang w:val="es-MX"/>
        </w:rPr>
        <w:drawing>
          <wp:inline distT="0" distB="0" distL="0" distR="0" wp14:anchorId="45F8E7DE" wp14:editId="3BBD178F">
            <wp:extent cx="2615565" cy="3912870"/>
            <wp:effectExtent l="0" t="0" r="0" b="0"/>
            <wp:docPr id="11" name="Imagen 11" descr="La imagen se refiere a un diagrama final de la Operación que contiene información &quot;CONFIDENCIAL POR LEY&quot;" title="Diagrama final de la Op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3912870"/>
                    </a:xfrm>
                    <a:prstGeom prst="rect">
                      <a:avLst/>
                    </a:prstGeom>
                    <a:noFill/>
                    <a:ln>
                      <a:noFill/>
                    </a:ln>
                  </pic:spPr>
                </pic:pic>
              </a:graphicData>
            </a:graphic>
          </wp:inline>
        </w:drawing>
      </w:r>
    </w:p>
    <w:p w14:paraId="4B0FE3E0" w14:textId="77777777" w:rsidR="00FA42C8" w:rsidRPr="00845B00" w:rsidRDefault="00FA42C8" w:rsidP="00E41E4D">
      <w:pPr>
        <w:pStyle w:val="Prraforproyecto"/>
      </w:pPr>
      <w:r w:rsidRPr="00845B00">
        <w:t>Las Partes manifiestan que los objetivos de la Operación son los siguientes:</w:t>
      </w:r>
    </w:p>
    <w:p w14:paraId="3BA5E7AF" w14:textId="304C64CA" w:rsidR="00FA42C8" w:rsidRPr="00845B00" w:rsidRDefault="00283B76" w:rsidP="00E41E4D">
      <w:pPr>
        <w:pStyle w:val="Prraforproyecto"/>
        <w:numPr>
          <w:ilvl w:val="0"/>
          <w:numId w:val="10"/>
        </w:numPr>
      </w:pPr>
      <w:r w:rsidRPr="00845B00">
        <w:t>Permitir la creación de</w:t>
      </w:r>
      <w:r w:rsidR="00024533" w:rsidRPr="00845B00">
        <w:t>l</w:t>
      </w:r>
      <w:r w:rsidRPr="00845B00">
        <w:t xml:space="preserve"> segundo proveedo</w:t>
      </w:r>
      <w:r w:rsidR="000223B8" w:rsidRPr="00845B00">
        <w:t xml:space="preserve">r </w:t>
      </w:r>
      <w:r w:rsidR="00327448" w:rsidRPr="00845B00">
        <w:t xml:space="preserve">más grande </w:t>
      </w:r>
      <w:r w:rsidR="000223B8" w:rsidRPr="00845B00">
        <w:t xml:space="preserve">de servicios de </w:t>
      </w:r>
      <w:r w:rsidR="009D42DE" w:rsidRPr="00845B00">
        <w:t xml:space="preserve">telecomunicaciones fijas a nivel </w:t>
      </w:r>
      <w:r w:rsidR="000223B8" w:rsidRPr="00845B00">
        <w:t xml:space="preserve">local </w:t>
      </w:r>
      <w:r w:rsidR="00327448" w:rsidRPr="00845B00">
        <w:t>a</w:t>
      </w:r>
      <w:r w:rsidRPr="00845B00">
        <w:t xml:space="preserve"> clientes empresariales globales.</w:t>
      </w:r>
    </w:p>
    <w:p w14:paraId="66B60036" w14:textId="7DC368F4" w:rsidR="00283B76" w:rsidRPr="00845B00" w:rsidRDefault="00207B11" w:rsidP="00E41E4D">
      <w:pPr>
        <w:pStyle w:val="Prraforproyecto"/>
        <w:numPr>
          <w:ilvl w:val="0"/>
          <w:numId w:val="10"/>
        </w:numPr>
      </w:pPr>
      <w:r w:rsidRPr="00845B00">
        <w:t>I</w:t>
      </w:r>
      <w:r w:rsidR="00283B76" w:rsidRPr="00845B00">
        <w:t>ncremen</w:t>
      </w:r>
      <w:r w:rsidR="006B0D0A" w:rsidRPr="00845B00">
        <w:t>ta</w:t>
      </w:r>
      <w:r w:rsidR="009D42DE" w:rsidRPr="00845B00">
        <w:t>r</w:t>
      </w:r>
      <w:r w:rsidR="006B0D0A" w:rsidRPr="00845B00">
        <w:t xml:space="preserve"> la red de CenturyLink en 200,</w:t>
      </w:r>
      <w:r w:rsidR="00283B76" w:rsidRPr="00845B00">
        <w:t>000</w:t>
      </w:r>
      <w:r w:rsidR="009A3628" w:rsidRPr="00845B00">
        <w:t xml:space="preserve"> </w:t>
      </w:r>
      <w:r w:rsidR="000252C4" w:rsidRPr="00845B00">
        <w:t xml:space="preserve">(doscientas mil) </w:t>
      </w:r>
      <w:r w:rsidR="009A3628" w:rsidRPr="00845B00">
        <w:t>millas de</w:t>
      </w:r>
      <w:r w:rsidR="006B0D0A" w:rsidRPr="00845B00">
        <w:t xml:space="preserve"> ruta de fibra, que incluyen 64,</w:t>
      </w:r>
      <w:r w:rsidR="009A3628" w:rsidRPr="00845B00">
        <w:t xml:space="preserve">000 </w:t>
      </w:r>
      <w:r w:rsidR="000252C4" w:rsidRPr="00845B00">
        <w:t xml:space="preserve">(sesenta y cuatro mil) </w:t>
      </w:r>
      <w:r w:rsidR="009A3628" w:rsidRPr="00845B00">
        <w:t>millas de ruta e</w:t>
      </w:r>
      <w:r w:rsidR="006B0D0A" w:rsidRPr="00845B00">
        <w:t xml:space="preserve">n 350 </w:t>
      </w:r>
      <w:r w:rsidR="000252C4" w:rsidRPr="00845B00">
        <w:t xml:space="preserve">(trescientas cincuenta) </w:t>
      </w:r>
      <w:r w:rsidR="006B0D0A" w:rsidRPr="00845B00">
        <w:t>áreas metropolitanas y 33,</w:t>
      </w:r>
      <w:r w:rsidR="009A3628" w:rsidRPr="00845B00">
        <w:t xml:space="preserve">000 </w:t>
      </w:r>
      <w:r w:rsidR="000252C4" w:rsidRPr="00845B00">
        <w:t xml:space="preserve">(treinta y tres mil) </w:t>
      </w:r>
      <w:r w:rsidR="009A3628" w:rsidRPr="00845B00">
        <w:t xml:space="preserve">millas de ruta submarina que conectan múltiples continentes. Se espera que las instalaciones de red de CenturyLInk se incrementen en alrededor </w:t>
      </w:r>
      <w:r w:rsidR="00D17667" w:rsidRPr="00845B00">
        <w:t>de 75</w:t>
      </w:r>
      <w:r w:rsidR="000252C4" w:rsidRPr="00845B00">
        <w:t xml:space="preserve">% (setenta y cinco </w:t>
      </w:r>
      <w:r w:rsidR="00D17667" w:rsidRPr="00845B00">
        <w:t>por ciento</w:t>
      </w:r>
      <w:r w:rsidR="000252C4" w:rsidRPr="00845B00">
        <w:t>)</w:t>
      </w:r>
      <w:r w:rsidR="00D17667" w:rsidRPr="00845B00">
        <w:t xml:space="preserve">, incluyendo 10,000 </w:t>
      </w:r>
      <w:r w:rsidR="000252C4" w:rsidRPr="00845B00">
        <w:t xml:space="preserve">(diez mil) </w:t>
      </w:r>
      <w:r w:rsidR="00D17667" w:rsidRPr="00845B00">
        <w:t>instalaciones en Europa, Medio Oriente, África</w:t>
      </w:r>
      <w:r w:rsidR="009A3628" w:rsidRPr="00845B00">
        <w:t xml:space="preserve"> y América Latina.</w:t>
      </w:r>
    </w:p>
    <w:p w14:paraId="6F32F713" w14:textId="77777777" w:rsidR="009A3628" w:rsidRPr="00845B00" w:rsidRDefault="009A3628" w:rsidP="00E41E4D">
      <w:pPr>
        <w:pStyle w:val="Prraforproyecto"/>
        <w:numPr>
          <w:ilvl w:val="0"/>
          <w:numId w:val="10"/>
        </w:numPr>
      </w:pPr>
      <w:r w:rsidRPr="00845B00">
        <w:t>En conjunto, los ingresos de CenturyLink y Level 3 provendrán en un 76</w:t>
      </w:r>
      <w:r w:rsidR="00D17667" w:rsidRPr="00845B00">
        <w:t>% (setenta y seis</w:t>
      </w:r>
      <w:r w:rsidRPr="00845B00">
        <w:t xml:space="preserve"> por ciento</w:t>
      </w:r>
      <w:r w:rsidR="00D17667" w:rsidRPr="00845B00">
        <w:t>)</w:t>
      </w:r>
      <w:r w:rsidRPr="00845B00">
        <w:t xml:space="preserve"> de sus clientes comerciales y 65</w:t>
      </w:r>
      <w:r w:rsidR="00D17667" w:rsidRPr="00845B00">
        <w:t>% (sesenta y cinco</w:t>
      </w:r>
      <w:r w:rsidRPr="00845B00">
        <w:t xml:space="preserve"> por ciento</w:t>
      </w:r>
      <w:r w:rsidR="00D17667" w:rsidRPr="00845B00">
        <w:t>)</w:t>
      </w:r>
      <w:r w:rsidRPr="00845B00">
        <w:t xml:space="preserve"> de los ingresos derivados de sus actividades comerciales provendrán de servicios estratégicos.</w:t>
      </w:r>
    </w:p>
    <w:p w14:paraId="113D7D7B" w14:textId="77777777" w:rsidR="009A3628" w:rsidRPr="00845B00" w:rsidRDefault="009A3628" w:rsidP="00E41E4D">
      <w:pPr>
        <w:pStyle w:val="Prraforproyecto"/>
        <w:numPr>
          <w:ilvl w:val="0"/>
          <w:numId w:val="10"/>
        </w:numPr>
      </w:pPr>
      <w:r w:rsidRPr="00845B00">
        <w:lastRenderedPageBreak/>
        <w:t>Se ofrecerá una gama más amplia de servicios y soluciones para satisfacer la demanda de los clientes que requieren mayor ancho de banda y nuevas aplicaciones en un entorno cada vez más competitivo.</w:t>
      </w:r>
    </w:p>
    <w:p w14:paraId="7F03889C" w14:textId="77777777" w:rsidR="009A3628" w:rsidRPr="00845B00" w:rsidRDefault="009A3628" w:rsidP="00E41E4D">
      <w:pPr>
        <w:pStyle w:val="Prraforproyecto"/>
        <w:numPr>
          <w:ilvl w:val="0"/>
          <w:numId w:val="10"/>
        </w:numPr>
      </w:pPr>
      <w:r w:rsidRPr="00845B00">
        <w:t>Incremento de flujo de efectivo a favor de CenturyLink.</w:t>
      </w:r>
    </w:p>
    <w:p w14:paraId="459CB9F7" w14:textId="77777777" w:rsidR="000252C4" w:rsidRPr="00845B00" w:rsidRDefault="000252C4" w:rsidP="00E41E4D">
      <w:pPr>
        <w:pStyle w:val="Prraforproyecto"/>
        <w:numPr>
          <w:ilvl w:val="0"/>
          <w:numId w:val="10"/>
        </w:numPr>
      </w:pPr>
      <w:r w:rsidRPr="00845B00">
        <w:t xml:space="preserve">La Operación no incluye cláusulas de no competir. </w:t>
      </w:r>
    </w:p>
    <w:p w14:paraId="289704C9" w14:textId="77777777" w:rsidR="002B3E21" w:rsidRPr="00845B00" w:rsidRDefault="002B3E21" w:rsidP="00E41E4D">
      <w:pPr>
        <w:pStyle w:val="Prraforproyecto"/>
        <w:numPr>
          <w:ilvl w:val="0"/>
          <w:numId w:val="10"/>
        </w:numPr>
      </w:pPr>
      <w:r w:rsidRPr="00845B00">
        <w:t>En México, adquirirán la fibra óptica metropolitana y cable submarino propiedad de Level 3, así como los servicios que a través de dicha infraestructura presta dicha sociedad en territorio nacional y que más adelante se describen.</w:t>
      </w:r>
    </w:p>
    <w:p w14:paraId="449F5482" w14:textId="77777777" w:rsidR="009A3628" w:rsidRPr="00E5244B" w:rsidRDefault="009A3628" w:rsidP="00E5244B">
      <w:pPr>
        <w:pStyle w:val="Prraforproyecto"/>
        <w:rPr>
          <w:b/>
        </w:rPr>
      </w:pPr>
      <w:r w:rsidRPr="00E5244B">
        <w:rPr>
          <w:b/>
        </w:rPr>
        <w:t>TERCERO. Descripción de las Partes</w:t>
      </w:r>
    </w:p>
    <w:p w14:paraId="2F79CFA0" w14:textId="77777777" w:rsidR="009A3628" w:rsidRPr="00E5244B" w:rsidRDefault="009A3628" w:rsidP="00E5244B">
      <w:pPr>
        <w:pStyle w:val="Prraforproyecto"/>
        <w:rPr>
          <w:b/>
          <w:i/>
        </w:rPr>
      </w:pPr>
      <w:r w:rsidRPr="00E5244B">
        <w:rPr>
          <w:b/>
          <w:i/>
        </w:rPr>
        <w:t xml:space="preserve">3.1 El comprador: </w:t>
      </w:r>
      <w:proofErr w:type="spellStart"/>
      <w:r w:rsidRPr="00E5244B">
        <w:rPr>
          <w:b/>
          <w:i/>
        </w:rPr>
        <w:t>CenturyLink</w:t>
      </w:r>
      <w:proofErr w:type="spellEnd"/>
    </w:p>
    <w:p w14:paraId="6F1F0324" w14:textId="77777777" w:rsidR="00486DDD" w:rsidRPr="00845B00" w:rsidRDefault="00486DDD" w:rsidP="00E41E4D">
      <w:pPr>
        <w:pStyle w:val="Prraforproyecto"/>
      </w:pPr>
      <w:r w:rsidRPr="00845B00">
        <w:t>Es una sociedad constituida conforme a las ley</w:t>
      </w:r>
      <w:r w:rsidR="006D2637" w:rsidRPr="00845B00">
        <w:t>es del Estado de Luisiana, Estados Unidos de América (EUA)</w:t>
      </w:r>
      <w:r w:rsidRPr="00845B00">
        <w:t>. Presta servicios de telecomunicaciones en Norte América</w:t>
      </w:r>
      <w:r w:rsidR="00327448" w:rsidRPr="00845B00">
        <w:t xml:space="preserve"> (EU</w:t>
      </w:r>
      <w:r w:rsidR="00D904DF" w:rsidRPr="00845B00">
        <w:t>A</w:t>
      </w:r>
      <w:r w:rsidR="00327448" w:rsidRPr="00845B00">
        <w:t xml:space="preserve"> y Canadá)</w:t>
      </w:r>
      <w:r w:rsidRPr="00845B00">
        <w:t>, Europa y Asia. Cotiza en la bolsa de valores de Nueva York con la clave “CTL”</w:t>
      </w:r>
    </w:p>
    <w:p w14:paraId="13C86A00" w14:textId="77777777" w:rsidR="009A3628" w:rsidRPr="00845B00" w:rsidRDefault="00F24E9B" w:rsidP="00845B00">
      <w:pPr>
        <w:pStyle w:val="Prraforproyecto"/>
        <w:rPr>
          <w:u w:val="single"/>
        </w:rPr>
      </w:pPr>
      <w:r w:rsidRPr="00845B00">
        <w:rPr>
          <w:u w:val="single"/>
        </w:rPr>
        <w:t>Principales accionistas</w:t>
      </w:r>
    </w:p>
    <w:p w14:paraId="0A974776" w14:textId="614C8B84" w:rsidR="00BE2C93" w:rsidRPr="00845B00" w:rsidRDefault="00486DDD" w:rsidP="00E41E4D">
      <w:pPr>
        <w:pStyle w:val="Prraforproyecto"/>
      </w:pPr>
      <w:r w:rsidRPr="00845B00">
        <w:t xml:space="preserve">Antes de la Operación, los accionistas de CenturyLink que cuentan con una participación superior al 5% </w:t>
      </w:r>
      <w:r w:rsidR="00F24E9B" w:rsidRPr="00845B00">
        <w:t xml:space="preserve">(cinco por ciento) </w:t>
      </w:r>
      <w:r w:rsidR="00BE2C93" w:rsidRPr="00845B00">
        <w:t xml:space="preserve">del capital social son los fondos de inversión: BlackRock, Inc. con el </w:t>
      </w:r>
      <w:r w:rsidR="00BC13A6" w:rsidRPr="002B05D3">
        <w:rPr>
          <w:b/>
          <w:color w:val="0000CC"/>
          <w:sz w:val="19"/>
          <w:szCs w:val="19"/>
        </w:rPr>
        <w:t>“CONFIDENCIAL POR LEY”</w:t>
      </w:r>
      <w:r w:rsidR="00F24E9B" w:rsidRPr="00845B00">
        <w:t xml:space="preserve"> por ciento)</w:t>
      </w:r>
      <w:r w:rsidR="00BE2C93" w:rsidRPr="00845B00">
        <w:t xml:space="preserve">, </w:t>
      </w:r>
      <w:proofErr w:type="spellStart"/>
      <w:r w:rsidR="00BE2C93" w:rsidRPr="00845B00">
        <w:t>The</w:t>
      </w:r>
      <w:proofErr w:type="spellEnd"/>
      <w:r w:rsidR="00BE2C93" w:rsidRPr="00845B00">
        <w:t xml:space="preserve"> </w:t>
      </w:r>
      <w:proofErr w:type="spellStart"/>
      <w:r w:rsidR="00BE2C93" w:rsidRPr="00845B00">
        <w:t>Vanguard</w:t>
      </w:r>
      <w:proofErr w:type="spellEnd"/>
      <w:r w:rsidR="00BE2C93" w:rsidRPr="00845B00">
        <w:t xml:space="preserve"> </w:t>
      </w:r>
      <w:proofErr w:type="spellStart"/>
      <w:r w:rsidR="00BE2C93" w:rsidRPr="00845B00">
        <w:t>Group</w:t>
      </w:r>
      <w:proofErr w:type="spellEnd"/>
      <w:r w:rsidR="00BE2C93" w:rsidRPr="00845B00">
        <w:t xml:space="preserve">, Inc. con el </w:t>
      </w:r>
      <w:r w:rsidR="00BC13A6" w:rsidRPr="002B05D3">
        <w:rPr>
          <w:b/>
          <w:color w:val="0000CC"/>
          <w:sz w:val="19"/>
          <w:szCs w:val="19"/>
        </w:rPr>
        <w:t>“CONFIDENCIAL POR LEY”</w:t>
      </w:r>
      <w:r w:rsidR="006308EE" w:rsidRPr="00845B00">
        <w:t xml:space="preserve"> por ciento)</w:t>
      </w:r>
      <w:r w:rsidR="00BE2C93" w:rsidRPr="00845B00">
        <w:t xml:space="preserve"> y Capital Research and Management con el </w:t>
      </w:r>
      <w:r w:rsidR="00BC13A6" w:rsidRPr="002B05D3">
        <w:rPr>
          <w:b/>
          <w:color w:val="0000CC"/>
          <w:sz w:val="19"/>
          <w:szCs w:val="19"/>
        </w:rPr>
        <w:t>“CONFIDENCIAL POR LEY”</w:t>
      </w:r>
      <w:r w:rsidR="00F24E9B" w:rsidRPr="00845B00">
        <w:t xml:space="preserve"> por ciento)</w:t>
      </w:r>
      <w:r w:rsidR="00BE2C93" w:rsidRPr="00845B00">
        <w:t xml:space="preserve">. </w:t>
      </w:r>
    </w:p>
    <w:p w14:paraId="689D3BF4" w14:textId="0D63931C" w:rsidR="004F35FF" w:rsidRPr="00845B00" w:rsidRDefault="004F35FF" w:rsidP="00E41E4D">
      <w:pPr>
        <w:pStyle w:val="Prraforproyecto"/>
      </w:pPr>
      <w:r w:rsidRPr="00845B00">
        <w:t xml:space="preserve">Después de la Operación, los accionistas que detentarán más del 5% </w:t>
      </w:r>
      <w:r w:rsidR="00C41C3B" w:rsidRPr="00845B00">
        <w:t xml:space="preserve">(cinco por ciento) </w:t>
      </w:r>
      <w:r w:rsidRPr="00845B00">
        <w:t>del capital social de CenturyLink serán: The Vanguard Group, Inc. y STT Crossing Lt</w:t>
      </w:r>
      <w:r w:rsidR="00AE43AB" w:rsidRPr="00845B00">
        <w:t>d</w:t>
      </w:r>
      <w:r w:rsidRPr="00845B00">
        <w:t xml:space="preserve">., con el </w:t>
      </w:r>
      <w:r w:rsidR="00BC13A6" w:rsidRPr="002B05D3">
        <w:rPr>
          <w:b/>
          <w:color w:val="0000CC"/>
          <w:sz w:val="19"/>
          <w:szCs w:val="19"/>
        </w:rPr>
        <w:t>“CONFIDENCIAL POR LEY”</w:t>
      </w:r>
      <w:r w:rsidR="00C41C3B" w:rsidRPr="00845B00">
        <w:t xml:space="preserve"> por ciento)</w:t>
      </w:r>
      <w:r w:rsidRPr="00845B00">
        <w:t xml:space="preserve"> y </w:t>
      </w:r>
      <w:r w:rsidR="00BC13A6" w:rsidRPr="002B05D3">
        <w:rPr>
          <w:b/>
          <w:color w:val="0000CC"/>
          <w:sz w:val="19"/>
          <w:szCs w:val="19"/>
        </w:rPr>
        <w:t>“CONFIDENCIAL POR LEY”</w:t>
      </w:r>
      <w:r w:rsidR="00C41C3B" w:rsidRPr="00845B00">
        <w:t xml:space="preserve"> por ciento) </w:t>
      </w:r>
      <w:r w:rsidRPr="00845B00">
        <w:t xml:space="preserve">respectivamente. </w:t>
      </w:r>
      <w:r w:rsidR="009D42DE" w:rsidRPr="00845B00">
        <w:t>BlackRock, Inc. y Capital Research and Management se quedar</w:t>
      </w:r>
      <w:r w:rsidR="00A26BB8" w:rsidRPr="00845B00">
        <w:t>á</w:t>
      </w:r>
      <w:r w:rsidR="009D42DE" w:rsidRPr="00845B00">
        <w:t>n con menos del 5% (cinco por ciento) del capital social de CenturyLink</w:t>
      </w:r>
      <w:r w:rsidR="00207B11" w:rsidRPr="00845B00">
        <w:t xml:space="preserve">, </w:t>
      </w:r>
      <w:r w:rsidR="00A26BB8" w:rsidRPr="00845B00">
        <w:t>sin</w:t>
      </w:r>
      <w:r w:rsidR="00207B11" w:rsidRPr="00845B00">
        <w:t xml:space="preserve"> influencia ni control sobre esta última sociedad qu</w:t>
      </w:r>
      <w:r w:rsidR="00A26BB8" w:rsidRPr="00845B00">
        <w:t>i</w:t>
      </w:r>
      <w:r w:rsidR="00207B11" w:rsidRPr="00845B00">
        <w:t>e</w:t>
      </w:r>
      <w:r w:rsidR="00A26BB8" w:rsidRPr="00845B00">
        <w:t>n</w:t>
      </w:r>
      <w:r w:rsidR="00207B11" w:rsidRPr="00845B00">
        <w:t>, a la fecha, no tiene participación alguna en México</w:t>
      </w:r>
      <w:r w:rsidR="009D42DE" w:rsidRPr="00845B00">
        <w:t>.</w:t>
      </w:r>
    </w:p>
    <w:p w14:paraId="7311E16B" w14:textId="77777777" w:rsidR="00BE2C93" w:rsidRPr="00845B00" w:rsidRDefault="004F35FF" w:rsidP="00E41E4D">
      <w:pPr>
        <w:pStyle w:val="Prraforproyecto"/>
      </w:pPr>
      <w:r w:rsidRPr="00845B00">
        <w:t>CenturyLink</w:t>
      </w:r>
      <w:r w:rsidR="00BE2C93" w:rsidRPr="00845B00">
        <w:t xml:space="preserve"> después de la Operación seguirá siendo una empresa pública cuyas acciones coti</w:t>
      </w:r>
      <w:r w:rsidRPr="00845B00">
        <w:t>za</w:t>
      </w:r>
      <w:r w:rsidR="000B6C53" w:rsidRPr="00845B00">
        <w:t>rá</w:t>
      </w:r>
      <w:r w:rsidRPr="00845B00">
        <w:t xml:space="preserve">n en mercados de valores y </w:t>
      </w:r>
      <w:r w:rsidR="00BE2C93" w:rsidRPr="00845B00">
        <w:t xml:space="preserve">la tenencia </w:t>
      </w:r>
      <w:r w:rsidR="00932051" w:rsidRPr="00845B00">
        <w:t xml:space="preserve">se diluirá entre el público inversionista. </w:t>
      </w:r>
      <w:r w:rsidR="00932051" w:rsidRPr="00845B00">
        <w:rPr>
          <w:lang w:val="es-MX"/>
        </w:rPr>
        <w:t>Vanguard Group, Inc. y STT Crossing Ltd</w:t>
      </w:r>
      <w:r w:rsidR="00932051" w:rsidRPr="00845B00">
        <w:t xml:space="preserve">, aunque sean los únicos accionistas con participaciones mayores a 5% (cinco por ciento), no tendrán </w:t>
      </w:r>
      <w:r w:rsidRPr="00845B00">
        <w:t xml:space="preserve">control </w:t>
      </w:r>
      <w:r w:rsidR="00932051" w:rsidRPr="00845B00">
        <w:t>o</w:t>
      </w:r>
      <w:r w:rsidR="00D17667" w:rsidRPr="00845B00">
        <w:t xml:space="preserve"> influencia </w:t>
      </w:r>
      <w:r w:rsidRPr="00845B00">
        <w:t>sobre CenturyLink</w:t>
      </w:r>
      <w:r w:rsidR="00BE2C93" w:rsidRPr="00845B00">
        <w:t>.</w:t>
      </w:r>
    </w:p>
    <w:p w14:paraId="1001C7A6" w14:textId="77777777" w:rsidR="00D17667" w:rsidRPr="00845B00" w:rsidRDefault="00D17667" w:rsidP="00D17667">
      <w:pPr>
        <w:spacing w:before="100" w:after="100"/>
        <w:jc w:val="both"/>
        <w:rPr>
          <w:rFonts w:ascii="ITC Avant Garde" w:hAnsi="ITC Avant Garde"/>
        </w:rPr>
      </w:pPr>
      <w:r w:rsidRPr="00845B00">
        <w:rPr>
          <w:rFonts w:ascii="ITC Avant Garde" w:hAnsi="ITC Avant Garde"/>
        </w:rPr>
        <w:lastRenderedPageBreak/>
        <w:t>De acuerdo con hechos notorios para el Instituto,</w:t>
      </w:r>
      <w:r w:rsidRPr="00845B00">
        <w:rPr>
          <w:rFonts w:ascii="ITC Avant Garde" w:eastAsia="Times New Roman" w:hAnsi="ITC Avant Garde"/>
          <w:color w:val="000000"/>
          <w:szCs w:val="24"/>
          <w:vertAlign w:val="superscript"/>
        </w:rPr>
        <w:footnoteReference w:id="2"/>
      </w:r>
      <w:r w:rsidRPr="00845B00">
        <w:rPr>
          <w:rFonts w:ascii="ITC Avant Garde" w:hAnsi="ITC Avant Garde"/>
        </w:rPr>
        <w:t xml:space="preserve"> Vanguard Group es un fondo de inversión que es accionista minoritario en sociedades que participan directa o indirectamente en la provisión de servicios de telecomunicaciones y/o radiodifusión en México.</w:t>
      </w:r>
      <w:r w:rsidRPr="00845B00">
        <w:rPr>
          <w:rFonts w:ascii="ITC Avant Garde" w:hAnsi="ITC Avant Garde"/>
          <w:vertAlign w:val="superscript"/>
        </w:rPr>
        <w:footnoteReference w:id="3"/>
      </w:r>
      <w:r w:rsidRPr="00845B00">
        <w:rPr>
          <w:rFonts w:ascii="ITC Avant Garde" w:hAnsi="ITC Avant Garde"/>
        </w:rPr>
        <w:t xml:space="preserve"> De acuerdo con el informe anual de Vanguard Group para el año dos mil dieciséis, respecto al sector “</w:t>
      </w:r>
      <w:r w:rsidRPr="00845B00">
        <w:rPr>
          <w:rFonts w:ascii="ITC Avant Garde" w:hAnsi="ITC Avant Garde"/>
          <w:i/>
        </w:rPr>
        <w:t>Telecommunication Services</w:t>
      </w:r>
      <w:r w:rsidRPr="00845B00">
        <w:rPr>
          <w:rFonts w:ascii="ITC Avant Garde" w:hAnsi="ITC Avant Garde"/>
        </w:rPr>
        <w:t>”, éste tiene participaciones accionarias en las sociedades AT&amp;T, Inc., Verizon Communications Inc., Level 3, CenturyLink, Inc. y Frontier Communications Corp.</w:t>
      </w:r>
      <w:r w:rsidRPr="00845B00">
        <w:rPr>
          <w:rFonts w:ascii="ITC Avant Garde" w:hAnsi="ITC Avant Garde"/>
          <w:vertAlign w:val="superscript"/>
        </w:rPr>
        <w:footnoteReference w:id="4"/>
      </w:r>
      <w:r w:rsidRPr="00845B00">
        <w:rPr>
          <w:rFonts w:ascii="ITC Avant Garde" w:hAnsi="ITC Avant Garde"/>
        </w:rPr>
        <w:t xml:space="preserve"> Únicamente se tiene conocimiento de la presencia en México de AT&amp;T, Inc. y Level 3.</w:t>
      </w:r>
    </w:p>
    <w:p w14:paraId="2F54F5DC" w14:textId="77777777" w:rsidR="00D17667" w:rsidRPr="00845B00" w:rsidRDefault="00D17667" w:rsidP="00D17667">
      <w:pPr>
        <w:spacing w:before="100" w:after="100"/>
        <w:jc w:val="both"/>
        <w:rPr>
          <w:rFonts w:ascii="ITC Avant Garde" w:hAnsi="ITC Avant Garde"/>
        </w:rPr>
      </w:pPr>
      <w:r w:rsidRPr="00845B00">
        <w:rPr>
          <w:rFonts w:ascii="ITC Avant Garde" w:hAnsi="ITC Avant Garde"/>
        </w:rPr>
        <w:t>Las participaciones accionarias de ese fondo de inversión en las sociedades identificadas no le otorgan la capacidad de controlar, ni la facultad para nombrar a miembros de órganos de decisión, o a directivos de esa sociedad.</w:t>
      </w:r>
    </w:p>
    <w:p w14:paraId="6968C87E" w14:textId="77777777" w:rsidR="00D17667" w:rsidRPr="00845B00" w:rsidRDefault="00D17667" w:rsidP="00E41E4D">
      <w:pPr>
        <w:pStyle w:val="Prraforproyecto"/>
      </w:pPr>
      <w:r w:rsidRPr="00845B00">
        <w:t>Por otra parte, no se identifica que STT Crossing Ltd. sea accionista en sociedades que participan directa o indirectamente en la provisión de servicios de telecomunicaciones y/o radiodifusión en México.</w:t>
      </w:r>
    </w:p>
    <w:p w14:paraId="73E0863A" w14:textId="23FCA500" w:rsidR="00AD3F61" w:rsidRPr="00845B00" w:rsidRDefault="00AD3F61" w:rsidP="00E41E4D">
      <w:pPr>
        <w:pStyle w:val="Prraforproyecto"/>
      </w:pPr>
      <w:r w:rsidRPr="00845B00">
        <w:t xml:space="preserve">En todo caso, no </w:t>
      </w:r>
      <w:r w:rsidR="00B33CAD" w:rsidRPr="00845B00">
        <w:t xml:space="preserve">se advierten elementos que indicien la posibilidad de que Vanguard tenga </w:t>
      </w:r>
      <w:r w:rsidRPr="00845B00">
        <w:t xml:space="preserve">incentivos </w:t>
      </w:r>
      <w:r w:rsidR="00B33CAD" w:rsidRPr="00845B00">
        <w:t xml:space="preserve">económicos para coordinar las actividades económicas de </w:t>
      </w:r>
      <w:r w:rsidR="000973E1" w:rsidRPr="00845B00">
        <w:t xml:space="preserve">CenturyLink con las de otras </w:t>
      </w:r>
      <w:r w:rsidR="00B33CAD" w:rsidRPr="00845B00">
        <w:t xml:space="preserve">sociedades en las que participa, toda vez que </w:t>
      </w:r>
      <w:r w:rsidR="000973E1" w:rsidRPr="00845B00">
        <w:t xml:space="preserve">tras la Operación </w:t>
      </w:r>
      <w:r w:rsidR="00B33CAD" w:rsidRPr="00845B00">
        <w:t xml:space="preserve">su </w:t>
      </w:r>
      <w:r w:rsidRPr="00845B00">
        <w:t>participación</w:t>
      </w:r>
      <w:r w:rsidR="00B33CAD" w:rsidRPr="00845B00">
        <w:t xml:space="preserve"> en </w:t>
      </w:r>
      <w:r w:rsidR="000973E1" w:rsidRPr="00845B00">
        <w:t xml:space="preserve">CenturyLink y de éste agente económico en los </w:t>
      </w:r>
      <w:r w:rsidR="000973E1" w:rsidRPr="00845B00">
        <w:lastRenderedPageBreak/>
        <w:t xml:space="preserve">mercados </w:t>
      </w:r>
      <w:r w:rsidR="00B33CAD" w:rsidRPr="00845B00">
        <w:t xml:space="preserve">no </w:t>
      </w:r>
      <w:r w:rsidR="000973E1" w:rsidRPr="00845B00">
        <w:t xml:space="preserve">será </w:t>
      </w:r>
      <w:r w:rsidR="00B33CAD" w:rsidRPr="00845B00">
        <w:t xml:space="preserve">significativa (i.e. </w:t>
      </w:r>
      <w:r w:rsidR="000973E1" w:rsidRPr="00845B00">
        <w:t xml:space="preserve">resultará </w:t>
      </w:r>
      <w:r w:rsidR="00B33CAD" w:rsidRPr="00845B00">
        <w:t xml:space="preserve">menor a </w:t>
      </w:r>
      <w:r w:rsidR="00BC13A6" w:rsidRPr="002B05D3">
        <w:rPr>
          <w:b/>
          <w:color w:val="0000CC"/>
          <w:sz w:val="19"/>
          <w:szCs w:val="19"/>
        </w:rPr>
        <w:t>“CONFIDENCIAL POR LEY”</w:t>
      </w:r>
      <w:r w:rsidR="00B33CAD" w:rsidRPr="00845B00">
        <w:t xml:space="preserve"> por ciento</w:t>
      </w:r>
      <w:r w:rsidR="000973E1" w:rsidRPr="00845B00">
        <w:t xml:space="preserve"> tras la Operación</w:t>
      </w:r>
      <w:r w:rsidR="00B33CAD" w:rsidRPr="00845B00">
        <w:t>)</w:t>
      </w:r>
      <w:r w:rsidR="000973E1" w:rsidRPr="00845B00">
        <w:t xml:space="preserve">. </w:t>
      </w:r>
    </w:p>
    <w:p w14:paraId="078A53F6" w14:textId="77777777" w:rsidR="009A3628" w:rsidRPr="00845B00" w:rsidRDefault="009A3628" w:rsidP="00845B00">
      <w:pPr>
        <w:pStyle w:val="Prraforproyecto"/>
        <w:rPr>
          <w:u w:val="single"/>
        </w:rPr>
      </w:pPr>
      <w:r w:rsidRPr="00845B00">
        <w:rPr>
          <w:u w:val="single"/>
        </w:rPr>
        <w:t>Actividades económicas</w:t>
      </w:r>
    </w:p>
    <w:p w14:paraId="60C3C5A1" w14:textId="77777777" w:rsidR="00932051" w:rsidRPr="00845B00" w:rsidRDefault="00D17667" w:rsidP="00E41E4D">
      <w:pPr>
        <w:pStyle w:val="Prraforproyecto"/>
      </w:pPr>
      <w:r w:rsidRPr="00845B00">
        <w:t>CenturyLink</w:t>
      </w:r>
      <w:r w:rsidR="00932051" w:rsidRPr="00845B00">
        <w:t xml:space="preserve"> </w:t>
      </w:r>
      <w:r w:rsidRPr="00845B00">
        <w:t xml:space="preserve">participa, entre otros, en los siguientes </w:t>
      </w:r>
      <w:r w:rsidRPr="00845B00">
        <w:rPr>
          <w:b/>
        </w:rPr>
        <w:t>negocios</w:t>
      </w:r>
      <w:r w:rsidR="00CD13D7" w:rsidRPr="00845B00">
        <w:rPr>
          <w:b/>
        </w:rPr>
        <w:t xml:space="preserve"> en el mundo</w:t>
      </w:r>
      <w:r w:rsidRPr="00845B00">
        <w:t xml:space="preserve">: </w:t>
      </w:r>
    </w:p>
    <w:p w14:paraId="51819358" w14:textId="77777777" w:rsidR="00932051" w:rsidRPr="00845B00" w:rsidRDefault="00932051" w:rsidP="00932051">
      <w:pPr>
        <w:pStyle w:val="Prraforproyecto"/>
        <w:numPr>
          <w:ilvl w:val="0"/>
          <w:numId w:val="24"/>
        </w:numPr>
        <w:spacing w:before="80" w:after="80"/>
      </w:pPr>
      <w:r w:rsidRPr="00845B00">
        <w:t xml:space="preserve">Provisión </w:t>
      </w:r>
      <w:r w:rsidR="00D17667" w:rsidRPr="00845B00">
        <w:t xml:space="preserve">de servicios de telecomunicaciones fijas (telefonía, acceso a internet y provisión de capacidad); </w:t>
      </w:r>
    </w:p>
    <w:p w14:paraId="72FE7959" w14:textId="77777777" w:rsidR="00932051" w:rsidRPr="00845B00" w:rsidRDefault="00932051" w:rsidP="00932051">
      <w:pPr>
        <w:pStyle w:val="Prraforproyecto"/>
        <w:numPr>
          <w:ilvl w:val="0"/>
          <w:numId w:val="24"/>
        </w:numPr>
        <w:spacing w:before="80" w:after="80"/>
      </w:pPr>
      <w:r w:rsidRPr="00845B00">
        <w:t xml:space="preserve">Enlaces </w:t>
      </w:r>
      <w:r w:rsidR="00D17667" w:rsidRPr="00845B00">
        <w:t xml:space="preserve">dedicados; </w:t>
      </w:r>
    </w:p>
    <w:p w14:paraId="27823821" w14:textId="77777777" w:rsidR="00932051" w:rsidRPr="00845B00" w:rsidRDefault="00932051" w:rsidP="00932051">
      <w:pPr>
        <w:pStyle w:val="Prraforproyecto"/>
        <w:numPr>
          <w:ilvl w:val="0"/>
          <w:numId w:val="24"/>
        </w:numPr>
        <w:spacing w:before="80" w:after="80"/>
      </w:pPr>
      <w:r w:rsidRPr="00845B00">
        <w:t xml:space="preserve">Redes </w:t>
      </w:r>
      <w:r w:rsidR="00D17667" w:rsidRPr="00845B00">
        <w:t xml:space="preserve">privadas virtuales; </w:t>
      </w:r>
    </w:p>
    <w:p w14:paraId="49B019F0" w14:textId="77777777" w:rsidR="00932051" w:rsidRPr="00845B00" w:rsidRDefault="00932051" w:rsidP="00932051">
      <w:pPr>
        <w:pStyle w:val="Prraforproyecto"/>
        <w:numPr>
          <w:ilvl w:val="0"/>
          <w:numId w:val="24"/>
        </w:numPr>
        <w:spacing w:before="80" w:after="80"/>
      </w:pPr>
      <w:r w:rsidRPr="00845B00">
        <w:t xml:space="preserve">Hospedaje </w:t>
      </w:r>
      <w:r w:rsidR="00957ACE" w:rsidRPr="00845B00">
        <w:t>o</w:t>
      </w:r>
      <w:r w:rsidR="00D17667" w:rsidRPr="00845B00">
        <w:t xml:space="preserve"> alojamiento y manejo de información a través de centros de datos; </w:t>
      </w:r>
    </w:p>
    <w:p w14:paraId="03DFDEC3" w14:textId="77777777" w:rsidR="00932051" w:rsidRPr="00845B00" w:rsidRDefault="00932051" w:rsidP="00932051">
      <w:pPr>
        <w:pStyle w:val="Prraforproyecto"/>
        <w:numPr>
          <w:ilvl w:val="0"/>
          <w:numId w:val="24"/>
        </w:numPr>
        <w:spacing w:before="80" w:after="80"/>
      </w:pPr>
      <w:r w:rsidRPr="00845B00">
        <w:t xml:space="preserve">Voz </w:t>
      </w:r>
      <w:r w:rsidR="00D17667" w:rsidRPr="00845B00">
        <w:t>sobre el protocolo de internet (VoIP)</w:t>
      </w:r>
      <w:r w:rsidRPr="00845B00">
        <w:t xml:space="preserve"> y </w:t>
      </w:r>
      <w:r w:rsidR="00D17667" w:rsidRPr="00845B00">
        <w:t xml:space="preserve">video y tecnologías de la información, </w:t>
      </w:r>
    </w:p>
    <w:p w14:paraId="3E7198C3" w14:textId="77777777" w:rsidR="00932051" w:rsidRPr="00845B00" w:rsidRDefault="00932051" w:rsidP="00932051">
      <w:pPr>
        <w:pStyle w:val="Prraforproyecto"/>
        <w:numPr>
          <w:ilvl w:val="0"/>
          <w:numId w:val="24"/>
        </w:numPr>
        <w:spacing w:before="80" w:after="80"/>
      </w:pPr>
      <w:r w:rsidRPr="00845B00">
        <w:t xml:space="preserve">Redes </w:t>
      </w:r>
      <w:r w:rsidR="00D17667" w:rsidRPr="00845B00">
        <w:t>de entrega de contenidos</w:t>
      </w:r>
      <w:r w:rsidR="00721CA0" w:rsidRPr="00845B00">
        <w:t xml:space="preserve">, y </w:t>
      </w:r>
    </w:p>
    <w:p w14:paraId="26FE33FA" w14:textId="77777777" w:rsidR="00D17667" w:rsidRPr="00845B00" w:rsidRDefault="00932051" w:rsidP="00932051">
      <w:pPr>
        <w:pStyle w:val="Prraforproyecto"/>
        <w:numPr>
          <w:ilvl w:val="0"/>
          <w:numId w:val="24"/>
        </w:numPr>
        <w:spacing w:before="80" w:after="80"/>
      </w:pPr>
      <w:r w:rsidRPr="00845B00">
        <w:rPr>
          <w:lang w:val="es-MX"/>
        </w:rPr>
        <w:t xml:space="preserve">Conectividad </w:t>
      </w:r>
      <w:r w:rsidR="00721CA0" w:rsidRPr="00845B00">
        <w:rPr>
          <w:lang w:val="es-MX"/>
        </w:rPr>
        <w:t>interna</w:t>
      </w:r>
      <w:r w:rsidR="00D904DF" w:rsidRPr="00845B00">
        <w:rPr>
          <w:lang w:val="es-MX"/>
        </w:rPr>
        <w:t>c</w:t>
      </w:r>
      <w:r w:rsidR="00721CA0" w:rsidRPr="00845B00">
        <w:rPr>
          <w:lang w:val="es-MX"/>
        </w:rPr>
        <w:t>ional vía cable submarino (fibra óptica submarina)</w:t>
      </w:r>
      <w:r w:rsidR="00D17667" w:rsidRPr="00845B00">
        <w:t>.</w:t>
      </w:r>
    </w:p>
    <w:p w14:paraId="011CCE13" w14:textId="77777777" w:rsidR="00721CA0" w:rsidRPr="00845B00" w:rsidRDefault="00721CA0" w:rsidP="00E41E4D">
      <w:pPr>
        <w:pStyle w:val="Prraforproyecto"/>
      </w:pPr>
      <w:r w:rsidRPr="00845B00">
        <w:t xml:space="preserve">CenturyLink presta </w:t>
      </w:r>
      <w:r w:rsidRPr="00845B00">
        <w:rPr>
          <w:b/>
        </w:rPr>
        <w:t>servicios</w:t>
      </w:r>
      <w:r w:rsidRPr="00845B00">
        <w:t xml:space="preserve"> de banda ancha, voz, video, datos y gestión a través de una red de fibra óptica de 250,000 millas </w:t>
      </w:r>
      <w:r w:rsidR="00AD2827" w:rsidRPr="00845B00">
        <w:t xml:space="preserve">(doscientas cincuenta mil millas) </w:t>
      </w:r>
      <w:r w:rsidRPr="00845B00">
        <w:t xml:space="preserve">de ruta en </w:t>
      </w:r>
      <w:r w:rsidR="005802EE" w:rsidRPr="00845B00">
        <w:t xml:space="preserve">EUA </w:t>
      </w:r>
      <w:r w:rsidRPr="00845B00">
        <w:t>y una red de transporte internacional de 300,000 millas</w:t>
      </w:r>
      <w:r w:rsidR="00AD2827" w:rsidRPr="00845B00">
        <w:t xml:space="preserve"> (trescientas mil millas) de ruta</w:t>
      </w:r>
      <w:r w:rsidRPr="00845B00">
        <w:t>.</w:t>
      </w:r>
    </w:p>
    <w:p w14:paraId="491A509F" w14:textId="77777777" w:rsidR="00AE43AB" w:rsidRPr="00845B00" w:rsidRDefault="00D17667" w:rsidP="00E41E4D">
      <w:pPr>
        <w:pStyle w:val="Prraforproyecto"/>
      </w:pPr>
      <w:r w:rsidRPr="00845B00">
        <w:t>A la fecha, CenturyLink no tiene participació</w:t>
      </w:r>
      <w:r w:rsidR="00932051" w:rsidRPr="00845B00">
        <w:t xml:space="preserve">n directa o indirecta en México y, por esa </w:t>
      </w:r>
      <w:r w:rsidRPr="00845B00">
        <w:t xml:space="preserve">razón, no </w:t>
      </w:r>
      <w:r w:rsidR="00932051" w:rsidRPr="00845B00">
        <w:t>reporta a</w:t>
      </w:r>
      <w:r w:rsidRPr="00845B00">
        <w:t xml:space="preserve">ctivos o ventas en </w:t>
      </w:r>
      <w:r w:rsidR="00A27032" w:rsidRPr="00845B00">
        <w:t>territorio nacional</w:t>
      </w:r>
      <w:r w:rsidRPr="00845B00">
        <w:t>.</w:t>
      </w:r>
      <w:r w:rsidR="00932051" w:rsidRPr="00845B00">
        <w:t xml:space="preserve"> </w:t>
      </w:r>
      <w:r w:rsidR="00D97A90" w:rsidRPr="00845B00">
        <w:t xml:space="preserve">La Operación le permitirá entrar a los mercados en México donde participa Level 3 que es la empresa adquirida. </w:t>
      </w:r>
    </w:p>
    <w:p w14:paraId="1193B391" w14:textId="77777777" w:rsidR="00F95D8D" w:rsidRPr="00E5244B" w:rsidRDefault="00F95D8D" w:rsidP="00E5244B">
      <w:pPr>
        <w:pStyle w:val="Prraforproyecto"/>
        <w:rPr>
          <w:b/>
          <w:i/>
        </w:rPr>
      </w:pPr>
      <w:r w:rsidRPr="00E5244B">
        <w:rPr>
          <w:b/>
          <w:i/>
        </w:rPr>
        <w:t>3.2 La sociedad adquirida: Level 3.</w:t>
      </w:r>
    </w:p>
    <w:p w14:paraId="71E5C7D5" w14:textId="77777777" w:rsidR="00845B00" w:rsidRDefault="00042409" w:rsidP="00E41E4D">
      <w:pPr>
        <w:pStyle w:val="Prraforproyecto"/>
      </w:pPr>
      <w:r w:rsidRPr="00845B00">
        <w:t>Es una sociedad constituida conforme a las ley</w:t>
      </w:r>
      <w:r w:rsidR="006D2637" w:rsidRPr="00845B00">
        <w:t>es del Estado de Colorado, EUA</w:t>
      </w:r>
      <w:r w:rsidRPr="00845B00">
        <w:t xml:space="preserve">. A través de diversas subsidiarias, ofrece una amplia gama de servicios de </w:t>
      </w:r>
      <w:r w:rsidR="00271526" w:rsidRPr="00845B00">
        <w:t>telecomunicacio</w:t>
      </w:r>
      <w:r w:rsidRPr="00845B00">
        <w:t>n</w:t>
      </w:r>
      <w:r w:rsidR="00271526" w:rsidRPr="00845B00">
        <w:t>es</w:t>
      </w:r>
      <w:r w:rsidRPr="00845B00">
        <w:t xml:space="preserve"> a través de su red de fibra óptica y de banda ancha en Norteamérica, Sudamérica, Europa y Asia. Cotiza en la bolsa de valores de Nueva York bajo la clave “LVLT”</w:t>
      </w:r>
      <w:r w:rsidR="000973E1" w:rsidRPr="00845B00">
        <w:t>.</w:t>
      </w:r>
    </w:p>
    <w:p w14:paraId="76917BA6" w14:textId="035513D0" w:rsidR="00042409" w:rsidRPr="00845B00" w:rsidRDefault="00042409" w:rsidP="00845B00">
      <w:pPr>
        <w:pStyle w:val="Prraforproyecto"/>
        <w:rPr>
          <w:u w:val="single"/>
        </w:rPr>
      </w:pPr>
      <w:r w:rsidRPr="00845B00">
        <w:rPr>
          <w:u w:val="single"/>
        </w:rPr>
        <w:t>Principales accionistas</w:t>
      </w:r>
      <w:r w:rsidR="00D05BA6" w:rsidRPr="00845B00">
        <w:rPr>
          <w:u w:val="single"/>
        </w:rPr>
        <w:t xml:space="preserve"> </w:t>
      </w:r>
    </w:p>
    <w:p w14:paraId="46418DB5" w14:textId="77777777" w:rsidR="00D97A90" w:rsidRPr="00845B00" w:rsidRDefault="00042409" w:rsidP="00E41E4D">
      <w:pPr>
        <w:pStyle w:val="Prraforproyecto"/>
      </w:pPr>
      <w:r w:rsidRPr="00845B00">
        <w:t>Antes de la Operación, los accionistas que cuentan con una participación superior al 5% del capital social en Level 3 son</w:t>
      </w:r>
      <w:r w:rsidR="00E814FF" w:rsidRPr="00845B00">
        <w:t xml:space="preserve"> </w:t>
      </w:r>
      <w:r w:rsidR="00D97A90" w:rsidRPr="00845B00">
        <w:t>cuatro</w:t>
      </w:r>
      <w:r w:rsidR="00E814FF" w:rsidRPr="00845B00">
        <w:t xml:space="preserve"> fondos de inversión</w:t>
      </w:r>
      <w:r w:rsidRPr="00845B00">
        <w:t>:</w:t>
      </w:r>
    </w:p>
    <w:p w14:paraId="5BE64313" w14:textId="3852E8C7" w:rsidR="00D97A90" w:rsidRPr="00845B00" w:rsidRDefault="00042409" w:rsidP="00D97A90">
      <w:pPr>
        <w:pStyle w:val="Prraforproyecto"/>
        <w:numPr>
          <w:ilvl w:val="0"/>
          <w:numId w:val="10"/>
        </w:numPr>
        <w:spacing w:before="80" w:after="80"/>
        <w:ind w:left="714" w:hanging="357"/>
      </w:pPr>
      <w:proofErr w:type="spellStart"/>
      <w:r w:rsidRPr="00845B00">
        <w:t>Temasek</w:t>
      </w:r>
      <w:proofErr w:type="spellEnd"/>
      <w:r w:rsidRPr="00845B00">
        <w:t xml:space="preserve"> Holdings (</w:t>
      </w:r>
      <w:proofErr w:type="spellStart"/>
      <w:r w:rsidRPr="00845B00">
        <w:t>Private</w:t>
      </w:r>
      <w:proofErr w:type="spellEnd"/>
      <w:r w:rsidRPr="00845B00">
        <w:t xml:space="preserve">) </w:t>
      </w:r>
      <w:proofErr w:type="spellStart"/>
      <w:r w:rsidRPr="00845B00">
        <w:t>Limited</w:t>
      </w:r>
      <w:proofErr w:type="spellEnd"/>
      <w:r w:rsidRPr="00845B00">
        <w:t xml:space="preserve">, con un </w:t>
      </w:r>
      <w:r w:rsidR="00BC13A6" w:rsidRPr="002B05D3">
        <w:rPr>
          <w:b/>
          <w:color w:val="0000CC"/>
          <w:sz w:val="19"/>
          <w:szCs w:val="19"/>
        </w:rPr>
        <w:t>“CONFIDENCIAL POR LEY”</w:t>
      </w:r>
      <w:r w:rsidR="00AD2827" w:rsidRPr="00845B00">
        <w:t xml:space="preserve"> por ciento)</w:t>
      </w:r>
      <w:r w:rsidRPr="00845B00">
        <w:t xml:space="preserve">; </w:t>
      </w:r>
    </w:p>
    <w:p w14:paraId="2BA82671" w14:textId="4F894D56" w:rsidR="00D97A90" w:rsidRPr="00845B00" w:rsidRDefault="00042409" w:rsidP="00D97A90">
      <w:pPr>
        <w:pStyle w:val="Prraforproyecto"/>
        <w:numPr>
          <w:ilvl w:val="0"/>
          <w:numId w:val="10"/>
        </w:numPr>
        <w:spacing w:before="80" w:after="80"/>
        <w:ind w:left="714" w:hanging="357"/>
      </w:pPr>
      <w:r w:rsidRPr="00845B00">
        <w:t xml:space="preserve">Southeastern Asset Management, Inc., con un </w:t>
      </w:r>
      <w:r w:rsidR="00BC13A6" w:rsidRPr="002B05D3">
        <w:rPr>
          <w:b/>
          <w:color w:val="0000CC"/>
          <w:sz w:val="19"/>
          <w:szCs w:val="19"/>
        </w:rPr>
        <w:t>“CONFIDENCIAL POR LEY”</w:t>
      </w:r>
      <w:r w:rsidR="00AD2827" w:rsidRPr="00845B00">
        <w:t xml:space="preserve"> por ciento)</w:t>
      </w:r>
      <w:r w:rsidRPr="00845B00">
        <w:t xml:space="preserve">; </w:t>
      </w:r>
    </w:p>
    <w:p w14:paraId="6CD77E29" w14:textId="0BF274B7" w:rsidR="00D97A90" w:rsidRPr="00845B00" w:rsidRDefault="00042409" w:rsidP="00D97A90">
      <w:pPr>
        <w:pStyle w:val="Prraforproyecto"/>
        <w:numPr>
          <w:ilvl w:val="0"/>
          <w:numId w:val="10"/>
        </w:numPr>
        <w:spacing w:before="80" w:after="80"/>
        <w:ind w:left="714" w:hanging="357"/>
      </w:pPr>
      <w:proofErr w:type="spellStart"/>
      <w:r w:rsidRPr="00845B00">
        <w:t>Va</w:t>
      </w:r>
      <w:r w:rsidR="00CD13D7" w:rsidRPr="00845B00">
        <w:t>n</w:t>
      </w:r>
      <w:r w:rsidRPr="00845B00">
        <w:t>guard</w:t>
      </w:r>
      <w:proofErr w:type="spellEnd"/>
      <w:r w:rsidRPr="00845B00">
        <w:t xml:space="preserve"> con </w:t>
      </w:r>
      <w:r w:rsidR="00BC13A6" w:rsidRPr="002B05D3">
        <w:rPr>
          <w:b/>
          <w:color w:val="0000CC"/>
          <w:sz w:val="19"/>
          <w:szCs w:val="19"/>
        </w:rPr>
        <w:t>“CONFIDENCIAL POR LEY”</w:t>
      </w:r>
      <w:r w:rsidR="00AD2827" w:rsidRPr="00845B00">
        <w:t xml:space="preserve"> por ciento)</w:t>
      </w:r>
      <w:r w:rsidR="00D97A90" w:rsidRPr="00845B00">
        <w:t>,</w:t>
      </w:r>
      <w:r w:rsidR="00AD2827" w:rsidRPr="00845B00">
        <w:t xml:space="preserve"> </w:t>
      </w:r>
      <w:r w:rsidRPr="00845B00">
        <w:t xml:space="preserve">y </w:t>
      </w:r>
    </w:p>
    <w:p w14:paraId="220FE52E" w14:textId="59E7251B" w:rsidR="00042409" w:rsidRPr="00845B00" w:rsidRDefault="00042409" w:rsidP="00D97A90">
      <w:pPr>
        <w:pStyle w:val="Prraforproyecto"/>
        <w:numPr>
          <w:ilvl w:val="0"/>
          <w:numId w:val="10"/>
        </w:numPr>
        <w:spacing w:before="80" w:after="80"/>
        <w:ind w:left="714" w:hanging="357"/>
      </w:pPr>
      <w:proofErr w:type="spellStart"/>
      <w:r w:rsidRPr="00845B00">
        <w:t>BlackRock</w:t>
      </w:r>
      <w:proofErr w:type="spellEnd"/>
      <w:r w:rsidRPr="00845B00">
        <w:t xml:space="preserve"> con </w:t>
      </w:r>
      <w:r w:rsidR="00BC13A6" w:rsidRPr="002B05D3">
        <w:rPr>
          <w:b/>
          <w:color w:val="0000CC"/>
          <w:sz w:val="19"/>
          <w:szCs w:val="19"/>
        </w:rPr>
        <w:t>“CONFIDENCIAL POR LEY”</w:t>
      </w:r>
      <w:r w:rsidR="00AD2827" w:rsidRPr="00845B00">
        <w:t xml:space="preserve"> por ciento)</w:t>
      </w:r>
      <w:r w:rsidRPr="00845B00">
        <w:t>.</w:t>
      </w:r>
    </w:p>
    <w:p w14:paraId="56D7D9F8" w14:textId="31E501EF" w:rsidR="00E814FF" w:rsidRPr="00845B00" w:rsidRDefault="00D97A90" w:rsidP="00E41E4D">
      <w:pPr>
        <w:pStyle w:val="Prraforproyecto"/>
      </w:pPr>
      <w:r w:rsidRPr="00845B00">
        <w:t xml:space="preserve">Ninguno de ellos y ningún otro accionista tienen la capacidad individual de </w:t>
      </w:r>
      <w:r w:rsidR="00042409" w:rsidRPr="00845B00">
        <w:t>ejerce</w:t>
      </w:r>
      <w:r w:rsidRPr="00845B00">
        <w:t>r</w:t>
      </w:r>
      <w:r w:rsidR="00042409" w:rsidRPr="00845B00">
        <w:t xml:space="preserve"> control </w:t>
      </w:r>
      <w:r w:rsidRPr="00845B00">
        <w:t xml:space="preserve">o influencia </w:t>
      </w:r>
      <w:r w:rsidR="00042409" w:rsidRPr="00845B00">
        <w:t xml:space="preserve">sobre </w:t>
      </w:r>
      <w:proofErr w:type="spellStart"/>
      <w:r w:rsidR="00042409" w:rsidRPr="00845B00">
        <w:t>Level</w:t>
      </w:r>
      <w:proofErr w:type="spellEnd"/>
      <w:r w:rsidR="00042409" w:rsidRPr="00845B00">
        <w:t xml:space="preserve"> 3.</w:t>
      </w:r>
      <w:r w:rsidR="00845B00">
        <w:t xml:space="preserve"> </w:t>
      </w:r>
    </w:p>
    <w:p w14:paraId="31D1EB24" w14:textId="77777777" w:rsidR="00E814FF" w:rsidRPr="00845B00" w:rsidRDefault="00042409" w:rsidP="00E41E4D">
      <w:pPr>
        <w:pStyle w:val="Prraforproyecto"/>
      </w:pPr>
      <w:r w:rsidRPr="00845B00">
        <w:lastRenderedPageBreak/>
        <w:t>Como con</w:t>
      </w:r>
      <w:r w:rsidR="00E814FF" w:rsidRPr="00845B00">
        <w:t>secuencia de la Operación, los accionistas de Level</w:t>
      </w:r>
      <w:r w:rsidRPr="00845B00">
        <w:t xml:space="preserve"> </w:t>
      </w:r>
      <w:r w:rsidR="00E814FF" w:rsidRPr="00845B00">
        <w:t xml:space="preserve">3 </w:t>
      </w:r>
      <w:r w:rsidRPr="00845B00">
        <w:t>adquirirá</w:t>
      </w:r>
      <w:r w:rsidR="00E814FF" w:rsidRPr="00845B00">
        <w:t>n</w:t>
      </w:r>
      <w:r w:rsidRPr="00845B00">
        <w:t xml:space="preserve"> una participación de </w:t>
      </w:r>
      <w:r w:rsidR="00E814FF" w:rsidRPr="00845B00">
        <w:t>aproximadamente el 49</w:t>
      </w:r>
      <w:r w:rsidRPr="00845B00">
        <w:t xml:space="preserve">% </w:t>
      </w:r>
      <w:r w:rsidR="00AD2827" w:rsidRPr="00845B00">
        <w:t xml:space="preserve">(cuarenta y nueve por ciento) </w:t>
      </w:r>
      <w:r w:rsidR="00E814FF" w:rsidRPr="00845B00">
        <w:t xml:space="preserve">de </w:t>
      </w:r>
      <w:r w:rsidRPr="00845B00">
        <w:t>las acciones representativ</w:t>
      </w:r>
      <w:r w:rsidR="00E814FF" w:rsidRPr="00845B00">
        <w:t>as del capital social de CenturyLink</w:t>
      </w:r>
      <w:r w:rsidRPr="00845B00">
        <w:t>.</w:t>
      </w:r>
    </w:p>
    <w:p w14:paraId="5D369B12" w14:textId="77777777" w:rsidR="00AE43AB" w:rsidRPr="00845B00" w:rsidRDefault="00E814FF" w:rsidP="00845B00">
      <w:pPr>
        <w:pStyle w:val="Prraforproyecto"/>
        <w:rPr>
          <w:u w:val="single"/>
        </w:rPr>
      </w:pPr>
      <w:r w:rsidRPr="00845B00">
        <w:rPr>
          <w:u w:val="single"/>
        </w:rPr>
        <w:t>Actividades económicas</w:t>
      </w:r>
    </w:p>
    <w:p w14:paraId="12E7D6F6" w14:textId="77777777" w:rsidR="00D97A90" w:rsidRPr="00845B00" w:rsidRDefault="00D97A90" w:rsidP="00E41E4D">
      <w:pPr>
        <w:pStyle w:val="Prraforproyecto"/>
      </w:pPr>
      <w:r w:rsidRPr="00845B00">
        <w:t>A</w:t>
      </w:r>
      <w:r w:rsidR="003256B8" w:rsidRPr="00845B00">
        <w:t xml:space="preserve"> nivel global Level 3 participa, entre otros, en los siguientes negocio</w:t>
      </w:r>
      <w:r w:rsidRPr="00845B00">
        <w:t>s</w:t>
      </w:r>
      <w:r w:rsidR="003256B8" w:rsidRPr="00845B00">
        <w:t xml:space="preserve">: </w:t>
      </w:r>
    </w:p>
    <w:p w14:paraId="632E518A" w14:textId="77777777" w:rsidR="00D97A90" w:rsidRPr="00845B00" w:rsidRDefault="00D97A90" w:rsidP="00D97A90">
      <w:pPr>
        <w:pStyle w:val="Prraforproyecto"/>
        <w:numPr>
          <w:ilvl w:val="0"/>
          <w:numId w:val="25"/>
        </w:numPr>
      </w:pPr>
      <w:r w:rsidRPr="00845B00">
        <w:t xml:space="preserve">Provisión </w:t>
      </w:r>
      <w:r w:rsidR="003256B8" w:rsidRPr="00845B00">
        <w:t xml:space="preserve">de servicios de telecomunicaciones fijas (telefonía, acceso a internet y provisión de capacidad); </w:t>
      </w:r>
    </w:p>
    <w:p w14:paraId="02FB017D" w14:textId="77777777" w:rsidR="00D97A90" w:rsidRPr="00845B00" w:rsidRDefault="00D97A90" w:rsidP="00D97A90">
      <w:pPr>
        <w:pStyle w:val="Prraforproyecto"/>
        <w:numPr>
          <w:ilvl w:val="0"/>
          <w:numId w:val="25"/>
        </w:numPr>
      </w:pPr>
      <w:r w:rsidRPr="00845B00">
        <w:t xml:space="preserve">Enlaces </w:t>
      </w:r>
      <w:r w:rsidR="003256B8" w:rsidRPr="00845B00">
        <w:t xml:space="preserve">dedicados; </w:t>
      </w:r>
    </w:p>
    <w:p w14:paraId="7274D087" w14:textId="77777777" w:rsidR="00D97A90" w:rsidRPr="00845B00" w:rsidRDefault="00D97A90" w:rsidP="00D97A90">
      <w:pPr>
        <w:pStyle w:val="Prraforproyecto"/>
        <w:numPr>
          <w:ilvl w:val="0"/>
          <w:numId w:val="25"/>
        </w:numPr>
      </w:pPr>
      <w:r w:rsidRPr="00845B00">
        <w:t xml:space="preserve">Redes </w:t>
      </w:r>
      <w:r w:rsidR="003256B8" w:rsidRPr="00845B00">
        <w:t xml:space="preserve">privadas virtuales; </w:t>
      </w:r>
    </w:p>
    <w:p w14:paraId="0670CD20" w14:textId="77777777" w:rsidR="00D97A90" w:rsidRPr="00845B00" w:rsidRDefault="00D97A90" w:rsidP="00D97A90">
      <w:pPr>
        <w:pStyle w:val="Prraforproyecto"/>
        <w:numPr>
          <w:ilvl w:val="0"/>
          <w:numId w:val="25"/>
        </w:numPr>
      </w:pPr>
      <w:r w:rsidRPr="00845B00">
        <w:t xml:space="preserve">Seguridad </w:t>
      </w:r>
      <w:r w:rsidR="003256B8" w:rsidRPr="00845B00">
        <w:t xml:space="preserve">y administración de datos; </w:t>
      </w:r>
    </w:p>
    <w:p w14:paraId="3079F568" w14:textId="77777777" w:rsidR="00D97A90" w:rsidRPr="00845B00" w:rsidRDefault="00D97A90" w:rsidP="00D97A90">
      <w:pPr>
        <w:pStyle w:val="Prraforproyecto"/>
        <w:numPr>
          <w:ilvl w:val="0"/>
          <w:numId w:val="25"/>
        </w:numPr>
      </w:pPr>
      <w:r w:rsidRPr="00845B00">
        <w:t xml:space="preserve">Centros </w:t>
      </w:r>
      <w:r w:rsidR="003256B8" w:rsidRPr="00845B00">
        <w:t>de datos, redes de entrega de contenidos</w:t>
      </w:r>
      <w:r w:rsidRPr="00845B00">
        <w:t>,</w:t>
      </w:r>
      <w:r w:rsidR="00721CA0" w:rsidRPr="00845B00">
        <w:t xml:space="preserve"> y </w:t>
      </w:r>
    </w:p>
    <w:p w14:paraId="51C853C6" w14:textId="77777777" w:rsidR="003F49BE" w:rsidRPr="00845B00" w:rsidRDefault="00D97A90" w:rsidP="00D97A90">
      <w:pPr>
        <w:pStyle w:val="Prraforproyecto"/>
        <w:numPr>
          <w:ilvl w:val="0"/>
          <w:numId w:val="25"/>
        </w:numPr>
      </w:pPr>
      <w:r w:rsidRPr="00845B00">
        <w:t>C</w:t>
      </w:r>
      <w:r w:rsidRPr="00845B00">
        <w:rPr>
          <w:lang w:val="es-MX"/>
        </w:rPr>
        <w:t xml:space="preserve">onectividad </w:t>
      </w:r>
      <w:r w:rsidR="00721CA0" w:rsidRPr="00845B00">
        <w:rPr>
          <w:lang w:val="es-MX"/>
        </w:rPr>
        <w:t>international vía cable submarino (fibra óptica submarina)</w:t>
      </w:r>
      <w:r w:rsidR="003256B8" w:rsidRPr="00845B00">
        <w:t>.</w:t>
      </w:r>
    </w:p>
    <w:p w14:paraId="1A4D4089" w14:textId="6AA8F43E" w:rsidR="0016657E" w:rsidRPr="00845B00" w:rsidRDefault="00E814FF" w:rsidP="00E41E4D">
      <w:pPr>
        <w:pStyle w:val="Prraforproyecto"/>
      </w:pPr>
      <w:r w:rsidRPr="00845B00">
        <w:t xml:space="preserve">Level 3 tiene presencia en México </w:t>
      </w:r>
      <w:r w:rsidR="00D97A90" w:rsidRPr="00845B00">
        <w:t xml:space="preserve">únicamente </w:t>
      </w:r>
      <w:r w:rsidRPr="00845B00">
        <w:t>a través de tres subsidiarias: Level 3 México II, S. de R.L. de C.V. (México II), Level 3 México Landing, S. de R.L. de C.V. (México Landing) y Level 3 México Servicios, S. de R.L. de C.V. (México Servicios)</w:t>
      </w:r>
      <w:r w:rsidR="00D97A90" w:rsidRPr="00845B00">
        <w:t xml:space="preserve">. Un resumen de sus características se presenta en el Cuadro 1. </w:t>
      </w:r>
    </w:p>
    <w:p w14:paraId="51161CCF" w14:textId="77777777" w:rsidR="00E814FF" w:rsidRPr="00845B00" w:rsidRDefault="00E814FF" w:rsidP="00D97A90">
      <w:pPr>
        <w:pStyle w:val="Prraforproyecto"/>
        <w:jc w:val="center"/>
        <w:rPr>
          <w:b/>
        </w:rPr>
      </w:pPr>
      <w:r w:rsidRPr="00845B00">
        <w:rPr>
          <w:b/>
        </w:rPr>
        <w:t xml:space="preserve">Cuadro </w:t>
      </w:r>
      <w:r w:rsidR="001F6594" w:rsidRPr="00845B00">
        <w:rPr>
          <w:b/>
        </w:rPr>
        <w:t>1</w:t>
      </w:r>
      <w:r w:rsidRPr="00845B00">
        <w:rPr>
          <w:b/>
        </w:rPr>
        <w:t>. Subsidiarias de Level 3 en México, sus accionistas y actividades</w:t>
      </w:r>
    </w:p>
    <w:tbl>
      <w:tblPr>
        <w:tblStyle w:val="Tablaconcuadrcula1"/>
        <w:tblW w:w="5000" w:type="pct"/>
        <w:tblLook w:val="04A0" w:firstRow="1" w:lastRow="0" w:firstColumn="1" w:lastColumn="0" w:noHBand="0" w:noVBand="1"/>
        <w:tblCaption w:val="Subsidiarias de Level 3 en México, sus accionistas y actividades"/>
        <w:tblDescription w:val="En una tabla se mencionan las subsidiarias de Level 3 en México, sus accionistas y actividades, misma que contiene cierta información que es &quot;CONFIDENCIAL POR LEY&quot;"/>
      </w:tblPr>
      <w:tblGrid>
        <w:gridCol w:w="1784"/>
        <w:gridCol w:w="3645"/>
        <w:gridCol w:w="3916"/>
      </w:tblGrid>
      <w:tr w:rsidR="00D1492E" w:rsidRPr="00D1492E" w14:paraId="204D3C4F" w14:textId="77777777" w:rsidTr="00D1492E">
        <w:trPr>
          <w:trHeight w:val="19"/>
          <w:tblHeader/>
        </w:trPr>
        <w:tc>
          <w:tcPr>
            <w:tcW w:w="955" w:type="pct"/>
            <w:shd w:val="clear" w:color="auto" w:fill="70AD47" w:themeFill="accent6"/>
            <w:vAlign w:val="center"/>
          </w:tcPr>
          <w:p w14:paraId="585C08A4" w14:textId="77777777" w:rsidR="00E814FF" w:rsidRPr="00D1492E" w:rsidRDefault="00E814FF" w:rsidP="00D1492E">
            <w:pPr>
              <w:spacing w:after="0" w:line="240" w:lineRule="auto"/>
              <w:jc w:val="center"/>
              <w:rPr>
                <w:rFonts w:ascii="ITC Avant Garde" w:hAnsi="ITC Avant Garde"/>
                <w:b/>
              </w:rPr>
            </w:pPr>
            <w:r w:rsidRPr="00D1492E">
              <w:rPr>
                <w:rFonts w:ascii="ITC Avant Garde" w:hAnsi="ITC Avant Garde"/>
                <w:b/>
              </w:rPr>
              <w:t>Subsidiarias</w:t>
            </w:r>
          </w:p>
        </w:tc>
        <w:tc>
          <w:tcPr>
            <w:tcW w:w="1950" w:type="pct"/>
            <w:shd w:val="clear" w:color="auto" w:fill="70AD47" w:themeFill="accent6"/>
            <w:vAlign w:val="center"/>
          </w:tcPr>
          <w:p w14:paraId="5DC45471" w14:textId="77777777" w:rsidR="00E814FF" w:rsidRPr="00D1492E" w:rsidRDefault="00E814FF" w:rsidP="00D1492E">
            <w:pPr>
              <w:pStyle w:val="Prraforproyecto"/>
              <w:jc w:val="center"/>
              <w:rPr>
                <w:b/>
                <w:color w:val="auto"/>
              </w:rPr>
            </w:pPr>
            <w:r w:rsidRPr="00D1492E">
              <w:rPr>
                <w:b/>
                <w:color w:val="auto"/>
              </w:rPr>
              <w:t>Accionistas</w:t>
            </w:r>
            <w:r w:rsidR="00082263" w:rsidRPr="00D1492E">
              <w:rPr>
                <w:b/>
                <w:color w:val="auto"/>
              </w:rPr>
              <w:t xml:space="preserve"> y porcentaje (%) de participación</w:t>
            </w:r>
          </w:p>
        </w:tc>
        <w:tc>
          <w:tcPr>
            <w:tcW w:w="2095" w:type="pct"/>
            <w:shd w:val="clear" w:color="auto" w:fill="70AD47" w:themeFill="accent6"/>
            <w:vAlign w:val="center"/>
          </w:tcPr>
          <w:p w14:paraId="4FE85D39" w14:textId="77777777" w:rsidR="00E814FF" w:rsidRPr="00D1492E" w:rsidRDefault="00E814FF" w:rsidP="00D1492E">
            <w:pPr>
              <w:pStyle w:val="Prraforproyecto"/>
              <w:jc w:val="center"/>
              <w:rPr>
                <w:b/>
                <w:color w:val="auto"/>
              </w:rPr>
            </w:pPr>
            <w:r w:rsidRPr="00D1492E">
              <w:rPr>
                <w:b/>
                <w:color w:val="auto"/>
              </w:rPr>
              <w:t>Actividades</w:t>
            </w:r>
          </w:p>
        </w:tc>
      </w:tr>
      <w:tr w:rsidR="00082263" w:rsidRPr="00845B00" w14:paraId="2A1B6C2F" w14:textId="77777777" w:rsidTr="00D1492E">
        <w:trPr>
          <w:trHeight w:val="19"/>
        </w:trPr>
        <w:tc>
          <w:tcPr>
            <w:tcW w:w="955" w:type="pct"/>
            <w:vAlign w:val="center"/>
          </w:tcPr>
          <w:p w14:paraId="4E0F6C0E" w14:textId="77777777" w:rsidR="00082263" w:rsidRPr="00845B00" w:rsidRDefault="00082263" w:rsidP="00D1492E">
            <w:pPr>
              <w:pStyle w:val="Prraforproyecto"/>
              <w:jc w:val="left"/>
              <w:rPr>
                <w:sz w:val="20"/>
                <w:szCs w:val="20"/>
              </w:rPr>
            </w:pPr>
            <w:r w:rsidRPr="00845B00">
              <w:rPr>
                <w:sz w:val="20"/>
                <w:szCs w:val="20"/>
              </w:rPr>
              <w:t>México II</w:t>
            </w:r>
          </w:p>
        </w:tc>
        <w:tc>
          <w:tcPr>
            <w:tcW w:w="1950" w:type="pct"/>
            <w:vAlign w:val="center"/>
          </w:tcPr>
          <w:p w14:paraId="40B12842" w14:textId="3BB6D3F6" w:rsidR="003256B8" w:rsidRPr="00845B00" w:rsidRDefault="003256B8" w:rsidP="00D1492E">
            <w:pPr>
              <w:pStyle w:val="Prraforproyecto"/>
              <w:jc w:val="left"/>
              <w:rPr>
                <w:sz w:val="20"/>
                <w:szCs w:val="20"/>
              </w:rPr>
            </w:pPr>
            <w:r w:rsidRPr="00845B00">
              <w:rPr>
                <w:sz w:val="20"/>
                <w:szCs w:val="20"/>
              </w:rPr>
              <w:t xml:space="preserve">México </w:t>
            </w:r>
            <w:proofErr w:type="spellStart"/>
            <w:r w:rsidRPr="00845B00">
              <w:rPr>
                <w:sz w:val="20"/>
                <w:szCs w:val="20"/>
              </w:rPr>
              <w:t>Landing</w:t>
            </w:r>
            <w:proofErr w:type="spellEnd"/>
            <w:r w:rsidR="00845B00">
              <w:rPr>
                <w:sz w:val="20"/>
                <w:szCs w:val="20"/>
              </w:rPr>
              <w:t xml:space="preserve"> </w:t>
            </w:r>
            <w:r w:rsidR="00BC13A6" w:rsidRPr="002B05D3">
              <w:rPr>
                <w:b/>
                <w:color w:val="0000CC"/>
                <w:sz w:val="19"/>
                <w:szCs w:val="19"/>
              </w:rPr>
              <w:t>“CONFIDENCIAL POR LEY”</w:t>
            </w:r>
          </w:p>
          <w:p w14:paraId="67623747" w14:textId="72A5D0BF" w:rsidR="00082263" w:rsidRPr="00845B00" w:rsidRDefault="003256B8" w:rsidP="00D1492E">
            <w:pPr>
              <w:pStyle w:val="Prraforproyecto"/>
              <w:jc w:val="left"/>
              <w:rPr>
                <w:sz w:val="20"/>
                <w:szCs w:val="20"/>
              </w:rPr>
            </w:pPr>
            <w:proofErr w:type="spellStart"/>
            <w:r w:rsidRPr="00845B00">
              <w:rPr>
                <w:sz w:val="20"/>
                <w:szCs w:val="20"/>
              </w:rPr>
              <w:t>Level</w:t>
            </w:r>
            <w:proofErr w:type="spellEnd"/>
            <w:r w:rsidRPr="00845B00">
              <w:rPr>
                <w:sz w:val="20"/>
                <w:szCs w:val="20"/>
              </w:rPr>
              <w:t xml:space="preserve"> 3 </w:t>
            </w:r>
            <w:proofErr w:type="spellStart"/>
            <w:r w:rsidRPr="00845B00">
              <w:rPr>
                <w:sz w:val="20"/>
                <w:szCs w:val="20"/>
              </w:rPr>
              <w:t>Panama</w:t>
            </w:r>
            <w:proofErr w:type="spellEnd"/>
            <w:r w:rsidRPr="00845B00">
              <w:rPr>
                <w:sz w:val="20"/>
                <w:szCs w:val="20"/>
              </w:rPr>
              <w:t xml:space="preserve"> Inc.</w:t>
            </w:r>
            <w:r w:rsidR="00845B00">
              <w:rPr>
                <w:sz w:val="20"/>
                <w:szCs w:val="20"/>
              </w:rPr>
              <w:t xml:space="preserve"> </w:t>
            </w:r>
            <w:r w:rsidR="00BC13A6" w:rsidRPr="002B05D3">
              <w:rPr>
                <w:b/>
                <w:color w:val="0000CC"/>
                <w:sz w:val="19"/>
                <w:szCs w:val="19"/>
              </w:rPr>
              <w:t>“CONFIDENCIAL POR LEY”</w:t>
            </w:r>
          </w:p>
        </w:tc>
        <w:tc>
          <w:tcPr>
            <w:tcW w:w="2095" w:type="pct"/>
            <w:vAlign w:val="center"/>
          </w:tcPr>
          <w:p w14:paraId="3DEF8DB0" w14:textId="77777777" w:rsidR="00082263" w:rsidRPr="00845B00" w:rsidRDefault="00082263" w:rsidP="00D1492E">
            <w:pPr>
              <w:pStyle w:val="Prraforproyecto"/>
              <w:rPr>
                <w:sz w:val="20"/>
                <w:szCs w:val="20"/>
              </w:rPr>
            </w:pPr>
            <w:r w:rsidRPr="00845B00">
              <w:rPr>
                <w:sz w:val="20"/>
                <w:szCs w:val="20"/>
              </w:rPr>
              <w:t>Titular de permisos y de activos inmobiliarios.</w:t>
            </w:r>
          </w:p>
        </w:tc>
      </w:tr>
      <w:tr w:rsidR="00082263" w:rsidRPr="00845B00" w14:paraId="425966DE" w14:textId="77777777" w:rsidTr="00D1492E">
        <w:trPr>
          <w:trHeight w:val="19"/>
        </w:trPr>
        <w:tc>
          <w:tcPr>
            <w:tcW w:w="955" w:type="pct"/>
            <w:vAlign w:val="center"/>
          </w:tcPr>
          <w:p w14:paraId="79121958" w14:textId="77777777" w:rsidR="00082263" w:rsidRPr="00845B00" w:rsidRDefault="00082263" w:rsidP="00D1492E">
            <w:pPr>
              <w:pStyle w:val="Prraforproyecto"/>
              <w:jc w:val="left"/>
              <w:rPr>
                <w:sz w:val="20"/>
                <w:szCs w:val="20"/>
              </w:rPr>
            </w:pPr>
            <w:r w:rsidRPr="00845B00">
              <w:rPr>
                <w:sz w:val="20"/>
                <w:szCs w:val="20"/>
              </w:rPr>
              <w:t>México Landing</w:t>
            </w:r>
            <w:r w:rsidR="001C133B" w:rsidRPr="00845B00">
              <w:rPr>
                <w:rStyle w:val="Refdenotaalpie"/>
                <w:sz w:val="20"/>
                <w:szCs w:val="20"/>
              </w:rPr>
              <w:footnoteReference w:id="5"/>
            </w:r>
          </w:p>
        </w:tc>
        <w:tc>
          <w:tcPr>
            <w:tcW w:w="1950" w:type="pct"/>
            <w:vAlign w:val="center"/>
          </w:tcPr>
          <w:p w14:paraId="46632FBE" w14:textId="6E50B3DF" w:rsidR="00D05BA6" w:rsidRPr="00845B00" w:rsidRDefault="00D05BA6" w:rsidP="00D1492E">
            <w:pPr>
              <w:pStyle w:val="Prraforproyecto"/>
              <w:jc w:val="left"/>
              <w:rPr>
                <w:sz w:val="20"/>
                <w:szCs w:val="20"/>
                <w:lang w:val="en-US"/>
              </w:rPr>
            </w:pPr>
            <w:r w:rsidRPr="00845B00">
              <w:rPr>
                <w:sz w:val="20"/>
                <w:szCs w:val="20"/>
                <w:lang w:val="en-US"/>
              </w:rPr>
              <w:t xml:space="preserve">GC </w:t>
            </w:r>
            <w:proofErr w:type="spellStart"/>
            <w:r w:rsidRPr="00845B00">
              <w:rPr>
                <w:sz w:val="20"/>
                <w:szCs w:val="20"/>
                <w:lang w:val="en-US"/>
              </w:rPr>
              <w:t>Impsat</w:t>
            </w:r>
            <w:proofErr w:type="spellEnd"/>
            <w:r w:rsidRPr="00845B00">
              <w:rPr>
                <w:sz w:val="20"/>
                <w:szCs w:val="20"/>
                <w:lang w:val="en-US"/>
              </w:rPr>
              <w:t xml:space="preserve"> Holdings II, </w:t>
            </w:r>
            <w:proofErr w:type="spellStart"/>
            <w:r w:rsidRPr="00845B00">
              <w:rPr>
                <w:sz w:val="20"/>
                <w:szCs w:val="20"/>
                <w:lang w:val="en-US"/>
              </w:rPr>
              <w:t>Ldt</w:t>
            </w:r>
            <w:proofErr w:type="spellEnd"/>
            <w:r w:rsidR="00845B00">
              <w:rPr>
                <w:sz w:val="20"/>
                <w:szCs w:val="20"/>
                <w:lang w:val="en-US"/>
              </w:rPr>
              <w:t xml:space="preserve"> </w:t>
            </w:r>
            <w:r w:rsidRPr="00845B00">
              <w:rPr>
                <w:sz w:val="20"/>
                <w:szCs w:val="20"/>
                <w:lang w:val="en-US"/>
              </w:rPr>
              <w:t>99.99</w:t>
            </w:r>
          </w:p>
          <w:p w14:paraId="662B5FB7" w14:textId="6FEE5211" w:rsidR="003256B8" w:rsidRPr="00845B00" w:rsidRDefault="00D05BA6" w:rsidP="00D1492E">
            <w:pPr>
              <w:pStyle w:val="Prraforproyecto"/>
              <w:jc w:val="left"/>
              <w:rPr>
                <w:sz w:val="20"/>
                <w:szCs w:val="20"/>
                <w:lang w:val="es-MX"/>
              </w:rPr>
            </w:pPr>
            <w:proofErr w:type="spellStart"/>
            <w:r w:rsidRPr="00845B00">
              <w:rPr>
                <w:sz w:val="20"/>
                <w:szCs w:val="20"/>
              </w:rPr>
              <w:t>Level</w:t>
            </w:r>
            <w:proofErr w:type="spellEnd"/>
            <w:r w:rsidRPr="00845B00">
              <w:rPr>
                <w:sz w:val="20"/>
                <w:szCs w:val="20"/>
              </w:rPr>
              <w:t xml:space="preserve"> 3 </w:t>
            </w:r>
            <w:proofErr w:type="spellStart"/>
            <w:r w:rsidRPr="00845B00">
              <w:rPr>
                <w:sz w:val="20"/>
                <w:szCs w:val="20"/>
              </w:rPr>
              <w:t>Panama</w:t>
            </w:r>
            <w:proofErr w:type="spellEnd"/>
            <w:r w:rsidRPr="00845B00">
              <w:rPr>
                <w:sz w:val="20"/>
                <w:szCs w:val="20"/>
              </w:rPr>
              <w:t xml:space="preserve"> Inc.</w:t>
            </w:r>
            <w:r w:rsidR="00845B00">
              <w:rPr>
                <w:sz w:val="20"/>
                <w:szCs w:val="20"/>
              </w:rPr>
              <w:t xml:space="preserve"> </w:t>
            </w:r>
            <w:proofErr w:type="spellStart"/>
            <w:r w:rsidRPr="00845B00">
              <w:rPr>
                <w:sz w:val="20"/>
                <w:szCs w:val="20"/>
              </w:rPr>
              <w:t>n.s.</w:t>
            </w:r>
            <w:proofErr w:type="spellEnd"/>
          </w:p>
          <w:p w14:paraId="2903EB90" w14:textId="24CF3DE1" w:rsidR="00082263" w:rsidRPr="00845B00" w:rsidRDefault="003256B8" w:rsidP="00D1492E">
            <w:pPr>
              <w:pStyle w:val="Prraforproyecto"/>
              <w:jc w:val="left"/>
              <w:rPr>
                <w:sz w:val="20"/>
                <w:szCs w:val="20"/>
              </w:rPr>
            </w:pPr>
            <w:r w:rsidRPr="00845B00">
              <w:rPr>
                <w:sz w:val="20"/>
                <w:szCs w:val="20"/>
              </w:rPr>
              <w:t>México II,</w:t>
            </w:r>
            <w:r w:rsidR="00845B00">
              <w:rPr>
                <w:sz w:val="20"/>
                <w:szCs w:val="20"/>
              </w:rPr>
              <w:t xml:space="preserve"> </w:t>
            </w:r>
            <w:proofErr w:type="spellStart"/>
            <w:r w:rsidRPr="00845B00">
              <w:rPr>
                <w:sz w:val="20"/>
                <w:szCs w:val="20"/>
              </w:rPr>
              <w:t>n.s.</w:t>
            </w:r>
            <w:proofErr w:type="spellEnd"/>
          </w:p>
        </w:tc>
        <w:tc>
          <w:tcPr>
            <w:tcW w:w="2095" w:type="pct"/>
            <w:vAlign w:val="center"/>
          </w:tcPr>
          <w:p w14:paraId="1670C55D" w14:textId="77777777" w:rsidR="003C742D" w:rsidRPr="00845B00" w:rsidRDefault="003C742D" w:rsidP="00D1492E">
            <w:pPr>
              <w:pStyle w:val="Prraforproyecto"/>
              <w:rPr>
                <w:sz w:val="20"/>
                <w:szCs w:val="20"/>
              </w:rPr>
            </w:pPr>
            <w:r w:rsidRPr="00845B00">
              <w:rPr>
                <w:sz w:val="20"/>
                <w:szCs w:val="20"/>
              </w:rPr>
              <w:t>Tenedora de una concesión única</w:t>
            </w:r>
            <w:r w:rsidR="0032414F" w:rsidRPr="00845B00">
              <w:rPr>
                <w:sz w:val="20"/>
                <w:szCs w:val="20"/>
              </w:rPr>
              <w:t xml:space="preserve"> otorgada en noviembre de dos mil dieciséis</w:t>
            </w:r>
            <w:r w:rsidRPr="00845B00">
              <w:rPr>
                <w:sz w:val="20"/>
                <w:szCs w:val="20"/>
              </w:rPr>
              <w:t>.</w:t>
            </w:r>
          </w:p>
          <w:p w14:paraId="7F503049" w14:textId="2E147793" w:rsidR="00082263" w:rsidRPr="00845B00" w:rsidRDefault="00082263" w:rsidP="00D1492E">
            <w:pPr>
              <w:pStyle w:val="Prraforproyecto"/>
              <w:rPr>
                <w:sz w:val="20"/>
                <w:szCs w:val="20"/>
              </w:rPr>
            </w:pPr>
            <w:r w:rsidRPr="00845B00">
              <w:rPr>
                <w:sz w:val="20"/>
                <w:szCs w:val="20"/>
              </w:rPr>
              <w:t xml:space="preserve">Provee </w:t>
            </w:r>
            <w:r w:rsidR="00404EBF" w:rsidRPr="00845B00">
              <w:rPr>
                <w:sz w:val="20"/>
                <w:szCs w:val="20"/>
              </w:rPr>
              <w:t xml:space="preserve">los siguientes </w:t>
            </w:r>
            <w:r w:rsidRPr="00845B00">
              <w:rPr>
                <w:sz w:val="20"/>
                <w:szCs w:val="20"/>
              </w:rPr>
              <w:t xml:space="preserve">servicios a operadores y usuarios de redes de </w:t>
            </w:r>
            <w:r w:rsidRPr="00845B00">
              <w:rPr>
                <w:sz w:val="20"/>
                <w:szCs w:val="20"/>
              </w:rPr>
              <w:lastRenderedPageBreak/>
              <w:t>telecomunicaciones</w:t>
            </w:r>
            <w:r w:rsidR="00404EBF" w:rsidRPr="00845B00">
              <w:rPr>
                <w:sz w:val="20"/>
                <w:szCs w:val="20"/>
              </w:rPr>
              <w:t>: acceso a internet fijo; enlaces dedicados; provisión de capacidad; conectividad de negocios; hospedaje o alojamiento de datos e información; distribución de contenido, y conectividad internacional vía cable submarino.</w:t>
            </w:r>
          </w:p>
        </w:tc>
      </w:tr>
      <w:tr w:rsidR="00082263" w:rsidRPr="00845B00" w14:paraId="2FA80132" w14:textId="77777777" w:rsidTr="00D1492E">
        <w:trPr>
          <w:trHeight w:val="19"/>
        </w:trPr>
        <w:tc>
          <w:tcPr>
            <w:tcW w:w="955" w:type="pct"/>
            <w:vAlign w:val="center"/>
          </w:tcPr>
          <w:p w14:paraId="7ACC2059" w14:textId="77777777" w:rsidR="00082263" w:rsidRPr="00845B00" w:rsidRDefault="00082263" w:rsidP="00D1492E">
            <w:pPr>
              <w:pStyle w:val="Prraforproyecto"/>
              <w:keepNext/>
              <w:jc w:val="left"/>
              <w:rPr>
                <w:sz w:val="20"/>
                <w:szCs w:val="20"/>
              </w:rPr>
            </w:pPr>
            <w:r w:rsidRPr="00845B00">
              <w:rPr>
                <w:sz w:val="20"/>
                <w:szCs w:val="20"/>
              </w:rPr>
              <w:lastRenderedPageBreak/>
              <w:t>México Servicios</w:t>
            </w:r>
          </w:p>
        </w:tc>
        <w:tc>
          <w:tcPr>
            <w:tcW w:w="1950" w:type="pct"/>
            <w:vAlign w:val="center"/>
          </w:tcPr>
          <w:p w14:paraId="3D85A333" w14:textId="77777777" w:rsidR="00D1492E" w:rsidRDefault="00082263" w:rsidP="00D1492E">
            <w:pPr>
              <w:pStyle w:val="Prraforproyecto"/>
              <w:keepNext/>
              <w:jc w:val="left"/>
              <w:rPr>
                <w:b/>
                <w:color w:val="0000CC"/>
                <w:sz w:val="19"/>
                <w:szCs w:val="19"/>
              </w:rPr>
            </w:pPr>
            <w:r w:rsidRPr="00845B00">
              <w:rPr>
                <w:sz w:val="20"/>
                <w:szCs w:val="20"/>
                <w:lang w:val="en-US"/>
              </w:rPr>
              <w:t xml:space="preserve">GC </w:t>
            </w:r>
            <w:proofErr w:type="spellStart"/>
            <w:r w:rsidR="003256B8" w:rsidRPr="00845B00">
              <w:rPr>
                <w:sz w:val="20"/>
                <w:szCs w:val="20"/>
                <w:lang w:val="en-US"/>
              </w:rPr>
              <w:t>Impsat</w:t>
            </w:r>
            <w:proofErr w:type="spellEnd"/>
            <w:r w:rsidR="003256B8" w:rsidRPr="00845B00">
              <w:rPr>
                <w:sz w:val="20"/>
                <w:szCs w:val="20"/>
                <w:lang w:val="en-US"/>
              </w:rPr>
              <w:t xml:space="preserve"> Holdings II, </w:t>
            </w:r>
            <w:proofErr w:type="spellStart"/>
            <w:r w:rsidR="003256B8" w:rsidRPr="00845B00">
              <w:rPr>
                <w:sz w:val="20"/>
                <w:szCs w:val="20"/>
                <w:lang w:val="en-US"/>
              </w:rPr>
              <w:t>Ldt</w:t>
            </w:r>
            <w:proofErr w:type="spellEnd"/>
            <w:r w:rsidR="00845B00">
              <w:rPr>
                <w:sz w:val="20"/>
                <w:szCs w:val="20"/>
                <w:lang w:val="en-US"/>
              </w:rPr>
              <w:t xml:space="preserve"> </w:t>
            </w:r>
            <w:r w:rsidR="00BC13A6" w:rsidRPr="002B05D3">
              <w:rPr>
                <w:b/>
                <w:color w:val="0000CC"/>
                <w:sz w:val="19"/>
                <w:szCs w:val="19"/>
              </w:rPr>
              <w:t>“CONFIDENCIAL POR LEY”</w:t>
            </w:r>
          </w:p>
          <w:p w14:paraId="0401DE09" w14:textId="4AD2B9C9" w:rsidR="00082263" w:rsidRPr="00845B00" w:rsidRDefault="003256B8" w:rsidP="00D1492E">
            <w:pPr>
              <w:pStyle w:val="Prraforproyecto"/>
              <w:keepNext/>
              <w:jc w:val="left"/>
              <w:rPr>
                <w:sz w:val="20"/>
                <w:szCs w:val="20"/>
              </w:rPr>
            </w:pPr>
            <w:r w:rsidRPr="00845B00">
              <w:rPr>
                <w:sz w:val="20"/>
                <w:szCs w:val="20"/>
                <w:lang w:val="en-US"/>
              </w:rPr>
              <w:t>Level 3 Panama Inc.</w:t>
            </w:r>
            <w:r w:rsidR="00845B00">
              <w:rPr>
                <w:sz w:val="20"/>
                <w:szCs w:val="20"/>
                <w:lang w:val="en-US"/>
              </w:rPr>
              <w:t xml:space="preserve"> </w:t>
            </w:r>
            <w:r w:rsidR="00BC13A6" w:rsidRPr="002B05D3">
              <w:rPr>
                <w:b/>
                <w:color w:val="0000CC"/>
                <w:sz w:val="19"/>
                <w:szCs w:val="19"/>
              </w:rPr>
              <w:t>“CONFIDENCIAL POR LEY”</w:t>
            </w:r>
          </w:p>
        </w:tc>
        <w:tc>
          <w:tcPr>
            <w:tcW w:w="2095" w:type="pct"/>
            <w:vAlign w:val="center"/>
          </w:tcPr>
          <w:p w14:paraId="56AFC1BB" w14:textId="77777777" w:rsidR="00082263" w:rsidRPr="00845B00" w:rsidRDefault="00082263" w:rsidP="00D1492E">
            <w:pPr>
              <w:pStyle w:val="Prraforproyecto"/>
              <w:keepNext/>
              <w:rPr>
                <w:sz w:val="20"/>
                <w:szCs w:val="20"/>
              </w:rPr>
            </w:pPr>
            <w:r w:rsidRPr="00845B00">
              <w:rPr>
                <w:sz w:val="20"/>
                <w:szCs w:val="20"/>
              </w:rPr>
              <w:t>Servicios de gestión, asistencia técnica, investigación, recursos humanos, supervisión, consultoría, publicidad, desarrollo comercial, ventas, organización y otros servicios en beneficio de las subsidiarias mexicanas de Level 3.</w:t>
            </w:r>
          </w:p>
        </w:tc>
      </w:tr>
    </w:tbl>
    <w:p w14:paraId="264C99E3" w14:textId="680785EE" w:rsidR="00D97A90" w:rsidRPr="00845B00" w:rsidRDefault="003256B8" w:rsidP="00E41E4D">
      <w:pPr>
        <w:pStyle w:val="Prraforproyecto"/>
      </w:pPr>
      <w:r w:rsidRPr="00845B00">
        <w:t>*</w:t>
      </w:r>
      <w:proofErr w:type="spellStart"/>
      <w:r w:rsidRPr="00845B00">
        <w:t>n.s.</w:t>
      </w:r>
      <w:proofErr w:type="spellEnd"/>
      <w:r w:rsidRPr="00845B00">
        <w:t xml:space="preserve"> No significativa</w:t>
      </w:r>
    </w:p>
    <w:p w14:paraId="63B8576E" w14:textId="77777777" w:rsidR="00E814FF" w:rsidRPr="00845B00" w:rsidRDefault="00E814FF" w:rsidP="00E41E4D">
      <w:pPr>
        <w:pStyle w:val="Prraforproyecto"/>
      </w:pPr>
      <w:r w:rsidRPr="00845B00">
        <w:t xml:space="preserve">Como resultado de la Operación, no se modificará directamente la estructura </w:t>
      </w:r>
      <w:r w:rsidR="003C742D" w:rsidRPr="00845B00">
        <w:t xml:space="preserve">accionaria </w:t>
      </w:r>
      <w:r w:rsidRPr="00845B00">
        <w:t xml:space="preserve">de </w:t>
      </w:r>
      <w:r w:rsidR="00AE1F45" w:rsidRPr="00845B00">
        <w:t>las subsidiarias de Level 3</w:t>
      </w:r>
      <w:r w:rsidRPr="00845B00">
        <w:t xml:space="preserve"> en México</w:t>
      </w:r>
      <w:r w:rsidR="00D97A90" w:rsidRPr="00845B00">
        <w:t>. Son sus accionistas directas (</w:t>
      </w:r>
      <w:r w:rsidR="00D97A90" w:rsidRPr="00845B00">
        <w:rPr>
          <w:lang w:val="es-MX"/>
        </w:rPr>
        <w:t xml:space="preserve">GC </w:t>
      </w:r>
      <w:proofErr w:type="spellStart"/>
      <w:r w:rsidR="00D97A90" w:rsidRPr="00845B00">
        <w:rPr>
          <w:lang w:val="es-MX"/>
        </w:rPr>
        <w:t>Impsat</w:t>
      </w:r>
      <w:proofErr w:type="spellEnd"/>
      <w:r w:rsidR="00D97A90" w:rsidRPr="00845B00">
        <w:rPr>
          <w:lang w:val="es-MX"/>
        </w:rPr>
        <w:t xml:space="preserve"> Holdings II, </w:t>
      </w:r>
      <w:proofErr w:type="spellStart"/>
      <w:r w:rsidR="00D97A90" w:rsidRPr="00845B00">
        <w:rPr>
          <w:lang w:val="es-MX"/>
        </w:rPr>
        <w:t>Ldt</w:t>
      </w:r>
      <w:proofErr w:type="spellEnd"/>
      <w:r w:rsidR="006A79CF" w:rsidRPr="00845B00">
        <w:rPr>
          <w:lang w:val="es-MX"/>
        </w:rPr>
        <w:t xml:space="preserve"> y </w:t>
      </w:r>
      <w:proofErr w:type="spellStart"/>
      <w:r w:rsidR="00D97A90" w:rsidRPr="00845B00">
        <w:rPr>
          <w:lang w:val="es-MX"/>
        </w:rPr>
        <w:t>Level</w:t>
      </w:r>
      <w:proofErr w:type="spellEnd"/>
      <w:r w:rsidR="00D97A90" w:rsidRPr="00845B00">
        <w:rPr>
          <w:lang w:val="es-MX"/>
        </w:rPr>
        <w:t xml:space="preserve"> 3 </w:t>
      </w:r>
      <w:proofErr w:type="spellStart"/>
      <w:r w:rsidR="00D97A90" w:rsidRPr="00845B00">
        <w:rPr>
          <w:lang w:val="es-MX"/>
        </w:rPr>
        <w:t>Panama</w:t>
      </w:r>
      <w:proofErr w:type="spellEnd"/>
      <w:r w:rsidR="00D97A90" w:rsidRPr="00845B00">
        <w:rPr>
          <w:lang w:val="es-MX"/>
        </w:rPr>
        <w:t xml:space="preserve"> Inc.</w:t>
      </w:r>
      <w:r w:rsidR="00D97A90" w:rsidRPr="00845B00">
        <w:t xml:space="preserve">) las que </w:t>
      </w:r>
      <w:r w:rsidRPr="00845B00">
        <w:t>se volver</w:t>
      </w:r>
      <w:r w:rsidR="00AE1F45" w:rsidRPr="00845B00">
        <w:t>án subsidiarias de CenturyLink</w:t>
      </w:r>
      <w:r w:rsidRPr="00845B00">
        <w:t>.</w:t>
      </w:r>
    </w:p>
    <w:p w14:paraId="31FEF91E" w14:textId="77777777" w:rsidR="00AE1F45" w:rsidRPr="00845B00" w:rsidRDefault="006A79CF" w:rsidP="00AE1F45">
      <w:pPr>
        <w:jc w:val="both"/>
        <w:rPr>
          <w:rFonts w:ascii="ITC Avant Garde" w:hAnsi="ITC Avant Garde"/>
        </w:rPr>
      </w:pPr>
      <w:r w:rsidRPr="00845B00">
        <w:rPr>
          <w:rFonts w:ascii="ITC Avant Garde" w:hAnsi="ITC Avant Garde"/>
        </w:rPr>
        <w:t>En el Cuadro 2</w:t>
      </w:r>
      <w:r w:rsidR="00AE1F45" w:rsidRPr="00845B00">
        <w:rPr>
          <w:rFonts w:ascii="ITC Avant Garde" w:hAnsi="ITC Avant Garde"/>
        </w:rPr>
        <w:t xml:space="preserve"> se presentan los activos y las ventas </w:t>
      </w:r>
      <w:r w:rsidR="00F02F21" w:rsidRPr="00845B00">
        <w:rPr>
          <w:rFonts w:ascii="ITC Avant Garde" w:hAnsi="ITC Avant Garde"/>
        </w:rPr>
        <w:t xml:space="preserve">anuales </w:t>
      </w:r>
      <w:r w:rsidR="00AE1F45" w:rsidRPr="00845B00">
        <w:rPr>
          <w:rFonts w:ascii="ITC Avant Garde" w:hAnsi="ITC Avant Garde"/>
        </w:rPr>
        <w:t xml:space="preserve">reportadas </w:t>
      </w:r>
      <w:r w:rsidRPr="00845B00">
        <w:rPr>
          <w:rFonts w:ascii="ITC Avant Garde" w:hAnsi="ITC Avant Garde"/>
        </w:rPr>
        <w:t xml:space="preserve">al mes de agosto del año dos mil dieciséis </w:t>
      </w:r>
      <w:r w:rsidR="00AE1F45" w:rsidRPr="00845B00">
        <w:rPr>
          <w:rFonts w:ascii="ITC Avant Garde" w:hAnsi="ITC Avant Garde"/>
        </w:rPr>
        <w:t>para las subsidiarias de Level 3 en México.</w:t>
      </w:r>
    </w:p>
    <w:p w14:paraId="1DA7CBCB" w14:textId="2AEB50C3" w:rsidR="00AE1F45" w:rsidRPr="00845B00" w:rsidRDefault="00400078" w:rsidP="008A425C">
      <w:pPr>
        <w:keepNext/>
        <w:spacing w:after="0" w:line="240" w:lineRule="auto"/>
        <w:jc w:val="center"/>
        <w:rPr>
          <w:rFonts w:ascii="ITC Avant Garde" w:hAnsi="ITC Avant Garde"/>
          <w:b/>
        </w:rPr>
      </w:pPr>
      <w:r w:rsidRPr="00845B00">
        <w:rPr>
          <w:rFonts w:ascii="ITC Avant Garde" w:hAnsi="ITC Avant Garde"/>
          <w:b/>
        </w:rPr>
        <w:t>Cuadro</w:t>
      </w:r>
      <w:r w:rsidR="001F6594" w:rsidRPr="00845B00">
        <w:rPr>
          <w:rFonts w:ascii="ITC Avant Garde" w:hAnsi="ITC Avant Garde"/>
          <w:b/>
        </w:rPr>
        <w:t xml:space="preserve"> 2</w:t>
      </w:r>
      <w:r w:rsidR="00AE1F45" w:rsidRPr="00845B00">
        <w:rPr>
          <w:rFonts w:ascii="ITC Avant Garde" w:hAnsi="ITC Avant Garde"/>
          <w:b/>
        </w:rPr>
        <w:t xml:space="preserve">. Activos y ventas anuales de las subsidiarias de </w:t>
      </w:r>
      <w:r w:rsidR="000F6968" w:rsidRPr="00845B00">
        <w:rPr>
          <w:rFonts w:ascii="ITC Avant Garde" w:hAnsi="ITC Avant Garde"/>
          <w:b/>
        </w:rPr>
        <w:t xml:space="preserve">Level 3 </w:t>
      </w:r>
      <w:r w:rsidR="00AE1F45" w:rsidRPr="00845B00">
        <w:rPr>
          <w:rFonts w:ascii="ITC Avant Garde" w:hAnsi="ITC Avant Garde"/>
          <w:b/>
        </w:rPr>
        <w:t>en México</w:t>
      </w:r>
      <w:r w:rsidR="00352B43" w:rsidRPr="00845B00">
        <w:rPr>
          <w:rFonts w:ascii="ITC Avant Garde" w:hAnsi="ITC Avant Garde"/>
          <w:b/>
        </w:rPr>
        <w:t xml:space="preserve"> </w:t>
      </w:r>
      <w:r w:rsidR="00105EB3" w:rsidRPr="00845B00">
        <w:rPr>
          <w:rFonts w:ascii="ITC Avant Garde" w:hAnsi="ITC Avant Garde"/>
          <w:b/>
        </w:rPr>
        <w:t xml:space="preserve">del </w:t>
      </w:r>
      <w:r w:rsidR="00964D86" w:rsidRPr="00845B00">
        <w:rPr>
          <w:rFonts w:ascii="ITC Avant Garde" w:hAnsi="ITC Avant Garde"/>
          <w:b/>
        </w:rPr>
        <w:t>3</w:t>
      </w:r>
      <w:r w:rsidR="00105EB3" w:rsidRPr="00845B00">
        <w:rPr>
          <w:rFonts w:ascii="ITC Avant Garde" w:hAnsi="ITC Avant Garde"/>
          <w:b/>
        </w:rPr>
        <w:t xml:space="preserve">1 de </w:t>
      </w:r>
      <w:r w:rsidR="00964D86" w:rsidRPr="00845B00">
        <w:rPr>
          <w:rFonts w:ascii="ITC Avant Garde" w:hAnsi="ITC Avant Garde"/>
          <w:b/>
        </w:rPr>
        <w:t>agosto</w:t>
      </w:r>
      <w:r w:rsidR="00105EB3" w:rsidRPr="00845B00">
        <w:rPr>
          <w:rFonts w:ascii="ITC Avant Garde" w:hAnsi="ITC Avant Garde"/>
          <w:b/>
        </w:rPr>
        <w:t xml:space="preserve"> de 201</w:t>
      </w:r>
      <w:r w:rsidR="00964D86" w:rsidRPr="00845B00">
        <w:rPr>
          <w:rFonts w:ascii="ITC Avant Garde" w:hAnsi="ITC Avant Garde"/>
          <w:b/>
        </w:rPr>
        <w:t>5</w:t>
      </w:r>
      <w:r w:rsidR="00105EB3" w:rsidRPr="00845B00">
        <w:rPr>
          <w:rFonts w:ascii="ITC Avant Garde" w:hAnsi="ITC Avant Garde"/>
          <w:b/>
        </w:rPr>
        <w:t xml:space="preserve"> </w:t>
      </w:r>
      <w:r w:rsidR="00352B43" w:rsidRPr="00845B00">
        <w:rPr>
          <w:rFonts w:ascii="ITC Avant Garde" w:hAnsi="ITC Avant Garde"/>
          <w:b/>
        </w:rPr>
        <w:t xml:space="preserve">al </w:t>
      </w:r>
      <w:r w:rsidR="002C165A" w:rsidRPr="00845B00">
        <w:rPr>
          <w:rFonts w:ascii="ITC Avant Garde" w:hAnsi="ITC Avant Garde"/>
          <w:b/>
        </w:rPr>
        <w:t>3</w:t>
      </w:r>
      <w:r w:rsidR="00352B43" w:rsidRPr="00845B00">
        <w:rPr>
          <w:rFonts w:ascii="ITC Avant Garde" w:hAnsi="ITC Avant Garde"/>
          <w:b/>
        </w:rPr>
        <w:t>1 de Agosto de 2016</w:t>
      </w:r>
      <w:r w:rsidR="00AE1F45" w:rsidRPr="00845B00">
        <w:rPr>
          <w:rFonts w:ascii="ITC Avant Garde" w:hAnsi="ITC Avant Garde"/>
          <w:b/>
        </w:rPr>
        <w:t xml:space="preserve"> (Millones de pesos)</w:t>
      </w:r>
    </w:p>
    <w:tbl>
      <w:tblPr>
        <w:tblStyle w:val="Tablaconcuadrcula1"/>
        <w:tblW w:w="4975" w:type="pct"/>
        <w:tblLook w:val="04A0" w:firstRow="1" w:lastRow="0" w:firstColumn="1" w:lastColumn="0" w:noHBand="0" w:noVBand="1"/>
        <w:tblCaption w:val="Activos y ventas anuales de las subsidiarias de Level 3 en México del 31 de agosto de 2015 al 31 de Agosto de 2016 (Millones de pesos)"/>
        <w:tblDescription w:val="En una tala se proporiconan los activos y ventas anuales de las subsidiarias de Level 3 en México del 31 de agosto de 2015 al 31 de Agosto de 2016, en millones de pesos. Pero los valores son información &quot;CONFIDENCIAL POR LEY&quot;"/>
      </w:tblPr>
      <w:tblGrid>
        <w:gridCol w:w="4896"/>
        <w:gridCol w:w="2271"/>
        <w:gridCol w:w="2131"/>
      </w:tblGrid>
      <w:tr w:rsidR="00D1492E" w:rsidRPr="00D1492E" w14:paraId="7BE4718D" w14:textId="77777777" w:rsidTr="00D1492E">
        <w:trPr>
          <w:trHeight w:val="19"/>
          <w:tblHeader/>
        </w:trPr>
        <w:tc>
          <w:tcPr>
            <w:tcW w:w="2633" w:type="pct"/>
            <w:shd w:val="clear" w:color="auto" w:fill="70AD47" w:themeFill="accent6"/>
          </w:tcPr>
          <w:p w14:paraId="4941E0B2" w14:textId="77777777" w:rsidR="00AE1F45" w:rsidRPr="00D1492E" w:rsidRDefault="00AE1F45" w:rsidP="008A425C">
            <w:pPr>
              <w:spacing w:after="0" w:line="240" w:lineRule="auto"/>
              <w:jc w:val="center"/>
              <w:rPr>
                <w:rFonts w:ascii="ITC Avant Garde" w:hAnsi="ITC Avant Garde"/>
                <w:b/>
                <w:i/>
                <w:sz w:val="20"/>
              </w:rPr>
            </w:pPr>
            <w:r w:rsidRPr="00D1492E">
              <w:rPr>
                <w:rFonts w:ascii="ITC Avant Garde" w:hAnsi="ITC Avant Garde"/>
                <w:b/>
                <w:sz w:val="20"/>
              </w:rPr>
              <w:t>Subsidiarias</w:t>
            </w:r>
          </w:p>
        </w:tc>
        <w:tc>
          <w:tcPr>
            <w:tcW w:w="1221" w:type="pct"/>
            <w:shd w:val="clear" w:color="auto" w:fill="70AD47" w:themeFill="accent6"/>
          </w:tcPr>
          <w:p w14:paraId="7F55DE1C" w14:textId="77777777" w:rsidR="00AE1F45" w:rsidRPr="00D1492E" w:rsidRDefault="00AE1F45" w:rsidP="008A425C">
            <w:pPr>
              <w:spacing w:after="0" w:line="240" w:lineRule="auto"/>
              <w:jc w:val="center"/>
              <w:rPr>
                <w:rFonts w:ascii="ITC Avant Garde" w:hAnsi="ITC Avant Garde"/>
                <w:b/>
                <w:i/>
                <w:sz w:val="20"/>
              </w:rPr>
            </w:pPr>
            <w:r w:rsidRPr="00D1492E">
              <w:rPr>
                <w:rFonts w:ascii="ITC Avant Garde" w:hAnsi="ITC Avant Garde"/>
                <w:b/>
                <w:sz w:val="20"/>
              </w:rPr>
              <w:t>Activos</w:t>
            </w:r>
          </w:p>
        </w:tc>
        <w:tc>
          <w:tcPr>
            <w:tcW w:w="1146" w:type="pct"/>
            <w:shd w:val="clear" w:color="auto" w:fill="70AD47" w:themeFill="accent6"/>
          </w:tcPr>
          <w:p w14:paraId="1C36C306" w14:textId="77777777" w:rsidR="00AE1F45" w:rsidRPr="00D1492E" w:rsidRDefault="00AE1F45" w:rsidP="008A425C">
            <w:pPr>
              <w:spacing w:after="0" w:line="240" w:lineRule="auto"/>
              <w:jc w:val="center"/>
              <w:rPr>
                <w:rFonts w:ascii="ITC Avant Garde" w:hAnsi="ITC Avant Garde"/>
                <w:b/>
                <w:i/>
                <w:sz w:val="20"/>
              </w:rPr>
            </w:pPr>
            <w:r w:rsidRPr="00D1492E">
              <w:rPr>
                <w:rFonts w:ascii="ITC Avant Garde" w:hAnsi="ITC Avant Garde"/>
                <w:b/>
                <w:sz w:val="20"/>
              </w:rPr>
              <w:t>Ventas</w:t>
            </w:r>
          </w:p>
        </w:tc>
      </w:tr>
      <w:tr w:rsidR="0093250B" w:rsidRPr="00845B00" w14:paraId="043ECC11" w14:textId="77777777" w:rsidTr="00D1492E">
        <w:trPr>
          <w:trHeight w:val="19"/>
        </w:trPr>
        <w:tc>
          <w:tcPr>
            <w:tcW w:w="2633" w:type="pct"/>
          </w:tcPr>
          <w:p w14:paraId="05E52D28" w14:textId="77777777" w:rsidR="0093250B" w:rsidRPr="00845B00" w:rsidRDefault="00F02F21" w:rsidP="008A425C">
            <w:pPr>
              <w:spacing w:after="0" w:line="240" w:lineRule="auto"/>
              <w:rPr>
                <w:rFonts w:ascii="ITC Avant Garde" w:hAnsi="ITC Avant Garde"/>
                <w:i/>
                <w:sz w:val="20"/>
                <w:szCs w:val="20"/>
                <w:lang w:eastAsia="es-ES"/>
              </w:rPr>
            </w:pPr>
            <w:proofErr w:type="spellStart"/>
            <w:r w:rsidRPr="00845B00">
              <w:rPr>
                <w:rFonts w:ascii="ITC Avant Garde" w:hAnsi="ITC Avant Garde"/>
                <w:sz w:val="20"/>
                <w:szCs w:val="20"/>
              </w:rPr>
              <w:t>Level</w:t>
            </w:r>
            <w:proofErr w:type="spellEnd"/>
            <w:r w:rsidRPr="00845B00">
              <w:rPr>
                <w:rFonts w:ascii="ITC Avant Garde" w:hAnsi="ITC Avant Garde"/>
                <w:sz w:val="20"/>
                <w:szCs w:val="20"/>
              </w:rPr>
              <w:t xml:space="preserve"> 3 México S. de R.L. de C.V.*</w:t>
            </w:r>
          </w:p>
        </w:tc>
        <w:tc>
          <w:tcPr>
            <w:tcW w:w="1221" w:type="pct"/>
          </w:tcPr>
          <w:p w14:paraId="4401FF9E" w14:textId="44BEC0B8" w:rsidR="0093250B" w:rsidRPr="00BC13A6" w:rsidRDefault="00BC13A6" w:rsidP="008A425C">
            <w:pPr>
              <w:spacing w:after="0" w:line="240" w:lineRule="auto"/>
              <w:jc w:val="center"/>
              <w:rPr>
                <w:rFonts w:ascii="ITC Avant Garde" w:hAnsi="ITC Avant Garde"/>
                <w:sz w:val="16"/>
                <w:szCs w:val="16"/>
                <w:highlight w:val="red"/>
              </w:rPr>
            </w:pPr>
            <w:r w:rsidRPr="00BC13A6">
              <w:rPr>
                <w:rFonts w:eastAsia="Times New Roman"/>
                <w:b/>
                <w:bCs/>
                <w:color w:val="0000CC"/>
                <w:sz w:val="16"/>
                <w:szCs w:val="16"/>
                <w:lang w:eastAsia="es-MX"/>
              </w:rPr>
              <w:t>“CONFIDENCIAL POR LEY”</w:t>
            </w:r>
          </w:p>
        </w:tc>
        <w:tc>
          <w:tcPr>
            <w:tcW w:w="1146" w:type="pct"/>
          </w:tcPr>
          <w:p w14:paraId="1BB8310F" w14:textId="2080D827" w:rsidR="0093250B" w:rsidRPr="00BC13A6" w:rsidRDefault="00BC13A6" w:rsidP="008A425C">
            <w:pPr>
              <w:spacing w:after="0" w:line="240" w:lineRule="auto"/>
              <w:jc w:val="center"/>
              <w:rPr>
                <w:rFonts w:ascii="ITC Avant Garde" w:hAnsi="ITC Avant Garde"/>
                <w:sz w:val="16"/>
                <w:szCs w:val="16"/>
                <w:highlight w:val="red"/>
              </w:rPr>
            </w:pPr>
            <w:r w:rsidRPr="00BC13A6">
              <w:rPr>
                <w:rFonts w:eastAsia="Times New Roman"/>
                <w:b/>
                <w:bCs/>
                <w:color w:val="0000CC"/>
                <w:sz w:val="16"/>
                <w:szCs w:val="16"/>
                <w:lang w:eastAsia="es-MX"/>
              </w:rPr>
              <w:t>“CONFIDENCIAL POR LEY”</w:t>
            </w:r>
          </w:p>
        </w:tc>
      </w:tr>
      <w:tr w:rsidR="00F02F21" w:rsidRPr="00845B00" w14:paraId="34B283D6" w14:textId="77777777" w:rsidTr="00D1492E">
        <w:trPr>
          <w:trHeight w:val="19"/>
        </w:trPr>
        <w:tc>
          <w:tcPr>
            <w:tcW w:w="2633" w:type="pct"/>
          </w:tcPr>
          <w:p w14:paraId="782763D1" w14:textId="77777777" w:rsidR="00F02F21" w:rsidRPr="00845B00" w:rsidRDefault="00F02F21" w:rsidP="008A425C">
            <w:pPr>
              <w:spacing w:after="0" w:line="240" w:lineRule="auto"/>
              <w:rPr>
                <w:rFonts w:ascii="ITC Avant Garde" w:hAnsi="ITC Avant Garde"/>
                <w:sz w:val="20"/>
                <w:szCs w:val="20"/>
              </w:rPr>
            </w:pPr>
            <w:r w:rsidRPr="00845B00">
              <w:rPr>
                <w:rFonts w:ascii="ITC Avant Garde" w:hAnsi="ITC Avant Garde"/>
                <w:sz w:val="20"/>
                <w:szCs w:val="20"/>
              </w:rPr>
              <w:t>México II</w:t>
            </w:r>
          </w:p>
        </w:tc>
        <w:tc>
          <w:tcPr>
            <w:tcW w:w="1221" w:type="pct"/>
          </w:tcPr>
          <w:p w14:paraId="1A2D393F" w14:textId="081513B9" w:rsidR="00F02F21" w:rsidRPr="00BC13A6" w:rsidRDefault="00BC13A6" w:rsidP="008A425C">
            <w:pPr>
              <w:spacing w:after="0" w:line="240" w:lineRule="auto"/>
              <w:jc w:val="center"/>
              <w:rPr>
                <w:rFonts w:ascii="ITC Avant Garde" w:hAnsi="ITC Avant Garde"/>
                <w:sz w:val="16"/>
                <w:szCs w:val="16"/>
                <w:highlight w:val="red"/>
              </w:rPr>
            </w:pPr>
            <w:r w:rsidRPr="00BC13A6">
              <w:rPr>
                <w:rFonts w:eastAsia="Times New Roman"/>
                <w:b/>
                <w:bCs/>
                <w:color w:val="0000CC"/>
                <w:sz w:val="16"/>
                <w:szCs w:val="16"/>
                <w:lang w:eastAsia="es-MX"/>
              </w:rPr>
              <w:t>“CONFIDENCIAL POR LEY”</w:t>
            </w:r>
          </w:p>
        </w:tc>
        <w:tc>
          <w:tcPr>
            <w:tcW w:w="1146" w:type="pct"/>
          </w:tcPr>
          <w:p w14:paraId="53F9E427" w14:textId="004AA9EB" w:rsidR="00F02F21" w:rsidRPr="00BC13A6" w:rsidRDefault="00BC13A6" w:rsidP="008A425C">
            <w:pPr>
              <w:spacing w:after="0" w:line="240" w:lineRule="auto"/>
              <w:jc w:val="center"/>
              <w:rPr>
                <w:rFonts w:ascii="ITC Avant Garde" w:hAnsi="ITC Avant Garde"/>
                <w:sz w:val="16"/>
                <w:szCs w:val="16"/>
                <w:highlight w:val="red"/>
              </w:rPr>
            </w:pPr>
            <w:r w:rsidRPr="00BC13A6">
              <w:rPr>
                <w:rFonts w:eastAsia="Times New Roman"/>
                <w:b/>
                <w:bCs/>
                <w:color w:val="0000CC"/>
                <w:sz w:val="16"/>
                <w:szCs w:val="16"/>
                <w:lang w:eastAsia="es-MX"/>
              </w:rPr>
              <w:t>“CONFIDENCIAL POR LEY”</w:t>
            </w:r>
          </w:p>
        </w:tc>
      </w:tr>
      <w:tr w:rsidR="00F02F21" w:rsidRPr="00845B00" w14:paraId="2B061EA2" w14:textId="77777777" w:rsidTr="00D1492E">
        <w:trPr>
          <w:trHeight w:val="19"/>
        </w:trPr>
        <w:tc>
          <w:tcPr>
            <w:tcW w:w="2633" w:type="pct"/>
          </w:tcPr>
          <w:p w14:paraId="3F787026" w14:textId="77777777" w:rsidR="00F02F21" w:rsidRPr="00845B00" w:rsidRDefault="00F02F21" w:rsidP="008A425C">
            <w:pPr>
              <w:spacing w:after="0" w:line="240" w:lineRule="auto"/>
              <w:rPr>
                <w:rFonts w:ascii="ITC Avant Garde" w:hAnsi="ITC Avant Garde"/>
                <w:i/>
                <w:sz w:val="20"/>
                <w:szCs w:val="20"/>
              </w:rPr>
            </w:pPr>
            <w:r w:rsidRPr="00845B00">
              <w:rPr>
                <w:rFonts w:ascii="ITC Avant Garde" w:hAnsi="ITC Avant Garde"/>
                <w:sz w:val="20"/>
                <w:szCs w:val="20"/>
              </w:rPr>
              <w:t>México Landing</w:t>
            </w:r>
          </w:p>
        </w:tc>
        <w:tc>
          <w:tcPr>
            <w:tcW w:w="1221" w:type="pct"/>
          </w:tcPr>
          <w:p w14:paraId="0A733F9E" w14:textId="0C1B21A4" w:rsidR="00F02F21" w:rsidRPr="00BC13A6" w:rsidRDefault="00BC13A6" w:rsidP="008A425C">
            <w:pPr>
              <w:spacing w:after="0" w:line="240" w:lineRule="auto"/>
              <w:jc w:val="center"/>
              <w:rPr>
                <w:rFonts w:ascii="ITC Avant Garde" w:hAnsi="ITC Avant Garde"/>
                <w:sz w:val="16"/>
                <w:szCs w:val="16"/>
                <w:highlight w:val="red"/>
              </w:rPr>
            </w:pPr>
            <w:r w:rsidRPr="00BC13A6">
              <w:rPr>
                <w:rFonts w:eastAsia="Times New Roman"/>
                <w:b/>
                <w:bCs/>
                <w:color w:val="0000CC"/>
                <w:sz w:val="16"/>
                <w:szCs w:val="16"/>
                <w:lang w:eastAsia="es-MX"/>
              </w:rPr>
              <w:t>“CONFIDENCIAL POR LEY”</w:t>
            </w:r>
          </w:p>
        </w:tc>
        <w:tc>
          <w:tcPr>
            <w:tcW w:w="1146" w:type="pct"/>
          </w:tcPr>
          <w:p w14:paraId="025C53C3" w14:textId="05AA0C8E" w:rsidR="00F02F21" w:rsidRPr="00BC13A6" w:rsidRDefault="00BC13A6" w:rsidP="008A425C">
            <w:pPr>
              <w:spacing w:after="0" w:line="240" w:lineRule="auto"/>
              <w:jc w:val="center"/>
              <w:rPr>
                <w:rFonts w:ascii="ITC Avant Garde" w:hAnsi="ITC Avant Garde"/>
                <w:i/>
                <w:sz w:val="16"/>
                <w:szCs w:val="16"/>
                <w:highlight w:val="red"/>
              </w:rPr>
            </w:pPr>
            <w:r w:rsidRPr="00BC13A6">
              <w:rPr>
                <w:rFonts w:eastAsia="Times New Roman"/>
                <w:b/>
                <w:bCs/>
                <w:color w:val="0000CC"/>
                <w:sz w:val="16"/>
                <w:szCs w:val="16"/>
                <w:lang w:eastAsia="es-MX"/>
              </w:rPr>
              <w:t>“CONFIDENCIAL POR LEY”</w:t>
            </w:r>
          </w:p>
        </w:tc>
      </w:tr>
      <w:tr w:rsidR="00F02F21" w:rsidRPr="00845B00" w14:paraId="03FFAFFC" w14:textId="77777777" w:rsidTr="00D1492E">
        <w:trPr>
          <w:trHeight w:val="19"/>
        </w:trPr>
        <w:tc>
          <w:tcPr>
            <w:tcW w:w="2633" w:type="pct"/>
          </w:tcPr>
          <w:p w14:paraId="24D1E893" w14:textId="77777777" w:rsidR="00F02F21" w:rsidRPr="00845B00" w:rsidRDefault="00F02F21" w:rsidP="008A425C">
            <w:pPr>
              <w:spacing w:after="0" w:line="240" w:lineRule="auto"/>
              <w:rPr>
                <w:rFonts w:ascii="ITC Avant Garde" w:hAnsi="ITC Avant Garde"/>
                <w:i/>
                <w:sz w:val="20"/>
                <w:szCs w:val="20"/>
              </w:rPr>
            </w:pPr>
            <w:r w:rsidRPr="00845B00">
              <w:rPr>
                <w:rFonts w:ascii="ITC Avant Garde" w:hAnsi="ITC Avant Garde"/>
                <w:sz w:val="20"/>
                <w:szCs w:val="20"/>
              </w:rPr>
              <w:t>México Servicios</w:t>
            </w:r>
          </w:p>
        </w:tc>
        <w:tc>
          <w:tcPr>
            <w:tcW w:w="1221" w:type="pct"/>
          </w:tcPr>
          <w:p w14:paraId="23D410F7" w14:textId="267D4DE4" w:rsidR="00F02F21" w:rsidRPr="00BC13A6" w:rsidRDefault="00BC13A6" w:rsidP="008A425C">
            <w:pPr>
              <w:spacing w:after="0" w:line="240" w:lineRule="auto"/>
              <w:jc w:val="center"/>
              <w:rPr>
                <w:rFonts w:ascii="ITC Avant Garde" w:hAnsi="ITC Avant Garde"/>
                <w:i/>
                <w:sz w:val="16"/>
                <w:szCs w:val="16"/>
                <w:highlight w:val="red"/>
              </w:rPr>
            </w:pPr>
            <w:r w:rsidRPr="00BC13A6">
              <w:rPr>
                <w:rFonts w:eastAsia="Times New Roman"/>
                <w:b/>
                <w:bCs/>
                <w:color w:val="0000CC"/>
                <w:sz w:val="16"/>
                <w:szCs w:val="16"/>
                <w:lang w:eastAsia="es-MX"/>
              </w:rPr>
              <w:t>“CONFIDENCIAL POR LEY”</w:t>
            </w:r>
          </w:p>
        </w:tc>
        <w:tc>
          <w:tcPr>
            <w:tcW w:w="1146" w:type="pct"/>
          </w:tcPr>
          <w:p w14:paraId="199BAB19" w14:textId="75C3530E" w:rsidR="00F02F21" w:rsidRPr="00BC13A6" w:rsidRDefault="00BC13A6" w:rsidP="008A425C">
            <w:pPr>
              <w:spacing w:after="0" w:line="240" w:lineRule="auto"/>
              <w:jc w:val="center"/>
              <w:rPr>
                <w:rFonts w:ascii="ITC Avant Garde" w:hAnsi="ITC Avant Garde"/>
                <w:i/>
                <w:sz w:val="16"/>
                <w:szCs w:val="16"/>
                <w:highlight w:val="red"/>
              </w:rPr>
            </w:pPr>
            <w:r w:rsidRPr="00BC13A6">
              <w:rPr>
                <w:rFonts w:eastAsia="Times New Roman"/>
                <w:b/>
                <w:bCs/>
                <w:color w:val="0000CC"/>
                <w:sz w:val="16"/>
                <w:szCs w:val="16"/>
                <w:lang w:eastAsia="es-MX"/>
              </w:rPr>
              <w:t>“CONFIDENCIAL POR LEY”</w:t>
            </w:r>
          </w:p>
        </w:tc>
      </w:tr>
    </w:tbl>
    <w:p w14:paraId="030EF81E" w14:textId="77777777" w:rsidR="00F02F21" w:rsidRPr="00845B00" w:rsidRDefault="00AE1F45" w:rsidP="008A425C">
      <w:pPr>
        <w:spacing w:after="0" w:line="240" w:lineRule="auto"/>
        <w:ind w:left="142" w:right="-1"/>
        <w:rPr>
          <w:rFonts w:ascii="ITC Avant Garde" w:hAnsi="ITC Avant Garde"/>
          <w:sz w:val="18"/>
        </w:rPr>
      </w:pPr>
      <w:r w:rsidRPr="00845B00">
        <w:rPr>
          <w:rFonts w:ascii="ITC Avant Garde" w:hAnsi="ITC Avant Garde"/>
          <w:sz w:val="18"/>
          <w:szCs w:val="18"/>
        </w:rPr>
        <w:t>Fuente: Elaboración propia con información proporcionada por los Promoventes</w:t>
      </w:r>
      <w:r w:rsidRPr="00845B00">
        <w:rPr>
          <w:rFonts w:ascii="ITC Avant Garde" w:hAnsi="ITC Avant Garde"/>
          <w:sz w:val="18"/>
        </w:rPr>
        <w:t>.</w:t>
      </w:r>
    </w:p>
    <w:p w14:paraId="72B66877" w14:textId="77777777" w:rsidR="00845B00" w:rsidRDefault="00F02F21" w:rsidP="008A425C">
      <w:pPr>
        <w:spacing w:after="0" w:line="240" w:lineRule="auto"/>
        <w:ind w:left="142" w:right="-1"/>
        <w:rPr>
          <w:rFonts w:ascii="ITC Avant Garde" w:hAnsi="ITC Avant Garde"/>
          <w:sz w:val="18"/>
        </w:rPr>
      </w:pPr>
      <w:r w:rsidRPr="00845B00">
        <w:rPr>
          <w:rFonts w:ascii="ITC Avant Garde" w:hAnsi="ITC Avant Garde"/>
          <w:sz w:val="18"/>
        </w:rPr>
        <w:t>*</w:t>
      </w:r>
      <w:r w:rsidR="00352B43" w:rsidRPr="00845B00">
        <w:rPr>
          <w:rFonts w:ascii="ITC Avant Garde" w:hAnsi="ITC Avant Garde"/>
          <w:sz w:val="18"/>
        </w:rPr>
        <w:t xml:space="preserve">Esta </w:t>
      </w:r>
      <w:r w:rsidRPr="00845B00">
        <w:rPr>
          <w:rFonts w:ascii="ITC Avant Garde" w:hAnsi="ITC Avant Garde"/>
          <w:sz w:val="18"/>
        </w:rPr>
        <w:t>Sociedad</w:t>
      </w:r>
      <w:r w:rsidR="00352B43" w:rsidRPr="00845B00">
        <w:rPr>
          <w:rFonts w:ascii="ITC Avant Garde" w:hAnsi="ITC Avant Garde"/>
          <w:sz w:val="18"/>
        </w:rPr>
        <w:t xml:space="preserve"> dejó de existir</w:t>
      </w:r>
      <w:r w:rsidRPr="00845B00">
        <w:rPr>
          <w:rFonts w:ascii="ITC Avant Garde" w:hAnsi="ITC Avant Garde"/>
          <w:sz w:val="18"/>
        </w:rPr>
        <w:t xml:space="preserve"> en </w:t>
      </w:r>
      <w:r w:rsidR="00AB3E17" w:rsidRPr="00845B00">
        <w:rPr>
          <w:rFonts w:ascii="ITC Avant Garde" w:hAnsi="ITC Avant Garde"/>
          <w:sz w:val="18"/>
        </w:rPr>
        <w:t>noviembre</w:t>
      </w:r>
      <w:r w:rsidRPr="00845B00">
        <w:rPr>
          <w:rFonts w:ascii="ITC Avant Garde" w:hAnsi="ITC Avant Garde"/>
          <w:sz w:val="18"/>
        </w:rPr>
        <w:t xml:space="preserve"> de 2016 </w:t>
      </w:r>
      <w:r w:rsidR="00352B43" w:rsidRPr="00845B00">
        <w:rPr>
          <w:rFonts w:ascii="ITC Avant Garde" w:hAnsi="ITC Avant Garde"/>
          <w:sz w:val="18"/>
        </w:rPr>
        <w:t>a causa de una fusión</w:t>
      </w:r>
      <w:r w:rsidRPr="00845B00">
        <w:rPr>
          <w:rFonts w:ascii="ITC Avant Garde" w:hAnsi="ITC Avant Garde"/>
          <w:sz w:val="18"/>
        </w:rPr>
        <w:t xml:space="preserve"> con </w:t>
      </w:r>
      <w:r w:rsidR="00352B43" w:rsidRPr="00845B00">
        <w:rPr>
          <w:rFonts w:ascii="ITC Avant Garde" w:hAnsi="ITC Avant Garde"/>
          <w:sz w:val="18"/>
        </w:rPr>
        <w:t xml:space="preserve">la empresa </w:t>
      </w:r>
      <w:r w:rsidRPr="00845B00">
        <w:rPr>
          <w:rFonts w:ascii="ITC Avant Garde" w:hAnsi="ITC Avant Garde"/>
          <w:sz w:val="18"/>
        </w:rPr>
        <w:t>México II</w:t>
      </w:r>
      <w:r w:rsidR="00352B43" w:rsidRPr="00845B00">
        <w:rPr>
          <w:rFonts w:ascii="ITC Avant Garde" w:hAnsi="ITC Avant Garde"/>
          <w:sz w:val="18"/>
        </w:rPr>
        <w:t>, en donde subsistió como fusionante esta última sociedad</w:t>
      </w:r>
      <w:r w:rsidRPr="00845B00">
        <w:rPr>
          <w:rFonts w:ascii="ITC Avant Garde" w:hAnsi="ITC Avant Garde"/>
          <w:sz w:val="18"/>
        </w:rPr>
        <w:t>.</w:t>
      </w:r>
      <w:r w:rsidR="00352B43" w:rsidRPr="00845B00">
        <w:rPr>
          <w:rFonts w:ascii="ITC Avant Garde" w:hAnsi="ITC Avant Garde"/>
          <w:sz w:val="18"/>
        </w:rPr>
        <w:t xml:space="preserve"> </w:t>
      </w:r>
      <w:r w:rsidR="00662E42" w:rsidRPr="00845B00">
        <w:rPr>
          <w:rFonts w:ascii="ITC Avant Garde" w:hAnsi="ITC Avant Garde"/>
          <w:sz w:val="18"/>
        </w:rPr>
        <w:t xml:space="preserve">Al </w:t>
      </w:r>
      <w:r w:rsidR="002C165A" w:rsidRPr="00845B00">
        <w:rPr>
          <w:rFonts w:ascii="ITC Avant Garde" w:hAnsi="ITC Avant Garde"/>
          <w:sz w:val="18"/>
        </w:rPr>
        <w:t>3</w:t>
      </w:r>
      <w:r w:rsidR="00662E42" w:rsidRPr="00845B00">
        <w:rPr>
          <w:rFonts w:ascii="ITC Avant Garde" w:hAnsi="ITC Avant Garde"/>
          <w:sz w:val="18"/>
        </w:rPr>
        <w:t xml:space="preserve">1 de agosto de 2016, </w:t>
      </w:r>
      <w:r w:rsidR="00352B43" w:rsidRPr="00845B00">
        <w:rPr>
          <w:rFonts w:ascii="ITC Avant Garde" w:hAnsi="ITC Avant Garde"/>
          <w:sz w:val="18"/>
        </w:rPr>
        <w:t xml:space="preserve">los activos </w:t>
      </w:r>
      <w:r w:rsidR="00662E42" w:rsidRPr="00845B00">
        <w:rPr>
          <w:rFonts w:ascii="ITC Avant Garde" w:hAnsi="ITC Avant Garde"/>
          <w:sz w:val="18"/>
        </w:rPr>
        <w:t>de esa fusionada aun</w:t>
      </w:r>
      <w:r w:rsidR="00352B43" w:rsidRPr="00845B00">
        <w:rPr>
          <w:rFonts w:ascii="ITC Avant Garde" w:hAnsi="ITC Avant Garde"/>
          <w:sz w:val="18"/>
        </w:rPr>
        <w:t xml:space="preserve"> </w:t>
      </w:r>
      <w:r w:rsidR="00662E42" w:rsidRPr="00845B00">
        <w:rPr>
          <w:rFonts w:ascii="ITC Avant Garde" w:hAnsi="ITC Avant Garde"/>
          <w:sz w:val="18"/>
        </w:rPr>
        <w:t xml:space="preserve">no </w:t>
      </w:r>
      <w:r w:rsidR="00352B43" w:rsidRPr="00845B00">
        <w:rPr>
          <w:rFonts w:ascii="ITC Avant Garde" w:hAnsi="ITC Avant Garde"/>
          <w:sz w:val="18"/>
        </w:rPr>
        <w:t>forma</w:t>
      </w:r>
      <w:r w:rsidR="00662E42" w:rsidRPr="00845B00">
        <w:rPr>
          <w:rFonts w:ascii="ITC Avant Garde" w:hAnsi="ITC Avant Garde"/>
          <w:sz w:val="18"/>
        </w:rPr>
        <w:t>ba</w:t>
      </w:r>
      <w:r w:rsidR="00352B43" w:rsidRPr="00845B00">
        <w:rPr>
          <w:rFonts w:ascii="ITC Avant Garde" w:hAnsi="ITC Avant Garde"/>
          <w:sz w:val="18"/>
        </w:rPr>
        <w:t>n parte de la propiedad de México II</w:t>
      </w:r>
      <w:r w:rsidR="008A425C" w:rsidRPr="00845B00">
        <w:rPr>
          <w:rFonts w:ascii="ITC Avant Garde" w:hAnsi="ITC Avant Garde"/>
          <w:sz w:val="18"/>
        </w:rPr>
        <w:t>.</w:t>
      </w:r>
    </w:p>
    <w:p w14:paraId="1C005456" w14:textId="11A49A0C" w:rsidR="00AE1F45" w:rsidRPr="00E5244B" w:rsidRDefault="00AE1F45" w:rsidP="00E5244B">
      <w:pPr>
        <w:pStyle w:val="Prraforproyecto"/>
        <w:rPr>
          <w:b/>
        </w:rPr>
      </w:pPr>
      <w:r w:rsidRPr="00E5244B">
        <w:rPr>
          <w:b/>
        </w:rPr>
        <w:t>CUARTO. Actualización de los umbrales de notificación establecidos en la LFCE</w:t>
      </w:r>
    </w:p>
    <w:p w14:paraId="53B02EA6" w14:textId="77777777" w:rsidR="00420086" w:rsidRPr="00845B00" w:rsidRDefault="00420086" w:rsidP="00E41E4D">
      <w:pPr>
        <w:pStyle w:val="Prraforproyecto"/>
      </w:pPr>
      <w:r w:rsidRPr="00845B00">
        <w:t xml:space="preserve">El artículo 86 de la LFCE establece umbrales a partir de los cuales los agentes económicos están obligados a notificar las concentraciones al Instituto y obtener </w:t>
      </w:r>
      <w:r w:rsidRPr="00845B00">
        <w:lastRenderedPageBreak/>
        <w:t>autorización antes de que se lleven a cabo.</w:t>
      </w:r>
      <w:r w:rsidR="00F02F21" w:rsidRPr="00845B00">
        <w:t xml:space="preserve"> Al respecto, el artículo 86, fracción II, de la LFCE dispone:</w:t>
      </w:r>
    </w:p>
    <w:p w14:paraId="28FA741E" w14:textId="77777777" w:rsidR="00420086" w:rsidRPr="00845B00" w:rsidRDefault="00420086" w:rsidP="006A79CF">
      <w:pPr>
        <w:pStyle w:val="Cita"/>
      </w:pPr>
      <w:r w:rsidRPr="00845B00">
        <w:t>“Artículo 86. Las siguientes concentraciones deben ser autorizadas por la Comisión antes de que se lleven a cabo:</w:t>
      </w:r>
    </w:p>
    <w:p w14:paraId="2B456643" w14:textId="77777777" w:rsidR="00420086" w:rsidRPr="00845B00" w:rsidRDefault="00420086" w:rsidP="006A79CF">
      <w:pPr>
        <w:pStyle w:val="Cita"/>
      </w:pPr>
      <w:r w:rsidRPr="00845B00">
        <w:t>(…)</w:t>
      </w:r>
    </w:p>
    <w:p w14:paraId="2070D722" w14:textId="77777777" w:rsidR="00420086" w:rsidRPr="00845B00" w:rsidRDefault="00420086" w:rsidP="006A79CF">
      <w:pPr>
        <w:pStyle w:val="Cita"/>
      </w:pPr>
      <w:r w:rsidRPr="00845B00">
        <w:t>I</w:t>
      </w:r>
      <w:r w:rsidR="0093250B" w:rsidRPr="00845B00">
        <w:t>I</w:t>
      </w:r>
      <w:r w:rsidRPr="00845B00">
        <w:t>.</w:t>
      </w:r>
      <w:r w:rsidR="0093250B" w:rsidRPr="00845B00">
        <w:t xml:space="preserve"> Cuando el acto o sucesión de actos que les den origen, impliquen la acumulación del treinta y cinco por ciento o más de los activos o acciones de un Agente Económico, cuyas ventas anuales originadas en el territorio nacional o activos en el territorio nacional importen más del equivalente a dieciocho millones de veces el salario mínimo general diario vigente para el Distrito Federal</w:t>
      </w:r>
      <w:r w:rsidR="006D2637" w:rsidRPr="00845B00">
        <w:t>.</w:t>
      </w:r>
      <w:r w:rsidRPr="00845B00">
        <w:t xml:space="preserve"> </w:t>
      </w:r>
    </w:p>
    <w:p w14:paraId="23F9EF12" w14:textId="77777777" w:rsidR="00420086" w:rsidRPr="00845B00" w:rsidRDefault="00420086" w:rsidP="006A79CF">
      <w:pPr>
        <w:pStyle w:val="Cita"/>
      </w:pPr>
      <w:r w:rsidRPr="00845B00">
        <w:t>(…).”</w:t>
      </w:r>
    </w:p>
    <w:p w14:paraId="46555676" w14:textId="77777777" w:rsidR="00420086" w:rsidRPr="00845B00" w:rsidRDefault="00420086" w:rsidP="00E41E4D">
      <w:pPr>
        <w:pStyle w:val="Prraforproyecto"/>
      </w:pPr>
      <w:r w:rsidRPr="00845B00">
        <w:t>La Operación actualiza el supue</w:t>
      </w:r>
      <w:r w:rsidR="0093250B" w:rsidRPr="00845B00">
        <w:t xml:space="preserve">sto establecido en la fracción </w:t>
      </w:r>
      <w:r w:rsidRPr="00845B00">
        <w:t>II del artículo 86 de la LFCE, toda vez que:</w:t>
      </w:r>
    </w:p>
    <w:p w14:paraId="52E2CD4D" w14:textId="77777777" w:rsidR="0093250B" w:rsidRPr="00845B00" w:rsidRDefault="0093250B" w:rsidP="00E41E4D">
      <w:pPr>
        <w:pStyle w:val="Prraforproyecto"/>
        <w:numPr>
          <w:ilvl w:val="0"/>
          <w:numId w:val="10"/>
        </w:numPr>
      </w:pPr>
      <w:r w:rsidRPr="00845B00">
        <w:t>El acto que le da origen implica la acumulación, por parte de CenturyLink, del cien por ciento del</w:t>
      </w:r>
      <w:r w:rsidR="0098671E" w:rsidRPr="00845B00">
        <w:t xml:space="preserve"> capital social de Level 3; es decir, involucra</w:t>
      </w:r>
      <w:r w:rsidRPr="00845B00">
        <w:t xml:space="preserve"> </w:t>
      </w:r>
      <w:r w:rsidR="0098671E" w:rsidRPr="00845B00">
        <w:t xml:space="preserve">la adquisición de </w:t>
      </w:r>
      <w:r w:rsidRPr="00845B00">
        <w:t>más del trein</w:t>
      </w:r>
      <w:r w:rsidR="0098671E" w:rsidRPr="00845B00">
        <w:t>ta y cinco por ciento de l</w:t>
      </w:r>
      <w:r w:rsidR="00E164A0" w:rsidRPr="00845B00">
        <w:t>a</w:t>
      </w:r>
      <w:r w:rsidR="0098671E" w:rsidRPr="00845B00">
        <w:t>s acciones de la sociedad adquirida</w:t>
      </w:r>
      <w:r w:rsidRPr="00845B00">
        <w:t>, y</w:t>
      </w:r>
    </w:p>
    <w:p w14:paraId="61EAD40B" w14:textId="4443902F" w:rsidR="00164968" w:rsidRPr="00845B00" w:rsidRDefault="0093250B" w:rsidP="00E41E4D">
      <w:pPr>
        <w:pStyle w:val="Prraforproyecto"/>
        <w:numPr>
          <w:ilvl w:val="0"/>
          <w:numId w:val="10"/>
        </w:numPr>
      </w:pPr>
      <w:r w:rsidRPr="00845B00">
        <w:t xml:space="preserve">Las subsidiarias en México de Level 3 reportan activos </w:t>
      </w:r>
      <w:r w:rsidR="0098671E" w:rsidRPr="00845B00">
        <w:t>en territorio nacional</w:t>
      </w:r>
      <w:r w:rsidR="007605D2" w:rsidRPr="00845B00">
        <w:rPr>
          <w:rStyle w:val="Refdenotaalpie"/>
        </w:rPr>
        <w:footnoteReference w:id="6"/>
      </w:r>
      <w:r w:rsidR="0098671E" w:rsidRPr="00845B00">
        <w:t xml:space="preserve"> correspondientes a</w:t>
      </w:r>
      <w:r w:rsidRPr="00845B00">
        <w:t xml:space="preserve"> un monto aproximado</w:t>
      </w:r>
      <w:r w:rsidR="00352B43" w:rsidRPr="00845B00">
        <w:t xml:space="preserve"> de </w:t>
      </w:r>
      <w:r w:rsidR="00BC13A6" w:rsidRPr="002B05D3">
        <w:rPr>
          <w:b/>
          <w:color w:val="0000CC"/>
          <w:sz w:val="19"/>
          <w:szCs w:val="19"/>
        </w:rPr>
        <w:t>“CONFIDENCIAL POR LEY”</w:t>
      </w:r>
      <w:r w:rsidRPr="00845B00">
        <w:t xml:space="preserve">. Esta cantidad es superior a dieciocho millones de </w:t>
      </w:r>
      <w:r w:rsidR="00352B43" w:rsidRPr="00845B00">
        <w:t>veces la UMA, que equivale a 1</w:t>
      </w:r>
      <w:r w:rsidR="008A425C" w:rsidRPr="00845B00">
        <w:t>,</w:t>
      </w:r>
      <w:r w:rsidR="00352B43" w:rsidRPr="00845B00">
        <w:t>358.82 millones de pesos</w:t>
      </w:r>
      <w:r w:rsidRPr="00845B00">
        <w:t xml:space="preserve"> (</w:t>
      </w:r>
      <w:r w:rsidR="00352B43" w:rsidRPr="00845B00">
        <w:t xml:space="preserve">un </w:t>
      </w:r>
      <w:r w:rsidRPr="00845B00">
        <w:t xml:space="preserve">mil trecientos cincuenta y ocho </w:t>
      </w:r>
      <w:r w:rsidR="00352B43" w:rsidRPr="00845B00">
        <w:t xml:space="preserve">punto ochenta y dos millones de </w:t>
      </w:r>
      <w:r w:rsidRPr="00845B00">
        <w:t>pesos 00/100 M</w:t>
      </w:r>
      <w:r w:rsidR="00352B43" w:rsidRPr="00845B00">
        <w:t xml:space="preserve">oneda </w:t>
      </w:r>
      <w:r w:rsidRPr="00845B00">
        <w:t>N</w:t>
      </w:r>
      <w:r w:rsidR="00352B43" w:rsidRPr="00845B00">
        <w:t>acional</w:t>
      </w:r>
      <w:r w:rsidRPr="00845B00">
        <w:t>).</w:t>
      </w:r>
    </w:p>
    <w:p w14:paraId="08D5985F" w14:textId="77777777" w:rsidR="008E06D4" w:rsidRPr="00845B00" w:rsidRDefault="00164968" w:rsidP="00E41E4D">
      <w:pPr>
        <w:pStyle w:val="Prraforproyecto"/>
      </w:pPr>
      <w:r w:rsidRPr="00845B00">
        <w:t xml:space="preserve">Los Promoventes </w:t>
      </w:r>
      <w:r w:rsidR="006A79CF" w:rsidRPr="00845B00">
        <w:t xml:space="preserve">informaron que la Operación fue </w:t>
      </w:r>
      <w:r w:rsidRPr="00845B00">
        <w:t xml:space="preserve">notificada </w:t>
      </w:r>
      <w:r w:rsidR="006A79CF" w:rsidRPr="00845B00">
        <w:t xml:space="preserve">ante la autoridad de competencia que corresponde en </w:t>
      </w:r>
      <w:r w:rsidR="006D2637" w:rsidRPr="00845B00">
        <w:t>EUA</w:t>
      </w:r>
      <w:r w:rsidR="006A79CF" w:rsidRPr="00845B00">
        <w:t xml:space="preserve"> y se encuentra en análisis. E</w:t>
      </w:r>
      <w:r w:rsidR="00352B43" w:rsidRPr="00845B00">
        <w:t xml:space="preserve">n </w:t>
      </w:r>
      <w:r w:rsidR="006A79CF" w:rsidRPr="00845B00">
        <w:t>esa</w:t>
      </w:r>
      <w:r w:rsidR="00352B43" w:rsidRPr="00845B00">
        <w:t xml:space="preserve"> jurisdicción </w:t>
      </w:r>
      <w:r w:rsidR="006A79CF" w:rsidRPr="00845B00">
        <w:t xml:space="preserve">los </w:t>
      </w:r>
      <w:r w:rsidR="00352B43" w:rsidRPr="00845B00">
        <w:t>agentes económicos coinciden</w:t>
      </w:r>
      <w:r w:rsidR="006A79CF" w:rsidRPr="00845B00">
        <w:t xml:space="preserve"> </w:t>
      </w:r>
      <w:r w:rsidR="00662E42" w:rsidRPr="00845B00">
        <w:t xml:space="preserve">y son competidores en diversos </w:t>
      </w:r>
      <w:r w:rsidR="006A79CF" w:rsidRPr="00845B00">
        <w:t xml:space="preserve">negocios, a diferencia de México, donde CenturyLink no participa. </w:t>
      </w:r>
    </w:p>
    <w:p w14:paraId="054316FC" w14:textId="77777777" w:rsidR="008E06D4" w:rsidRPr="00845B00" w:rsidRDefault="008E06D4" w:rsidP="00E41E4D">
      <w:pPr>
        <w:pStyle w:val="Prraforproyecto"/>
      </w:pPr>
      <w:r w:rsidRPr="00845B00">
        <w:t xml:space="preserve">Cabe precisar que, en su Escrito Libre 1, los Promoventes presentaron manifestaciones para informar a este Instituto que el análisis de la Operación ante el Departamento de Justicia de </w:t>
      </w:r>
      <w:r w:rsidR="006D2637" w:rsidRPr="00845B00">
        <w:t xml:space="preserve">EUA </w:t>
      </w:r>
      <w:r w:rsidRPr="00845B00">
        <w:t>(DOJ) se ha ubicado principalmente en los siguientes rubros:</w:t>
      </w:r>
    </w:p>
    <w:p w14:paraId="79D563F0" w14:textId="517DD115" w:rsidR="008E06D4" w:rsidRPr="00845B00" w:rsidRDefault="008E06D4" w:rsidP="006A79CF">
      <w:pPr>
        <w:pStyle w:val="Cita"/>
      </w:pPr>
      <w:r w:rsidRPr="00845B00">
        <w:t xml:space="preserve">“(i) </w:t>
      </w:r>
      <w:r w:rsidR="00BC13A6" w:rsidRPr="002B05D3">
        <w:rPr>
          <w:rFonts w:eastAsia="Times New Roman"/>
          <w:b/>
          <w:bCs/>
          <w:color w:val="0000CC"/>
          <w:sz w:val="19"/>
          <w:szCs w:val="19"/>
          <w:lang w:eastAsia="es-MX"/>
        </w:rPr>
        <w:t>“CONFIDENCIAL POR LEY”</w:t>
      </w:r>
    </w:p>
    <w:p w14:paraId="5D6737A3" w14:textId="1E2945E8" w:rsidR="00845B00" w:rsidRDefault="008E06D4" w:rsidP="006A79CF">
      <w:pPr>
        <w:pStyle w:val="Cita"/>
      </w:pPr>
      <w:r w:rsidRPr="00845B00">
        <w:t xml:space="preserve">(ii) </w:t>
      </w:r>
      <w:r w:rsidR="00BC13A6" w:rsidRPr="002B05D3">
        <w:rPr>
          <w:rFonts w:eastAsia="Times New Roman"/>
          <w:b/>
          <w:bCs/>
          <w:color w:val="0000CC"/>
          <w:sz w:val="19"/>
          <w:szCs w:val="19"/>
          <w:lang w:eastAsia="es-MX"/>
        </w:rPr>
        <w:t>“CONFIDENCIAL POR LEY”</w:t>
      </w:r>
      <w:r w:rsidRPr="00845B00">
        <w:t>”</w:t>
      </w:r>
    </w:p>
    <w:p w14:paraId="46C5863A" w14:textId="5AD2A094" w:rsidR="00420086" w:rsidRPr="00E5244B" w:rsidRDefault="00420086" w:rsidP="00E5244B">
      <w:pPr>
        <w:pStyle w:val="Prraforproyecto"/>
        <w:rPr>
          <w:b/>
        </w:rPr>
      </w:pPr>
      <w:r w:rsidRPr="00E5244B">
        <w:rPr>
          <w:b/>
        </w:rPr>
        <w:t>QUINTO. Evaluación de la oportunidad de la notificación</w:t>
      </w:r>
    </w:p>
    <w:p w14:paraId="22BB4640" w14:textId="77777777" w:rsidR="00420086" w:rsidRPr="00845B00" w:rsidRDefault="00420086" w:rsidP="00E41E4D">
      <w:pPr>
        <w:pStyle w:val="Prraforproyecto"/>
      </w:pPr>
      <w:r w:rsidRPr="00845B00">
        <w:t xml:space="preserve">El artículo 87 de </w:t>
      </w:r>
      <w:r w:rsidR="0060123E" w:rsidRPr="00845B00">
        <w:t>la LFCE establece que los involucrados</w:t>
      </w:r>
      <w:r w:rsidRPr="00845B00">
        <w:t xml:space="preserve"> deben obtener autorización del Instituto antes de realizar la Operación, tal como se cita a continuación:</w:t>
      </w:r>
    </w:p>
    <w:p w14:paraId="0582BD4D" w14:textId="77777777" w:rsidR="00420086" w:rsidRPr="00845B00" w:rsidRDefault="00420086" w:rsidP="00991A07">
      <w:pPr>
        <w:pStyle w:val="Cita"/>
      </w:pPr>
      <w:r w:rsidRPr="00845B00">
        <w:lastRenderedPageBreak/>
        <w:t>“Artículo 87.- Los Agentes Económicos deben obtener la autorización para realizar la concentración a que se refiere el artículo anterior antes de que suceda cualquiera de los siguientes supuestos:</w:t>
      </w:r>
    </w:p>
    <w:p w14:paraId="03A4E15B" w14:textId="77777777" w:rsidR="00420086" w:rsidRPr="00845B00" w:rsidRDefault="00420086" w:rsidP="00991A07">
      <w:pPr>
        <w:pStyle w:val="Cita"/>
      </w:pPr>
      <w:r w:rsidRPr="00845B00">
        <w:t>I. El acto jurídico se perfeccione de conformidad con la legislación aplicable o, en su caso, se cumpla la condición suspensiva a la que esté sujeto dicho acto;</w:t>
      </w:r>
    </w:p>
    <w:p w14:paraId="6766243E" w14:textId="77777777" w:rsidR="00420086" w:rsidRPr="00845B00" w:rsidRDefault="00420086" w:rsidP="00991A07">
      <w:pPr>
        <w:pStyle w:val="Cita"/>
      </w:pPr>
      <w:r w:rsidRPr="00845B00">
        <w:t>II. Se adquiera o se ejerza directa o indirectamente el control de hecho o de derecho sobre otro Agente Económico, o se adquieran de hecho o de derecho activos, participación en fideicomisos, partes sociales o acciones de otro Agente Económico;</w:t>
      </w:r>
    </w:p>
    <w:p w14:paraId="5489439A" w14:textId="77777777" w:rsidR="00420086" w:rsidRPr="00845B00" w:rsidRDefault="00420086" w:rsidP="00991A07">
      <w:pPr>
        <w:pStyle w:val="Cita"/>
      </w:pPr>
      <w:r w:rsidRPr="00845B00">
        <w:t>III. Se lleve al cabo la firma de un convenio de fusión entre los Agentes Económicos involucrados, o</w:t>
      </w:r>
    </w:p>
    <w:p w14:paraId="30F3460F" w14:textId="77777777" w:rsidR="00420086" w:rsidRPr="00845B00" w:rsidRDefault="00420086" w:rsidP="00991A07">
      <w:pPr>
        <w:pStyle w:val="Cita"/>
      </w:pPr>
      <w:r w:rsidRPr="00845B00">
        <w:t>IV. Tratándose de una sucesión de actos, se perfeccione el último de ellos, por virtud del cual se rebasen los montos establecidos en el artículo anterior.</w:t>
      </w:r>
    </w:p>
    <w:p w14:paraId="7FD3827D" w14:textId="77777777" w:rsidR="00420086" w:rsidRPr="00845B00" w:rsidRDefault="00420086" w:rsidP="00991A07">
      <w:pPr>
        <w:pStyle w:val="Cita"/>
      </w:pPr>
      <w:r w:rsidRPr="00845B00">
        <w:t>Las concentraciones derivadas de actos jurídicos realizados en el extranjero, deberán notificarse antes de que surtan efectos jurídicos o materiales en territorio nacional.”</w:t>
      </w:r>
    </w:p>
    <w:p w14:paraId="7041FBD4" w14:textId="77777777" w:rsidR="00420086" w:rsidRPr="00845B00" w:rsidRDefault="00420086" w:rsidP="00E41E4D">
      <w:pPr>
        <w:pStyle w:val="Prraforproyecto"/>
      </w:pPr>
      <w:r w:rsidRPr="00845B00">
        <w:t>En relación con lo anterior, el párrafo primero del artículo 16 de las Disposiciones Regulatorias establece lo siguiente:</w:t>
      </w:r>
    </w:p>
    <w:p w14:paraId="2E66EF20" w14:textId="77777777" w:rsidR="00420086" w:rsidRPr="00845B00" w:rsidRDefault="00420086" w:rsidP="00991A07">
      <w:pPr>
        <w:pStyle w:val="Cita"/>
      </w:pPr>
      <w:r w:rsidRPr="00845B00">
        <w:t>“Artículo 16. Para efectos de los artículos 86 y 87, fracción I, de la Ley, los Agentes Económicos pueden acordar sujetar la realización de una transacción a la condición suspensiva de obtener la autorización del Instituto y deben hacer constar que los actos relativos a la transacción no producirán efecto alguno hasta que se obtenga una autorización por parte del Instituto o, en su caso, se entienda que no tiene objeción en términos de la Ley y se emita la constancia respectiva.</w:t>
      </w:r>
    </w:p>
    <w:p w14:paraId="3DF062E3" w14:textId="77777777" w:rsidR="00420086" w:rsidRPr="00845B00" w:rsidRDefault="00420086" w:rsidP="00991A07">
      <w:pPr>
        <w:pStyle w:val="Cita"/>
      </w:pPr>
      <w:r w:rsidRPr="00845B00">
        <w:t>(…).”</w:t>
      </w:r>
    </w:p>
    <w:p w14:paraId="4A0E6426" w14:textId="77777777" w:rsidR="00420086" w:rsidRPr="00845B00" w:rsidRDefault="00420086" w:rsidP="00E41E4D">
      <w:pPr>
        <w:pStyle w:val="Prraforproyecto"/>
      </w:pPr>
      <w:r w:rsidRPr="00845B00">
        <w:t>Al respecto, en relación con las condiciones establecidas por el artículo 87 de la LFCE, se tienen los siguientes elementos aportados por</w:t>
      </w:r>
      <w:r w:rsidR="0060123E" w:rsidRPr="00845B00">
        <w:t xml:space="preserve"> los Promoventes</w:t>
      </w:r>
      <w:r w:rsidRPr="00845B00">
        <w:t>:</w:t>
      </w:r>
    </w:p>
    <w:p w14:paraId="2524DCCC" w14:textId="77777777" w:rsidR="00177D56" w:rsidRPr="00845B00" w:rsidRDefault="00177D56" w:rsidP="00E41E4D">
      <w:pPr>
        <w:pStyle w:val="Prraforproyecto"/>
        <w:numPr>
          <w:ilvl w:val="0"/>
          <w:numId w:val="11"/>
        </w:numPr>
      </w:pPr>
      <w:r w:rsidRPr="00845B00">
        <w:t>En términos de los artículos I, sección 1.2, y VIII, sección 8.1, inciso e), del Acuerdo de Fusión, la Operación está sujeta</w:t>
      </w:r>
      <w:r w:rsidR="00E164A0" w:rsidRPr="00845B00">
        <w:t xml:space="preserve"> a diversas condiciones suspensivas que, entre otras, incluye, </w:t>
      </w:r>
      <w:r w:rsidRPr="00845B00">
        <w:t>la autorizaci</w:t>
      </w:r>
      <w:r w:rsidR="00E164A0" w:rsidRPr="00845B00">
        <w:t>ón</w:t>
      </w:r>
      <w:r w:rsidRPr="00845B00">
        <w:t xml:space="preserve"> y aprobación </w:t>
      </w:r>
      <w:r w:rsidR="00E164A0" w:rsidRPr="00845B00">
        <w:t xml:space="preserve">en materia de competencia económica por parte </w:t>
      </w:r>
      <w:r w:rsidRPr="00845B00">
        <w:t>de</w:t>
      </w:r>
      <w:r w:rsidR="00E164A0" w:rsidRPr="00845B00">
        <w:t>l</w:t>
      </w:r>
      <w:r w:rsidR="005802EE" w:rsidRPr="00845B00">
        <w:t xml:space="preserve"> DOJ</w:t>
      </w:r>
      <w:r w:rsidR="00E164A0" w:rsidRPr="00845B00">
        <w:t>, quien a la fecha no ha emitido resolución</w:t>
      </w:r>
      <w:r w:rsidRPr="00845B00">
        <w:t>.</w:t>
      </w:r>
      <w:r w:rsidRPr="00845B00">
        <w:rPr>
          <w:rStyle w:val="Refdenotaalpie"/>
        </w:rPr>
        <w:footnoteReference w:id="7"/>
      </w:r>
    </w:p>
    <w:p w14:paraId="12375388" w14:textId="77777777" w:rsidR="00420086" w:rsidRPr="00845B00" w:rsidRDefault="00B62563" w:rsidP="00E41E4D">
      <w:pPr>
        <w:pStyle w:val="Prraforproyecto"/>
        <w:numPr>
          <w:ilvl w:val="0"/>
          <w:numId w:val="11"/>
        </w:numPr>
      </w:pPr>
      <w:r w:rsidRPr="00845B00">
        <w:t>CenturyLink</w:t>
      </w:r>
      <w:r w:rsidR="00420086" w:rsidRPr="00845B00">
        <w:t xml:space="preserve"> no ha adquirido, de hecho o de derecho, el control, activos, o par</w:t>
      </w:r>
      <w:r w:rsidRPr="00845B00">
        <w:t>ticipación accionaria en Level 3</w:t>
      </w:r>
      <w:r w:rsidR="00420086" w:rsidRPr="00845B00">
        <w:t xml:space="preserve">; </w:t>
      </w:r>
    </w:p>
    <w:p w14:paraId="6F8C3E94" w14:textId="77777777" w:rsidR="00420086" w:rsidRPr="00845B00" w:rsidRDefault="00177D56" w:rsidP="00E41E4D">
      <w:pPr>
        <w:pStyle w:val="Prraforproyecto"/>
        <w:numPr>
          <w:ilvl w:val="0"/>
          <w:numId w:val="11"/>
        </w:numPr>
      </w:pPr>
      <w:r w:rsidRPr="00845B00">
        <w:t>L</w:t>
      </w:r>
      <w:r w:rsidR="00420086" w:rsidRPr="00845B00">
        <w:t>as Partes no han realizado actos que impliquen el perfeccionamiento o cierre de la Operación.</w:t>
      </w:r>
    </w:p>
    <w:p w14:paraId="72499A1D" w14:textId="77777777" w:rsidR="00AE5AE2" w:rsidRPr="00845B00" w:rsidRDefault="00420086" w:rsidP="00E41E4D">
      <w:pPr>
        <w:pStyle w:val="Prraforproyecto"/>
      </w:pPr>
      <w:r w:rsidRPr="00845B00">
        <w:lastRenderedPageBreak/>
        <w:t>Con base en lo antes expuesto, se concluye que la Operación fue notificada oportunamente por</w:t>
      </w:r>
      <w:r w:rsidR="00983A3D" w:rsidRPr="00845B00">
        <w:t xml:space="preserve"> los Promoventes</w:t>
      </w:r>
      <w:r w:rsidRPr="00845B00">
        <w:t>, de conformidad con lo dispuesto por el artículo 87 de la LFCE.</w:t>
      </w:r>
    </w:p>
    <w:p w14:paraId="1691992E" w14:textId="77777777" w:rsidR="00845B00" w:rsidRPr="00E5244B" w:rsidRDefault="00AE5AE2" w:rsidP="00E5244B">
      <w:pPr>
        <w:pStyle w:val="Prraforproyecto"/>
        <w:rPr>
          <w:b/>
        </w:rPr>
      </w:pPr>
      <w:r w:rsidRPr="00E5244B">
        <w:rPr>
          <w:b/>
        </w:rPr>
        <w:t>SEXTO. Análisis de Concentración</w:t>
      </w:r>
    </w:p>
    <w:p w14:paraId="06571D25" w14:textId="5BCE5B4E" w:rsidR="00AE5AE2" w:rsidRPr="00E5244B" w:rsidRDefault="00AE5AE2" w:rsidP="00E5244B">
      <w:pPr>
        <w:pStyle w:val="Prraforproyecto"/>
        <w:rPr>
          <w:b/>
        </w:rPr>
      </w:pPr>
      <w:r w:rsidRPr="00E5244B">
        <w:rPr>
          <w:b/>
        </w:rPr>
        <w:t>6.1</w:t>
      </w:r>
      <w:r w:rsidR="009D3CD7" w:rsidRPr="00E5244B">
        <w:rPr>
          <w:b/>
        </w:rPr>
        <w:t>.</w:t>
      </w:r>
      <w:r w:rsidRPr="00E5244B">
        <w:rPr>
          <w:b/>
        </w:rPr>
        <w:t xml:space="preserve"> </w:t>
      </w:r>
      <w:r w:rsidR="00177D56" w:rsidRPr="00E5244B">
        <w:rPr>
          <w:b/>
        </w:rPr>
        <w:t>A</w:t>
      </w:r>
      <w:r w:rsidRPr="00E5244B">
        <w:rPr>
          <w:b/>
        </w:rPr>
        <w:t xml:space="preserve">ctividades </w:t>
      </w:r>
      <w:r w:rsidR="00177D56" w:rsidRPr="00E5244B">
        <w:rPr>
          <w:b/>
        </w:rPr>
        <w:t>en México de los agentes económicos involucrados en la Operación</w:t>
      </w:r>
    </w:p>
    <w:p w14:paraId="5705D04F" w14:textId="77777777" w:rsidR="00991A07" w:rsidRPr="00845B00" w:rsidRDefault="00177D56" w:rsidP="00E41E4D">
      <w:pPr>
        <w:pStyle w:val="Prraforproyecto"/>
      </w:pPr>
      <w:r w:rsidRPr="00845B00">
        <w:t xml:space="preserve">En México, CenturyLink no vende, comercializa o distribuye productos o servicios. </w:t>
      </w:r>
      <w:r w:rsidR="00991A07" w:rsidRPr="00845B00">
        <w:t xml:space="preserve">Este agente económico, a través de la Operación, pretende incursionar en los mercados mexicanos en los que actualmente participa Level 3. </w:t>
      </w:r>
    </w:p>
    <w:p w14:paraId="15154590" w14:textId="77777777" w:rsidR="00177D56" w:rsidRPr="00845B00" w:rsidRDefault="00991A07" w:rsidP="00E41E4D">
      <w:pPr>
        <w:pStyle w:val="Prraforproyecto"/>
      </w:pPr>
      <w:r w:rsidRPr="00845B00">
        <w:t xml:space="preserve">Por lo anterior, a continuación se presenta la descripción de los servicios </w:t>
      </w:r>
      <w:r w:rsidR="00DE7C14" w:rsidRPr="00845B00">
        <w:t xml:space="preserve">de Level 3 y la información sobre sus participaciones de mercado y las de otros participantes. </w:t>
      </w:r>
    </w:p>
    <w:p w14:paraId="6C1A5723" w14:textId="77777777" w:rsidR="00991A07" w:rsidRPr="00845B00" w:rsidRDefault="00991A07" w:rsidP="00845B00">
      <w:pPr>
        <w:pStyle w:val="Prraforproyecto"/>
        <w:rPr>
          <w:u w:val="single"/>
        </w:rPr>
      </w:pPr>
      <w:r w:rsidRPr="00845B00">
        <w:rPr>
          <w:u w:val="single"/>
        </w:rPr>
        <w:t>Servicios involucrados en la Operación</w:t>
      </w:r>
    </w:p>
    <w:p w14:paraId="498DD1E6" w14:textId="77777777" w:rsidR="00177D56" w:rsidRPr="00845B00" w:rsidRDefault="00177D56" w:rsidP="00E41E4D">
      <w:pPr>
        <w:pStyle w:val="Prraforproyecto"/>
      </w:pPr>
      <w:r w:rsidRPr="00845B00">
        <w:t xml:space="preserve">En México, Level 3 </w:t>
      </w:r>
      <w:r w:rsidR="00DE7C14" w:rsidRPr="00845B00">
        <w:t xml:space="preserve">tiene y opera </w:t>
      </w:r>
      <w:r w:rsidR="00D440B0" w:rsidRPr="00845B00">
        <w:t xml:space="preserve">una red de </w:t>
      </w:r>
      <w:r w:rsidR="00367867" w:rsidRPr="00845B00">
        <w:t xml:space="preserve">red de fibra óptica que conecta las </w:t>
      </w:r>
      <w:r w:rsidR="00991A07" w:rsidRPr="00845B00">
        <w:t>localidades</w:t>
      </w:r>
      <w:r w:rsidR="00367867" w:rsidRPr="00845B00">
        <w:t xml:space="preserve"> de Ciudad de México, Querétaro, Guadalajara, Monterrey, Laredo, Reynosa y Mazatlán, incluyendo a Tijuana, así como de un cable </w:t>
      </w:r>
      <w:r w:rsidR="00DE7C14" w:rsidRPr="00845B00">
        <w:t>submarino de f</w:t>
      </w:r>
      <w:r w:rsidR="00721CA0" w:rsidRPr="00845B00">
        <w:t xml:space="preserve">ibra óptica </w:t>
      </w:r>
      <w:r w:rsidR="00367867" w:rsidRPr="00845B00">
        <w:t>que conecta las ciudades de Mazatlán y Tijuana</w:t>
      </w:r>
      <w:r w:rsidR="00DE7C14" w:rsidRPr="00845B00">
        <w:t xml:space="preserve">. </w:t>
      </w:r>
    </w:p>
    <w:p w14:paraId="60BA4BE1" w14:textId="77777777" w:rsidR="00DE7C14" w:rsidRPr="00845B00" w:rsidRDefault="00DE7C14" w:rsidP="00E41E4D">
      <w:pPr>
        <w:pStyle w:val="Prraforproyecto"/>
      </w:pPr>
      <w:r w:rsidRPr="00845B00">
        <w:t>A través de esta infraestructura, provee los siguientes servicios:</w:t>
      </w:r>
    </w:p>
    <w:p w14:paraId="65FDE315" w14:textId="77777777" w:rsidR="00177D56" w:rsidRPr="00845B00" w:rsidRDefault="00177D56" w:rsidP="007D5A92">
      <w:pPr>
        <w:pStyle w:val="Prraforproyecto"/>
        <w:numPr>
          <w:ilvl w:val="0"/>
          <w:numId w:val="26"/>
        </w:numPr>
      </w:pPr>
      <w:r w:rsidRPr="00845B00">
        <w:t>Acceso a internet fijo;</w:t>
      </w:r>
    </w:p>
    <w:p w14:paraId="57FD8F7E" w14:textId="77777777" w:rsidR="00177D56" w:rsidRPr="00845B00" w:rsidRDefault="00177D56" w:rsidP="007D5A92">
      <w:pPr>
        <w:pStyle w:val="Prraforproyecto"/>
        <w:numPr>
          <w:ilvl w:val="0"/>
          <w:numId w:val="26"/>
        </w:numPr>
      </w:pPr>
      <w:r w:rsidRPr="00845B00">
        <w:t>Enlaces dedicados;</w:t>
      </w:r>
    </w:p>
    <w:p w14:paraId="3576C012" w14:textId="77777777" w:rsidR="00177D56" w:rsidRPr="00845B00" w:rsidRDefault="00177D56" w:rsidP="007D5A92">
      <w:pPr>
        <w:pStyle w:val="Prraforproyecto"/>
        <w:numPr>
          <w:ilvl w:val="0"/>
          <w:numId w:val="26"/>
        </w:numPr>
      </w:pPr>
      <w:r w:rsidRPr="00845B00">
        <w:t>Provisión de capacidad;</w:t>
      </w:r>
    </w:p>
    <w:p w14:paraId="27B35093" w14:textId="4C99AF4D" w:rsidR="00177D56" w:rsidRPr="00845B00" w:rsidRDefault="00127495" w:rsidP="007D5A92">
      <w:pPr>
        <w:pStyle w:val="Prraforproyecto"/>
        <w:numPr>
          <w:ilvl w:val="0"/>
          <w:numId w:val="26"/>
        </w:numPr>
      </w:pPr>
      <w:r w:rsidRPr="00845B00">
        <w:t>C</w:t>
      </w:r>
      <w:r w:rsidR="00177D56" w:rsidRPr="00845B00">
        <w:t xml:space="preserve">onectividad de negocios, en particular a través de redes privadas virtuales (VPN, por sus siglas en inglés, que utilizan los protocolos IP </w:t>
      </w:r>
      <w:r w:rsidR="009B4645" w:rsidRPr="00845B00">
        <w:t>-Protocolo de Internet-</w:t>
      </w:r>
      <w:r w:rsidR="00177D56" w:rsidRPr="00845B00">
        <w:t xml:space="preserve"> y MPLS</w:t>
      </w:r>
      <w:r w:rsidR="009B4645" w:rsidRPr="00845B00">
        <w:t xml:space="preserve"> -C</w:t>
      </w:r>
      <w:r w:rsidR="009B4645" w:rsidRPr="00845B00">
        <w:rPr>
          <w:rFonts w:cs="Arial"/>
          <w:color w:val="auto"/>
          <w:shd w:val="clear" w:color="auto" w:fill="FFFFFF"/>
        </w:rPr>
        <w:t>onmutación de Etiquetas Multiprotocolo</w:t>
      </w:r>
      <w:r w:rsidR="009B4645" w:rsidRPr="00845B00">
        <w:t>-</w:t>
      </w:r>
      <w:r w:rsidR="00177D56" w:rsidRPr="00845B00">
        <w:t xml:space="preserve">) y del protocolo </w:t>
      </w:r>
      <w:r w:rsidR="00177D56" w:rsidRPr="00845B00">
        <w:rPr>
          <w:i/>
        </w:rPr>
        <w:t>ethernet</w:t>
      </w:r>
      <w:r w:rsidR="00177D56" w:rsidRPr="00845B00">
        <w:t>;</w:t>
      </w:r>
    </w:p>
    <w:p w14:paraId="2526EFAB" w14:textId="77777777" w:rsidR="00177D56" w:rsidRPr="00845B00" w:rsidRDefault="00127495" w:rsidP="007D5A92">
      <w:pPr>
        <w:pStyle w:val="Prraforproyecto"/>
        <w:numPr>
          <w:ilvl w:val="0"/>
          <w:numId w:val="26"/>
        </w:numPr>
      </w:pPr>
      <w:r w:rsidRPr="00845B00">
        <w:t>H</w:t>
      </w:r>
      <w:r w:rsidR="00957ACE" w:rsidRPr="00845B00">
        <w:t xml:space="preserve">ospedaje o </w:t>
      </w:r>
      <w:r w:rsidR="00177D56" w:rsidRPr="00845B00">
        <w:t>alojamiento de datos e información a través de centros de datos,</w:t>
      </w:r>
    </w:p>
    <w:p w14:paraId="61C54BE9" w14:textId="77777777" w:rsidR="00177D56" w:rsidRPr="00845B00" w:rsidRDefault="00127495" w:rsidP="007D5A92">
      <w:pPr>
        <w:pStyle w:val="Prraforproyecto"/>
        <w:numPr>
          <w:ilvl w:val="0"/>
          <w:numId w:val="26"/>
        </w:numPr>
      </w:pPr>
      <w:r w:rsidRPr="00845B00">
        <w:t>D</w:t>
      </w:r>
      <w:r w:rsidR="00177D56" w:rsidRPr="00845B00">
        <w:t>istribución de contenido a través de redes de entrega de contenidos (CDN, por sus siglas en inglés)</w:t>
      </w:r>
      <w:r w:rsidR="00333362" w:rsidRPr="00845B00">
        <w:t xml:space="preserve">, y </w:t>
      </w:r>
    </w:p>
    <w:p w14:paraId="68FE0CD9" w14:textId="3BFF2D99" w:rsidR="00333362" w:rsidRPr="00845B00" w:rsidRDefault="00721CA0" w:rsidP="007D5A92">
      <w:pPr>
        <w:pStyle w:val="Prraforproyecto"/>
        <w:numPr>
          <w:ilvl w:val="0"/>
          <w:numId w:val="26"/>
        </w:numPr>
      </w:pPr>
      <w:r w:rsidRPr="00845B00">
        <w:t>Conectividad interna</w:t>
      </w:r>
      <w:r w:rsidR="00127495" w:rsidRPr="00845B00">
        <w:t>c</w:t>
      </w:r>
      <w:r w:rsidRPr="00845B00">
        <w:t>ional vía cable submarin</w:t>
      </w:r>
      <w:r w:rsidR="00127495" w:rsidRPr="00845B00">
        <w:t>o</w:t>
      </w:r>
      <w:r w:rsidR="00896F76" w:rsidRPr="00845B00">
        <w:t xml:space="preserve"> (servicios de capacidad y transporte de datos)</w:t>
      </w:r>
      <w:r w:rsidRPr="00845B00">
        <w:t>.</w:t>
      </w:r>
    </w:p>
    <w:p w14:paraId="753FCD8D" w14:textId="77777777" w:rsidR="00847DA1" w:rsidRPr="00845B00" w:rsidRDefault="00177D56" w:rsidP="00E41E4D">
      <w:pPr>
        <w:pStyle w:val="Prraforproyecto"/>
      </w:pPr>
      <w:r w:rsidRPr="00845B00">
        <w:t>Dado que actualmente sólo Level 3 tiene presencia en México, a continuación se presenta una descripción de los servicios que ese agente económic</w:t>
      </w:r>
      <w:r w:rsidR="009D36C3" w:rsidRPr="00845B00">
        <w:t>o presta en territorio nacional.</w:t>
      </w:r>
    </w:p>
    <w:p w14:paraId="2BBD8991" w14:textId="77777777" w:rsidR="00E53361" w:rsidRPr="00E5244B" w:rsidRDefault="00177D56" w:rsidP="00E5244B">
      <w:pPr>
        <w:pStyle w:val="Prraforproyecto"/>
        <w:rPr>
          <w:b/>
        </w:rPr>
      </w:pPr>
      <w:r w:rsidRPr="00E5244B">
        <w:rPr>
          <w:b/>
        </w:rPr>
        <w:t>6.2</w:t>
      </w:r>
      <w:r w:rsidR="009441DC" w:rsidRPr="00E5244B">
        <w:rPr>
          <w:b/>
        </w:rPr>
        <w:t xml:space="preserve">. </w:t>
      </w:r>
      <w:r w:rsidR="00E53361" w:rsidRPr="00E5244B">
        <w:rPr>
          <w:b/>
        </w:rPr>
        <w:t>Descripción de los servicios involucrados</w:t>
      </w:r>
    </w:p>
    <w:p w14:paraId="21535685" w14:textId="77777777" w:rsidR="00721CA0" w:rsidRPr="00845B00" w:rsidRDefault="003E4E95" w:rsidP="00E41E4D">
      <w:pPr>
        <w:pStyle w:val="Prraforproyecto"/>
      </w:pPr>
      <w:proofErr w:type="spellStart"/>
      <w:r w:rsidRPr="00845B00">
        <w:t>Level</w:t>
      </w:r>
      <w:proofErr w:type="spellEnd"/>
      <w:r w:rsidRPr="00845B00">
        <w:t xml:space="preserve"> 3 ofrece sus servicios en México a través de</w:t>
      </w:r>
      <w:r w:rsidR="00721CA0" w:rsidRPr="00845B00">
        <w:t>:</w:t>
      </w:r>
    </w:p>
    <w:p w14:paraId="152AF3CD" w14:textId="478529B6" w:rsidR="003E4E95" w:rsidRPr="00845B00" w:rsidRDefault="00721CA0" w:rsidP="00E41E4D">
      <w:pPr>
        <w:pStyle w:val="Prraforproyecto"/>
        <w:numPr>
          <w:ilvl w:val="0"/>
          <w:numId w:val="19"/>
        </w:numPr>
      </w:pPr>
      <w:r w:rsidRPr="00845B00">
        <w:lastRenderedPageBreak/>
        <w:t xml:space="preserve">Una </w:t>
      </w:r>
      <w:r w:rsidR="003E4E95" w:rsidRPr="00845B00">
        <w:t xml:space="preserve">red de fibra óptica </w:t>
      </w:r>
      <w:r w:rsidR="00C7311E" w:rsidRPr="00845B00">
        <w:t xml:space="preserve">propia </w:t>
      </w:r>
      <w:r w:rsidR="003E4E95" w:rsidRPr="00845B00">
        <w:t>que conecta las ciudades de Ciudad de México, Querétaro, Guadalajara, Monterrey, Laredo, Reynosa y Mazatlán</w:t>
      </w:r>
      <w:r w:rsidR="003C4DF9" w:rsidRPr="00845B00">
        <w:t xml:space="preserve"> (Anillo </w:t>
      </w:r>
      <w:r w:rsidR="00C7311E" w:rsidRPr="00845B00">
        <w:t xml:space="preserve">principal </w:t>
      </w:r>
      <w:r w:rsidR="003C4DF9" w:rsidRPr="00845B00">
        <w:t>de operación de Level 3 en México)</w:t>
      </w:r>
      <w:r w:rsidR="003E4E95" w:rsidRPr="00845B00">
        <w:t xml:space="preserve">. </w:t>
      </w:r>
      <w:r w:rsidR="00EB5FFC" w:rsidRPr="00845B00">
        <w:t>Esta red está conectada con el este de los EUA.</w:t>
      </w:r>
    </w:p>
    <w:p w14:paraId="1920677F" w14:textId="37CE5599" w:rsidR="0016657E" w:rsidRPr="00845B00" w:rsidRDefault="00EB5FFC" w:rsidP="0016657E">
      <w:pPr>
        <w:pStyle w:val="Prraforproyecto"/>
        <w:numPr>
          <w:ilvl w:val="0"/>
          <w:numId w:val="19"/>
        </w:numPr>
      </w:pPr>
      <w:r w:rsidRPr="00845B00">
        <w:t>U</w:t>
      </w:r>
      <w:r w:rsidR="00721CA0" w:rsidRPr="00845B00">
        <w:t xml:space="preserve">n cable submarino </w:t>
      </w:r>
      <w:r w:rsidRPr="00845B00">
        <w:t xml:space="preserve">(fibra óptica) </w:t>
      </w:r>
      <w:r w:rsidR="00721CA0" w:rsidRPr="00845B00">
        <w:t xml:space="preserve">denominado Pan-American Crossing (PAC), </w:t>
      </w:r>
      <w:r w:rsidRPr="00845B00">
        <w:t xml:space="preserve">que conecta las ciudades de Mazatlán y Tijuana </w:t>
      </w:r>
      <w:r w:rsidR="00721CA0" w:rsidRPr="00845B00">
        <w:t>con el oeste de EUA, Costa Rica y Panamá</w:t>
      </w:r>
      <w:r w:rsidRPr="00845B00">
        <w:t>. Ese cable está conectado a la red de fibra óptica identificado en el punto 1) previo.</w:t>
      </w:r>
    </w:p>
    <w:p w14:paraId="35CF0A35" w14:textId="70249F30" w:rsidR="00845B00" w:rsidRDefault="006C7DA2" w:rsidP="0016657E">
      <w:pPr>
        <w:pStyle w:val="Prraforproyecto"/>
        <w:numPr>
          <w:ilvl w:val="0"/>
          <w:numId w:val="19"/>
        </w:numPr>
      </w:pPr>
      <w:r w:rsidRPr="00845B00">
        <w:t xml:space="preserve">Uso de </w:t>
      </w:r>
      <w:r w:rsidR="00C7311E" w:rsidRPr="00845B00">
        <w:t xml:space="preserve">capacidad </w:t>
      </w:r>
      <w:r w:rsidRPr="00845B00">
        <w:t>arrendada a terceros</w:t>
      </w:r>
      <w:r w:rsidR="00C7311E" w:rsidRPr="00845B00">
        <w:t xml:space="preserve"> operadores </w:t>
      </w:r>
      <w:r w:rsidRPr="00845B00">
        <w:t>que le permite establecer</w:t>
      </w:r>
      <w:r w:rsidR="00C7311E" w:rsidRPr="00845B00">
        <w:t xml:space="preserve"> dos Anillos de operación</w:t>
      </w:r>
      <w:r w:rsidRPr="00845B00">
        <w:t xml:space="preserve"> adicionales</w:t>
      </w:r>
      <w:r w:rsidR="00C7311E" w:rsidRPr="00845B00">
        <w:t>. El primero, conecta las ciudades de Tamaulipas</w:t>
      </w:r>
      <w:r w:rsidR="00B92BC2" w:rsidRPr="00845B00">
        <w:t>,</w:t>
      </w:r>
      <w:r w:rsidR="00C7311E" w:rsidRPr="00845B00">
        <w:t xml:space="preserve"> Dallas, EUA y Ciudad Juárez. El segundo, conecta las ciudades de </w:t>
      </w:r>
      <w:r w:rsidRPr="00845B00">
        <w:t>México, Puebla y Veracruz.</w:t>
      </w:r>
      <w:r w:rsidR="00845B00">
        <w:t xml:space="preserve"> </w:t>
      </w:r>
    </w:p>
    <w:p w14:paraId="75AA446D" w14:textId="6AAE2504" w:rsidR="0016657E" w:rsidRPr="00845B00" w:rsidRDefault="0016657E" w:rsidP="0016657E">
      <w:pPr>
        <w:pStyle w:val="Prraforproyecto"/>
      </w:pPr>
    </w:p>
    <w:p w14:paraId="15F37770" w14:textId="77777777" w:rsidR="00845B00" w:rsidRDefault="003E4E95" w:rsidP="00BA4A60">
      <w:pPr>
        <w:pStyle w:val="Prraforproyecto"/>
        <w:keepNext/>
      </w:pPr>
      <w:r w:rsidRPr="00845B00">
        <w:t>Figura 1. Red de fibra óptica de Level 3 en México y los EUA</w:t>
      </w:r>
    </w:p>
    <w:p w14:paraId="79004FF2" w14:textId="62C7617A" w:rsidR="003E4E95" w:rsidRPr="00845B00" w:rsidRDefault="003E4E95" w:rsidP="00E41E4D">
      <w:pPr>
        <w:pStyle w:val="Prraforproyecto"/>
      </w:pPr>
      <w:r w:rsidRPr="00845B00">
        <w:rPr>
          <w:noProof/>
          <w:lang w:val="es-MX"/>
        </w:rPr>
        <w:drawing>
          <wp:inline distT="0" distB="0" distL="0" distR="0" wp14:anchorId="4BF5EEAF" wp14:editId="67690FB7">
            <wp:extent cx="5995683" cy="3505200"/>
            <wp:effectExtent l="0" t="0" r="5080" b="0"/>
            <wp:docPr id="5" name="Imagen 5" descr="Red de fibra óptica de Level 3 en México y los EUA" title="Red de fibra óptica de Level 3 en México y los 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74" t="24444" r="23946" b="20593"/>
                    <a:stretch/>
                  </pic:blipFill>
                  <pic:spPr bwMode="auto">
                    <a:xfrm>
                      <a:off x="0" y="0"/>
                      <a:ext cx="6001177" cy="3508412"/>
                    </a:xfrm>
                    <a:prstGeom prst="rect">
                      <a:avLst/>
                    </a:prstGeom>
                    <a:ln>
                      <a:noFill/>
                    </a:ln>
                    <a:extLst>
                      <a:ext uri="{53640926-AAD7-44D8-BBD7-CCE9431645EC}">
                        <a14:shadowObscured xmlns:a14="http://schemas.microsoft.com/office/drawing/2010/main"/>
                      </a:ext>
                    </a:extLst>
                  </pic:spPr>
                </pic:pic>
              </a:graphicData>
            </a:graphic>
          </wp:inline>
        </w:drawing>
      </w:r>
    </w:p>
    <w:p w14:paraId="1C07FFF6" w14:textId="77777777" w:rsidR="006C7DA2" w:rsidRPr="00845B00" w:rsidRDefault="003E4E95" w:rsidP="00BA4A60">
      <w:pPr>
        <w:pStyle w:val="Prraforproyecto"/>
        <w:keepNext/>
      </w:pPr>
      <w:r w:rsidRPr="00845B00">
        <w:lastRenderedPageBreak/>
        <w:t xml:space="preserve">Figura 2. </w:t>
      </w:r>
      <w:r w:rsidR="006C7DA2" w:rsidRPr="00845B00">
        <w:t xml:space="preserve">Redes propias </w:t>
      </w:r>
      <w:r w:rsidR="006C7DA2" w:rsidRPr="00845B00">
        <w:rPr>
          <w:i/>
        </w:rPr>
        <w:t xml:space="preserve">versus </w:t>
      </w:r>
      <w:r w:rsidR="006C7DA2" w:rsidRPr="00845B00">
        <w:t xml:space="preserve">redes arrendadas de Level 3 en México </w:t>
      </w:r>
    </w:p>
    <w:p w14:paraId="79F33C62" w14:textId="7228174B" w:rsidR="006C7DA2" w:rsidRPr="00845B00" w:rsidRDefault="00F84327" w:rsidP="00E41E4D">
      <w:pPr>
        <w:pStyle w:val="Prraforproyecto"/>
      </w:pPr>
      <w:r>
        <w:rPr>
          <w:noProof/>
          <w:lang w:val="es-MX"/>
        </w:rPr>
        <w:drawing>
          <wp:inline distT="0" distB="0" distL="0" distR="0" wp14:anchorId="6A6E84CB" wp14:editId="773C829F">
            <wp:extent cx="5932805" cy="3710940"/>
            <wp:effectExtent l="0" t="0" r="0" b="3810"/>
            <wp:docPr id="12" name="Imagen 12" descr="La imagen corresponde a un mapa de las redes propias versus redes arrendadas de Level 3 en México que contiene cierta información &quot;CONFIDENCIAL POR LEY&quot;" title="Redes propias versus redes arrendadas de Level 3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noFill/>
                    <a:ln>
                      <a:noFill/>
                    </a:ln>
                  </pic:spPr>
                </pic:pic>
              </a:graphicData>
            </a:graphic>
          </wp:inline>
        </w:drawing>
      </w:r>
    </w:p>
    <w:p w14:paraId="03606867" w14:textId="77777777" w:rsidR="003E4E95" w:rsidRPr="00845B00" w:rsidRDefault="006C7DA2" w:rsidP="00E41E4D">
      <w:pPr>
        <w:pStyle w:val="Prraforproyecto"/>
      </w:pPr>
      <w:r w:rsidRPr="00845B00">
        <w:t xml:space="preserve">Figura 3. </w:t>
      </w:r>
      <w:r w:rsidR="003E4E95" w:rsidRPr="00845B00">
        <w:t>Cable submarino de Level 3 en México</w:t>
      </w:r>
    </w:p>
    <w:p w14:paraId="1CE08DA4" w14:textId="77777777" w:rsidR="00845B00" w:rsidRDefault="003E4E95" w:rsidP="00E41E4D">
      <w:pPr>
        <w:pStyle w:val="Prraforproyecto"/>
        <w:rPr>
          <w:u w:val="single"/>
        </w:rPr>
      </w:pPr>
      <w:r w:rsidRPr="00845B00">
        <w:rPr>
          <w:noProof/>
          <w:lang w:val="es-MX"/>
        </w:rPr>
        <w:drawing>
          <wp:inline distT="0" distB="0" distL="0" distR="0" wp14:anchorId="65AB1F2B" wp14:editId="5F6F7576">
            <wp:extent cx="5591175" cy="3204151"/>
            <wp:effectExtent l="0" t="0" r="0" b="0"/>
            <wp:docPr id="3" name="Imagen 3" descr="La imagen se refiere a un mapa que ilustra el cable submarino de Level 3 en México" title="Cable submarino de Level 3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5" t="5514" r="-8" b="3315"/>
                    <a:stretch/>
                  </pic:blipFill>
                  <pic:spPr bwMode="auto">
                    <a:xfrm>
                      <a:off x="0" y="0"/>
                      <a:ext cx="5605205" cy="3212191"/>
                    </a:xfrm>
                    <a:prstGeom prst="rect">
                      <a:avLst/>
                    </a:prstGeom>
                    <a:ln>
                      <a:noFill/>
                    </a:ln>
                    <a:extLst>
                      <a:ext uri="{53640926-AAD7-44D8-BBD7-CCE9431645EC}">
                        <a14:shadowObscured xmlns:a14="http://schemas.microsoft.com/office/drawing/2010/main"/>
                      </a:ext>
                    </a:extLst>
                  </pic:spPr>
                </pic:pic>
              </a:graphicData>
            </a:graphic>
          </wp:inline>
        </w:drawing>
      </w:r>
    </w:p>
    <w:p w14:paraId="245D721C" w14:textId="3839CFAA" w:rsidR="00EB5FFC" w:rsidRPr="00845B00" w:rsidRDefault="00EB5FFC" w:rsidP="00E41E4D">
      <w:pPr>
        <w:pStyle w:val="Prraforproyecto"/>
      </w:pPr>
      <w:r w:rsidRPr="00845B00">
        <w:lastRenderedPageBreak/>
        <w:t xml:space="preserve">El cable submarino PAC de </w:t>
      </w:r>
      <w:proofErr w:type="spellStart"/>
      <w:r w:rsidRPr="00845B00">
        <w:t>Level</w:t>
      </w:r>
      <w:proofErr w:type="spellEnd"/>
      <w:r w:rsidRPr="00845B00">
        <w:t xml:space="preserve"> 3 le permite ofrecer sus servicios a clientes corporativos internacionales, así como a operadores de servicios de telecomunicaciones que necesitan contar con capacidad y transportar sus datos fuera del territorio nacional. </w:t>
      </w:r>
    </w:p>
    <w:p w14:paraId="2FEF5F4F" w14:textId="77777777" w:rsidR="003E4E95" w:rsidRPr="00845B00" w:rsidRDefault="00D440B0" w:rsidP="00E41E4D">
      <w:pPr>
        <w:pStyle w:val="Prraforproyecto"/>
        <w:rPr>
          <w:lang w:val="es-MX"/>
        </w:rPr>
      </w:pPr>
      <w:r w:rsidRPr="00845B00">
        <w:t>Al respecto, de acuerdo con el estudio “</w:t>
      </w:r>
      <w:r w:rsidRPr="00845B00">
        <w:rPr>
          <w:lang w:val="es-MX"/>
        </w:rPr>
        <w:t xml:space="preserve">Economic Impact of Submarine Cable Disruptions”, de la APEC, </w:t>
      </w:r>
      <w:r w:rsidRPr="00845B00">
        <w:t>l</w:t>
      </w:r>
      <w:r w:rsidR="003E4E95" w:rsidRPr="00845B00">
        <w:t xml:space="preserve">a cantidad de datos e información </w:t>
      </w:r>
      <w:r w:rsidRPr="00845B00">
        <w:t>transmitida</w:t>
      </w:r>
      <w:r w:rsidR="003E4E95" w:rsidRPr="00845B00">
        <w:t xml:space="preserve"> a través de la red mundial de cable submarino de telecomunicaciones en los últimos años ha experimentado un crecimiento sin precedentes y ha superado cualquier tipo de transmisión de información conocida con anterioridad. </w:t>
      </w:r>
      <w:r w:rsidRPr="00845B00">
        <w:t>También señala que l</w:t>
      </w:r>
      <w:r w:rsidR="003E4E95" w:rsidRPr="00845B00">
        <w:t xml:space="preserve">os cables submarinos transportan más del 97% </w:t>
      </w:r>
      <w:r w:rsidR="00AB611C" w:rsidRPr="00845B00">
        <w:t xml:space="preserve">(noventa y siete por ciento) </w:t>
      </w:r>
      <w:r w:rsidR="003E4E95" w:rsidRPr="00845B00">
        <w:t>del tráfico intercontinental de datos</w:t>
      </w:r>
      <w:r w:rsidRPr="00845B00">
        <w:t xml:space="preserve"> (a través de satélites se transporta el 3%</w:t>
      </w:r>
      <w:r w:rsidR="00AB611C" w:rsidRPr="00845B00">
        <w:t xml:space="preserve"> -tres por ciento-</w:t>
      </w:r>
      <w:r w:rsidRPr="00845B00">
        <w:t>)</w:t>
      </w:r>
      <w:r w:rsidR="003E4E95" w:rsidRPr="00845B00">
        <w:t xml:space="preserve">, ya que proporcionan un medio más eficiente de transmitir las telecomunicaciones que los satélites. </w:t>
      </w:r>
      <w:r w:rsidRPr="00845B00">
        <w:t xml:space="preserve">Lo anterior, debido a que </w:t>
      </w:r>
      <w:r w:rsidR="003E4E95" w:rsidRPr="00845B00">
        <w:t xml:space="preserve">los cables submarinos son la única tecnología que puede transmitir grandes cantidades de información a través de cuerpos de agua con baja latencia (retrasos), y </w:t>
      </w:r>
      <w:r w:rsidRPr="00845B00">
        <w:t xml:space="preserve">a un </w:t>
      </w:r>
      <w:r w:rsidR="003E4E95" w:rsidRPr="00845B00">
        <w:t>bajo costo</w:t>
      </w:r>
      <w:r w:rsidRPr="00845B00">
        <w:t xml:space="preserve"> con relación a los servicios satelitales</w:t>
      </w:r>
      <w:r w:rsidR="003E4E95" w:rsidRPr="00845B00">
        <w:t>.</w:t>
      </w:r>
      <w:r w:rsidR="00367867" w:rsidRPr="00845B00">
        <w:rPr>
          <w:rStyle w:val="Refdenotaalpie"/>
          <w:lang w:val="es-MX"/>
        </w:rPr>
        <w:t xml:space="preserve"> </w:t>
      </w:r>
      <w:r w:rsidR="00367867" w:rsidRPr="00845B00">
        <w:rPr>
          <w:rStyle w:val="Refdenotaalpie"/>
          <w:lang w:val="es-MX"/>
        </w:rPr>
        <w:footnoteReference w:id="8"/>
      </w:r>
    </w:p>
    <w:p w14:paraId="0D2829F3" w14:textId="77777777" w:rsidR="003C4DF9" w:rsidRPr="00845B00" w:rsidRDefault="003C4DF9" w:rsidP="00845B00">
      <w:pPr>
        <w:pStyle w:val="Prraforproyecto"/>
      </w:pPr>
      <w:r w:rsidRPr="00845B00">
        <w:t>Century Link no compite con Level 3 en la provisión de servicios prestados a través de red</w:t>
      </w:r>
      <w:r w:rsidR="00957ACE" w:rsidRPr="00845B00">
        <w:t>es</w:t>
      </w:r>
      <w:r w:rsidRPr="00845B00">
        <w:t xml:space="preserve"> </w:t>
      </w:r>
      <w:r w:rsidR="00957ACE" w:rsidRPr="00845B00">
        <w:t>de fibra óptica y cables submarinos</w:t>
      </w:r>
      <w:r w:rsidRPr="00845B00">
        <w:t>.</w:t>
      </w:r>
      <w:r w:rsidR="00957ACE" w:rsidRPr="00845B00">
        <w:t xml:space="preserve"> Lo anterior, debido a que Century Link no tiene instalada ninguna red de estos tipos en México.</w:t>
      </w:r>
    </w:p>
    <w:p w14:paraId="58DE175B" w14:textId="77777777" w:rsidR="00957ACE" w:rsidRPr="00845B00" w:rsidRDefault="00957ACE" w:rsidP="00E41E4D">
      <w:pPr>
        <w:pStyle w:val="Prraforproyecto"/>
        <w:rPr>
          <w:u w:val="single"/>
        </w:rPr>
      </w:pPr>
      <w:r w:rsidRPr="00845B00">
        <w:t xml:space="preserve">A continuación se describen los servicios prestados por </w:t>
      </w:r>
      <w:proofErr w:type="spellStart"/>
      <w:r w:rsidRPr="00845B00">
        <w:t>Level</w:t>
      </w:r>
      <w:proofErr w:type="spellEnd"/>
      <w:r w:rsidRPr="00845B00">
        <w:t xml:space="preserve"> 3 en México:</w:t>
      </w:r>
    </w:p>
    <w:p w14:paraId="5B32F438" w14:textId="3FFEC706" w:rsidR="00420086" w:rsidRPr="002071CE" w:rsidRDefault="00FA3E7D" w:rsidP="00845B00">
      <w:pPr>
        <w:pStyle w:val="Prraforproyecto"/>
        <w:numPr>
          <w:ilvl w:val="0"/>
          <w:numId w:val="34"/>
        </w:numPr>
        <w:rPr>
          <w:u w:val="single"/>
        </w:rPr>
      </w:pPr>
      <w:r w:rsidRPr="002071CE">
        <w:rPr>
          <w:u w:val="single"/>
        </w:rPr>
        <w:t>A</w:t>
      </w:r>
      <w:r w:rsidR="00616775" w:rsidRPr="002071CE">
        <w:rPr>
          <w:u w:val="single"/>
        </w:rPr>
        <w:t>cceso a internet fijo</w:t>
      </w:r>
      <w:r w:rsidRPr="002071CE">
        <w:rPr>
          <w:u w:val="single"/>
        </w:rPr>
        <w:t xml:space="preserve"> </w:t>
      </w:r>
    </w:p>
    <w:p w14:paraId="4CCFF357" w14:textId="77777777" w:rsidR="005F2F5B" w:rsidRPr="00845B00" w:rsidRDefault="004514ED" w:rsidP="00E41E4D">
      <w:pPr>
        <w:pStyle w:val="Prraforproyecto"/>
      </w:pPr>
      <w:r w:rsidRPr="00845B00">
        <w:t xml:space="preserve">El servicio de acceso a internet fijo permite al usuario intercambiar datos, escritos, imágenes, voz, sonidos o información, a través de la red de internet. Este servicio se presta a través de equipos terminales que tienen una ubicación geográfica determinada y se ofrece a través de redes públicas de telecomunicaciones fijas, que pueden ser alámbricas o inalámbricas. </w:t>
      </w:r>
    </w:p>
    <w:p w14:paraId="60B73921" w14:textId="2989BF38" w:rsidR="00E55F0F" w:rsidRPr="00845B00" w:rsidRDefault="00E55F0F" w:rsidP="00E41E4D">
      <w:pPr>
        <w:pStyle w:val="Prraforproyecto"/>
      </w:pPr>
      <w:r w:rsidRPr="00845B00">
        <w:t xml:space="preserve">A nivel nacional, Level 3 estima tener una participación de mercado marginal, aproximadamente del </w:t>
      </w:r>
      <w:r w:rsidR="00BC13A6" w:rsidRPr="002B05D3">
        <w:rPr>
          <w:b/>
          <w:color w:val="0000CC"/>
          <w:sz w:val="19"/>
          <w:szCs w:val="19"/>
        </w:rPr>
        <w:t>“CONFIDENCIAL POR LEY”</w:t>
      </w:r>
      <w:r w:rsidR="00AB611C" w:rsidRPr="00845B00">
        <w:t xml:space="preserve"> por ciento)</w:t>
      </w:r>
      <w:r w:rsidRPr="00845B00">
        <w:t>.</w:t>
      </w:r>
    </w:p>
    <w:p w14:paraId="70178FBC" w14:textId="77777777" w:rsidR="00FA3E7D" w:rsidRPr="002071CE" w:rsidRDefault="00FA3E7D" w:rsidP="00845B00">
      <w:pPr>
        <w:pStyle w:val="Prraforproyecto"/>
        <w:numPr>
          <w:ilvl w:val="0"/>
          <w:numId w:val="34"/>
        </w:numPr>
        <w:rPr>
          <w:u w:val="single"/>
        </w:rPr>
      </w:pPr>
      <w:r w:rsidRPr="002071CE">
        <w:rPr>
          <w:u w:val="single"/>
        </w:rPr>
        <w:t>Enlaces dedicados</w:t>
      </w:r>
    </w:p>
    <w:p w14:paraId="52F21CF3" w14:textId="77777777" w:rsidR="003E23D3" w:rsidRPr="00845B00" w:rsidRDefault="003E23D3" w:rsidP="003E23D3">
      <w:pPr>
        <w:ind w:right="-1"/>
        <w:jc w:val="both"/>
        <w:rPr>
          <w:rFonts w:ascii="ITC Avant Garde" w:hAnsi="ITC Avant Garde"/>
        </w:rPr>
      </w:pPr>
      <w:r w:rsidRPr="00845B00">
        <w:rPr>
          <w:rFonts w:ascii="ITC Avant Garde" w:hAnsi="ITC Avant Garde"/>
        </w:rPr>
        <w:t>Los enlaces dedicados se utilizan para transportar tráfico entre distintos puntos de las redes, conectarse con redes de otros operadores, intercambiar tráfico y dar conectividad a usuarios finales, y son utilizados por usuarios que desean llegar a clientes ubicados en lugares donde no tienen infraestructura propia.</w:t>
      </w:r>
    </w:p>
    <w:p w14:paraId="2D4D87A5" w14:textId="77777777" w:rsidR="003E23D3" w:rsidRPr="00845B00" w:rsidRDefault="003E23D3" w:rsidP="003E23D3">
      <w:pPr>
        <w:ind w:right="-1"/>
        <w:jc w:val="both"/>
        <w:rPr>
          <w:rFonts w:ascii="ITC Avant Garde" w:hAnsi="ITC Avant Garde" w:cs="ITC Avant Garde"/>
          <w:bCs/>
        </w:rPr>
      </w:pPr>
      <w:r w:rsidRPr="00845B00">
        <w:rPr>
          <w:rFonts w:ascii="ITC Avant Garde" w:hAnsi="ITC Avant Garde"/>
          <w:lang w:eastAsia="es-ES"/>
        </w:rPr>
        <w:t>Los enlaces dedicados pueden prestarse por diferentes medios de transmisión, los cuales pueden</w:t>
      </w:r>
      <w:r w:rsidRPr="00845B00">
        <w:rPr>
          <w:rFonts w:ascii="ITC Avant Garde" w:hAnsi="ITC Avant Garde" w:cs="ITC Avant Garde"/>
          <w:bCs/>
        </w:rPr>
        <w:t xml:space="preserve"> separarse en dos grandes grupos:</w:t>
      </w:r>
    </w:p>
    <w:p w14:paraId="125997F7" w14:textId="77777777" w:rsidR="003E23D3" w:rsidRPr="00845B00" w:rsidRDefault="003E23D3" w:rsidP="00F342F9">
      <w:pPr>
        <w:pStyle w:val="Prrafodelista"/>
        <w:numPr>
          <w:ilvl w:val="0"/>
          <w:numId w:val="12"/>
        </w:numPr>
        <w:ind w:right="-1"/>
        <w:jc w:val="both"/>
        <w:rPr>
          <w:rFonts w:cs="ITC Avant Garde"/>
          <w:bCs/>
        </w:rPr>
      </w:pPr>
      <w:r w:rsidRPr="00845B00">
        <w:rPr>
          <w:rFonts w:cs="ITC Avant Garde"/>
          <w:bCs/>
        </w:rPr>
        <w:lastRenderedPageBreak/>
        <w:t>alámbricos (par trenzado de cobre, cable coaxial y fibra óptica) e</w:t>
      </w:r>
    </w:p>
    <w:p w14:paraId="12279C1A" w14:textId="77777777" w:rsidR="003E23D3" w:rsidRPr="00845B00" w:rsidRDefault="003E23D3" w:rsidP="00F342F9">
      <w:pPr>
        <w:pStyle w:val="Prrafodelista"/>
        <w:numPr>
          <w:ilvl w:val="0"/>
          <w:numId w:val="12"/>
        </w:numPr>
        <w:ind w:right="-1"/>
        <w:jc w:val="both"/>
        <w:rPr>
          <w:rFonts w:cs="ITC Avant Garde"/>
          <w:bCs/>
        </w:rPr>
      </w:pPr>
      <w:r w:rsidRPr="00845B00">
        <w:rPr>
          <w:rFonts w:cs="ITC Avant Garde"/>
          <w:bCs/>
        </w:rPr>
        <w:t>inalámbricos, que utilizan espectro radioeléctrico (microondas y satelitales).</w:t>
      </w:r>
    </w:p>
    <w:p w14:paraId="149C3BDC" w14:textId="77777777" w:rsidR="005F2F5B" w:rsidRPr="00845B00" w:rsidRDefault="000D2F54" w:rsidP="00957ACE">
      <w:pPr>
        <w:ind w:right="-1"/>
        <w:jc w:val="both"/>
        <w:rPr>
          <w:rFonts w:ascii="ITC Avant Garde" w:eastAsia="Times New Roman" w:hAnsi="ITC Avant Garde" w:cs="ITC Avant Garde"/>
          <w:bCs/>
        </w:rPr>
      </w:pPr>
      <w:r w:rsidRPr="00845B00">
        <w:rPr>
          <w:rFonts w:ascii="ITC Avant Garde" w:eastAsia="Times New Roman" w:hAnsi="ITC Avant Garde" w:cs="ITC Avant Garde"/>
          <w:bCs/>
        </w:rPr>
        <w:t>Sólo el primero de los anteriores es el involucrado en la Operación, pues es el que provee la sociedad adquirida en México.</w:t>
      </w:r>
      <w:r w:rsidR="00957ACE" w:rsidRPr="00845B00">
        <w:rPr>
          <w:rFonts w:ascii="ITC Avant Garde" w:eastAsia="Times New Roman" w:hAnsi="ITC Avant Garde" w:cs="ITC Avant Garde"/>
          <w:bCs/>
        </w:rPr>
        <w:t xml:space="preserve"> </w:t>
      </w:r>
    </w:p>
    <w:p w14:paraId="48B1130E" w14:textId="64D3CBAA" w:rsidR="00E55F0F" w:rsidRPr="00845B00" w:rsidRDefault="00E55F0F" w:rsidP="00957ACE">
      <w:pPr>
        <w:ind w:right="-1"/>
        <w:jc w:val="both"/>
        <w:rPr>
          <w:rFonts w:ascii="ITC Avant Garde" w:hAnsi="ITC Avant Garde" w:cs="ITC Avant Garde"/>
          <w:bCs/>
        </w:rPr>
      </w:pPr>
      <w:r w:rsidRPr="00845B00">
        <w:rPr>
          <w:rFonts w:ascii="ITC Avant Garde" w:hAnsi="ITC Avant Garde"/>
        </w:rPr>
        <w:t>A nivel nacional, Level 3 estima tener una participación de mercado m</w:t>
      </w:r>
      <w:r w:rsidR="00AB611C" w:rsidRPr="00845B00">
        <w:rPr>
          <w:rFonts w:ascii="ITC Avant Garde" w:hAnsi="ITC Avant Garde"/>
        </w:rPr>
        <w:t xml:space="preserve">arginal de menos del </w:t>
      </w:r>
      <w:r w:rsidR="00BC13A6" w:rsidRPr="00B24849">
        <w:rPr>
          <w:rFonts w:ascii="ITC Avant Garde" w:eastAsia="Times New Roman" w:hAnsi="ITC Avant Garde"/>
          <w:b/>
          <w:bCs/>
          <w:color w:val="0000CC"/>
          <w:sz w:val="19"/>
          <w:szCs w:val="19"/>
          <w:lang w:val="es-ES_tradnl" w:eastAsia="es-MX"/>
        </w:rPr>
        <w:t>“CONFIDENCIAL POR LEY”</w:t>
      </w:r>
      <w:r w:rsidR="00AB611C" w:rsidRPr="00B24849">
        <w:rPr>
          <w:rFonts w:ascii="ITC Avant Garde" w:eastAsia="Times New Roman" w:hAnsi="ITC Avant Garde"/>
          <w:b/>
          <w:bCs/>
          <w:color w:val="0000CC"/>
          <w:sz w:val="19"/>
          <w:szCs w:val="19"/>
          <w:lang w:val="es-ES_tradnl" w:eastAsia="es-MX"/>
        </w:rPr>
        <w:t xml:space="preserve"> </w:t>
      </w:r>
      <w:r w:rsidR="00AB611C" w:rsidRPr="00845B00">
        <w:rPr>
          <w:rFonts w:ascii="ITC Avant Garde" w:hAnsi="ITC Avant Garde"/>
        </w:rPr>
        <w:t>por ciento)</w:t>
      </w:r>
      <w:r w:rsidRPr="00845B00">
        <w:rPr>
          <w:rFonts w:ascii="ITC Avant Garde" w:hAnsi="ITC Avant Garde"/>
        </w:rPr>
        <w:t>.</w:t>
      </w:r>
    </w:p>
    <w:p w14:paraId="4C34D966" w14:textId="77777777" w:rsidR="00616775" w:rsidRPr="002071CE" w:rsidRDefault="0013483F" w:rsidP="00845B00">
      <w:pPr>
        <w:pStyle w:val="Prraforproyecto"/>
        <w:numPr>
          <w:ilvl w:val="0"/>
          <w:numId w:val="34"/>
        </w:numPr>
        <w:rPr>
          <w:u w:val="single"/>
        </w:rPr>
      </w:pPr>
      <w:r w:rsidRPr="002071CE">
        <w:rPr>
          <w:u w:val="single"/>
        </w:rPr>
        <w:t xml:space="preserve">Capacidad de Red </w:t>
      </w:r>
    </w:p>
    <w:p w14:paraId="22850BAD" w14:textId="77777777" w:rsidR="0013483F" w:rsidRPr="00845B00" w:rsidRDefault="0013483F" w:rsidP="00E41E4D">
      <w:pPr>
        <w:pStyle w:val="Prraforproyecto"/>
      </w:pPr>
      <w:r w:rsidRPr="00845B00">
        <w:t>La provisión de capacidad de la Red Pública de Telecomunicaciones consiste en el servicio de emisión, conducción, transmisión o recepción de signos, señales, escritos, Imágenes, voz, sonidos o Información de cualquier naturaleza a través de la Red, a cualquier: a) concesionario de RPT; b) permisionario autorizado para la comercialización de servicios de telecomunicaciones; c) prestador de servicios de valor agregado, y/o d) usuario de redes privadas de telecomunicaciones.</w:t>
      </w:r>
    </w:p>
    <w:p w14:paraId="651DBBB8" w14:textId="77777777" w:rsidR="0013483F" w:rsidRPr="00845B00" w:rsidRDefault="0013483F" w:rsidP="00E41E4D">
      <w:pPr>
        <w:pStyle w:val="Prraforproyecto"/>
      </w:pPr>
      <w:r w:rsidRPr="00845B00">
        <w:t>Esta actividad puede incluir la comercialización de la capacidad adquirida respecto de redes de otros concesionarios de RPT con los cuales Level 3 tiene o pueda tener convenios celebrados para la adquisición de dicha capacidad.</w:t>
      </w:r>
    </w:p>
    <w:p w14:paraId="40B773CF" w14:textId="27262B41" w:rsidR="00E55F0F" w:rsidRPr="00845B00" w:rsidRDefault="00E55F0F" w:rsidP="00E41E4D">
      <w:pPr>
        <w:pStyle w:val="Prraforproyecto"/>
        <w:rPr>
          <w:rFonts w:cs="ITC Avant Garde"/>
        </w:rPr>
      </w:pPr>
      <w:r w:rsidRPr="00845B00">
        <w:t xml:space="preserve">A nivel nacional, Level 3 estima tener una participación de mercado marginal, </w:t>
      </w:r>
      <w:r w:rsidR="00957ACE" w:rsidRPr="00845B00">
        <w:t xml:space="preserve">de menos del </w:t>
      </w:r>
      <w:r w:rsidR="00BC13A6" w:rsidRPr="002B05D3">
        <w:rPr>
          <w:b/>
          <w:color w:val="0000CC"/>
          <w:sz w:val="19"/>
          <w:szCs w:val="19"/>
        </w:rPr>
        <w:t>“CONFIDENCIAL POR LEY”</w:t>
      </w:r>
      <w:r w:rsidR="00AB611C" w:rsidRPr="00845B00">
        <w:t xml:space="preserve"> por ciento)</w:t>
      </w:r>
      <w:r w:rsidRPr="00845B00">
        <w:t>.</w:t>
      </w:r>
    </w:p>
    <w:p w14:paraId="58E2B09A" w14:textId="77777777" w:rsidR="0013483F" w:rsidRPr="002071CE" w:rsidRDefault="0013483F" w:rsidP="00845B00">
      <w:pPr>
        <w:pStyle w:val="Prraforproyecto"/>
        <w:numPr>
          <w:ilvl w:val="0"/>
          <w:numId w:val="34"/>
        </w:numPr>
        <w:rPr>
          <w:u w:val="single"/>
        </w:rPr>
      </w:pPr>
      <w:r w:rsidRPr="002071CE">
        <w:rPr>
          <w:u w:val="single"/>
        </w:rPr>
        <w:t>Servicios de conectividad de negocios</w:t>
      </w:r>
    </w:p>
    <w:p w14:paraId="0B9DED13" w14:textId="50F64951" w:rsidR="00616775" w:rsidRPr="002071CE" w:rsidRDefault="00616775" w:rsidP="002071CE">
      <w:pPr>
        <w:pStyle w:val="Prraforproyecto"/>
        <w:numPr>
          <w:ilvl w:val="1"/>
          <w:numId w:val="34"/>
        </w:numPr>
        <w:rPr>
          <w:u w:val="single"/>
        </w:rPr>
      </w:pPr>
      <w:r w:rsidRPr="002071CE">
        <w:rPr>
          <w:u w:val="single"/>
        </w:rPr>
        <w:t>Redes Privadas Virtuales</w:t>
      </w:r>
    </w:p>
    <w:p w14:paraId="449C9F4F" w14:textId="77777777" w:rsidR="00616775" w:rsidRPr="00845B00" w:rsidRDefault="00616775" w:rsidP="00E41E4D">
      <w:pPr>
        <w:pStyle w:val="Prraforproyecto"/>
      </w:pPr>
      <w:r w:rsidRPr="00845B00">
        <w:t>Una red privada virtual (Virtual Private Network, o VPN) es una tecnología que permite una extensión segura de la red de área local (LAN) sobre una red pública o no controlada como Internet. Permite que la computadora en la red envíe y reciba datos sobre redes compartidas o públicas como si fuera una red privada con toda la funcionalidad, seguridad y políticas de gestión de una red privada.</w:t>
      </w:r>
    </w:p>
    <w:p w14:paraId="2C7F11BA" w14:textId="77777777" w:rsidR="00845B00" w:rsidRDefault="00616775" w:rsidP="00E41E4D">
      <w:pPr>
        <w:pStyle w:val="Prraforproyecto"/>
      </w:pPr>
      <w:r w:rsidRPr="00845B00">
        <w:t xml:space="preserve">Se trata de una tecnología que crea una conexión cifrada a través de una red menos segura. La ventaja consiste en que garantiza mejores niveles de seguridad para los sistemas conectados cuando una infraestructura de red subyacente por sí sola no puede proporcionarla. </w:t>
      </w:r>
    </w:p>
    <w:p w14:paraId="3F0281E4" w14:textId="6DA6A118" w:rsidR="00616775" w:rsidRPr="00845B00" w:rsidRDefault="00616775" w:rsidP="00E41E4D">
      <w:pPr>
        <w:pStyle w:val="Prraforproyecto"/>
      </w:pPr>
      <w:r w:rsidRPr="00845B00">
        <w:t>Para su uso, las VPN requieren de características como autentificación, autorización, integridad, confidencialidad, control de acceso, auditoría y registro de actividades. A diferencia de una red privada, las VPN reducen costos y mejoran la viabilidad en el manejo de la información. Los tipos más comunes de VPN son las VPN de acceso remoto y las VPN de sitio a sitio.</w:t>
      </w:r>
    </w:p>
    <w:p w14:paraId="5E3DDE12" w14:textId="77777777" w:rsidR="00616775" w:rsidRPr="00845B00" w:rsidRDefault="00616775" w:rsidP="00E41E4D">
      <w:pPr>
        <w:pStyle w:val="Prraforproyecto"/>
      </w:pPr>
      <w:r w:rsidRPr="00845B00">
        <w:lastRenderedPageBreak/>
        <w:t>Una VPN de acceso remoto utiliza una infraestructura pública de telecomunicaciones como internet para proporcionar a los usuarios remotos acceso seguro a la red de su organización. Por ejemplo, la conexión de un usuario con su red corporativa desde un Wi-Fi público.</w:t>
      </w:r>
    </w:p>
    <w:p w14:paraId="067D3501" w14:textId="77777777" w:rsidR="00616775" w:rsidRPr="00845B00" w:rsidRDefault="00616775" w:rsidP="00E41E4D">
      <w:pPr>
        <w:pStyle w:val="Prraforproyecto"/>
      </w:pPr>
      <w:r w:rsidRPr="00845B00">
        <w:t>Ahora bien, una VPN de sitio a sitio utiliza un dispositivo de puerta de enlace para conectar toda la red en una ubicación a una red en otra ubicación, normalmente una sucursal pequeña que se conecta a un centro de datos. Éste es el caso de Level 3 en México.</w:t>
      </w:r>
    </w:p>
    <w:p w14:paraId="0C672063" w14:textId="77777777" w:rsidR="00616775" w:rsidRPr="00845B00" w:rsidRDefault="00616775" w:rsidP="00E41E4D">
      <w:pPr>
        <w:pStyle w:val="Prraforproyecto"/>
      </w:pPr>
      <w:r w:rsidRPr="00845B00">
        <w:t xml:space="preserve">En el transporte de VPN de sitio a sitio es común usar nubes portadoras MPLS, en lugar de internet público. Aquí, también, es posible tener la conectividad de Capa 3 (MPLS IP VPN) o de Capa 2 (Virtual Private LAN Service, o VPLS) funcionando a través del transporte base. </w:t>
      </w:r>
    </w:p>
    <w:p w14:paraId="6B523234" w14:textId="77777777" w:rsidR="00616775" w:rsidRPr="00845B00" w:rsidRDefault="00616775" w:rsidP="00E41E4D">
      <w:pPr>
        <w:pStyle w:val="Prraforproyecto"/>
      </w:pPr>
      <w:r w:rsidRPr="00845B00">
        <w:t>El servicio Level 3 MPLS/IP VPN proporciona conectividad mundial entre puntos por medio de diversos tipos de conexión. Los servicios MPLS/IP VPN proporcionan las capacidades que las empresas necesitan para disminuir los costos de red, implementar una diversidad de opciones y mejorar la conectividad entre lugares distantes geográficamente.</w:t>
      </w:r>
    </w:p>
    <w:p w14:paraId="4B5CF697" w14:textId="7CFA081C" w:rsidR="00616775" w:rsidRPr="00845B00" w:rsidRDefault="00616775" w:rsidP="00E41E4D">
      <w:pPr>
        <w:pStyle w:val="Prraforproyecto"/>
      </w:pPr>
      <w:r w:rsidRPr="00845B00">
        <w:t>El ser</w:t>
      </w:r>
      <w:r w:rsidR="00315FB6" w:rsidRPr="00845B00">
        <w:t>vicio aprovecha l</w:t>
      </w:r>
      <w:r w:rsidRPr="00845B00">
        <w:t>a red MPLS global</w:t>
      </w:r>
      <w:r w:rsidR="00315FB6" w:rsidRPr="00845B00">
        <w:t xml:space="preserve"> de Level 3</w:t>
      </w:r>
      <w:r w:rsidRPr="00845B00">
        <w:t xml:space="preserve"> para crear rutas de clientes privados en la red troncal de Level 3. Cada cliente está completamente aislado de los dominios de los demás clientes</w:t>
      </w:r>
      <w:r w:rsidR="00315FB6" w:rsidRPr="00845B00">
        <w:t>.</w:t>
      </w:r>
      <w:r w:rsidRPr="00845B00">
        <w:t xml:space="preserve"> </w:t>
      </w:r>
    </w:p>
    <w:p w14:paraId="486CE8E1" w14:textId="4715CFA1" w:rsidR="00E55F0F" w:rsidRPr="00845B00" w:rsidRDefault="00E55F0F" w:rsidP="00E41E4D">
      <w:pPr>
        <w:pStyle w:val="Prraforproyecto"/>
        <w:rPr>
          <w:rFonts w:cs="ITC Avant Garde"/>
        </w:rPr>
      </w:pPr>
      <w:r w:rsidRPr="00845B00">
        <w:t>A nivel nacional, Level 3 estima tener una participación de mercado marginal, aproximadamente de</w:t>
      </w:r>
      <w:r w:rsidR="00957ACE" w:rsidRPr="00845B00">
        <w:t xml:space="preserve"> menos del </w:t>
      </w:r>
      <w:r w:rsidR="00BC13A6" w:rsidRPr="002B05D3">
        <w:rPr>
          <w:b/>
          <w:color w:val="0000CC"/>
          <w:sz w:val="19"/>
          <w:szCs w:val="19"/>
        </w:rPr>
        <w:t>“CONFIDENCIAL POR LEY”</w:t>
      </w:r>
      <w:r w:rsidR="00D25AE2" w:rsidRPr="00845B00">
        <w:t xml:space="preserve"> por ciento)</w:t>
      </w:r>
      <w:r w:rsidRPr="00845B00">
        <w:t>.</w:t>
      </w:r>
    </w:p>
    <w:p w14:paraId="152EDA68" w14:textId="77777777" w:rsidR="0013483F" w:rsidRPr="002071CE" w:rsidRDefault="0013483F" w:rsidP="002071CE">
      <w:pPr>
        <w:pStyle w:val="Prraforproyecto"/>
        <w:numPr>
          <w:ilvl w:val="1"/>
          <w:numId w:val="34"/>
        </w:numPr>
        <w:rPr>
          <w:u w:val="single"/>
        </w:rPr>
      </w:pPr>
      <w:r w:rsidRPr="002071CE">
        <w:rPr>
          <w:u w:val="single"/>
        </w:rPr>
        <w:t>Ethernet</w:t>
      </w:r>
    </w:p>
    <w:p w14:paraId="707BB529" w14:textId="77777777" w:rsidR="00845B00" w:rsidRDefault="0013483F" w:rsidP="00E41E4D">
      <w:pPr>
        <w:pStyle w:val="Prraforproyecto"/>
      </w:pPr>
      <w:r w:rsidRPr="00845B00">
        <w:t xml:space="preserve">Ethernet es el nombre de la LAN más comúnmente utilizada. Una LAN (Red de área local) es una red de ordenadores que cubre un área pequeña como una habitación, una oficina, un edificio o un campus. </w:t>
      </w:r>
    </w:p>
    <w:p w14:paraId="54E1E7BF" w14:textId="77777777" w:rsidR="00845B00" w:rsidRDefault="00845B00" w:rsidP="00E41E4D">
      <w:pPr>
        <w:pStyle w:val="Prraforproyecto"/>
      </w:pPr>
    </w:p>
    <w:p w14:paraId="04B232E1" w14:textId="77777777" w:rsidR="0013483F" w:rsidRPr="00845B00" w:rsidRDefault="0013483F" w:rsidP="00E41E4D">
      <w:pPr>
        <w:pStyle w:val="Prraforproyecto"/>
      </w:pPr>
      <w:r w:rsidRPr="00845B00">
        <w:t xml:space="preserve">Se utiliza en contraste con WAN (red de área extensa) que se extiende por áreas geográficas mucho más grandes. Ethernet es un protocolo de red que controla cómo se transmiten los datos a través de una LAN. Técnicamente se conoce como el protocolo IEEE 802.3. </w:t>
      </w:r>
    </w:p>
    <w:p w14:paraId="43568DB9" w14:textId="77777777" w:rsidR="0013483F" w:rsidRPr="00845B00" w:rsidRDefault="0013483F" w:rsidP="00E41E4D">
      <w:pPr>
        <w:pStyle w:val="Prraforproyecto"/>
      </w:pPr>
      <w:r w:rsidRPr="00845B00">
        <w:t>También conocido como estándar IEEE 802.3, éste consiste en un estándar de transmisión de datos para redes de área local. Los equipos de una red Ethernet están conectados a la misma línea de transmisión y la comunicación se lleva a cabo por medio de la utilización un protocolo denominado CSMA/CD (</w:t>
      </w:r>
      <w:r w:rsidRPr="00845B00">
        <w:rPr>
          <w:i/>
        </w:rPr>
        <w:t xml:space="preserve">Carrier Sense Multiple </w:t>
      </w:r>
      <w:r w:rsidRPr="00845B00">
        <w:rPr>
          <w:i/>
        </w:rPr>
        <w:lastRenderedPageBreak/>
        <w:t>Access with Collision Detect</w:t>
      </w:r>
      <w:r w:rsidRPr="00845B00">
        <w:t>, como protocolo de acceso múltiple que monitorea la portadora: detección de portadora y detección de colisiones).</w:t>
      </w:r>
    </w:p>
    <w:p w14:paraId="6A87BD95" w14:textId="77777777" w:rsidR="0013483F" w:rsidRPr="00845B00" w:rsidRDefault="0013483F" w:rsidP="00E41E4D">
      <w:pPr>
        <w:pStyle w:val="Prraforproyecto"/>
      </w:pPr>
      <w:r w:rsidRPr="00845B00">
        <w:t>Ethernet define las características de cableado y señalización de nivel físico y los formatos de tramas de datos del nivel de enlace de datos del modelo OSI.</w:t>
      </w:r>
      <w:r w:rsidRPr="00845B00">
        <w:rPr>
          <w:rStyle w:val="Refdenotaalpie"/>
        </w:rPr>
        <w:footnoteReference w:id="9"/>
      </w:r>
      <w:r w:rsidRPr="00845B00">
        <w:t xml:space="preserve"> Se distinguen diferentes variantes de tecnología Ethernet según el tipo y el diámetro de los cables utilizados</w:t>
      </w:r>
      <w:r w:rsidR="009D5F46" w:rsidRPr="00845B00">
        <w:t>, entre otros</w:t>
      </w:r>
      <w:r w:rsidRPr="00845B00">
        <w:t>:</w:t>
      </w:r>
    </w:p>
    <w:p w14:paraId="7480F2FD" w14:textId="77777777" w:rsidR="0013483F" w:rsidRPr="00845B00" w:rsidRDefault="0013483F" w:rsidP="00CF2B1C">
      <w:pPr>
        <w:pStyle w:val="Prraforproyecto"/>
        <w:numPr>
          <w:ilvl w:val="1"/>
          <w:numId w:val="9"/>
        </w:numPr>
        <w:ind w:left="567" w:hanging="425"/>
      </w:pPr>
      <w:r w:rsidRPr="00845B00">
        <w:t>10Base2: el cable que se usa es un cable coaxial delgado, llamado thin Ethernet.</w:t>
      </w:r>
    </w:p>
    <w:p w14:paraId="11F6C967" w14:textId="1F1616DB" w:rsidR="0013483F" w:rsidRPr="00845B00" w:rsidRDefault="0013483F" w:rsidP="00CF2B1C">
      <w:pPr>
        <w:pStyle w:val="Prraforproyecto"/>
        <w:numPr>
          <w:ilvl w:val="1"/>
          <w:numId w:val="9"/>
        </w:numPr>
        <w:ind w:left="567" w:hanging="425"/>
      </w:pPr>
      <w:r w:rsidRPr="00845B00">
        <w:t>10Base5: el cable que se usa es un cable coaxial grueso, llamado thi</w:t>
      </w:r>
      <w:r w:rsidR="009B4645" w:rsidRPr="00845B00">
        <w:t>n</w:t>
      </w:r>
      <w:r w:rsidRPr="00845B00">
        <w:t xml:space="preserve"> Ethernet.</w:t>
      </w:r>
    </w:p>
    <w:p w14:paraId="439920B3" w14:textId="77777777" w:rsidR="0013483F" w:rsidRPr="00845B00" w:rsidRDefault="0013483F" w:rsidP="00CF2B1C">
      <w:pPr>
        <w:pStyle w:val="Prraforproyecto"/>
        <w:numPr>
          <w:ilvl w:val="1"/>
          <w:numId w:val="9"/>
        </w:numPr>
        <w:ind w:left="567" w:hanging="425"/>
      </w:pPr>
      <w:r w:rsidRPr="00845B00">
        <w:t>10Base-T: se utilizan dos cables trenzados (la T significa twisted pair) y alcanza una velocidad de 10 Mbps.</w:t>
      </w:r>
    </w:p>
    <w:p w14:paraId="64885A47" w14:textId="77777777" w:rsidR="0013483F" w:rsidRPr="00845B00" w:rsidRDefault="0013483F" w:rsidP="00CF2B1C">
      <w:pPr>
        <w:pStyle w:val="Prraforproyecto"/>
        <w:numPr>
          <w:ilvl w:val="1"/>
          <w:numId w:val="9"/>
        </w:numPr>
        <w:ind w:left="567" w:hanging="425"/>
      </w:pPr>
      <w:r w:rsidRPr="00845B00">
        <w:t>100Base-FX: permite alcanzar una velocidad de 100 Mbps al usar una fibra óptica multimodo (la F es por Fiber).</w:t>
      </w:r>
    </w:p>
    <w:p w14:paraId="5DFC3B2B" w14:textId="77777777" w:rsidR="0013483F" w:rsidRPr="00845B00" w:rsidRDefault="0013483F" w:rsidP="00E41E4D">
      <w:pPr>
        <w:pStyle w:val="Prraforproyecto"/>
      </w:pPr>
      <w:r w:rsidRPr="00845B00">
        <w:t>La configuración de una LAN Ethernet requiere de:</w:t>
      </w:r>
    </w:p>
    <w:p w14:paraId="3076D79C" w14:textId="77777777" w:rsidR="0013483F" w:rsidRPr="00845B00" w:rsidRDefault="0013483F" w:rsidP="00CF2B1C">
      <w:pPr>
        <w:pStyle w:val="Prraforproyecto"/>
        <w:numPr>
          <w:ilvl w:val="1"/>
          <w:numId w:val="9"/>
        </w:numPr>
        <w:ind w:left="567"/>
      </w:pPr>
      <w:r w:rsidRPr="00845B00">
        <w:t>Computadoras y dispositivos para conectar.</w:t>
      </w:r>
    </w:p>
    <w:p w14:paraId="5A3A403B" w14:textId="77777777" w:rsidR="0013483F" w:rsidRPr="00845B00" w:rsidRDefault="0013483F" w:rsidP="00CF2B1C">
      <w:pPr>
        <w:pStyle w:val="Prraforproyecto"/>
        <w:numPr>
          <w:ilvl w:val="1"/>
          <w:numId w:val="9"/>
        </w:numPr>
        <w:ind w:left="567"/>
      </w:pPr>
      <w:r w:rsidRPr="00845B00">
        <w:t>Tarjetas de interfaz de red en los dispositivos.</w:t>
      </w:r>
    </w:p>
    <w:p w14:paraId="07BEF8FE" w14:textId="77777777" w:rsidR="0013483F" w:rsidRPr="00845B00" w:rsidRDefault="0013483F" w:rsidP="00CF2B1C">
      <w:pPr>
        <w:pStyle w:val="Prraforproyecto"/>
        <w:numPr>
          <w:ilvl w:val="1"/>
          <w:numId w:val="9"/>
        </w:numPr>
        <w:ind w:left="567"/>
      </w:pPr>
      <w:r w:rsidRPr="00845B00">
        <w:t>Un concentrador o una puerta de enlace para conectar sus dispositivos en una red en estrella.</w:t>
      </w:r>
    </w:p>
    <w:p w14:paraId="4462EEC8" w14:textId="77777777" w:rsidR="0013483F" w:rsidRPr="00845B00" w:rsidRDefault="0013483F" w:rsidP="00CF2B1C">
      <w:pPr>
        <w:pStyle w:val="Prraforproyecto"/>
        <w:numPr>
          <w:ilvl w:val="1"/>
          <w:numId w:val="9"/>
        </w:numPr>
        <w:ind w:left="567"/>
      </w:pPr>
      <w:r w:rsidRPr="00845B00">
        <w:t>Cables.</w:t>
      </w:r>
    </w:p>
    <w:p w14:paraId="65C9A4F7" w14:textId="77777777" w:rsidR="00845B00" w:rsidRDefault="0013483F" w:rsidP="00CF2B1C">
      <w:pPr>
        <w:pStyle w:val="Prraforproyecto"/>
        <w:numPr>
          <w:ilvl w:val="1"/>
          <w:numId w:val="9"/>
        </w:numPr>
        <w:ind w:left="567"/>
      </w:pPr>
      <w:r w:rsidRPr="00845B00">
        <w:t>Software para gestionar la red.</w:t>
      </w:r>
    </w:p>
    <w:p w14:paraId="21CCE6DB" w14:textId="79845BFB" w:rsidR="0013483F" w:rsidRPr="00845B00" w:rsidRDefault="0013483F" w:rsidP="00E41E4D">
      <w:pPr>
        <w:pStyle w:val="Prraforproyecto"/>
      </w:pPr>
      <w:r w:rsidRPr="00845B00">
        <w:t>Los servicios de Ethernet prestados por Level 3 permiten a los clientes conectar sus instalaciones comerciales o negocios a través de la misma red, ya sea que necesite conectividad de punto a punto o punto a multipunto.</w:t>
      </w:r>
    </w:p>
    <w:p w14:paraId="4CC119DA" w14:textId="77777777" w:rsidR="0013483F" w:rsidRPr="00845B00" w:rsidRDefault="0013483F" w:rsidP="00E41E4D">
      <w:pPr>
        <w:pStyle w:val="Prraforproyecto"/>
      </w:pPr>
      <w:r w:rsidRPr="00845B00">
        <w:t>Para este servicio, Level 3 ofrece:</w:t>
      </w:r>
    </w:p>
    <w:p w14:paraId="2709A62D" w14:textId="77777777" w:rsidR="0013483F" w:rsidRPr="00845B00" w:rsidRDefault="0013483F" w:rsidP="00CF2B1C">
      <w:pPr>
        <w:pStyle w:val="Prraforproyecto"/>
        <w:numPr>
          <w:ilvl w:val="1"/>
          <w:numId w:val="9"/>
        </w:numPr>
        <w:ind w:left="567"/>
      </w:pPr>
      <w:r w:rsidRPr="00845B00">
        <w:t>Opciones de amplitud de banda flexibles que van desde 1 Mbps hasta 100 Gbps.</w:t>
      </w:r>
    </w:p>
    <w:p w14:paraId="3838C7FE" w14:textId="77777777" w:rsidR="0013483F" w:rsidRPr="00845B00" w:rsidRDefault="0013483F" w:rsidP="00CF2B1C">
      <w:pPr>
        <w:pStyle w:val="Prraforproyecto"/>
        <w:numPr>
          <w:ilvl w:val="1"/>
          <w:numId w:val="9"/>
        </w:numPr>
        <w:ind w:left="567"/>
        <w:rPr>
          <w:lang w:val="en-US"/>
        </w:rPr>
      </w:pPr>
      <w:r w:rsidRPr="00845B00">
        <w:rPr>
          <w:lang w:val="en-US"/>
        </w:rPr>
        <w:t>Nivel 1: Ethernet Private Line (EPL), Ethernet a través de Wavelengths.</w:t>
      </w:r>
    </w:p>
    <w:p w14:paraId="755D253A" w14:textId="77777777" w:rsidR="0013483F" w:rsidRPr="00845B00" w:rsidRDefault="0013483F" w:rsidP="00CF2B1C">
      <w:pPr>
        <w:pStyle w:val="Prraforproyecto"/>
        <w:numPr>
          <w:ilvl w:val="1"/>
          <w:numId w:val="9"/>
        </w:numPr>
        <w:ind w:left="567"/>
      </w:pPr>
      <w:r w:rsidRPr="00845B00">
        <w:t>Nivel 2: Ethernet Virtual Private Line (EVPL) y Virtual Private LAN Services (VPLS).</w:t>
      </w:r>
    </w:p>
    <w:p w14:paraId="116A06A1" w14:textId="77777777" w:rsidR="0013483F" w:rsidRPr="00845B00" w:rsidRDefault="0013483F" w:rsidP="00CF2B1C">
      <w:pPr>
        <w:pStyle w:val="Prraforproyecto"/>
        <w:numPr>
          <w:ilvl w:val="1"/>
          <w:numId w:val="9"/>
        </w:numPr>
        <w:ind w:left="567"/>
      </w:pPr>
      <w:r w:rsidRPr="00845B00">
        <w:t xml:space="preserve">Puerto concentrador/E-NNI para proveedores mayoristas que agregan servicios de Ethernet a través de una interfaz única. </w:t>
      </w:r>
    </w:p>
    <w:p w14:paraId="2B8CF8F9" w14:textId="51852AF1" w:rsidR="00E55F0F" w:rsidRPr="00845B00" w:rsidRDefault="00E55F0F" w:rsidP="00E41E4D">
      <w:pPr>
        <w:pStyle w:val="Prraforproyecto"/>
        <w:rPr>
          <w:rFonts w:cs="ITC Avant Garde"/>
        </w:rPr>
      </w:pPr>
      <w:r w:rsidRPr="00845B00">
        <w:t xml:space="preserve">A nivel nacional, Level 3 estima tener una participación de mercado marginal, inferior al </w:t>
      </w:r>
      <w:r w:rsidR="00BC13A6" w:rsidRPr="002B05D3">
        <w:rPr>
          <w:b/>
          <w:color w:val="0000CC"/>
          <w:sz w:val="19"/>
          <w:szCs w:val="19"/>
        </w:rPr>
        <w:t>“CONFIDENCIAL POR LEY”</w:t>
      </w:r>
      <w:r w:rsidR="00D25AE2" w:rsidRPr="00845B00">
        <w:t xml:space="preserve"> por ciento)</w:t>
      </w:r>
      <w:r w:rsidRPr="00845B00">
        <w:t>.</w:t>
      </w:r>
    </w:p>
    <w:p w14:paraId="5A3841EC" w14:textId="77777777" w:rsidR="00FA3E7D" w:rsidRPr="002071CE" w:rsidRDefault="0013483F" w:rsidP="00845B00">
      <w:pPr>
        <w:pStyle w:val="Prraforproyecto"/>
        <w:numPr>
          <w:ilvl w:val="0"/>
          <w:numId w:val="34"/>
        </w:numPr>
        <w:rPr>
          <w:u w:val="single"/>
        </w:rPr>
      </w:pPr>
      <w:r w:rsidRPr="002071CE">
        <w:rPr>
          <w:u w:val="single"/>
        </w:rPr>
        <w:lastRenderedPageBreak/>
        <w:t xml:space="preserve">Servicios de </w:t>
      </w:r>
      <w:r w:rsidR="00957ACE" w:rsidRPr="002071CE">
        <w:rPr>
          <w:u w:val="single"/>
        </w:rPr>
        <w:t xml:space="preserve">hospedaje o </w:t>
      </w:r>
      <w:r w:rsidRPr="002071CE">
        <w:rPr>
          <w:u w:val="single"/>
        </w:rPr>
        <w:t xml:space="preserve">alojamiento de datos e información a través de </w:t>
      </w:r>
      <w:r w:rsidR="00FA3E7D" w:rsidRPr="002071CE">
        <w:rPr>
          <w:u w:val="single"/>
        </w:rPr>
        <w:t>Centros de Datos</w:t>
      </w:r>
    </w:p>
    <w:p w14:paraId="3B45CFEE" w14:textId="77777777" w:rsidR="009F7308" w:rsidRPr="00845B00" w:rsidRDefault="009F7308" w:rsidP="009F7308">
      <w:pPr>
        <w:jc w:val="both"/>
        <w:rPr>
          <w:rFonts w:ascii="ITC Avant Garde" w:hAnsi="ITC Avant Garde"/>
        </w:rPr>
      </w:pPr>
      <w:r w:rsidRPr="00845B00">
        <w:rPr>
          <w:rFonts w:ascii="ITC Avant Garde" w:hAnsi="ITC Avant Garde"/>
        </w:rPr>
        <w:t xml:space="preserve">Un centro de datos es una instalación utilizada para almacenar datos, sistemas informáticos (aplicaciones computacionales) y componentes asociados. Por lo general, incluye fuentes de alimentación de soporte y redundantes; conexiones de comunicaciones de datos, incluyendo conexiones redundantes; controles ambientales (e.g. aire acondicionado, extintores de incendios) y varios dispositivos de seguridad. Un centro de datos puede ocupar una habitación de un edificio, uno o más pisos, o todo un edificio. La mayoría del equipo está conformado por servidores montados en armarios, que se suelen incluir en filas individuales que forman corredores o pasillos entre ellos. Esto permite a las personas el acceso a la parte delantera y posterior de cada gabinete. </w:t>
      </w:r>
    </w:p>
    <w:p w14:paraId="0046A519" w14:textId="77777777" w:rsidR="009F7308" w:rsidRPr="00845B00" w:rsidRDefault="009F7308" w:rsidP="009F7308">
      <w:pPr>
        <w:jc w:val="both"/>
        <w:rPr>
          <w:rFonts w:ascii="ITC Avant Garde" w:hAnsi="ITC Avant Garde"/>
        </w:rPr>
      </w:pPr>
      <w:r w:rsidRPr="00845B00">
        <w:rPr>
          <w:rFonts w:ascii="ITC Avant Garde" w:hAnsi="ITC Avant Garde"/>
        </w:rPr>
        <w:t>La operación de centros de datos requiere de enlaces internos, así como de sistemas de comunicación con sus clientes:</w:t>
      </w:r>
    </w:p>
    <w:p w14:paraId="31385612" w14:textId="77777777" w:rsidR="009F7308" w:rsidRPr="00845B00" w:rsidRDefault="009F7308" w:rsidP="009F7308">
      <w:pPr>
        <w:rPr>
          <w:rFonts w:ascii="ITC Avant Garde" w:hAnsi="ITC Avant Garde"/>
        </w:rPr>
      </w:pPr>
      <w:r w:rsidRPr="00845B00">
        <w:rPr>
          <w:rFonts w:ascii="ITC Avant Garde" w:hAnsi="ITC Avant Garde"/>
          <w:noProof/>
          <w:lang w:eastAsia="es-MX"/>
        </w:rPr>
        <w:drawing>
          <wp:inline distT="0" distB="0" distL="0" distR="0" wp14:anchorId="19220F4D" wp14:editId="692CCAAB">
            <wp:extent cx="5915025" cy="4015123"/>
            <wp:effectExtent l="0" t="0" r="0" b="4445"/>
            <wp:docPr id="8" name="0 Imagen" descr="La imagen se refiere al Centro de Datos." title="Imagen Centro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loud_Centro_datos.jpg"/>
                    <pic:cNvPicPr/>
                  </pic:nvPicPr>
                  <pic:blipFill>
                    <a:blip r:embed="rId21">
                      <a:extLst>
                        <a:ext uri="{28A0092B-C50C-407E-A947-70E740481C1C}">
                          <a14:useLocalDpi xmlns:a14="http://schemas.microsoft.com/office/drawing/2010/main" val="0"/>
                        </a:ext>
                      </a:extLst>
                    </a:blip>
                    <a:stretch>
                      <a:fillRect/>
                    </a:stretch>
                  </pic:blipFill>
                  <pic:spPr>
                    <a:xfrm>
                      <a:off x="0" y="0"/>
                      <a:ext cx="5942219" cy="4033582"/>
                    </a:xfrm>
                    <a:prstGeom prst="rect">
                      <a:avLst/>
                    </a:prstGeom>
                  </pic:spPr>
                </pic:pic>
              </a:graphicData>
            </a:graphic>
          </wp:inline>
        </w:drawing>
      </w:r>
    </w:p>
    <w:p w14:paraId="594ACDE6" w14:textId="77777777" w:rsidR="00263C2F" w:rsidRPr="00845B00" w:rsidRDefault="009F7308" w:rsidP="009F7308">
      <w:pPr>
        <w:jc w:val="both"/>
        <w:rPr>
          <w:rFonts w:ascii="ITC Avant Garde" w:hAnsi="ITC Avant Garde"/>
        </w:rPr>
      </w:pPr>
      <w:r w:rsidRPr="00845B00">
        <w:rPr>
          <w:rFonts w:ascii="ITC Avant Garde" w:hAnsi="ITC Avant Garde"/>
        </w:rPr>
        <w:t xml:space="preserve">Los centros de datos contienen un conjunto de </w:t>
      </w:r>
      <w:r w:rsidRPr="00845B00">
        <w:rPr>
          <w:rFonts w:ascii="ITC Avant Garde" w:hAnsi="ITC Avant Garde"/>
          <w:i/>
        </w:rPr>
        <w:t>routers</w:t>
      </w:r>
      <w:r w:rsidRPr="00845B00">
        <w:rPr>
          <w:rFonts w:ascii="ITC Avant Garde" w:hAnsi="ITC Avant Garde"/>
        </w:rPr>
        <w:t xml:space="preserve"> y </w:t>
      </w:r>
      <w:r w:rsidRPr="00845B00">
        <w:rPr>
          <w:rFonts w:ascii="ITC Avant Garde" w:hAnsi="ITC Avant Garde"/>
          <w:i/>
        </w:rPr>
        <w:t>switches</w:t>
      </w:r>
      <w:r w:rsidRPr="00845B00">
        <w:rPr>
          <w:rFonts w:ascii="ITC Avant Garde" w:hAnsi="ITC Avant Garde"/>
        </w:rPr>
        <w:t xml:space="preserve"> que son útiles para dar dirección y transportar datos y aplicaciones computacionales entre los servidores dentro de los centros y fuera de dichos centros. La redundancia de la conexión a Internet es </w:t>
      </w:r>
      <w:r w:rsidRPr="00845B00">
        <w:rPr>
          <w:rFonts w:ascii="ITC Avant Garde" w:hAnsi="ITC Avant Garde"/>
        </w:rPr>
        <w:lastRenderedPageBreak/>
        <w:t>necesaria e imprescindible para que los servicios de aplicaciones y contenidos puedan proporcionarse de manera continua y permanente.</w:t>
      </w:r>
    </w:p>
    <w:p w14:paraId="25C9E538" w14:textId="6B10A11D" w:rsidR="00E55F0F" w:rsidRPr="00845B00" w:rsidRDefault="00E55F0F" w:rsidP="00E41E4D">
      <w:pPr>
        <w:pStyle w:val="Prraforproyecto"/>
        <w:rPr>
          <w:rFonts w:cs="ITC Avant Garde"/>
        </w:rPr>
      </w:pPr>
      <w:r w:rsidRPr="00845B00">
        <w:t>A nivel nacional, Level 3 estima tener una participación de mercado ma</w:t>
      </w:r>
      <w:r w:rsidR="00D25AE2" w:rsidRPr="00845B00">
        <w:t xml:space="preserve">rginal inferior al </w:t>
      </w:r>
      <w:r w:rsidR="00BC13A6" w:rsidRPr="002B05D3">
        <w:rPr>
          <w:b/>
          <w:color w:val="0000CC"/>
          <w:sz w:val="19"/>
          <w:szCs w:val="19"/>
        </w:rPr>
        <w:t>“CONFIDENCIAL POR LEY”</w:t>
      </w:r>
      <w:r w:rsidR="00D25AE2" w:rsidRPr="00845B00">
        <w:t xml:space="preserve"> por ciento)</w:t>
      </w:r>
      <w:r w:rsidRPr="00845B00">
        <w:t>.</w:t>
      </w:r>
    </w:p>
    <w:p w14:paraId="4D6B6810" w14:textId="77777777" w:rsidR="00FA3E7D" w:rsidRPr="002071CE" w:rsidRDefault="0013483F" w:rsidP="00845B00">
      <w:pPr>
        <w:pStyle w:val="Prraforproyecto"/>
        <w:numPr>
          <w:ilvl w:val="0"/>
          <w:numId w:val="34"/>
        </w:numPr>
        <w:rPr>
          <w:u w:val="single"/>
        </w:rPr>
      </w:pPr>
      <w:r w:rsidRPr="002071CE">
        <w:rPr>
          <w:u w:val="single"/>
        </w:rPr>
        <w:t xml:space="preserve">Servicio de distribución de contenido a través de </w:t>
      </w:r>
      <w:r w:rsidR="00FA3E7D" w:rsidRPr="002071CE">
        <w:rPr>
          <w:u w:val="single"/>
        </w:rPr>
        <w:t>Redes de Entrega de Contenidos</w:t>
      </w:r>
      <w:r w:rsidRPr="002071CE">
        <w:rPr>
          <w:u w:val="single"/>
        </w:rPr>
        <w:t xml:space="preserve"> (CDN)</w:t>
      </w:r>
    </w:p>
    <w:p w14:paraId="2C841C09" w14:textId="77777777" w:rsidR="0088028D" w:rsidRPr="00845B00" w:rsidRDefault="0088028D" w:rsidP="00E41E4D">
      <w:pPr>
        <w:pStyle w:val="Prraforproyecto"/>
      </w:pPr>
      <w:r w:rsidRPr="00845B00">
        <w:t xml:space="preserve">Una CDN </w:t>
      </w:r>
      <w:r w:rsidR="00F611FD" w:rsidRPr="00845B00">
        <w:t xml:space="preserve">(Content </w:t>
      </w:r>
      <w:proofErr w:type="spellStart"/>
      <w:r w:rsidR="00F611FD" w:rsidRPr="00845B00">
        <w:t>Delivery</w:t>
      </w:r>
      <w:proofErr w:type="spellEnd"/>
      <w:r w:rsidR="00F611FD" w:rsidRPr="00845B00">
        <w:t xml:space="preserve"> Network) </w:t>
      </w:r>
      <w:r w:rsidRPr="00845B00">
        <w:t xml:space="preserve">consiste en una tecnología de transporte de datos. Está conformada principalmente por una red de computadoras que contienen copias de datos, colocados en varios puntos de una red, con el fin de maximizar el ancho de banda para el acceso a los datos de clientes por la red. </w:t>
      </w:r>
    </w:p>
    <w:p w14:paraId="0D140A6F" w14:textId="77777777" w:rsidR="00845B00" w:rsidRDefault="0088028D" w:rsidP="00E41E4D">
      <w:pPr>
        <w:pStyle w:val="Prraforproyecto"/>
      </w:pPr>
      <w:r w:rsidRPr="00845B00">
        <w:t>Un cliente accede a una copia de la información a fin de evitar embudos cerca de ese servidor, en contraposición a todos los clientes que acceden al mismo servidor central.</w:t>
      </w:r>
    </w:p>
    <w:p w14:paraId="12779368" w14:textId="03CA9072" w:rsidR="002B3E21" w:rsidRPr="00845B00" w:rsidRDefault="00CD00EC" w:rsidP="000973E1">
      <w:pPr>
        <w:pStyle w:val="Prraforproyecto"/>
        <w:spacing w:before="0" w:after="0" w:line="240" w:lineRule="auto"/>
        <w:jc w:val="center"/>
      </w:pPr>
      <w:r w:rsidRPr="00845B00">
        <w:rPr>
          <w:b/>
          <w:sz w:val="18"/>
          <w:szCs w:val="18"/>
        </w:rPr>
        <w:t xml:space="preserve">Sistema tradicional de distribución de datos </w:t>
      </w:r>
      <w:r w:rsidRPr="00845B00">
        <w:rPr>
          <w:b/>
          <w:i/>
          <w:sz w:val="18"/>
          <w:szCs w:val="18"/>
        </w:rPr>
        <w:t>vs</w:t>
      </w:r>
      <w:r w:rsidRPr="00845B00">
        <w:rPr>
          <w:b/>
          <w:sz w:val="18"/>
          <w:szCs w:val="18"/>
        </w:rPr>
        <w:t xml:space="preserve"> CND</w:t>
      </w:r>
      <w:r w:rsidR="00F611FD" w:rsidRPr="00845B00">
        <w:rPr>
          <w:noProof/>
          <w:lang w:val="es-MX"/>
        </w:rPr>
        <w:drawing>
          <wp:inline distT="0" distB="0" distL="0" distR="0" wp14:anchorId="44C2036C" wp14:editId="785DB87C">
            <wp:extent cx="4266429" cy="2032000"/>
            <wp:effectExtent l="0" t="0" r="1270" b="6350"/>
            <wp:docPr id="1" name="Imagen 1" descr="La imagen se refiere al sistema tradicional de distribución de datos vs CND." title="Sistema tradicional de distribución de datos vs 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4591"/>
                    <a:stretch/>
                  </pic:blipFill>
                  <pic:spPr bwMode="auto">
                    <a:xfrm>
                      <a:off x="0" y="0"/>
                      <a:ext cx="4266429" cy="2032000"/>
                    </a:xfrm>
                    <a:prstGeom prst="rect">
                      <a:avLst/>
                    </a:prstGeom>
                    <a:noFill/>
                    <a:ln>
                      <a:noFill/>
                    </a:ln>
                    <a:extLst>
                      <a:ext uri="{53640926-AAD7-44D8-BBD7-CCE9431645EC}">
                        <a14:shadowObscured xmlns:a14="http://schemas.microsoft.com/office/drawing/2010/main"/>
                      </a:ext>
                    </a:extLst>
                  </pic:spPr>
                </pic:pic>
              </a:graphicData>
            </a:graphic>
          </wp:inline>
        </w:drawing>
      </w:r>
    </w:p>
    <w:p w14:paraId="540296FE" w14:textId="0996FA5F" w:rsidR="00845B00" w:rsidRDefault="002B3E21" w:rsidP="000973E1">
      <w:pPr>
        <w:pStyle w:val="Prraforproyecto"/>
        <w:tabs>
          <w:tab w:val="clear" w:pos="2410"/>
          <w:tab w:val="left" w:pos="1418"/>
        </w:tabs>
        <w:spacing w:before="0" w:after="0" w:line="240" w:lineRule="auto"/>
        <w:rPr>
          <w:sz w:val="18"/>
          <w:szCs w:val="18"/>
        </w:rPr>
      </w:pPr>
      <w:r w:rsidRPr="00845B00">
        <w:tab/>
      </w:r>
      <w:r w:rsidRPr="00845B00">
        <w:rPr>
          <w:sz w:val="18"/>
          <w:szCs w:val="18"/>
        </w:rPr>
        <w:t xml:space="preserve">*Imagen disponible en: https://es.wikipedia.org/wiki/Red_de_entrega_de_contenidos </w:t>
      </w:r>
    </w:p>
    <w:p w14:paraId="66808A22" w14:textId="54E0ED75" w:rsidR="0016657E" w:rsidRPr="00845B00" w:rsidRDefault="00BB5A8B" w:rsidP="00E41E4D">
      <w:pPr>
        <w:pStyle w:val="Prraforproyecto"/>
      </w:pPr>
      <w:r w:rsidRPr="00845B00">
        <w:t>L</w:t>
      </w:r>
      <w:r w:rsidR="002810E6" w:rsidRPr="00845B00">
        <w:t>a</w:t>
      </w:r>
      <w:r w:rsidR="00B5575D" w:rsidRPr="00845B00">
        <w:t>s</w:t>
      </w:r>
      <w:r w:rsidR="002810E6" w:rsidRPr="00845B00">
        <w:t xml:space="preserve"> CDN </w:t>
      </w:r>
      <w:r w:rsidR="0088028D" w:rsidRPr="00845B00">
        <w:t>redistribuye</w:t>
      </w:r>
      <w:r w:rsidRPr="00845B00">
        <w:t>n</w:t>
      </w:r>
      <w:r w:rsidR="002810E6" w:rsidRPr="00845B00">
        <w:t xml:space="preserve"> localmente el contenido de los servidores y guardan en caché los archivos que no necesitan actualización permanente, según unas reglas personalizables. </w:t>
      </w:r>
      <w:r w:rsidRPr="00845B00">
        <w:t>Por ello, permite</w:t>
      </w:r>
      <w:r w:rsidR="002810E6" w:rsidRPr="00845B00">
        <w:t xml:space="preserve"> potenciar y optimizar en cada zona todos sus sitios web internacionales.</w:t>
      </w:r>
    </w:p>
    <w:p w14:paraId="2FB851E7" w14:textId="77777777" w:rsidR="002810E6" w:rsidRPr="00845B00" w:rsidRDefault="00BB5A8B" w:rsidP="00E41E4D">
      <w:pPr>
        <w:pStyle w:val="Prraforproyecto"/>
      </w:pPr>
      <w:r w:rsidRPr="00845B00">
        <w:t>L</w:t>
      </w:r>
      <w:r w:rsidR="002810E6" w:rsidRPr="00845B00">
        <w:t>a</w:t>
      </w:r>
      <w:r w:rsidR="00B5575D" w:rsidRPr="00845B00">
        <w:t>s</w:t>
      </w:r>
      <w:r w:rsidR="002810E6" w:rsidRPr="00845B00">
        <w:t xml:space="preserve"> CDN permite</w:t>
      </w:r>
      <w:r w:rsidR="00B5575D" w:rsidRPr="00845B00">
        <w:t>n</w:t>
      </w:r>
      <w:r w:rsidR="002810E6" w:rsidRPr="00845B00">
        <w:t xml:space="preserve"> acelerar la carga de las páginas, mejorar los tiempos de respuesta y la experiencia de usuario, proteger los datos, mejorar el posicionamiento de los sitios web y reducir el consumo de ancho de banda en cada uno de los países. </w:t>
      </w:r>
    </w:p>
    <w:p w14:paraId="4D2AD369" w14:textId="457A545C" w:rsidR="00BB5A8B" w:rsidRPr="00845B00" w:rsidRDefault="00BB5A8B" w:rsidP="00E41E4D">
      <w:pPr>
        <w:pStyle w:val="Prraforproyecto"/>
      </w:pPr>
      <w:r w:rsidRPr="00845B00">
        <w:t xml:space="preserve">Por ejemplo, un cliente en México que desea acceder a información originada en Europa, podrá ser redirigido a un punto de acceso situado en Dallas (punto más cercano). </w:t>
      </w:r>
    </w:p>
    <w:p w14:paraId="7EFD4615" w14:textId="77777777" w:rsidR="00287C6C" w:rsidRPr="00845B00" w:rsidRDefault="002810E6" w:rsidP="00E41E4D">
      <w:pPr>
        <w:pStyle w:val="Prraforproyecto"/>
      </w:pPr>
      <w:r w:rsidRPr="00845B00">
        <w:lastRenderedPageBreak/>
        <w:t xml:space="preserve">Sin CDN, la petición </w:t>
      </w:r>
      <w:r w:rsidR="00B5575D" w:rsidRPr="00845B00">
        <w:t xml:space="preserve">del usuario mexicano </w:t>
      </w:r>
      <w:r w:rsidRPr="00845B00">
        <w:t>deberá, en cada conexión al sitio</w:t>
      </w:r>
      <w:r w:rsidR="00B5575D" w:rsidRPr="00845B00">
        <w:t xml:space="preserve"> web, recorrer un trayecto</w:t>
      </w:r>
      <w:r w:rsidRPr="00845B00">
        <w:t xml:space="preserve"> más largo (la distancia que lo separa del lugar de alojamiento del sitio web). </w:t>
      </w:r>
    </w:p>
    <w:p w14:paraId="5576A18B" w14:textId="77777777" w:rsidR="002810E6" w:rsidRPr="00845B00" w:rsidRDefault="00B5575D" w:rsidP="00E41E4D">
      <w:pPr>
        <w:pStyle w:val="Prraforproyecto"/>
      </w:pPr>
      <w:r w:rsidRPr="00845B00">
        <w:t>Por lo tanto, una CDN</w:t>
      </w:r>
      <w:r w:rsidR="002810E6" w:rsidRPr="00845B00">
        <w:t xml:space="preserve"> reduce la latencia acercando los sitios web y aplicaciones a sus usuarios y liberando los servidores y el ancho de b</w:t>
      </w:r>
      <w:r w:rsidRPr="00845B00">
        <w:t>an</w:t>
      </w:r>
      <w:r w:rsidR="00287C6C" w:rsidRPr="00845B00">
        <w:t>da que los conecta a internet.</w:t>
      </w:r>
    </w:p>
    <w:p w14:paraId="43202C89" w14:textId="788B8FC0" w:rsidR="00E55F0F" w:rsidRPr="00845B00" w:rsidRDefault="00E55F0F" w:rsidP="00E41E4D">
      <w:pPr>
        <w:pStyle w:val="Prraforproyecto"/>
      </w:pPr>
      <w:r w:rsidRPr="00845B00">
        <w:t xml:space="preserve">A nivel nacional, Level 3 estima tener una participación de mercado marginal, inferior al </w:t>
      </w:r>
      <w:r w:rsidR="00BC13A6" w:rsidRPr="002B05D3">
        <w:rPr>
          <w:b/>
          <w:color w:val="0000CC"/>
          <w:sz w:val="19"/>
          <w:szCs w:val="19"/>
        </w:rPr>
        <w:t>“CONFIDENCIAL POR LEY”</w:t>
      </w:r>
      <w:r w:rsidR="00D25AE2" w:rsidRPr="00845B00">
        <w:t xml:space="preserve"> por ciento)</w:t>
      </w:r>
      <w:r w:rsidRPr="00845B00">
        <w:t>.</w:t>
      </w:r>
    </w:p>
    <w:p w14:paraId="445951D8" w14:textId="77777777" w:rsidR="004B5956" w:rsidRPr="002071CE" w:rsidRDefault="00127495" w:rsidP="002071CE">
      <w:pPr>
        <w:pStyle w:val="Prraforproyecto"/>
        <w:numPr>
          <w:ilvl w:val="0"/>
          <w:numId w:val="34"/>
        </w:numPr>
        <w:rPr>
          <w:u w:val="single"/>
        </w:rPr>
      </w:pPr>
      <w:r w:rsidRPr="002071CE">
        <w:rPr>
          <w:u w:val="single"/>
        </w:rPr>
        <w:t>Conectividad internacional vía cable submarino</w:t>
      </w:r>
    </w:p>
    <w:p w14:paraId="31A5AFA6" w14:textId="010337E6" w:rsidR="004B5956" w:rsidRPr="00845B00" w:rsidRDefault="005F2F5B" w:rsidP="00E41E4D">
      <w:pPr>
        <w:pStyle w:val="Prraforproyecto"/>
        <w:rPr>
          <w:rFonts w:cs="ITC Avant Garde"/>
        </w:rPr>
      </w:pPr>
      <w:r w:rsidRPr="00845B00">
        <w:t>Consiste en la provisión de</w:t>
      </w:r>
      <w:r w:rsidR="007C7943" w:rsidRPr="00845B00">
        <w:t xml:space="preserve"> diversos servicios como capacidad y</w:t>
      </w:r>
      <w:r w:rsidRPr="00845B00">
        <w:t xml:space="preserve"> transporte de datos a través de cable</w:t>
      </w:r>
      <w:r w:rsidR="007C7943" w:rsidRPr="00845B00">
        <w:t>s</w:t>
      </w:r>
      <w:r w:rsidRPr="00845B00">
        <w:t xml:space="preserve"> submarino</w:t>
      </w:r>
      <w:r w:rsidR="007C7943" w:rsidRPr="00845B00">
        <w:t>s.</w:t>
      </w:r>
      <w:r w:rsidRPr="00845B00">
        <w:t xml:space="preserve"> Los cables submarinos son la única tecnología que puede transmitir grandes cantidades de información a través de cuerpos de agua con baja latencia (retrasos), y a un bajo costo con relación a los servicios satelitales.</w:t>
      </w:r>
      <w:r w:rsidR="00A04A29" w:rsidRPr="00845B00">
        <w:t xml:space="preserve"> </w:t>
      </w:r>
      <w:r w:rsidR="007C7943" w:rsidRPr="00845B00">
        <w:rPr>
          <w:rFonts w:cs="ITC Avant Garde"/>
        </w:rPr>
        <w:t>El servicio se presta a través de las rutas delimitadas por el cable submarino instalado.</w:t>
      </w:r>
    </w:p>
    <w:p w14:paraId="3C504786" w14:textId="77777777" w:rsidR="00A04A29" w:rsidRPr="00845B00" w:rsidRDefault="008B7EC5" w:rsidP="00E41E4D">
      <w:pPr>
        <w:pStyle w:val="Prraforproyecto"/>
      </w:pPr>
      <w:r w:rsidRPr="00845B00">
        <w:t xml:space="preserve">En el </w:t>
      </w:r>
      <w:r w:rsidR="008E3C9C" w:rsidRPr="00845B00">
        <w:t>p</w:t>
      </w:r>
      <w:r w:rsidRPr="00845B00">
        <w:t>acífico mexicano no existen competidores de Level 3 que ofrezcan el servicio de conectividad internacional vía cable submarino.</w:t>
      </w:r>
      <w:r w:rsidR="00E41E4D" w:rsidRPr="00845B00">
        <w:t xml:space="preserve"> Level 3 ofrece sus servicios a través del PAC que tiene una extensión 10,000 km</w:t>
      </w:r>
      <w:r w:rsidR="00D25AE2" w:rsidRPr="00845B00">
        <w:t xml:space="preserve"> (diez mil kilómetros)</w:t>
      </w:r>
      <w:r w:rsidR="00E41E4D" w:rsidRPr="00845B00">
        <w:t>.</w:t>
      </w:r>
    </w:p>
    <w:p w14:paraId="6ED4BFCF" w14:textId="73842A4C" w:rsidR="008B7EC5" w:rsidRPr="00845B00" w:rsidRDefault="008B7EC5" w:rsidP="00E41E4D">
      <w:pPr>
        <w:pStyle w:val="Prraforproyecto"/>
      </w:pPr>
      <w:r w:rsidRPr="00845B00">
        <w:t xml:space="preserve">En el </w:t>
      </w:r>
      <w:r w:rsidR="008E3C9C" w:rsidRPr="00845B00">
        <w:t>a</w:t>
      </w:r>
      <w:r w:rsidRPr="00845B00">
        <w:t>tlántico mexicano, se identifican los siguientes:</w:t>
      </w:r>
    </w:p>
    <w:p w14:paraId="3C240296" w14:textId="62126D3D" w:rsidR="0016657E" w:rsidRPr="00845B00" w:rsidRDefault="008B6806" w:rsidP="0016657E">
      <w:pPr>
        <w:pStyle w:val="Prraforproyecto"/>
        <w:numPr>
          <w:ilvl w:val="0"/>
          <w:numId w:val="20"/>
        </w:numPr>
        <w:rPr>
          <w:rFonts w:cs="ITC Avant Garde"/>
        </w:rPr>
      </w:pPr>
      <w:r w:rsidRPr="00845B00">
        <w:rPr>
          <w:rFonts w:cs="ITC Avant Garde"/>
        </w:rPr>
        <w:t>C</w:t>
      </w:r>
      <w:r w:rsidR="00D25AE2" w:rsidRPr="00845B00">
        <w:rPr>
          <w:rFonts w:cs="ITC Avant Garde"/>
        </w:rPr>
        <w:t xml:space="preserve">able de 8,600 km (ocho mil seiscientos </w:t>
      </w:r>
      <w:r w:rsidR="008B7EC5" w:rsidRPr="00845B00">
        <w:rPr>
          <w:rFonts w:cs="ITC Avant Garde"/>
        </w:rPr>
        <w:t>kilómetros</w:t>
      </w:r>
      <w:r w:rsidR="00D25AE2" w:rsidRPr="00845B00">
        <w:rPr>
          <w:rFonts w:cs="ITC Avant Garde"/>
        </w:rPr>
        <w:t>)</w:t>
      </w:r>
      <w:r w:rsidR="008B7EC5" w:rsidRPr="00845B00">
        <w:rPr>
          <w:rFonts w:cs="ITC Avant Garde"/>
        </w:rPr>
        <w:t xml:space="preserve"> perteneciente a: </w:t>
      </w:r>
      <w:r w:rsidR="008B7EC5" w:rsidRPr="00845B00">
        <w:t>C&amp;W Networks, CANTV, Codetel, Hondutel, Beli</w:t>
      </w:r>
      <w:r w:rsidR="00C52B50" w:rsidRPr="00845B00">
        <w:t>c</w:t>
      </w:r>
      <w:r w:rsidR="008B7EC5" w:rsidRPr="00845B00">
        <w:t xml:space="preserve">e Telemedia, Enitel, </w:t>
      </w:r>
      <w:r w:rsidR="008B7EC5" w:rsidRPr="00845B00">
        <w:rPr>
          <w:b/>
        </w:rPr>
        <w:t>AT&amp;T</w:t>
      </w:r>
      <w:r w:rsidR="008B7EC5" w:rsidRPr="00845B00">
        <w:t xml:space="preserve">, </w:t>
      </w:r>
      <w:r w:rsidR="008B7EC5" w:rsidRPr="00845B00">
        <w:rPr>
          <w:b/>
        </w:rPr>
        <w:t>Alestra</w:t>
      </w:r>
      <w:r w:rsidR="00C52B50" w:rsidRPr="00845B00">
        <w:rPr>
          <w:b/>
        </w:rPr>
        <w:t xml:space="preserve"> (Axtel)</w:t>
      </w:r>
      <w:r w:rsidR="008B7EC5" w:rsidRPr="00845B00">
        <w:t>, Verizon, RACSA, United Telecommunication Services (UTS), Telecarrier, Tricom USA, Telecomunicaciones Ultramarinas de Puerto Rico, Internexa, Orbinet Overseas, Telepuerto San Isidro, Bahamas Telecommunications Company, Instituto Costarricense de Electricidad, Orbitel.</w:t>
      </w:r>
      <w:r w:rsidR="008B7EC5" w:rsidRPr="00845B00">
        <w:rPr>
          <w:rStyle w:val="Refdenotaalpie"/>
          <w:color w:val="404040"/>
        </w:rPr>
        <w:footnoteReference w:id="10"/>
      </w:r>
    </w:p>
    <w:p w14:paraId="1A272645" w14:textId="77777777" w:rsidR="008B7EC5" w:rsidRPr="00845B00" w:rsidRDefault="008B7EC5" w:rsidP="00E41E4D">
      <w:pPr>
        <w:pStyle w:val="Prraforproyecto"/>
        <w:ind w:left="720"/>
        <w:rPr>
          <w:rFonts w:cs="ITC Avant Garde"/>
        </w:rPr>
      </w:pPr>
      <w:r w:rsidRPr="00845B00">
        <w:t xml:space="preserve">Este cable conecta los siguientes puntos: </w:t>
      </w:r>
      <w:r w:rsidRPr="00845B00">
        <w:rPr>
          <w:lang w:val="es-MX"/>
        </w:rPr>
        <w:t>Beli</w:t>
      </w:r>
      <w:r w:rsidR="00012691" w:rsidRPr="00845B00">
        <w:rPr>
          <w:lang w:val="es-MX"/>
        </w:rPr>
        <w:t>ce</w:t>
      </w:r>
      <w:r w:rsidRPr="00845B00">
        <w:rPr>
          <w:lang w:val="es-MX"/>
        </w:rPr>
        <w:t xml:space="preserve"> City, Beli</w:t>
      </w:r>
      <w:r w:rsidR="00012691" w:rsidRPr="00845B00">
        <w:rPr>
          <w:lang w:val="es-MX"/>
        </w:rPr>
        <w:t>ce</w:t>
      </w:r>
      <w:r w:rsidRPr="00845B00">
        <w:rPr>
          <w:lang w:val="es-MX"/>
        </w:rPr>
        <w:t xml:space="preserve">; Bluefields, Nicaragua; </w:t>
      </w:r>
      <w:r w:rsidRPr="00845B00">
        <w:t>Cancún, M</w:t>
      </w:r>
      <w:r w:rsidR="00012691" w:rsidRPr="00845B00">
        <w:t>é</w:t>
      </w:r>
      <w:r w:rsidRPr="00845B00">
        <w:t xml:space="preserve">xico; Cartagena, Colombia; Cat Island, Bahamas; Crooked Island, Bahamas; Isla Verde, Puerto Rico, </w:t>
      </w:r>
      <w:r w:rsidR="00012691" w:rsidRPr="00845B00">
        <w:t>EUA</w:t>
      </w:r>
      <w:r w:rsidRPr="00845B00">
        <w:t>; Maria Chiquita, Panam</w:t>
      </w:r>
      <w:r w:rsidR="00012691" w:rsidRPr="00845B00">
        <w:t>á</w:t>
      </w:r>
      <w:r w:rsidRPr="00845B00">
        <w:t xml:space="preserve">; Nassau, Bahamas; North Miami Beach, Florida, </w:t>
      </w:r>
      <w:r w:rsidR="00012691" w:rsidRPr="00845B00">
        <w:t>EUA</w:t>
      </w:r>
      <w:r w:rsidRPr="00845B00">
        <w:t>; Providenciales, Turks and Caicos Islas; Puerto Barrios, Guatemala; Puerto Cabezas, Nicaragua; Puerto Cortes, Honduras; Puerto Lempira, Honduras; Puerto Limon, Costa Rica; Puerto Plata, Rep</w:t>
      </w:r>
      <w:r w:rsidR="00012691" w:rsidRPr="00845B00">
        <w:t>ú</w:t>
      </w:r>
      <w:r w:rsidRPr="00845B00">
        <w:t>blic</w:t>
      </w:r>
      <w:r w:rsidR="00012691" w:rsidRPr="00845B00">
        <w:t>a Dominicana</w:t>
      </w:r>
      <w:r w:rsidRPr="00845B00">
        <w:t xml:space="preserve">; Punta Cana, </w:t>
      </w:r>
      <w:r w:rsidR="00012691" w:rsidRPr="00845B00">
        <w:t>República Dominicana</w:t>
      </w:r>
      <w:r w:rsidRPr="00845B00">
        <w:t>; Punto Fijo, Venezuela; Riohacha, Colombia; Trujillo, Honduras; Tulum, M</w:t>
      </w:r>
      <w:r w:rsidR="00012691" w:rsidRPr="00845B00">
        <w:t>é</w:t>
      </w:r>
      <w:r w:rsidRPr="00845B00">
        <w:t>xico</w:t>
      </w:r>
      <w:r w:rsidR="008B6806" w:rsidRPr="00845B00">
        <w:t>;</w:t>
      </w:r>
      <w:r w:rsidRPr="00845B00">
        <w:t xml:space="preserve"> y Willemstad, Curaçao.</w:t>
      </w:r>
    </w:p>
    <w:p w14:paraId="6AF3D40B" w14:textId="77777777" w:rsidR="008B6806" w:rsidRPr="00845B00" w:rsidRDefault="008B6806" w:rsidP="00E41E4D">
      <w:pPr>
        <w:pStyle w:val="Prraforproyecto"/>
        <w:numPr>
          <w:ilvl w:val="0"/>
          <w:numId w:val="20"/>
        </w:numPr>
        <w:rPr>
          <w:rFonts w:cs="ITC Avant Garde"/>
        </w:rPr>
      </w:pPr>
      <w:r w:rsidRPr="00845B00">
        <w:rPr>
          <w:rFonts w:cs="ITC Avant Garde"/>
        </w:rPr>
        <w:t xml:space="preserve">Cable de 4,400 </w:t>
      </w:r>
      <w:r w:rsidR="00D25AE2" w:rsidRPr="00845B00">
        <w:rPr>
          <w:rFonts w:cs="ITC Avant Garde"/>
        </w:rPr>
        <w:t xml:space="preserve">km (cuatro mil cuatrocientos </w:t>
      </w:r>
      <w:r w:rsidRPr="00845B00">
        <w:rPr>
          <w:rFonts w:cs="ITC Avant Garde"/>
        </w:rPr>
        <w:t>kilómetros</w:t>
      </w:r>
      <w:r w:rsidR="00D25AE2" w:rsidRPr="00845B00">
        <w:rPr>
          <w:rFonts w:cs="ITC Avant Garde"/>
        </w:rPr>
        <w:t>)</w:t>
      </w:r>
      <w:r w:rsidRPr="00845B00">
        <w:rPr>
          <w:rFonts w:cs="ITC Avant Garde"/>
        </w:rPr>
        <w:t xml:space="preserve"> perteneciente a: </w:t>
      </w:r>
      <w:r w:rsidRPr="00845B00">
        <w:t xml:space="preserve">Verizon, </w:t>
      </w:r>
      <w:r w:rsidRPr="00845B00">
        <w:rPr>
          <w:b/>
        </w:rPr>
        <w:t>AT&amp;T</w:t>
      </w:r>
      <w:r w:rsidRPr="00845B00">
        <w:t xml:space="preserve">, Sprint, Hondutel, </w:t>
      </w:r>
      <w:r w:rsidRPr="00845B00">
        <w:rPr>
          <w:b/>
        </w:rPr>
        <w:t>Telefónica</w:t>
      </w:r>
      <w:r w:rsidRPr="00845B00">
        <w:t xml:space="preserve">, Orbitel, Telecom Italia Sparkle, C&amp;W Networks, </w:t>
      </w:r>
      <w:r w:rsidRPr="00845B00">
        <w:lastRenderedPageBreak/>
        <w:t xml:space="preserve">Entel Chile, Embratel, ETB, </w:t>
      </w:r>
      <w:r w:rsidRPr="00845B00">
        <w:rPr>
          <w:b/>
        </w:rPr>
        <w:t>Axtel</w:t>
      </w:r>
      <w:r w:rsidRPr="00845B00">
        <w:t xml:space="preserve">, Instituto Costarricense de Electricidad, Proximus, Prepa Networks, Orange, Tricom, RSL Telecom y </w:t>
      </w:r>
      <w:r w:rsidRPr="00845B00">
        <w:rPr>
          <w:b/>
        </w:rPr>
        <w:t>América Móvil</w:t>
      </w:r>
      <w:r w:rsidRPr="00845B00">
        <w:t>.</w:t>
      </w:r>
      <w:r w:rsidR="00E41E4D" w:rsidRPr="00845B00">
        <w:rPr>
          <w:rStyle w:val="Refdenotaalpie"/>
        </w:rPr>
        <w:footnoteReference w:id="11"/>
      </w:r>
    </w:p>
    <w:p w14:paraId="271AA5EE" w14:textId="77777777" w:rsidR="008B6806" w:rsidRPr="00845B00" w:rsidRDefault="008B6806" w:rsidP="00E41E4D">
      <w:pPr>
        <w:pStyle w:val="Prraforproyecto"/>
        <w:ind w:left="720"/>
        <w:rPr>
          <w:rFonts w:cs="ITC Avant Garde"/>
        </w:rPr>
      </w:pPr>
      <w:r w:rsidRPr="00845B00">
        <w:rPr>
          <w:color w:val="404040"/>
        </w:rPr>
        <w:t xml:space="preserve">Este cable conecta los siguientes puntos: </w:t>
      </w:r>
      <w:r w:rsidRPr="00845B00">
        <w:rPr>
          <w:lang w:val="es-MX"/>
        </w:rPr>
        <w:t xml:space="preserve">Cancún, México; Half Moon Bay, Islas Caimán; Hollywood, Florida, EUA; </w:t>
      </w:r>
      <w:r w:rsidRPr="00845B00">
        <w:t>María Chiquita, Panamá; Puerto Cortes, Honduras; Puerto Limón, Costa Rica; y Tolu, Colombia.</w:t>
      </w:r>
    </w:p>
    <w:p w14:paraId="445C5FB8" w14:textId="77777777" w:rsidR="008B6806" w:rsidRPr="00845B00" w:rsidRDefault="004F7A58" w:rsidP="00E41E4D">
      <w:pPr>
        <w:pStyle w:val="Prraforproyecto"/>
        <w:numPr>
          <w:ilvl w:val="0"/>
          <w:numId w:val="20"/>
        </w:numPr>
      </w:pPr>
      <w:r w:rsidRPr="00845B00">
        <w:t xml:space="preserve">Cable de 17,800 </w:t>
      </w:r>
      <w:r w:rsidR="00D25AE2" w:rsidRPr="00845B00">
        <w:t xml:space="preserve">km (diecisiete mil ochocientos </w:t>
      </w:r>
      <w:r w:rsidRPr="00845B00">
        <w:t>kilómetros</w:t>
      </w:r>
      <w:r w:rsidR="00D25AE2" w:rsidRPr="00845B00">
        <w:t>)</w:t>
      </w:r>
      <w:r w:rsidRPr="00845B00">
        <w:t xml:space="preserve"> perteneciente a </w:t>
      </w:r>
      <w:r w:rsidRPr="00845B00">
        <w:rPr>
          <w:b/>
          <w:color w:val="404040"/>
        </w:rPr>
        <w:t>América Móvil</w:t>
      </w:r>
      <w:r w:rsidRPr="00845B00">
        <w:rPr>
          <w:color w:val="404040"/>
        </w:rPr>
        <w:t>.</w:t>
      </w:r>
      <w:r w:rsidR="00E41E4D" w:rsidRPr="00845B00">
        <w:rPr>
          <w:rStyle w:val="Refdenotaalpie"/>
          <w:color w:val="404040"/>
        </w:rPr>
        <w:footnoteReference w:id="12"/>
      </w:r>
    </w:p>
    <w:p w14:paraId="26D101E4" w14:textId="77777777" w:rsidR="004F7A58" w:rsidRPr="00845B00" w:rsidRDefault="004F7A58" w:rsidP="00E41E4D">
      <w:pPr>
        <w:pStyle w:val="Prraforproyecto"/>
        <w:ind w:left="720"/>
      </w:pPr>
      <w:r w:rsidRPr="00845B00">
        <w:rPr>
          <w:color w:val="404040"/>
        </w:rPr>
        <w:t>Este cable conecta los siguientes puntos:</w:t>
      </w:r>
      <w:r w:rsidRPr="00845B00">
        <w:t xml:space="preserve"> Barranquilla, Colombia; Cancún, México; Cartagena, Colombia; Fortaleza, Brasil; Hollywood, Florida, EUA; Jacksonville, Florida, EUA; Puerto Barrios, Guatemala; Puerto Plata, República Dominicana; Rio de Janeiro, Brasil; Salvador, Brasil; y San Juan, Puerto Rico, EUA.</w:t>
      </w:r>
    </w:p>
    <w:p w14:paraId="3B425ED2" w14:textId="77777777" w:rsidR="00C52B50" w:rsidRPr="00845B00" w:rsidRDefault="009F303E" w:rsidP="00E41E4D">
      <w:pPr>
        <w:pStyle w:val="Prraforproyecto"/>
      </w:pPr>
      <w:r w:rsidRPr="00845B00">
        <w:t>Century Link no cuenta con cables submarinos en territorio mexicano que permitan prestar el servicio analizado.</w:t>
      </w:r>
    </w:p>
    <w:p w14:paraId="7C3C73B4" w14:textId="77777777" w:rsidR="00FC3156" w:rsidRPr="00E5244B" w:rsidRDefault="00FC3156" w:rsidP="00E5244B">
      <w:pPr>
        <w:pStyle w:val="Prraforproyecto"/>
        <w:rPr>
          <w:b/>
        </w:rPr>
      </w:pPr>
      <w:r w:rsidRPr="00E5244B">
        <w:rPr>
          <w:b/>
        </w:rPr>
        <w:t>6.3. Enajenación de acciones</w:t>
      </w:r>
      <w:r w:rsidR="005A7863" w:rsidRPr="00E5244B">
        <w:rPr>
          <w:b/>
        </w:rPr>
        <w:t xml:space="preserve"> de México Landing, titular de una concesión única</w:t>
      </w:r>
    </w:p>
    <w:p w14:paraId="362FC34B" w14:textId="77777777" w:rsidR="00A05585" w:rsidRPr="00845B00" w:rsidRDefault="00E06B41" w:rsidP="00E41E4D">
      <w:pPr>
        <w:pStyle w:val="Prraforproyecto"/>
        <w:rPr>
          <w:shd w:val="clear" w:color="auto" w:fill="FFFFFF"/>
        </w:rPr>
      </w:pPr>
      <w:r w:rsidRPr="00845B00">
        <w:rPr>
          <w:shd w:val="clear" w:color="auto" w:fill="FFFFFF"/>
        </w:rPr>
        <w:t xml:space="preserve">La </w:t>
      </w:r>
      <w:r w:rsidR="00A05585" w:rsidRPr="00845B00">
        <w:rPr>
          <w:shd w:val="clear" w:color="auto" w:fill="FFFFFF"/>
        </w:rPr>
        <w:t xml:space="preserve">Operación </w:t>
      </w:r>
      <w:r w:rsidR="005A7863" w:rsidRPr="00845B00">
        <w:rPr>
          <w:shd w:val="clear" w:color="auto" w:fill="FFFFFF"/>
        </w:rPr>
        <w:t xml:space="preserve">incluye </w:t>
      </w:r>
      <w:r w:rsidR="00A05585" w:rsidRPr="00845B00">
        <w:rPr>
          <w:shd w:val="clear" w:color="auto" w:fill="FFFFFF"/>
        </w:rPr>
        <w:t xml:space="preserve">una </w:t>
      </w:r>
      <w:r w:rsidRPr="00845B00">
        <w:rPr>
          <w:shd w:val="clear" w:color="auto" w:fill="FFFFFF"/>
        </w:rPr>
        <w:t xml:space="preserve">enajenación de acciones </w:t>
      </w:r>
      <w:r w:rsidR="00A05585" w:rsidRPr="00845B00">
        <w:rPr>
          <w:shd w:val="clear" w:color="auto" w:fill="FFFFFF"/>
        </w:rPr>
        <w:t xml:space="preserve">de la sociedad México Landing que es titular de </w:t>
      </w:r>
      <w:r w:rsidRPr="00845B00">
        <w:rPr>
          <w:shd w:val="clear" w:color="auto" w:fill="FFFFFF"/>
        </w:rPr>
        <w:t>una concesión</w:t>
      </w:r>
      <w:r w:rsidR="00A05585" w:rsidRPr="00845B00">
        <w:rPr>
          <w:shd w:val="clear" w:color="auto" w:fill="FFFFFF"/>
        </w:rPr>
        <w:t xml:space="preserve"> única sujeta a la LFTR</w:t>
      </w:r>
      <w:r w:rsidR="005A7863" w:rsidRPr="00845B00">
        <w:rPr>
          <w:shd w:val="clear" w:color="auto" w:fill="FFFFFF"/>
        </w:rPr>
        <w:t>, como se presenta en el Considerando Segundo de esta resolución</w:t>
      </w:r>
      <w:r w:rsidRPr="00845B00">
        <w:rPr>
          <w:shd w:val="clear" w:color="auto" w:fill="FFFFFF"/>
        </w:rPr>
        <w:t xml:space="preserve">. </w:t>
      </w:r>
    </w:p>
    <w:p w14:paraId="6163D44F" w14:textId="262D3D30" w:rsidR="00F127E5" w:rsidRPr="00845B00" w:rsidRDefault="00F127E5" w:rsidP="00A05585">
      <w:pPr>
        <w:pStyle w:val="Prraforproyecto"/>
      </w:pPr>
      <w:r w:rsidRPr="00845B00">
        <w:rPr>
          <w:shd w:val="clear" w:color="auto" w:fill="FFFFFF"/>
        </w:rPr>
        <w:t>De conformidad con el párrafo décimo séptimo del artículo 28 de la CPEUM, corresponde al Instituto</w:t>
      </w:r>
      <w:r w:rsidRPr="00845B00">
        <w:t>, entre otros aspectos, la autorización de cambios de control accionario, titularidad u operación de sociedades relacionadas con concesiones en materia de radiodifusión y telecomunicaciones.</w:t>
      </w:r>
      <w:r w:rsidR="00A05585" w:rsidRPr="00845B00">
        <w:t xml:space="preserve"> Además, la Operación que incluye la enajenación de acciones de México Landing </w:t>
      </w:r>
      <w:r w:rsidRPr="00845B00">
        <w:t>actualiza los umbrales del artículo 86 de la LFCE</w:t>
      </w:r>
      <w:r w:rsidR="005A7863" w:rsidRPr="00845B00">
        <w:t xml:space="preserve"> por lo que </w:t>
      </w:r>
      <w:r w:rsidRPr="00845B00">
        <w:t>debe tramitarse y resolverse conforme al artículo 90 de la LFCE</w:t>
      </w:r>
      <w:r w:rsidR="005A7863" w:rsidRPr="00845B00">
        <w:t xml:space="preserve"> y </w:t>
      </w:r>
      <w:r w:rsidRPr="00845B00">
        <w:rPr>
          <w:szCs w:val="20"/>
        </w:rPr>
        <w:t xml:space="preserve">tomando en consideración los </w:t>
      </w:r>
      <w:r w:rsidR="006C137D" w:rsidRPr="00845B00">
        <w:rPr>
          <w:szCs w:val="20"/>
        </w:rPr>
        <w:t>elementos</w:t>
      </w:r>
      <w:r w:rsidRPr="00845B00">
        <w:rPr>
          <w:szCs w:val="20"/>
        </w:rPr>
        <w:t xml:space="preserve"> establecidos en la LFTR</w:t>
      </w:r>
      <w:r w:rsidR="005A7863" w:rsidRPr="00845B00">
        <w:rPr>
          <w:szCs w:val="20"/>
        </w:rPr>
        <w:t>, en términos de lo dispuesto en el artículo 112 de ese ordenamiento.</w:t>
      </w:r>
      <w:r w:rsidR="00845B00">
        <w:rPr>
          <w:szCs w:val="20"/>
        </w:rPr>
        <w:t xml:space="preserve"> </w:t>
      </w:r>
    </w:p>
    <w:p w14:paraId="4DD4C027" w14:textId="77777777" w:rsidR="009579EB" w:rsidRPr="00845B00" w:rsidRDefault="005A7863" w:rsidP="00E41E4D">
      <w:pPr>
        <w:pStyle w:val="Prraforproyecto"/>
      </w:pPr>
      <w:r w:rsidRPr="00845B00">
        <w:t xml:space="preserve">Respecto de la Operación y la enajenación de acciones de una sociedad concesionaria, </w:t>
      </w:r>
      <w:r w:rsidR="00955812" w:rsidRPr="00845B00">
        <w:t xml:space="preserve">no se identifican </w:t>
      </w:r>
      <w:r w:rsidRPr="00845B00">
        <w:t xml:space="preserve">aspectos o efectos que sean contrarios a los </w:t>
      </w:r>
      <w:r w:rsidR="006C137D" w:rsidRPr="00845B00">
        <w:t xml:space="preserve">elementos </w:t>
      </w:r>
      <w:r w:rsidRPr="00845B00">
        <w:t xml:space="preserve">previstos </w:t>
      </w:r>
      <w:r w:rsidR="006C137D" w:rsidRPr="00845B00">
        <w:t xml:space="preserve">en </w:t>
      </w:r>
      <w:r w:rsidR="00FC3156" w:rsidRPr="00845B00">
        <w:t>la LFTR.</w:t>
      </w:r>
    </w:p>
    <w:p w14:paraId="75DC6FC2" w14:textId="584B4E6B" w:rsidR="00420086" w:rsidRPr="00E5244B" w:rsidRDefault="0013483F" w:rsidP="00E5244B">
      <w:pPr>
        <w:pStyle w:val="Prraforproyecto"/>
        <w:rPr>
          <w:b/>
        </w:rPr>
      </w:pPr>
      <w:r w:rsidRPr="00E5244B">
        <w:rPr>
          <w:b/>
        </w:rPr>
        <w:t>6</w:t>
      </w:r>
      <w:r w:rsidR="00AB3E17" w:rsidRPr="00E5244B">
        <w:rPr>
          <w:b/>
        </w:rPr>
        <w:t>.4.</w:t>
      </w:r>
      <w:r w:rsidRPr="00E5244B">
        <w:rPr>
          <w:b/>
        </w:rPr>
        <w:t xml:space="preserve"> </w:t>
      </w:r>
      <w:r w:rsidR="00F30757" w:rsidRPr="00E5244B">
        <w:rPr>
          <w:b/>
        </w:rPr>
        <w:t>Conclusiones</w:t>
      </w:r>
    </w:p>
    <w:p w14:paraId="24B84C48" w14:textId="77777777" w:rsidR="00F30757" w:rsidRPr="00845B00" w:rsidRDefault="00F30757" w:rsidP="00E41E4D">
      <w:pPr>
        <w:pStyle w:val="Prraforproyecto"/>
      </w:pPr>
      <w:r w:rsidRPr="00845B00">
        <w:t>Del análisis anterior, se tiene lo siguiente:</w:t>
      </w:r>
    </w:p>
    <w:p w14:paraId="4D5321B9" w14:textId="5DF6A450" w:rsidR="0013483F" w:rsidRPr="00845B00" w:rsidRDefault="0013483F" w:rsidP="00C41C3B">
      <w:pPr>
        <w:pStyle w:val="Prraforproyecto"/>
        <w:numPr>
          <w:ilvl w:val="0"/>
          <w:numId w:val="15"/>
        </w:numPr>
      </w:pPr>
      <w:r w:rsidRPr="00845B00">
        <w:t>Previ</w:t>
      </w:r>
      <w:r w:rsidR="00024533" w:rsidRPr="00845B00">
        <w:t>amente</w:t>
      </w:r>
      <w:r w:rsidRPr="00845B00">
        <w:t xml:space="preserve"> a la Operación, </w:t>
      </w:r>
      <w:r w:rsidR="00492AE4" w:rsidRPr="00845B00">
        <w:t>Century Link no tiene instalada</w:t>
      </w:r>
      <w:r w:rsidR="00ED4204" w:rsidRPr="00845B00">
        <w:t>s</w:t>
      </w:r>
      <w:r w:rsidR="00492AE4" w:rsidRPr="00845B00">
        <w:t xml:space="preserve"> redes de telecomunicaciones en México, ni</w:t>
      </w:r>
      <w:r w:rsidRPr="00845B00">
        <w:t xml:space="preserve"> participa directa o indirecta en la provisión de </w:t>
      </w:r>
      <w:r w:rsidRPr="00845B00">
        <w:lastRenderedPageBreak/>
        <w:t xml:space="preserve">servicios y productos </w:t>
      </w:r>
      <w:r w:rsidR="00492AE4" w:rsidRPr="00845B00">
        <w:t xml:space="preserve">para los sectores de telecomunicaciones y radiodifusión </w:t>
      </w:r>
      <w:r w:rsidRPr="00845B00">
        <w:t>en México.</w:t>
      </w:r>
    </w:p>
    <w:p w14:paraId="09419F8F" w14:textId="77777777" w:rsidR="009D36C3" w:rsidRPr="00845B00" w:rsidRDefault="00492AE4" w:rsidP="009D36C3">
      <w:pPr>
        <w:pStyle w:val="Prraforproyecto"/>
        <w:numPr>
          <w:ilvl w:val="0"/>
          <w:numId w:val="15"/>
        </w:numPr>
      </w:pPr>
      <w:r w:rsidRPr="00845B00">
        <w:t xml:space="preserve">En México, </w:t>
      </w:r>
      <w:r w:rsidR="009D36C3" w:rsidRPr="00845B00">
        <w:t>Level 3 ofrece sus servicios a través de:</w:t>
      </w:r>
    </w:p>
    <w:p w14:paraId="3592F343" w14:textId="5A0A7F81" w:rsidR="009D36C3" w:rsidRPr="00845B00" w:rsidRDefault="009D36C3" w:rsidP="009D36C3">
      <w:pPr>
        <w:pStyle w:val="Prraforproyecto"/>
        <w:numPr>
          <w:ilvl w:val="0"/>
          <w:numId w:val="23"/>
        </w:numPr>
        <w:ind w:left="1134"/>
      </w:pPr>
      <w:r w:rsidRPr="00845B00">
        <w:t>Una red de fibra óptica que conecta las ciudades de Ciudad de México, Querétaro, Guadalajara, Monterrey, Laredo, Reynosa y Mazatlán (Anillo de operación de Level 3 en México). Esta red está conectada con el este de los EUA.</w:t>
      </w:r>
    </w:p>
    <w:p w14:paraId="618B21A9" w14:textId="77777777" w:rsidR="006C7DA2" w:rsidRPr="00845B00" w:rsidRDefault="009D36C3" w:rsidP="00BA4A60">
      <w:pPr>
        <w:pStyle w:val="Prraforproyecto"/>
        <w:numPr>
          <w:ilvl w:val="0"/>
          <w:numId w:val="23"/>
        </w:numPr>
        <w:ind w:left="1134"/>
      </w:pPr>
      <w:r w:rsidRPr="00845B00">
        <w:t>Un cable submarino denominado PAC, que conecta las ciudades de Mazatlán y Tijuana con el oeste de EUA, Costa Rica y Panamá. Ese cable está conectado a la red de fibra óptica de Level 3 en México.</w:t>
      </w:r>
    </w:p>
    <w:p w14:paraId="319745CF" w14:textId="4C560790" w:rsidR="006C7DA2" w:rsidRPr="00845B00" w:rsidRDefault="006C7DA2" w:rsidP="00192E36">
      <w:pPr>
        <w:pStyle w:val="Prraforproyecto"/>
        <w:numPr>
          <w:ilvl w:val="0"/>
          <w:numId w:val="23"/>
        </w:numPr>
        <w:ind w:left="1134"/>
      </w:pPr>
      <w:r w:rsidRPr="00845B00">
        <w:t>Uso de capacidad arrendada a terceros operadores que le permite establecer dos Anillos de operación adicionales. El primero, conecta las ciudades de Tamaulipas; Dallas, EUA y Ciudad Juárez. El segundo, conecta las ciudades de México, Puebla y Veracruz.</w:t>
      </w:r>
      <w:r w:rsidR="00845B00">
        <w:t xml:space="preserve"> </w:t>
      </w:r>
    </w:p>
    <w:p w14:paraId="135DE1E1" w14:textId="77777777" w:rsidR="0013483F" w:rsidRPr="00845B00" w:rsidRDefault="0013483F" w:rsidP="00E41E4D">
      <w:pPr>
        <w:pStyle w:val="Prraforproyecto"/>
        <w:numPr>
          <w:ilvl w:val="0"/>
          <w:numId w:val="15"/>
        </w:numPr>
      </w:pPr>
      <w:r w:rsidRPr="00845B00">
        <w:t>En México Level 3 participa en la provisión de servicios en los sectores de telecomunicaciones y radiodifusión: acceso a internet fijo</w:t>
      </w:r>
      <w:r w:rsidR="00D904DF" w:rsidRPr="00845B00">
        <w:t>;</w:t>
      </w:r>
      <w:r w:rsidRPr="00845B00">
        <w:t xml:space="preserve"> enlaces dedicados; capacidad</w:t>
      </w:r>
      <w:r w:rsidR="00D904DF" w:rsidRPr="00845B00">
        <w:t>;</w:t>
      </w:r>
      <w:r w:rsidRPr="00845B00">
        <w:t xml:space="preserve"> conectividad de negocios (a través de VPNs y </w:t>
      </w:r>
      <w:r w:rsidRPr="00845B00">
        <w:rPr>
          <w:i/>
        </w:rPr>
        <w:t>ethernet</w:t>
      </w:r>
      <w:r w:rsidRPr="00845B00">
        <w:t>)</w:t>
      </w:r>
      <w:r w:rsidR="00D904DF" w:rsidRPr="00845B00">
        <w:t>;</w:t>
      </w:r>
      <w:r w:rsidRPr="00845B00">
        <w:t xml:space="preserve"> </w:t>
      </w:r>
      <w:r w:rsidR="00D904DF" w:rsidRPr="00845B00">
        <w:t xml:space="preserve">hospedaje o </w:t>
      </w:r>
      <w:r w:rsidRPr="00845B00">
        <w:t>alojamiento de datos e información a través de centros de datos</w:t>
      </w:r>
      <w:r w:rsidR="00D904DF" w:rsidRPr="00845B00">
        <w:t>;</w:t>
      </w:r>
      <w:r w:rsidRPr="00845B00">
        <w:rPr>
          <w:lang w:val="es-MX"/>
        </w:rPr>
        <w:t xml:space="preserve"> </w:t>
      </w:r>
      <w:r w:rsidRPr="00845B00">
        <w:t>distribución de contenido a través de redes de CDNs</w:t>
      </w:r>
      <w:r w:rsidR="00D904DF" w:rsidRPr="00845B00">
        <w:t xml:space="preserve"> y c</w:t>
      </w:r>
      <w:r w:rsidR="00D904DF" w:rsidRPr="00845B00">
        <w:rPr>
          <w:lang w:val="es-MX"/>
        </w:rPr>
        <w:t>onectividad internacional vía cable submarino</w:t>
      </w:r>
      <w:r w:rsidRPr="00845B00">
        <w:t>.</w:t>
      </w:r>
    </w:p>
    <w:p w14:paraId="4C841A52" w14:textId="0A6949E9" w:rsidR="0016657E" w:rsidRPr="00845B00" w:rsidRDefault="00E55F0F" w:rsidP="0016657E">
      <w:pPr>
        <w:pStyle w:val="Prraforproyecto"/>
        <w:numPr>
          <w:ilvl w:val="0"/>
          <w:numId w:val="15"/>
        </w:numPr>
      </w:pPr>
      <w:r w:rsidRPr="00845B00">
        <w:t xml:space="preserve">Las participaciones de mercado de Level 3 en México son marginales, inferior a </w:t>
      </w:r>
      <w:r w:rsidR="00BC13A6" w:rsidRPr="002B05D3">
        <w:rPr>
          <w:b/>
          <w:color w:val="0000CC"/>
          <w:sz w:val="19"/>
          <w:szCs w:val="19"/>
        </w:rPr>
        <w:t>“CONFIDENCIAL POR LEY”</w:t>
      </w:r>
      <w:r w:rsidRPr="00845B00">
        <w:t>.</w:t>
      </w:r>
    </w:p>
    <w:p w14:paraId="44473964" w14:textId="77777777" w:rsidR="006D116E" w:rsidRPr="00845B00" w:rsidRDefault="006D116E" w:rsidP="00E41E4D">
      <w:pPr>
        <w:pStyle w:val="Prraforproyecto"/>
        <w:numPr>
          <w:ilvl w:val="0"/>
          <w:numId w:val="15"/>
        </w:numPr>
      </w:pPr>
      <w:r w:rsidRPr="00845B00">
        <w:t>En conectividad internacional vía cable submarino</w:t>
      </w:r>
      <w:r w:rsidR="00E41E4D" w:rsidRPr="00845B00">
        <w:t xml:space="preserve">, </w:t>
      </w:r>
      <w:r w:rsidR="00ED232A" w:rsidRPr="00845B00">
        <w:t>sólo Level 3 presta servicios en México en la costa del Pacífico. En la costa del Atlántico se identifican 3 (tres) agentes competidores, no vinculados a Level 3 y Century Link.</w:t>
      </w:r>
    </w:p>
    <w:p w14:paraId="52FDFE9F" w14:textId="77777777" w:rsidR="00845B00" w:rsidRDefault="0013483F" w:rsidP="0016657E">
      <w:pPr>
        <w:pStyle w:val="Prraforproyecto"/>
        <w:numPr>
          <w:ilvl w:val="0"/>
          <w:numId w:val="15"/>
        </w:numPr>
      </w:pPr>
      <w:r w:rsidRPr="00845B00">
        <w:t>Como consecuencia de la Operación, CenturyLink será un nuevo agente económico en territorio nacional para los servicios analizados.</w:t>
      </w:r>
    </w:p>
    <w:p w14:paraId="04E72119" w14:textId="026760EC" w:rsidR="00126571" w:rsidRPr="00845B00" w:rsidRDefault="00126571" w:rsidP="00E41E4D">
      <w:pPr>
        <w:pStyle w:val="Prraforproyecto"/>
        <w:rPr>
          <w:b/>
        </w:rPr>
      </w:pPr>
      <w:r w:rsidRPr="00845B00">
        <w:t>En virtu</w:t>
      </w:r>
      <w:r w:rsidR="0013483F" w:rsidRPr="00845B00">
        <w:t>d de lo anterior, no se prevé</w:t>
      </w:r>
      <w:r w:rsidRPr="00845B00">
        <w:t xml:space="preserve"> que la Operación </w:t>
      </w:r>
      <w:r w:rsidR="00105EB3" w:rsidRPr="00845B00">
        <w:t xml:space="preserve">modifique la estructura de los mercados donde tiene efectos la concentración en México, y tampoco que </w:t>
      </w:r>
      <w:r w:rsidRPr="00845B00">
        <w:t xml:space="preserve">genere riesgos </w:t>
      </w:r>
      <w:r w:rsidR="00052348" w:rsidRPr="00845B00">
        <w:t xml:space="preserve">en </w:t>
      </w:r>
      <w:r w:rsidRPr="00845B00">
        <w:t>la prestación de servicios de te</w:t>
      </w:r>
      <w:r w:rsidR="0092714A" w:rsidRPr="00845B00">
        <w:t>lecomunicaciones móviles y fijas</w:t>
      </w:r>
      <w:r w:rsidRPr="00845B00">
        <w:t>, o barreras a la entrada</w:t>
      </w:r>
      <w:r w:rsidR="005A7863" w:rsidRPr="00845B00">
        <w:t>, o tenga efectos contrarios a los elementos aplicables de la LFTR</w:t>
      </w:r>
      <w:r w:rsidRPr="00845B00">
        <w:t>.</w:t>
      </w:r>
    </w:p>
    <w:p w14:paraId="31ED7BC6" w14:textId="77777777" w:rsidR="00126571" w:rsidRPr="00845B00" w:rsidRDefault="00126571" w:rsidP="00126571">
      <w:pPr>
        <w:spacing w:after="120"/>
        <w:jc w:val="center"/>
        <w:rPr>
          <w:rFonts w:ascii="ITC Avant Garde" w:eastAsia="Times New Roman" w:hAnsi="ITC Avant Garde"/>
          <w:lang w:eastAsia="es-ES"/>
        </w:rPr>
      </w:pPr>
      <w:r w:rsidRPr="00845B00">
        <w:rPr>
          <w:rFonts w:ascii="ITC Avant Garde" w:eastAsia="Times New Roman" w:hAnsi="ITC Avant Garde"/>
          <w:lang w:eastAsia="es-ES"/>
        </w:rPr>
        <w:t>***</w:t>
      </w:r>
    </w:p>
    <w:p w14:paraId="1AD1EFB5" w14:textId="4A2C5374" w:rsidR="00845B00" w:rsidRDefault="00126571" w:rsidP="00E41E4D">
      <w:pPr>
        <w:pStyle w:val="Prraforproyecto"/>
      </w:pPr>
      <w:r w:rsidRPr="00845B00">
        <w:t xml:space="preserve">Con base en lo anterior y con fundamento en lo dispuesto por los artículos 28, párrafos décimo quinto, décimo sexto y décimo séptimo, de la Constitución Política de los Estados Unidos Mexicanos; 7, párrafos primero a tercero, </w:t>
      </w:r>
      <w:r w:rsidR="0080382A" w:rsidRPr="00845B00">
        <w:t>y 112</w:t>
      </w:r>
      <w:r w:rsidR="006C137D" w:rsidRPr="00845B00">
        <w:t xml:space="preserve">, párrafos segundo y </w:t>
      </w:r>
      <w:r w:rsidR="006C137D" w:rsidRPr="00845B00">
        <w:lastRenderedPageBreak/>
        <w:t>séptimo,</w:t>
      </w:r>
      <w:r w:rsidR="0080382A" w:rsidRPr="00845B00">
        <w:t xml:space="preserve"> </w:t>
      </w:r>
      <w:r w:rsidRPr="00845B00">
        <w:t>de la Ley Federal de Telecomunicaciones y Radiodifusión; 1, 2, 4, 5, párrafo primero, 12, fracciones I, X y XXX, 18, párrafo séptimo, 58, 59, 61, 63, 64, 86, fracción I</w:t>
      </w:r>
      <w:r w:rsidR="001A6F50" w:rsidRPr="00845B00">
        <w:t>I</w:t>
      </w:r>
      <w:r w:rsidRPr="00845B00">
        <w:t>, 87, 88, 89, 90 y 120, párrafo tercero, de la Ley Federal de Competencia Económica; 1, 5, 6, 7, 8, 14, 15, 16, 22 y 23, de las Disposiciones Regulatorias de la Ley Federal de Competencia Económica para los sectores de telecomunicaciones y radiodifusión;</w:t>
      </w:r>
      <w:r w:rsidR="009D5F46" w:rsidRPr="00845B00">
        <w:t xml:space="preserve"> </w:t>
      </w:r>
      <w:r w:rsidRPr="00845B00">
        <w:t>y 1, párrafos primero y tercero, 2, fracción X, 4, fracción I, 6, fracción XXXVII, 7 y 8, del Estatuto Orgánico del Instituto Federal de Telecomunicaciones, el Pleno del Instituto Federal de Telecomunicaciones resuelve lo siguiente:</w:t>
      </w:r>
    </w:p>
    <w:p w14:paraId="164D73D1" w14:textId="736166BA" w:rsidR="00845B00" w:rsidRPr="00E5244B" w:rsidRDefault="00126571" w:rsidP="00B24849">
      <w:pPr>
        <w:pStyle w:val="Ttulo2"/>
        <w:autoSpaceDE/>
        <w:autoSpaceDN/>
        <w:adjustRightInd/>
        <w:spacing w:before="40"/>
        <w:jc w:val="center"/>
      </w:pPr>
      <w:bookmarkStart w:id="11" w:name="_Toc435697339"/>
      <w:bookmarkStart w:id="12" w:name="_Toc435697415"/>
      <w:r w:rsidRPr="00E5244B">
        <w:t>III. RESOLUTIVOS</w:t>
      </w:r>
      <w:bookmarkEnd w:id="11"/>
      <w:bookmarkEnd w:id="12"/>
    </w:p>
    <w:p w14:paraId="7F608AAA" w14:textId="77777777" w:rsidR="00845B00" w:rsidRDefault="00126571" w:rsidP="00E41E4D">
      <w:pPr>
        <w:pStyle w:val="Prraforproyecto"/>
      </w:pPr>
      <w:r w:rsidRPr="00845B00">
        <w:rPr>
          <w:b/>
        </w:rPr>
        <w:t>PRIMERO.</w:t>
      </w:r>
      <w:r w:rsidRPr="00845B00">
        <w:t xml:space="preserve"> Se autoriza llevar a cabo la Operación notificada por</w:t>
      </w:r>
      <w:r w:rsidR="00052348" w:rsidRPr="00845B00">
        <w:t xml:space="preserve"> CenturyLink, Inc., WWG </w:t>
      </w:r>
      <w:proofErr w:type="spellStart"/>
      <w:r w:rsidR="00052348" w:rsidRPr="00845B00">
        <w:t>Merger</w:t>
      </w:r>
      <w:proofErr w:type="spellEnd"/>
      <w:r w:rsidR="00052348" w:rsidRPr="00845B00">
        <w:t xml:space="preserve"> Sub, LLC y </w:t>
      </w:r>
      <w:proofErr w:type="spellStart"/>
      <w:r w:rsidR="00052348" w:rsidRPr="00845B00">
        <w:t>Level</w:t>
      </w:r>
      <w:proofErr w:type="spellEnd"/>
      <w:r w:rsidR="00052348" w:rsidRPr="00845B00">
        <w:t xml:space="preserve"> 3 </w:t>
      </w:r>
      <w:proofErr w:type="spellStart"/>
      <w:r w:rsidR="00052348" w:rsidRPr="00845B00">
        <w:t>Communications</w:t>
      </w:r>
      <w:proofErr w:type="spellEnd"/>
      <w:r w:rsidR="00052348" w:rsidRPr="00845B00">
        <w:t>, Inc</w:t>
      </w:r>
      <w:r w:rsidRPr="00845B00">
        <w:t>.</w:t>
      </w:r>
    </w:p>
    <w:p w14:paraId="6E59CC52" w14:textId="77777777" w:rsidR="00845B00" w:rsidRDefault="00126571" w:rsidP="00E41E4D">
      <w:pPr>
        <w:pStyle w:val="Prraforproyecto"/>
      </w:pPr>
      <w:r w:rsidRPr="00845B00">
        <w:rPr>
          <w:b/>
        </w:rPr>
        <w:t>SEGUNDO.</w:t>
      </w:r>
      <w:r w:rsidRPr="00845B00">
        <w:t xml:space="preserve"> La autorización a que se refiere el resolutivo PRIMERO tendrá una vigencia de 6 (seis) meses contados a partir de que surta efectos la notificación de la presente resolución.</w:t>
      </w:r>
    </w:p>
    <w:p w14:paraId="54256355" w14:textId="77777777" w:rsidR="00845B00" w:rsidRDefault="00126571" w:rsidP="00E41E4D">
      <w:pPr>
        <w:pStyle w:val="Prraforproyecto"/>
      </w:pPr>
      <w:r w:rsidRPr="00845B00">
        <w:rPr>
          <w:b/>
        </w:rPr>
        <w:t>TERCERO</w:t>
      </w:r>
      <w:r w:rsidR="00D33E50" w:rsidRPr="00845B00">
        <w:rPr>
          <w:b/>
        </w:rPr>
        <w:t>.</w:t>
      </w:r>
      <w:r w:rsidR="00052348" w:rsidRPr="00845B00">
        <w:t xml:space="preserve"> CenturyLink, Inc., WWG Merger Sub, LLC y Level 3 Communications, Inc.</w:t>
      </w:r>
      <w:r w:rsidRPr="00845B00">
        <w:t xml:space="preserve"> deberán presentar ante este Instituto Federal de Telecomunicaciones la documentación que acredite la realización de la Operación, dentro de un plazo de 30 (treinta) días naturales contados a partir de la fecha de su realización, misma que tendrá que ocurrir dentro de la vigencia a que se refiere el resolutivo SEGUNDO. </w:t>
      </w:r>
    </w:p>
    <w:p w14:paraId="3E287663" w14:textId="06004A0C" w:rsidR="000E0ED0" w:rsidRPr="00845B00" w:rsidRDefault="00126571" w:rsidP="00E41E4D">
      <w:pPr>
        <w:pStyle w:val="Prraforproyecto"/>
        <w:rPr>
          <w:b/>
        </w:rPr>
      </w:pPr>
      <w:r w:rsidRPr="00845B00">
        <w:rPr>
          <w:b/>
        </w:rPr>
        <w:t>CUARTO.</w:t>
      </w:r>
      <w:r w:rsidRPr="00845B00">
        <w:t xml:space="preserve"> </w:t>
      </w:r>
      <w:r w:rsidR="000E0ED0" w:rsidRPr="00845B00">
        <w:t xml:space="preserve">La presente </w:t>
      </w:r>
      <w:r w:rsidR="001A6F50" w:rsidRPr="00845B00">
        <w:t>resolución</w:t>
      </w:r>
      <w:r w:rsidR="000E0ED0" w:rsidRPr="00845B00">
        <w:t xml:space="preserve"> se </w:t>
      </w:r>
      <w:r w:rsidR="001A6F50" w:rsidRPr="00845B00">
        <w:t>otorga</w:t>
      </w:r>
      <w:r w:rsidR="000E0ED0" w:rsidRPr="00845B00">
        <w:t xml:space="preserve"> en el ámbito de </w:t>
      </w:r>
      <w:r w:rsidR="001A6F50" w:rsidRPr="00845B00">
        <w:t xml:space="preserve">competencia </w:t>
      </w:r>
      <w:r w:rsidR="000E0ED0" w:rsidRPr="00845B00">
        <w:t xml:space="preserve">del Instituto Federal de Telecomunicaciones </w:t>
      </w:r>
      <w:r w:rsidR="001A6F50" w:rsidRPr="00845B00">
        <w:t>conforme a lo establecido en los artículos 90 de la Ley Federal de Competencia Económica</w:t>
      </w:r>
      <w:r w:rsidR="00A92511" w:rsidRPr="00845B00">
        <w:t>; 112</w:t>
      </w:r>
      <w:r w:rsidR="006C137D" w:rsidRPr="00845B00">
        <w:t>, párrafos segundo y séptimo,</w:t>
      </w:r>
      <w:r w:rsidR="00A92511" w:rsidRPr="00845B00">
        <w:t xml:space="preserve"> de le Ley Federal de Telecomunicaciones y Radiodifusión</w:t>
      </w:r>
      <w:r w:rsidR="001A6F50" w:rsidRPr="00845B00">
        <w:t xml:space="preserve">, </w:t>
      </w:r>
      <w:r w:rsidR="009B4645" w:rsidRPr="00845B00">
        <w:t xml:space="preserve">y </w:t>
      </w:r>
      <w:r w:rsidR="001A6F50" w:rsidRPr="00845B00">
        <w:t>28, párrafo décimo séptimo, de la Constitución Política de los Estados Unidos Mexicanos,</w:t>
      </w:r>
      <w:r w:rsidR="000E0ED0" w:rsidRPr="00845B00">
        <w:t xml:space="preserve"> sin prejuzgar sobre otras autorizaciones que en su caso CenturyLink, Inc., WWG Merger Sub, LLC y Level 3 Communications, Inc. deban obtener de este Instituto u otra autoridad competente, ni sobre otros procedimientos en curso ante </w:t>
      </w:r>
      <w:r w:rsidR="001A6F50" w:rsidRPr="00845B00">
        <w:t xml:space="preserve">esta u </w:t>
      </w:r>
      <w:r w:rsidR="000E0ED0" w:rsidRPr="00845B00">
        <w:t xml:space="preserve">otras autoridades. </w:t>
      </w:r>
    </w:p>
    <w:p w14:paraId="4A93A1B6" w14:textId="77777777" w:rsidR="00845B00" w:rsidRDefault="000E0ED0" w:rsidP="00E41E4D">
      <w:pPr>
        <w:pStyle w:val="Prraforproyecto"/>
      </w:pPr>
      <w:r w:rsidRPr="00845B00">
        <w:t>Asimismo, la presente Resolución tampoco prejuzga sobre violaciones a la Ley Federal de Competencia Económica, la Ley Federal de Telecomunicaciones y Radiodifusión u otros ordenamientos, en que pudiera haber incurrido, o pudiera incurrir, alguno de los agentes involucrados a través de alguna otra transacción.</w:t>
      </w:r>
    </w:p>
    <w:p w14:paraId="17871BCB" w14:textId="77777777" w:rsidR="00845B00" w:rsidRDefault="00126571" w:rsidP="00E41E4D">
      <w:pPr>
        <w:pStyle w:val="Prraforproyecto"/>
      </w:pPr>
      <w:r w:rsidRPr="00845B00">
        <w:rPr>
          <w:b/>
        </w:rPr>
        <w:t>QUINTO.</w:t>
      </w:r>
      <w:r w:rsidR="000E0ED0" w:rsidRPr="00845B00">
        <w:t xml:space="preserve"> Notifíquese personalmente la presente Resolución a CenturyLink, Inc., WWG Merger Sub, LLC y Level 3 Communications, Inc., a través de su representante común.</w:t>
      </w:r>
    </w:p>
    <w:p w14:paraId="38C1CFF8" w14:textId="6EAED3D3" w:rsidR="00845B00" w:rsidRPr="00845B00" w:rsidRDefault="00AD4BAA" w:rsidP="00E41E4D">
      <w:pPr>
        <w:pStyle w:val="Prraforproyecto"/>
      </w:pPr>
      <w:r w:rsidRPr="00845B00">
        <w:rPr>
          <w:b/>
        </w:rPr>
        <w:t xml:space="preserve">SEXTO. </w:t>
      </w:r>
      <w:r w:rsidRPr="00845B00">
        <w:t xml:space="preserve">Remítase copia de esta resolución a la Unidad de Concesiones y Servicios, a efecto de que el Titular de dicha Unidad tramite lo que corresponda en términos de la legislación aplicable. </w:t>
      </w:r>
    </w:p>
    <w:p w14:paraId="32274B07" w14:textId="18E598F8" w:rsidR="00932556" w:rsidRPr="00845B00" w:rsidRDefault="0016657E" w:rsidP="0016657E">
      <w:pPr>
        <w:spacing w:after="0" w:line="240" w:lineRule="auto"/>
        <w:jc w:val="both"/>
        <w:rPr>
          <w:rFonts w:ascii="ITC Avant Garde" w:eastAsiaTheme="minorHAnsi" w:hAnsi="ITC Avant Garde"/>
          <w:sz w:val="13"/>
          <w:szCs w:val="13"/>
          <w:lang w:val="es-ES"/>
        </w:rPr>
      </w:pPr>
      <w:r w:rsidRPr="00845B00">
        <w:rPr>
          <w:rFonts w:ascii="ITC Avant Garde" w:hAnsi="ITC Avant Garde"/>
          <w:sz w:val="13"/>
          <w:szCs w:val="13"/>
          <w:lang w:val="es-ES"/>
        </w:rPr>
        <w:lastRenderedPageBreak/>
        <w:t xml:space="preserve">La presente Resolución fue aprobada por el Pleno del Instituto Federal de Telecomunicaciones en su XXXIX Sesión Ordinaria celebrada el 25 de septiembre de 2017, por </w:t>
      </w:r>
      <w:r w:rsidRPr="00845B00">
        <w:rPr>
          <w:rFonts w:ascii="ITC Avant Garde" w:hAnsi="ITC Avant Garde"/>
          <w:bCs/>
          <w:sz w:val="13"/>
          <w:szCs w:val="13"/>
          <w:lang w:val="es-ES"/>
        </w:rPr>
        <w:t>unanimidad</w:t>
      </w:r>
      <w:r w:rsidRPr="00845B00">
        <w:rPr>
          <w:rFonts w:ascii="ITC Avant Garde" w:hAnsi="ITC Avant Garde"/>
          <w:sz w:val="13"/>
          <w:szCs w:val="13"/>
          <w:lang w:val="es-ES"/>
        </w:rPr>
        <w:t xml:space="preserve"> de votos de los Comisionados Adriana Sofía Labardini Inzunza, María Elena Estavillo Flores, Gabriel Oswaldo Contreras Saldívar, Mario Germán Fromow Rangel, Adolfo Cuevas Teja, Javier Juárez Mojica y Arturo Robles </w:t>
      </w:r>
      <w:proofErr w:type="spellStart"/>
      <w:r w:rsidRPr="00845B00">
        <w:rPr>
          <w:rFonts w:ascii="ITC Avant Garde" w:hAnsi="ITC Avant Garde"/>
          <w:sz w:val="13"/>
          <w:szCs w:val="13"/>
          <w:lang w:val="es-ES"/>
        </w:rPr>
        <w:t>Rovalo</w:t>
      </w:r>
      <w:proofErr w:type="spellEnd"/>
      <w:r w:rsidRPr="00845B00">
        <w:rPr>
          <w:rFonts w:ascii="ITC Avant Garde" w:hAnsi="ITC Avant Garde"/>
          <w:sz w:val="13"/>
          <w:szCs w:val="13"/>
          <w:lang w:val="es-ES"/>
        </w:rPr>
        <w:t>; con fundamento en los párrafos vigésimo, fracciones I y III; y vigésimo primero, del artículo 28 de la Constitución Política de los Estados Unidos Mexicanos; artículos 7, 16 y 45 de la Ley Federal de Telecomunicaciones y Radiodifusión; 5 y 18 de la Ley Federal de Competencia Económica; así como en los artículos 1, 7, 8 y 12 del Estatuto Orgánico del Instituto Federal de Telecomunicaciones, mediante Acuerdo P/IFT/250917/593.</w:t>
      </w:r>
    </w:p>
    <w:sectPr w:rsidR="00932556" w:rsidRPr="00845B00" w:rsidSect="001C5013">
      <w:headerReference w:type="even" r:id="rId23"/>
      <w:headerReference w:type="default" r:id="rId24"/>
      <w:footerReference w:type="even" r:id="rId25"/>
      <w:footerReference w:type="default" r:id="rId26"/>
      <w:headerReference w:type="first" r:id="rId27"/>
      <w:footerReference w:type="first" r:id="rId28"/>
      <w:pgSz w:w="12240" w:h="15840"/>
      <w:pgMar w:top="1701" w:right="1467" w:bottom="1418" w:left="1418" w:header="169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18A50" w14:textId="77777777" w:rsidR="00C21FC2" w:rsidRDefault="00C21FC2" w:rsidP="00126571">
      <w:pPr>
        <w:spacing w:after="0" w:line="240" w:lineRule="auto"/>
      </w:pPr>
      <w:r>
        <w:separator/>
      </w:r>
    </w:p>
  </w:endnote>
  <w:endnote w:type="continuationSeparator" w:id="0">
    <w:p w14:paraId="75376132" w14:textId="77777777" w:rsidR="00C21FC2" w:rsidRDefault="00C21FC2" w:rsidP="00126571">
      <w:pPr>
        <w:spacing w:after="0" w:line="240" w:lineRule="auto"/>
      </w:pPr>
      <w:r>
        <w:continuationSeparator/>
      </w:r>
    </w:p>
  </w:endnote>
  <w:endnote w:type="continuationNotice" w:id="1">
    <w:p w14:paraId="4214880A" w14:textId="77777777" w:rsidR="00C21FC2" w:rsidRDefault="00C21F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5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Book">
    <w:altName w:val="Century Gothic"/>
    <w:panose1 w:val="020B0402020203020304"/>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B655D" w14:textId="77777777" w:rsidR="00845B00" w:rsidRDefault="00845B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14959497"/>
      <w:docPartObj>
        <w:docPartGallery w:val="Page Numbers (Bottom of Page)"/>
        <w:docPartUnique/>
      </w:docPartObj>
    </w:sdtPr>
    <w:sdtEndPr>
      <w:rPr>
        <w:rFonts w:ascii="ITC Avant Garde" w:hAnsi="ITC Avant Garde"/>
      </w:rPr>
    </w:sdtEndPr>
    <w:sdtContent>
      <w:sdt>
        <w:sdtPr>
          <w:rPr>
            <w:rFonts w:ascii="ITC Avant Garde" w:hAnsi="ITC Avant Garde"/>
            <w:sz w:val="20"/>
            <w:szCs w:val="20"/>
          </w:rPr>
          <w:id w:val="-1769616900"/>
          <w:docPartObj>
            <w:docPartGallery w:val="Page Numbers (Top of Page)"/>
            <w:docPartUnique/>
          </w:docPartObj>
        </w:sdtPr>
        <w:sdtEndPr/>
        <w:sdtContent>
          <w:p w14:paraId="64CB55BF" w14:textId="56FC6B02" w:rsidR="00DF3C14" w:rsidRPr="000973E1" w:rsidRDefault="00DF3C14" w:rsidP="00BA4A60">
            <w:pPr>
              <w:pStyle w:val="Piedepgina"/>
              <w:jc w:val="right"/>
              <w:rPr>
                <w:rFonts w:ascii="ITC Avant Garde" w:hAnsi="ITC Avant Garde"/>
                <w:sz w:val="20"/>
                <w:szCs w:val="20"/>
              </w:rPr>
            </w:pPr>
            <w:r w:rsidRPr="000973E1">
              <w:rPr>
                <w:rFonts w:ascii="ITC Avant Garde" w:hAnsi="ITC Avant Garde"/>
                <w:sz w:val="20"/>
                <w:szCs w:val="20"/>
                <w:lang w:val="es-ES"/>
              </w:rPr>
              <w:t xml:space="preserve">Página </w:t>
            </w:r>
            <w:r w:rsidRPr="000973E1">
              <w:rPr>
                <w:rFonts w:ascii="ITC Avant Garde" w:hAnsi="ITC Avant Garde"/>
                <w:b/>
                <w:sz w:val="20"/>
                <w:szCs w:val="20"/>
              </w:rPr>
              <w:fldChar w:fldCharType="begin"/>
            </w:r>
            <w:r w:rsidRPr="000973E1">
              <w:rPr>
                <w:rFonts w:ascii="ITC Avant Garde" w:hAnsi="ITC Avant Garde"/>
                <w:b/>
                <w:bCs/>
                <w:sz w:val="20"/>
                <w:szCs w:val="20"/>
              </w:rPr>
              <w:instrText>PAGE</w:instrText>
            </w:r>
            <w:r w:rsidRPr="000973E1">
              <w:rPr>
                <w:rFonts w:ascii="ITC Avant Garde" w:hAnsi="ITC Avant Garde"/>
                <w:b/>
                <w:sz w:val="20"/>
                <w:szCs w:val="20"/>
              </w:rPr>
              <w:fldChar w:fldCharType="separate"/>
            </w:r>
            <w:r w:rsidR="001C5013">
              <w:rPr>
                <w:rFonts w:ascii="ITC Avant Garde" w:hAnsi="ITC Avant Garde"/>
                <w:b/>
                <w:bCs/>
                <w:noProof/>
                <w:sz w:val="20"/>
                <w:szCs w:val="20"/>
              </w:rPr>
              <w:t>21</w:t>
            </w:r>
            <w:r w:rsidRPr="000973E1">
              <w:rPr>
                <w:rFonts w:ascii="ITC Avant Garde" w:hAnsi="ITC Avant Garde"/>
                <w:b/>
                <w:sz w:val="20"/>
                <w:szCs w:val="20"/>
              </w:rPr>
              <w:fldChar w:fldCharType="end"/>
            </w:r>
            <w:r w:rsidRPr="000973E1">
              <w:rPr>
                <w:rFonts w:ascii="ITC Avant Garde" w:hAnsi="ITC Avant Garde"/>
                <w:sz w:val="20"/>
                <w:szCs w:val="20"/>
                <w:lang w:val="es-ES"/>
              </w:rPr>
              <w:t xml:space="preserve"> de </w:t>
            </w:r>
            <w:r w:rsidR="001C5013">
              <w:rPr>
                <w:rFonts w:ascii="ITC Avant Garde" w:hAnsi="ITC Avant Garde"/>
                <w:b/>
                <w:sz w:val="20"/>
                <w:szCs w:val="20"/>
              </w:rPr>
              <w:t>29</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481374"/>
      <w:docPartObj>
        <w:docPartGallery w:val="Page Numbers (Bottom of Page)"/>
        <w:docPartUnique/>
      </w:docPartObj>
    </w:sdtPr>
    <w:sdtContent>
      <w:sdt>
        <w:sdtPr>
          <w:id w:val="804040552"/>
          <w:docPartObj>
            <w:docPartGallery w:val="Page Numbers (Top of Page)"/>
            <w:docPartUnique/>
          </w:docPartObj>
        </w:sdtPr>
        <w:sdtContent>
          <w:p w14:paraId="7FCC6875" w14:textId="3591D6C8" w:rsidR="00DF3C14" w:rsidRPr="001C5013" w:rsidRDefault="001C5013" w:rsidP="001C5013">
            <w:pPr>
              <w:pStyle w:val="Piedepgina"/>
              <w:jc w:val="right"/>
            </w:pPr>
            <w:r w:rsidRPr="001C5013">
              <w:rPr>
                <w:rFonts w:ascii="ITC Avant Garde" w:hAnsi="ITC Avant Garde"/>
                <w:sz w:val="20"/>
                <w:szCs w:val="20"/>
                <w:lang w:val="es-ES"/>
              </w:rPr>
              <w:t xml:space="preserve">Página </w:t>
            </w:r>
            <w:r w:rsidRPr="001C5013">
              <w:rPr>
                <w:rFonts w:ascii="ITC Avant Garde" w:hAnsi="ITC Avant Garde"/>
                <w:b/>
                <w:sz w:val="20"/>
                <w:szCs w:val="20"/>
                <w:lang w:val="es-ES"/>
              </w:rPr>
              <w:fldChar w:fldCharType="begin"/>
            </w:r>
            <w:r w:rsidRPr="001C5013">
              <w:rPr>
                <w:rFonts w:ascii="ITC Avant Garde" w:hAnsi="ITC Avant Garde"/>
                <w:b/>
                <w:sz w:val="20"/>
                <w:szCs w:val="20"/>
                <w:lang w:val="es-ES"/>
              </w:rPr>
              <w:instrText>PAGE</w:instrText>
            </w:r>
            <w:r w:rsidRPr="001C5013">
              <w:rPr>
                <w:rFonts w:ascii="ITC Avant Garde" w:hAnsi="ITC Avant Garde"/>
                <w:b/>
                <w:sz w:val="20"/>
                <w:szCs w:val="20"/>
                <w:lang w:val="es-ES"/>
              </w:rPr>
              <w:fldChar w:fldCharType="separate"/>
            </w:r>
            <w:r>
              <w:rPr>
                <w:rFonts w:ascii="ITC Avant Garde" w:hAnsi="ITC Avant Garde"/>
                <w:b/>
                <w:noProof/>
                <w:sz w:val="20"/>
                <w:szCs w:val="20"/>
                <w:lang w:val="es-ES"/>
              </w:rPr>
              <w:t>1</w:t>
            </w:r>
            <w:r w:rsidRPr="001C5013">
              <w:rPr>
                <w:rFonts w:ascii="ITC Avant Garde" w:hAnsi="ITC Avant Garde"/>
                <w:b/>
                <w:sz w:val="20"/>
                <w:szCs w:val="20"/>
                <w:lang w:val="es-ES"/>
              </w:rPr>
              <w:fldChar w:fldCharType="end"/>
            </w:r>
            <w:r w:rsidRPr="001C5013">
              <w:rPr>
                <w:rFonts w:ascii="ITC Avant Garde" w:hAnsi="ITC Avant Garde"/>
                <w:sz w:val="20"/>
                <w:szCs w:val="20"/>
                <w:lang w:val="es-ES"/>
              </w:rPr>
              <w:t xml:space="preserve"> de </w:t>
            </w:r>
            <w:r>
              <w:rPr>
                <w:rFonts w:ascii="ITC Avant Garde" w:hAnsi="ITC Avant Garde"/>
                <w:b/>
                <w:sz w:val="20"/>
                <w:szCs w:val="20"/>
                <w:lang w:val="es-ES"/>
              </w:rPr>
              <w:t>29</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DACA4" w14:textId="77777777" w:rsidR="00C21FC2" w:rsidRDefault="00C21FC2" w:rsidP="00126571">
      <w:pPr>
        <w:spacing w:after="0" w:line="240" w:lineRule="auto"/>
      </w:pPr>
      <w:r>
        <w:separator/>
      </w:r>
    </w:p>
  </w:footnote>
  <w:footnote w:type="continuationSeparator" w:id="0">
    <w:p w14:paraId="15EE6591" w14:textId="77777777" w:rsidR="00C21FC2" w:rsidRDefault="00C21FC2" w:rsidP="00126571">
      <w:pPr>
        <w:spacing w:after="0" w:line="240" w:lineRule="auto"/>
      </w:pPr>
      <w:r>
        <w:continuationSeparator/>
      </w:r>
    </w:p>
  </w:footnote>
  <w:footnote w:type="continuationNotice" w:id="1">
    <w:p w14:paraId="29EE4714" w14:textId="77777777" w:rsidR="00C21FC2" w:rsidRDefault="00C21FC2">
      <w:pPr>
        <w:spacing w:after="0" w:line="240" w:lineRule="auto"/>
      </w:pPr>
    </w:p>
  </w:footnote>
  <w:footnote w:id="2">
    <w:p w14:paraId="0DFC80C6" w14:textId="77777777" w:rsidR="00DF3C14" w:rsidRPr="009F4C0C" w:rsidRDefault="00DF3C14" w:rsidP="00D17667">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Constituyen hechos notorios para efectos de este cumplimiento: los acontecimientos de dominio público, el contenido de las páginas web de diversos agentes económicos y la documentación contenida en los expedientes que obren en sus archivos. Sirven de base a lo anterior las siguientes tesis.</w:t>
      </w:r>
    </w:p>
    <w:p w14:paraId="2AE4DD02" w14:textId="77777777" w:rsidR="00DF3C14" w:rsidRPr="009F4C0C" w:rsidRDefault="00DF3C14" w:rsidP="00D17667">
      <w:pPr>
        <w:spacing w:after="0" w:line="240" w:lineRule="auto"/>
        <w:jc w:val="both"/>
        <w:rPr>
          <w:rFonts w:ascii="ITC Avant Garde" w:hAnsi="ITC Avant Garde"/>
          <w:sz w:val="16"/>
          <w:szCs w:val="16"/>
        </w:rPr>
      </w:pPr>
      <w:r w:rsidRPr="009F4C0C">
        <w:rPr>
          <w:rFonts w:ascii="ITC Avant Garde" w:hAnsi="ITC Avant Garde"/>
          <w:sz w:val="16"/>
          <w:szCs w:val="16"/>
        </w:rPr>
        <w:t>HECHOS NOTORIOS. CONCEPTOS GENERAL Y JURÍDICO. Época: Novena Época. Registro: 174899. Instancia: Pleno. Tipo de Tesis: Jurisprudencia. Fuente: Semanario Judicial de la Federación y su Gaceta, Tomo XXIII, Junio de 2006. Materia(s): Común. Tesis: P</w:t>
      </w:r>
      <w:proofErr w:type="gramStart"/>
      <w:r w:rsidRPr="009F4C0C">
        <w:rPr>
          <w:rFonts w:ascii="ITC Avant Garde" w:hAnsi="ITC Avant Garde"/>
          <w:sz w:val="16"/>
          <w:szCs w:val="16"/>
        </w:rPr>
        <w:t>./</w:t>
      </w:r>
      <w:proofErr w:type="gramEnd"/>
      <w:r w:rsidRPr="009F4C0C">
        <w:rPr>
          <w:rFonts w:ascii="ITC Avant Garde" w:hAnsi="ITC Avant Garde"/>
          <w:sz w:val="16"/>
          <w:szCs w:val="16"/>
        </w:rPr>
        <w:t>J. 74/2006, página 963.</w:t>
      </w:r>
    </w:p>
    <w:p w14:paraId="28FF6E98" w14:textId="77777777" w:rsidR="00DF3C14" w:rsidRPr="009F4C0C" w:rsidRDefault="00DF3C14" w:rsidP="00D17667">
      <w:pPr>
        <w:pStyle w:val="Textonotapie"/>
        <w:jc w:val="both"/>
        <w:rPr>
          <w:rFonts w:ascii="ITC Avant Garde" w:hAnsi="ITC Avant Garde"/>
          <w:sz w:val="16"/>
          <w:szCs w:val="16"/>
        </w:rPr>
      </w:pPr>
      <w:r w:rsidRPr="009F4C0C">
        <w:rPr>
          <w:rFonts w:ascii="ITC Avant Garde" w:hAnsi="ITC Avant Garde"/>
          <w:sz w:val="16"/>
          <w:szCs w:val="16"/>
        </w:rPr>
        <w:t>HECHOS NOTORIOS, LOS MAGISTRADOS INTEGRANTES DE LOS TRIBUNALES COLEGIADOS DE CIRCUITO PUEDEN INVOCAR CON ESE CARÁCTER LAS EJECUTORIAS QUE EMITIERON Y LOS DIFERENTES DATOS E INFORMACIÓN CONTENIDOS EN DICHAS RESOLUCIONES Y EN LOS ASUNTOS QUE SE SIGAN ANTE LOS PROPIOS ÓRGANOS. Novena Época, Registro número 164049, Primer Tribunal Colegiado en Materias Penal y de Trabajo del Décimo Noveno Circuito, Tesis Jurisprudencia, Semanario Judicial de la Federación y su Gaceta, Tomo XXXII, Agosto de 2010, Materia Común, Tesis: XIX, 1o, PTJ/4, página 2023.</w:t>
      </w:r>
    </w:p>
    <w:p w14:paraId="6A428107" w14:textId="77777777" w:rsidR="00DF3C14" w:rsidRPr="009F4C0C" w:rsidRDefault="00DF3C14" w:rsidP="00D17667">
      <w:pPr>
        <w:pStyle w:val="Textonotapie"/>
        <w:jc w:val="both"/>
        <w:rPr>
          <w:rFonts w:ascii="ITC Avant Garde" w:hAnsi="ITC Avant Garde"/>
          <w:sz w:val="16"/>
          <w:szCs w:val="16"/>
        </w:rPr>
      </w:pPr>
      <w:r w:rsidRPr="009F4C0C">
        <w:rPr>
          <w:rFonts w:ascii="ITC Avant Garde" w:hAnsi="ITC Avant Garde"/>
          <w:sz w:val="16"/>
          <w:szCs w:val="16"/>
        </w:rPr>
        <w:t xml:space="preserve">HECHO NOTORIO. LO CONSTITUYEN LAS RESOLUCIONES DE LOS ÓRGANOS DEL CONSEJO DE LA JUDICATURA FEDERAL QUE SE REGISTRAN EN EL SISTEMA INTEGRAL DE SEGUIMIENTO DE EXPEDIENTES. Décima Época, Registro 2009054, Décimo Tribunal Colegiado en Materia Civil del Primer Circuito, Tesis Aislada, Gaceta del Semanario Judicial de la Federación, Libro 18, Mayo de 2015, Tomo III, Materia Común, Tesis I.10o.C.2 K (10a.), página: 2187. </w:t>
      </w:r>
    </w:p>
    <w:p w14:paraId="145CD225" w14:textId="77777777" w:rsidR="00DF3C14" w:rsidRPr="009F4C0C" w:rsidRDefault="00DF3C14" w:rsidP="00D17667">
      <w:pPr>
        <w:spacing w:after="0" w:line="240" w:lineRule="auto"/>
        <w:jc w:val="both"/>
        <w:rPr>
          <w:rFonts w:ascii="ITC Avant Garde" w:hAnsi="ITC Avant Garde"/>
          <w:sz w:val="16"/>
          <w:szCs w:val="16"/>
        </w:rPr>
      </w:pPr>
      <w:r w:rsidRPr="009F4C0C">
        <w:rPr>
          <w:rFonts w:ascii="ITC Avant Garde" w:hAnsi="ITC Avant Garde"/>
          <w:sz w:val="16"/>
          <w:szCs w:val="16"/>
        </w:rPr>
        <w:t>PÁGINAS WEB O ELECTRÓNICAS. SU CONTENIDO ES UN HECHO NOTORIO Y SUSCEPTIBLE DE SER VALORADO EN UNA DECISIÓN JUDICIAL. Época: Décima Época. Registro: 2004949. Instancia: Tribunales Colegiados de Circuito. Tipo de Tesis: Aislada. Fuente: Semanario Judicial de la Federación y su Gaceta Libro XXVI, Noviembre de 2013, Tomo 2. Materia(s): Civil. Tesis: I.3o.C.35 K (10a.), página 1373.</w:t>
      </w:r>
    </w:p>
  </w:footnote>
  <w:footnote w:id="3">
    <w:p w14:paraId="47F69ECC" w14:textId="4420621A" w:rsidR="00DF3C14" w:rsidRPr="009F4C0C" w:rsidRDefault="00DF3C14" w:rsidP="00D17667">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Véase la información contenida en las resoluciones emitidas por el Pleno del Instituto en los expedientes UCE/CNC-003-2014, UCE/CNC-006-2014, UCE/CNC-001-2015 y UCE/OLC-001-2016, cuyas versiones públicas están disponibles en http://apps.ift.org.mx/publicdata/P_IFT_EXT_131114_225_Version_Publica.pdf, http://apps.ift.org.mx/publicdata/P_IFT_EXT_181214_282_Version_Publica.pdf</w:t>
      </w:r>
      <w:r w:rsidRPr="009F4C0C">
        <w:rPr>
          <w:rStyle w:val="Hipervnculo"/>
          <w:rFonts w:ascii="ITC Avant Garde" w:hAnsi="ITC Avant Garde"/>
          <w:color w:val="auto"/>
          <w:sz w:val="16"/>
          <w:szCs w:val="16"/>
        </w:rPr>
        <w:t xml:space="preserve"> </w:t>
      </w:r>
      <w:r w:rsidRPr="009F4C0C">
        <w:rPr>
          <w:rFonts w:ascii="ITC Avant Garde" w:hAnsi="ITC Avant Garde"/>
          <w:sz w:val="16"/>
          <w:szCs w:val="16"/>
        </w:rPr>
        <w:t>,</w:t>
      </w:r>
    </w:p>
    <w:p w14:paraId="5B36CB47" w14:textId="6696F132" w:rsidR="00DF3C14" w:rsidRPr="009F4C0C" w:rsidRDefault="00DF3C14" w:rsidP="00D17667">
      <w:pPr>
        <w:pStyle w:val="Textonotapie"/>
        <w:jc w:val="both"/>
        <w:rPr>
          <w:rStyle w:val="Hipervnculo"/>
          <w:rFonts w:ascii="ITC Avant Garde" w:hAnsi="ITC Avant Garde"/>
          <w:color w:val="auto"/>
          <w:sz w:val="16"/>
          <w:szCs w:val="16"/>
        </w:rPr>
      </w:pPr>
      <w:r w:rsidRPr="009F4C0C">
        <w:rPr>
          <w:rFonts w:ascii="ITC Avant Garde" w:hAnsi="ITC Avant Garde"/>
          <w:sz w:val="16"/>
          <w:szCs w:val="16"/>
        </w:rPr>
        <w:t>http://www.ift.org.mx/sites/default/files/conocenos/pleno/sesiones/acuerdoliga/versionpublicapiftext29041586.pdf</w:t>
      </w:r>
      <w:r w:rsidRPr="009F4C0C">
        <w:rPr>
          <w:rStyle w:val="Hipervnculo"/>
          <w:rFonts w:ascii="ITC Avant Garde" w:hAnsi="ITC Avant Garde"/>
          <w:color w:val="auto"/>
          <w:sz w:val="16"/>
          <w:szCs w:val="16"/>
        </w:rPr>
        <w:t xml:space="preserve"> y </w:t>
      </w:r>
      <w:r w:rsidRPr="009F4C0C">
        <w:rPr>
          <w:rFonts w:ascii="ITC Avant Garde" w:hAnsi="ITC Avant Garde"/>
          <w:sz w:val="16"/>
          <w:szCs w:val="16"/>
        </w:rPr>
        <w:t>http://apps.ift.org.mx/publicdata/Version_Publica_UCE_P_IFT_EXT_131016_25.pdf</w:t>
      </w:r>
      <w:r w:rsidRPr="009F4C0C">
        <w:rPr>
          <w:rStyle w:val="Hipervnculo"/>
          <w:rFonts w:ascii="ITC Avant Garde" w:hAnsi="ITC Avant Garde"/>
          <w:color w:val="auto"/>
          <w:sz w:val="16"/>
          <w:szCs w:val="16"/>
        </w:rPr>
        <w:t>.</w:t>
      </w:r>
    </w:p>
    <w:p w14:paraId="60215475" w14:textId="77777777" w:rsidR="00DF3C14" w:rsidRPr="009F4C0C" w:rsidRDefault="00DF3C14" w:rsidP="00D17667">
      <w:pPr>
        <w:pStyle w:val="Textonotapie"/>
        <w:jc w:val="both"/>
        <w:rPr>
          <w:rFonts w:ascii="ITC Avant Garde" w:hAnsi="ITC Avant Garde"/>
          <w:sz w:val="16"/>
          <w:szCs w:val="16"/>
        </w:rPr>
      </w:pPr>
      <w:r w:rsidRPr="009F4C0C">
        <w:rPr>
          <w:rStyle w:val="Hipervnculo"/>
          <w:rFonts w:ascii="ITC Avant Garde" w:hAnsi="ITC Avant Garde"/>
          <w:color w:val="auto"/>
          <w:sz w:val="16"/>
          <w:szCs w:val="16"/>
        </w:rPr>
        <w:t xml:space="preserve">En la resolución al expediente </w:t>
      </w:r>
      <w:r w:rsidRPr="009F4C0C">
        <w:rPr>
          <w:rFonts w:ascii="ITC Avant Garde" w:hAnsi="ITC Avant Garde"/>
          <w:sz w:val="16"/>
          <w:szCs w:val="16"/>
        </w:rPr>
        <w:t xml:space="preserve">UCE/OLC-001-2016, se identificó que Vanguard Group era accionista de EchoStar Corporation, al respecto, en ese documento se señaló que Vanguard Group no tenía control ni influencia significativa sobre ésta última. </w:t>
      </w:r>
    </w:p>
  </w:footnote>
  <w:footnote w:id="4">
    <w:p w14:paraId="79B1FB65" w14:textId="47690A0E" w:rsidR="00DF3C14" w:rsidRPr="009F4C0C" w:rsidRDefault="00DF3C14" w:rsidP="00D17667">
      <w:pPr>
        <w:pStyle w:val="Textonotapie"/>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Información disponible en https://www.vanguard.com/funds/reports/q400.pdf. </w:t>
      </w:r>
    </w:p>
  </w:footnote>
  <w:footnote w:id="5">
    <w:p w14:paraId="3C064B4D" w14:textId="067471C0" w:rsidR="00DF3C14" w:rsidRPr="009F4C0C" w:rsidRDefault="00DF3C14" w:rsidP="001C133B">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En su escrito de notificación (Anexo V.E), las Partes aducen que el 22 de noviembre de 2016, los socios de México </w:t>
      </w:r>
      <w:proofErr w:type="spellStart"/>
      <w:r w:rsidRPr="009F4C0C">
        <w:rPr>
          <w:rFonts w:ascii="ITC Avant Garde" w:hAnsi="ITC Avant Garde"/>
          <w:sz w:val="16"/>
          <w:szCs w:val="16"/>
        </w:rPr>
        <w:t>Landing</w:t>
      </w:r>
      <w:proofErr w:type="spellEnd"/>
      <w:r w:rsidRPr="009F4C0C">
        <w:rPr>
          <w:rFonts w:ascii="ITC Avant Garde" w:hAnsi="ITC Avant Garde"/>
          <w:sz w:val="16"/>
          <w:szCs w:val="16"/>
        </w:rPr>
        <w:t xml:space="preserve"> adoptaron por unanimidad la fusión por absorción de México </w:t>
      </w:r>
      <w:proofErr w:type="spellStart"/>
      <w:r w:rsidRPr="009F4C0C">
        <w:rPr>
          <w:rFonts w:ascii="ITC Avant Garde" w:hAnsi="ITC Avant Garde"/>
          <w:sz w:val="16"/>
          <w:szCs w:val="16"/>
        </w:rPr>
        <w:t>Landing</w:t>
      </w:r>
      <w:proofErr w:type="spellEnd"/>
      <w:r w:rsidRPr="009F4C0C">
        <w:rPr>
          <w:rFonts w:ascii="ITC Avant Garde" w:hAnsi="ITC Avant Garde"/>
          <w:sz w:val="16"/>
          <w:szCs w:val="16"/>
        </w:rPr>
        <w:t xml:space="preserve">, como sociedad </w:t>
      </w:r>
      <w:proofErr w:type="spellStart"/>
      <w:r w:rsidRPr="009F4C0C">
        <w:rPr>
          <w:rFonts w:ascii="ITC Avant Garde" w:hAnsi="ITC Avant Garde"/>
          <w:sz w:val="16"/>
          <w:szCs w:val="16"/>
        </w:rPr>
        <w:t>fusionante</w:t>
      </w:r>
      <w:proofErr w:type="spellEnd"/>
      <w:r w:rsidRPr="009F4C0C">
        <w:rPr>
          <w:rFonts w:ascii="ITC Avant Garde" w:hAnsi="ITC Avant Garde"/>
          <w:sz w:val="16"/>
          <w:szCs w:val="16"/>
        </w:rPr>
        <w:t xml:space="preserve"> y que subsiste, y </w:t>
      </w:r>
      <w:proofErr w:type="spellStart"/>
      <w:r w:rsidRPr="009F4C0C">
        <w:rPr>
          <w:rFonts w:ascii="ITC Avant Garde" w:hAnsi="ITC Avant Garde"/>
          <w:sz w:val="16"/>
          <w:szCs w:val="16"/>
        </w:rPr>
        <w:t>Level</w:t>
      </w:r>
      <w:proofErr w:type="spellEnd"/>
      <w:r w:rsidRPr="009F4C0C">
        <w:rPr>
          <w:rFonts w:ascii="ITC Avant Garde" w:hAnsi="ITC Avant Garde"/>
          <w:sz w:val="16"/>
          <w:szCs w:val="16"/>
        </w:rPr>
        <w:t xml:space="preserve"> 3 México, S. de R.L. de C.V., como sociedad fusionada y que se extingue, con base en los artículo 222 a 225 de la Ley General de Sociedades Mercantiles. Esta fusión se trató de una reestructura corporativa dentro del grupo </w:t>
      </w:r>
      <w:r w:rsidR="00AB3E17" w:rsidRPr="009F4C0C">
        <w:rPr>
          <w:rFonts w:ascii="ITC Avant Garde" w:hAnsi="ITC Avant Garde"/>
          <w:sz w:val="16"/>
          <w:szCs w:val="16"/>
        </w:rPr>
        <w:t>de subsidiarias</w:t>
      </w:r>
      <w:r w:rsidRPr="009F4C0C">
        <w:rPr>
          <w:rFonts w:ascii="ITC Avant Garde" w:hAnsi="ITC Avant Garde"/>
          <w:sz w:val="16"/>
          <w:szCs w:val="16"/>
        </w:rPr>
        <w:t xml:space="preserve"> pertenecientes a Level 3 en México, por lo cual en términos del artículo 93, fracción I de la LFCE, las partes estuvieron exentas de notificarla. Las Partes informaron al Instituto de esa reestructura el 23 de noviembre de 2016, en términos del artículo 112, párrafo quinto, de la Ley Federal de Telecomunicaciones y Radiodifusión.</w:t>
      </w:r>
    </w:p>
  </w:footnote>
  <w:footnote w:id="6">
    <w:p w14:paraId="58839B51" w14:textId="77777777" w:rsidR="00DF3C14" w:rsidRPr="009F4C0C" w:rsidRDefault="00DF3C14" w:rsidP="007605D2">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Al dieciséis de agosto de dos mil dieciséis, conforme a los Estados Financieros presentados para ese año por las subsidiarias de </w:t>
      </w:r>
      <w:proofErr w:type="spellStart"/>
      <w:r w:rsidRPr="009F4C0C">
        <w:rPr>
          <w:rFonts w:ascii="ITC Avant Garde" w:hAnsi="ITC Avant Garde"/>
          <w:sz w:val="16"/>
          <w:szCs w:val="16"/>
        </w:rPr>
        <w:t>Level</w:t>
      </w:r>
      <w:proofErr w:type="spellEnd"/>
      <w:r w:rsidRPr="009F4C0C">
        <w:rPr>
          <w:rFonts w:ascii="ITC Avant Garde" w:hAnsi="ITC Avant Garde"/>
          <w:sz w:val="16"/>
          <w:szCs w:val="16"/>
        </w:rPr>
        <w:t xml:space="preserve"> 3.</w:t>
      </w:r>
    </w:p>
  </w:footnote>
  <w:footnote w:id="7">
    <w:p w14:paraId="4BEA642B" w14:textId="77777777" w:rsidR="00DF3C14" w:rsidRPr="009F4C0C" w:rsidRDefault="00DF3C14" w:rsidP="00177D56">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Los términos pactados por las Partes en relación con la Operación no incluyen la obtención de la autorización del Instituto como una condición suspensiva o condición de cierre.</w:t>
      </w:r>
    </w:p>
  </w:footnote>
  <w:footnote w:id="8">
    <w:p w14:paraId="7A11951E" w14:textId="39850F5E" w:rsidR="00DF3C14" w:rsidRPr="009F4C0C" w:rsidRDefault="00DF3C14" w:rsidP="00367867">
      <w:pPr>
        <w:pStyle w:val="Textonotapie"/>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http://www.detecon.com/ap/files/2013_psu_%20Submarine-Cables.pdf</w:t>
      </w:r>
      <w:r w:rsidRPr="009F4C0C">
        <w:rPr>
          <w:rFonts w:ascii="ITC Avant Garde" w:hAnsi="ITC Avant Garde"/>
          <w:sz w:val="16"/>
          <w:szCs w:val="16"/>
          <w:u w:val="single"/>
        </w:rPr>
        <w:t xml:space="preserve">. </w:t>
      </w:r>
    </w:p>
  </w:footnote>
  <w:footnote w:id="9">
    <w:p w14:paraId="0F929564" w14:textId="77777777" w:rsidR="00DF3C14" w:rsidRPr="009F4C0C" w:rsidRDefault="00DF3C14" w:rsidP="0013483F">
      <w:pPr>
        <w:pStyle w:val="Textonotapie"/>
        <w:jc w:val="both"/>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Se refiere al modelo de interconexión de sistemas abiertos (ISO/IEC 7498-1), creado en el año 1980 por la Organización Internacional de Normalización (ISO, </w:t>
      </w:r>
      <w:r w:rsidRPr="009F4C0C">
        <w:rPr>
          <w:rFonts w:ascii="ITC Avant Garde" w:hAnsi="ITC Avant Garde"/>
          <w:i/>
          <w:sz w:val="16"/>
          <w:szCs w:val="16"/>
        </w:rPr>
        <w:t xml:space="preserve">International </w:t>
      </w:r>
      <w:proofErr w:type="spellStart"/>
      <w:r w:rsidRPr="009F4C0C">
        <w:rPr>
          <w:rFonts w:ascii="ITC Avant Garde" w:hAnsi="ITC Avant Garde"/>
          <w:i/>
          <w:sz w:val="16"/>
          <w:szCs w:val="16"/>
        </w:rPr>
        <w:t>Organization</w:t>
      </w:r>
      <w:proofErr w:type="spellEnd"/>
      <w:r w:rsidRPr="009F4C0C">
        <w:rPr>
          <w:rFonts w:ascii="ITC Avant Garde" w:hAnsi="ITC Avant Garde"/>
          <w:i/>
          <w:sz w:val="16"/>
          <w:szCs w:val="16"/>
        </w:rPr>
        <w:t xml:space="preserve"> </w:t>
      </w:r>
      <w:proofErr w:type="spellStart"/>
      <w:r w:rsidRPr="009F4C0C">
        <w:rPr>
          <w:rFonts w:ascii="ITC Avant Garde" w:hAnsi="ITC Avant Garde"/>
          <w:i/>
          <w:sz w:val="16"/>
          <w:szCs w:val="16"/>
        </w:rPr>
        <w:t>for</w:t>
      </w:r>
      <w:proofErr w:type="spellEnd"/>
      <w:r w:rsidRPr="009F4C0C">
        <w:rPr>
          <w:rFonts w:ascii="ITC Avant Garde" w:hAnsi="ITC Avant Garde"/>
          <w:i/>
          <w:sz w:val="16"/>
          <w:szCs w:val="16"/>
        </w:rPr>
        <w:t xml:space="preserve"> </w:t>
      </w:r>
      <w:proofErr w:type="spellStart"/>
      <w:r w:rsidRPr="009F4C0C">
        <w:rPr>
          <w:rFonts w:ascii="ITC Avant Garde" w:hAnsi="ITC Avant Garde"/>
          <w:i/>
          <w:sz w:val="16"/>
          <w:szCs w:val="16"/>
        </w:rPr>
        <w:t>Standardization</w:t>
      </w:r>
      <w:proofErr w:type="spellEnd"/>
      <w:r w:rsidRPr="009F4C0C">
        <w:rPr>
          <w:rFonts w:ascii="ITC Avant Garde" w:hAnsi="ITC Avant Garde"/>
          <w:sz w:val="16"/>
          <w:szCs w:val="16"/>
        </w:rPr>
        <w:t>).</w:t>
      </w:r>
    </w:p>
  </w:footnote>
  <w:footnote w:id="10">
    <w:p w14:paraId="0579C99D" w14:textId="26E6C77A" w:rsidR="00DF3C14" w:rsidRPr="009F4C0C" w:rsidRDefault="00DF3C14">
      <w:pPr>
        <w:pStyle w:val="Textonotapie"/>
        <w:rPr>
          <w:rFonts w:ascii="ITC Avant Garde" w:hAnsi="ITC Avant Garde"/>
          <w:sz w:val="16"/>
          <w:szCs w:val="16"/>
        </w:rPr>
      </w:pPr>
      <w:r w:rsidRPr="009F4C0C">
        <w:rPr>
          <w:rStyle w:val="Refdenotaalpie"/>
          <w:rFonts w:ascii="ITC Avant Garde" w:hAnsi="ITC Avant Garde"/>
          <w:sz w:val="16"/>
          <w:szCs w:val="16"/>
        </w:rPr>
        <w:footnoteRef/>
      </w:r>
      <w:r w:rsidRPr="009F4C0C">
        <w:rPr>
          <w:rFonts w:ascii="ITC Avant Garde" w:hAnsi="ITC Avant Garde"/>
          <w:sz w:val="16"/>
          <w:szCs w:val="16"/>
        </w:rPr>
        <w:t xml:space="preserve"> Véase: https://www.submarinecablemap.com/#/submarine-cable/arcos y http://www.cwnetworks.com/.</w:t>
      </w:r>
    </w:p>
  </w:footnote>
  <w:footnote w:id="11">
    <w:p w14:paraId="2C384CED" w14:textId="77777777" w:rsidR="00DF3C14" w:rsidRPr="009F4C0C" w:rsidRDefault="00DF3C14">
      <w:pPr>
        <w:pStyle w:val="Textonotapie"/>
        <w:rPr>
          <w:rFonts w:ascii="ITC Avant Garde" w:hAnsi="ITC Avant Garde"/>
          <w:sz w:val="16"/>
          <w:szCs w:val="16"/>
          <w:lang w:val="fr-FR"/>
        </w:rPr>
      </w:pPr>
      <w:r w:rsidRPr="009F4C0C">
        <w:rPr>
          <w:rStyle w:val="Refdenotaalpie"/>
          <w:rFonts w:ascii="ITC Avant Garde" w:hAnsi="ITC Avant Garde"/>
          <w:sz w:val="16"/>
          <w:szCs w:val="16"/>
        </w:rPr>
        <w:footnoteRef/>
      </w:r>
      <w:r w:rsidRPr="009F4C0C">
        <w:rPr>
          <w:rFonts w:ascii="ITC Avant Garde" w:hAnsi="ITC Avant Garde"/>
          <w:sz w:val="16"/>
          <w:szCs w:val="16"/>
          <w:lang w:val="fr-FR"/>
        </w:rPr>
        <w:t xml:space="preserve"> Véase: </w:t>
      </w:r>
      <w:hyperlink r:id="rId1" w:anchor="/submarine-cable/maya-1" w:history="1">
        <w:r w:rsidRPr="009F4C0C">
          <w:rPr>
            <w:rStyle w:val="Hipervnculo"/>
            <w:rFonts w:ascii="ITC Avant Garde" w:hAnsi="ITC Avant Garde"/>
            <w:color w:val="auto"/>
            <w:sz w:val="16"/>
            <w:szCs w:val="16"/>
            <w:lang w:val="fr-FR"/>
          </w:rPr>
          <w:t>https://www.submarinecablemap.com/#/submarine-cable/maya-1</w:t>
        </w:r>
      </w:hyperlink>
      <w:r w:rsidRPr="009F4C0C">
        <w:rPr>
          <w:rFonts w:ascii="ITC Avant Garde" w:hAnsi="ITC Avant Garde"/>
          <w:sz w:val="16"/>
          <w:szCs w:val="16"/>
          <w:lang w:val="fr-FR"/>
        </w:rPr>
        <w:t>.</w:t>
      </w:r>
    </w:p>
  </w:footnote>
  <w:footnote w:id="12">
    <w:p w14:paraId="06EBDF1E" w14:textId="77777777" w:rsidR="00DF3C14" w:rsidRPr="009F4C0C" w:rsidRDefault="00DF3C14">
      <w:pPr>
        <w:pStyle w:val="Textonotapie"/>
        <w:rPr>
          <w:rFonts w:ascii="ITC Avant Garde" w:hAnsi="ITC Avant Garde"/>
          <w:sz w:val="16"/>
          <w:szCs w:val="16"/>
          <w:lang w:val="fr-FR"/>
        </w:rPr>
      </w:pPr>
      <w:r w:rsidRPr="009F4C0C">
        <w:rPr>
          <w:rStyle w:val="Refdenotaalpie"/>
          <w:rFonts w:ascii="ITC Avant Garde" w:hAnsi="ITC Avant Garde"/>
          <w:sz w:val="16"/>
          <w:szCs w:val="16"/>
        </w:rPr>
        <w:footnoteRef/>
      </w:r>
      <w:r w:rsidRPr="009F4C0C">
        <w:rPr>
          <w:rFonts w:ascii="ITC Avant Garde" w:hAnsi="ITC Avant Garde"/>
          <w:sz w:val="16"/>
          <w:szCs w:val="16"/>
          <w:lang w:val="fr-FR"/>
        </w:rPr>
        <w:t xml:space="preserve">Véase: </w:t>
      </w:r>
      <w:hyperlink r:id="rId2" w:anchor="/submarine-cable/america-movil-submarine-cable-system-1-amx-1" w:history="1">
        <w:r w:rsidRPr="009F4C0C">
          <w:rPr>
            <w:rStyle w:val="Hipervnculo"/>
            <w:rFonts w:ascii="ITC Avant Garde" w:hAnsi="ITC Avant Garde"/>
            <w:color w:val="auto"/>
            <w:sz w:val="16"/>
            <w:szCs w:val="16"/>
            <w:lang w:val="fr-FR"/>
          </w:rPr>
          <w:t>https://www.submarinecablemap.com/#/submarine-cable/america-movil-submarine-cable-system-1-amx-1</w:t>
        </w:r>
      </w:hyperlink>
      <w:r w:rsidRPr="009F4C0C">
        <w:rPr>
          <w:rFonts w:ascii="ITC Avant Garde" w:hAnsi="ITC Avant Garde"/>
          <w:sz w:val="16"/>
          <w:szCs w:val="16"/>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1C378" w14:textId="77777777" w:rsidR="001C5013" w:rsidRDefault="001C5013">
    <w:pPr>
      <w:pStyle w:val="Encabezado"/>
    </w:pPr>
    <w:r>
      <w:rPr>
        <w:noProof/>
        <w:lang w:eastAsia="es-MX"/>
      </w:rPr>
      <w:pict w14:anchorId="0E77E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2"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7975" w14:textId="77777777" w:rsidR="001C5013" w:rsidRPr="000F5E4B" w:rsidRDefault="001C5013">
    <w:pPr>
      <w:pStyle w:val="Encabezado"/>
      <w:rPr>
        <w:b/>
      </w:rPr>
    </w:pPr>
    <w:r>
      <w:rPr>
        <w:b/>
        <w:noProof/>
        <w:lang w:eastAsia="es-MX"/>
      </w:rPr>
      <w:pict w14:anchorId="29B89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51" type="#_x0000_t75" style="position:absolute;margin-left:-70.9pt;margin-top:-114.95pt;width:612pt;height:11in;z-index:-251658240;mso-position-horizontal-relative:margin;mso-position-vertical-relative:margin" o:allowincell="f">
          <v:imagedata r:id="rId1" o:title="hoja membretada s dir-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1EEE3" w14:textId="77777777" w:rsidR="00845B00" w:rsidRDefault="00845B0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DA54" w14:textId="77777777" w:rsidR="0016657E" w:rsidRDefault="0016657E" w:rsidP="001C5013">
    <w:pPr>
      <w:spacing w:after="0" w:line="240" w:lineRule="auto"/>
      <w:rPr>
        <w:rFonts w:ascii="ITC Avant Garde" w:hAnsi="ITC Avant Garde"/>
        <w:b/>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E6CC4" w14:textId="7D88C0D8" w:rsidR="00DF3C14" w:rsidRPr="00E305B9" w:rsidRDefault="00DF3C14" w:rsidP="001C5013">
    <w:pPr>
      <w:spacing w:after="0" w:line="240" w:lineRule="auto"/>
      <w:rPr>
        <w:rFonts w:ascii="ITC Avant Garde" w:hAnsi="ITC Avant Gar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9AE"/>
    <w:multiLevelType w:val="hybridMultilevel"/>
    <w:tmpl w:val="8F260A4C"/>
    <w:lvl w:ilvl="0" w:tplc="733A07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177F1"/>
    <w:multiLevelType w:val="hybridMultilevel"/>
    <w:tmpl w:val="F530D7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93093"/>
    <w:multiLevelType w:val="hybridMultilevel"/>
    <w:tmpl w:val="EC58AD00"/>
    <w:lvl w:ilvl="0" w:tplc="D9620D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E019B"/>
    <w:multiLevelType w:val="multilevel"/>
    <w:tmpl w:val="D2AA7F64"/>
    <w:lvl w:ilvl="0">
      <w:start w:val="1"/>
      <w:numFmt w:val="decimal"/>
      <w:pStyle w:val="Prrafonumerado"/>
      <w:lvlText w:val="%1."/>
      <w:lvlJc w:val="left"/>
      <w:pPr>
        <w:ind w:left="360" w:hanging="360"/>
      </w:pPr>
      <w:rPr>
        <w:rFonts w:ascii="ITC Avant Garde" w:eastAsia="Times New Roman" w:hAnsi="ITC Avant Garde" w:cs="Times New Roman"/>
        <w:b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E72B85"/>
    <w:multiLevelType w:val="hybridMultilevel"/>
    <w:tmpl w:val="86722AA8"/>
    <w:lvl w:ilvl="0" w:tplc="C2142848">
      <w:start w:val="1"/>
      <w:numFmt w:val="ordinalText"/>
      <w:suff w:val="space"/>
      <w:lvlText w:val="%1.- "/>
      <w:lvlJc w:val="left"/>
      <w:pPr>
        <w:ind w:left="0" w:firstLine="0"/>
      </w:pPr>
      <w:rPr>
        <w:rFonts w:ascii="ITC Avant Garde" w:hAnsi="ITC Avant Garde" w:hint="default"/>
        <w:b/>
        <w:i w:val="0"/>
        <w:caps w:val="0"/>
        <w:strike w:val="0"/>
        <w:dstrike w:val="0"/>
        <w:vanish w:val="0"/>
        <w:sz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8548C2"/>
    <w:multiLevelType w:val="hybridMultilevel"/>
    <w:tmpl w:val="855693C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BB51D4"/>
    <w:multiLevelType w:val="hybridMultilevel"/>
    <w:tmpl w:val="23609C78"/>
    <w:lvl w:ilvl="0" w:tplc="080A0011">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E625271"/>
    <w:multiLevelType w:val="hybridMultilevel"/>
    <w:tmpl w:val="BB285CDC"/>
    <w:lvl w:ilvl="0" w:tplc="F392DF00">
      <w:start w:val="1"/>
      <w:numFmt w:val="ordinalText"/>
      <w:suff w:val="space"/>
      <w:lvlText w:val="%1."/>
      <w:lvlJc w:val="left"/>
      <w:pPr>
        <w:ind w:left="0" w:firstLine="0"/>
      </w:pPr>
      <w:rPr>
        <w:rFonts w:ascii="ITC Avant Garde" w:hAnsi="ITC Avant Garde" w:hint="default"/>
        <w:b/>
        <w:i w:val="0"/>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43CAB"/>
    <w:multiLevelType w:val="hybridMultilevel"/>
    <w:tmpl w:val="3EA82C4C"/>
    <w:lvl w:ilvl="0" w:tplc="A866E858">
      <w:start w:val="1"/>
      <w:numFmt w:val="decimal"/>
      <w:pStyle w:val="Ttulo3"/>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2548C6"/>
    <w:multiLevelType w:val="multilevel"/>
    <w:tmpl w:val="26CE0A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EE40F18"/>
    <w:multiLevelType w:val="hybridMultilevel"/>
    <w:tmpl w:val="6610DD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317DE3"/>
    <w:multiLevelType w:val="hybridMultilevel"/>
    <w:tmpl w:val="80DE3CD4"/>
    <w:lvl w:ilvl="0" w:tplc="1E865336">
      <w:start w:val="1"/>
      <w:numFmt w:val="decimal"/>
      <w:pStyle w:val="Figura"/>
      <w:suff w:val="space"/>
      <w:lvlText w:val="Figura %1. "/>
      <w:lvlJc w:val="left"/>
      <w:pPr>
        <w:ind w:left="4690" w:hanging="1854"/>
      </w:pPr>
      <w:rPr>
        <w:rFonts w:ascii="ITC Avant Garde" w:hAnsi="ITC Avant Garde"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A0019" w:tentative="1">
      <w:start w:val="1"/>
      <w:numFmt w:val="lowerLetter"/>
      <w:lvlText w:val="%2."/>
      <w:lvlJc w:val="left"/>
      <w:pPr>
        <w:ind w:left="5410" w:hanging="360"/>
      </w:pPr>
    </w:lvl>
    <w:lvl w:ilvl="2" w:tplc="080A001B" w:tentative="1">
      <w:start w:val="1"/>
      <w:numFmt w:val="lowerRoman"/>
      <w:lvlText w:val="%3."/>
      <w:lvlJc w:val="right"/>
      <w:pPr>
        <w:ind w:left="6130" w:hanging="180"/>
      </w:pPr>
    </w:lvl>
    <w:lvl w:ilvl="3" w:tplc="080A000F" w:tentative="1">
      <w:start w:val="1"/>
      <w:numFmt w:val="decimal"/>
      <w:lvlText w:val="%4."/>
      <w:lvlJc w:val="left"/>
      <w:pPr>
        <w:ind w:left="6850" w:hanging="360"/>
      </w:pPr>
    </w:lvl>
    <w:lvl w:ilvl="4" w:tplc="080A0019" w:tentative="1">
      <w:start w:val="1"/>
      <w:numFmt w:val="lowerLetter"/>
      <w:lvlText w:val="%5."/>
      <w:lvlJc w:val="left"/>
      <w:pPr>
        <w:ind w:left="7570" w:hanging="360"/>
      </w:pPr>
    </w:lvl>
    <w:lvl w:ilvl="5" w:tplc="080A001B" w:tentative="1">
      <w:start w:val="1"/>
      <w:numFmt w:val="lowerRoman"/>
      <w:lvlText w:val="%6."/>
      <w:lvlJc w:val="right"/>
      <w:pPr>
        <w:ind w:left="8290" w:hanging="180"/>
      </w:pPr>
    </w:lvl>
    <w:lvl w:ilvl="6" w:tplc="080A000F" w:tentative="1">
      <w:start w:val="1"/>
      <w:numFmt w:val="decimal"/>
      <w:lvlText w:val="%7."/>
      <w:lvlJc w:val="left"/>
      <w:pPr>
        <w:ind w:left="9010" w:hanging="360"/>
      </w:pPr>
    </w:lvl>
    <w:lvl w:ilvl="7" w:tplc="080A0019" w:tentative="1">
      <w:start w:val="1"/>
      <w:numFmt w:val="lowerLetter"/>
      <w:lvlText w:val="%8."/>
      <w:lvlJc w:val="left"/>
      <w:pPr>
        <w:ind w:left="9730" w:hanging="360"/>
      </w:pPr>
    </w:lvl>
    <w:lvl w:ilvl="8" w:tplc="080A001B" w:tentative="1">
      <w:start w:val="1"/>
      <w:numFmt w:val="lowerRoman"/>
      <w:lvlText w:val="%9."/>
      <w:lvlJc w:val="right"/>
      <w:pPr>
        <w:ind w:left="10450" w:hanging="180"/>
      </w:pPr>
    </w:lvl>
  </w:abstractNum>
  <w:abstractNum w:abstractNumId="12" w15:restartNumberingAfterBreak="0">
    <w:nsid w:val="3DA17B4D"/>
    <w:multiLevelType w:val="hybridMultilevel"/>
    <w:tmpl w:val="C792C994"/>
    <w:lvl w:ilvl="0" w:tplc="DD9C67D4">
      <w:start w:val="1"/>
      <w:numFmt w:val="upperLetter"/>
      <w:lvlText w:val="%1)"/>
      <w:lvlJc w:val="left"/>
      <w:pPr>
        <w:ind w:left="720" w:hanging="360"/>
      </w:pPr>
      <w:rPr>
        <w:rFonts w:ascii="ITC Avant Garde" w:eastAsia="Times New Roman" w:hAnsi="ITC Avant Gard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177367"/>
    <w:multiLevelType w:val="hybridMultilevel"/>
    <w:tmpl w:val="FD30D4C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027B73"/>
    <w:multiLevelType w:val="hybridMultilevel"/>
    <w:tmpl w:val="8772A8C4"/>
    <w:lvl w:ilvl="0" w:tplc="080A0011">
      <w:start w:val="1"/>
      <w:numFmt w:val="decimal"/>
      <w:lvlText w:val="%1)"/>
      <w:lvlJc w:val="left"/>
      <w:pPr>
        <w:ind w:left="720" w:hanging="360"/>
      </w:pPr>
      <w:rPr>
        <w:rFonts w:hint="default"/>
      </w:rPr>
    </w:lvl>
    <w:lvl w:ilvl="1" w:tplc="FC5CF0D8">
      <w:numFmt w:val="bullet"/>
      <w:lvlText w:val="-"/>
      <w:lvlJc w:val="left"/>
      <w:pPr>
        <w:ind w:left="1440" w:hanging="360"/>
      </w:pPr>
      <w:rPr>
        <w:rFonts w:ascii="ITC Avant Garde" w:eastAsia="Times New Roman" w:hAnsi="ITC Avant Gard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A56420"/>
    <w:multiLevelType w:val="hybridMultilevel"/>
    <w:tmpl w:val="A816F8E0"/>
    <w:lvl w:ilvl="0" w:tplc="2E90914E">
      <w:start w:val="1"/>
      <w:numFmt w:val="decimal"/>
      <w:pStyle w:val="MayusIFT"/>
      <w:lvlText w:val="%1."/>
      <w:lvlJc w:val="left"/>
      <w:pPr>
        <w:tabs>
          <w:tab w:val="num" w:pos="417"/>
        </w:tabs>
        <w:ind w:left="417" w:hanging="360"/>
      </w:pPr>
      <w:rPr>
        <w:rFonts w:hint="default"/>
      </w:rPr>
    </w:lvl>
    <w:lvl w:ilvl="1" w:tplc="23EC71D6">
      <w:start w:val="1"/>
      <w:numFmt w:val="upperLetter"/>
      <w:lvlText w:val="%2."/>
      <w:lvlJc w:val="left"/>
      <w:pPr>
        <w:tabs>
          <w:tab w:val="num" w:pos="1137"/>
        </w:tabs>
        <w:ind w:left="1137" w:hanging="360"/>
      </w:pPr>
      <w:rPr>
        <w:rFonts w:hint="default"/>
      </w:rPr>
    </w:lvl>
    <w:lvl w:ilvl="2" w:tplc="D8CA7F2A">
      <w:start w:val="100"/>
      <w:numFmt w:val="decimal"/>
      <w:lvlText w:val="%3."/>
      <w:lvlJc w:val="left"/>
      <w:pPr>
        <w:tabs>
          <w:tab w:val="num" w:pos="2397"/>
        </w:tabs>
        <w:ind w:left="2397" w:hanging="720"/>
      </w:pPr>
      <w:rPr>
        <w:rFonts w:hint="default"/>
        <w:b w:val="0"/>
        <w:sz w:val="20"/>
      </w:rPr>
    </w:lvl>
    <w:lvl w:ilvl="3" w:tplc="0C0A000F" w:tentative="1">
      <w:start w:val="1"/>
      <w:numFmt w:val="decimal"/>
      <w:lvlText w:val="%4."/>
      <w:lvlJc w:val="left"/>
      <w:pPr>
        <w:tabs>
          <w:tab w:val="num" w:pos="2577"/>
        </w:tabs>
        <w:ind w:left="2577" w:hanging="360"/>
      </w:pPr>
    </w:lvl>
    <w:lvl w:ilvl="4" w:tplc="0C0A0019" w:tentative="1">
      <w:start w:val="1"/>
      <w:numFmt w:val="lowerLetter"/>
      <w:lvlText w:val="%5."/>
      <w:lvlJc w:val="left"/>
      <w:pPr>
        <w:tabs>
          <w:tab w:val="num" w:pos="3297"/>
        </w:tabs>
        <w:ind w:left="3297" w:hanging="360"/>
      </w:pPr>
    </w:lvl>
    <w:lvl w:ilvl="5" w:tplc="0C0A001B" w:tentative="1">
      <w:start w:val="1"/>
      <w:numFmt w:val="lowerRoman"/>
      <w:lvlText w:val="%6."/>
      <w:lvlJc w:val="right"/>
      <w:pPr>
        <w:tabs>
          <w:tab w:val="num" w:pos="4017"/>
        </w:tabs>
        <w:ind w:left="4017" w:hanging="180"/>
      </w:pPr>
    </w:lvl>
    <w:lvl w:ilvl="6" w:tplc="0C0A000F" w:tentative="1">
      <w:start w:val="1"/>
      <w:numFmt w:val="decimal"/>
      <w:lvlText w:val="%7."/>
      <w:lvlJc w:val="left"/>
      <w:pPr>
        <w:tabs>
          <w:tab w:val="num" w:pos="4737"/>
        </w:tabs>
        <w:ind w:left="4737" w:hanging="360"/>
      </w:pPr>
    </w:lvl>
    <w:lvl w:ilvl="7" w:tplc="0C0A0019" w:tentative="1">
      <w:start w:val="1"/>
      <w:numFmt w:val="lowerLetter"/>
      <w:lvlText w:val="%8."/>
      <w:lvlJc w:val="left"/>
      <w:pPr>
        <w:tabs>
          <w:tab w:val="num" w:pos="5457"/>
        </w:tabs>
        <w:ind w:left="5457" w:hanging="360"/>
      </w:pPr>
    </w:lvl>
    <w:lvl w:ilvl="8" w:tplc="0C0A001B" w:tentative="1">
      <w:start w:val="1"/>
      <w:numFmt w:val="lowerRoman"/>
      <w:lvlText w:val="%9."/>
      <w:lvlJc w:val="right"/>
      <w:pPr>
        <w:tabs>
          <w:tab w:val="num" w:pos="6177"/>
        </w:tabs>
        <w:ind w:left="6177" w:hanging="180"/>
      </w:pPr>
    </w:lvl>
  </w:abstractNum>
  <w:abstractNum w:abstractNumId="16" w15:restartNumberingAfterBreak="0">
    <w:nsid w:val="4AF5577A"/>
    <w:multiLevelType w:val="hybridMultilevel"/>
    <w:tmpl w:val="D8109F0A"/>
    <w:lvl w:ilvl="0" w:tplc="DC288858">
      <w:start w:val="1"/>
      <w:numFmt w:val="decimal"/>
      <w:lvlText w:val="%1. "/>
      <w:lvlJc w:val="left"/>
      <w:pPr>
        <w:ind w:left="720" w:hanging="360"/>
      </w:pPr>
      <w:rPr>
        <w:rFonts w:ascii="ITC Avant Garde" w:hAnsi="ITC Avant Garde" w:cs="Times New Roman"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E47DD7"/>
    <w:multiLevelType w:val="hybridMultilevel"/>
    <w:tmpl w:val="E494BE76"/>
    <w:lvl w:ilvl="0" w:tplc="51A0F3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6246C1F"/>
    <w:multiLevelType w:val="hybridMultilevel"/>
    <w:tmpl w:val="5F549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7105A8"/>
    <w:multiLevelType w:val="hybridMultilevel"/>
    <w:tmpl w:val="64BC0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8633F5"/>
    <w:multiLevelType w:val="multilevel"/>
    <w:tmpl w:val="DD40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D07BB"/>
    <w:multiLevelType w:val="hybridMultilevel"/>
    <w:tmpl w:val="DF9E57BE"/>
    <w:lvl w:ilvl="0" w:tplc="367EDEA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2E2813"/>
    <w:multiLevelType w:val="hybridMultilevel"/>
    <w:tmpl w:val="CF767842"/>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C475C1"/>
    <w:multiLevelType w:val="hybridMultilevel"/>
    <w:tmpl w:val="62944AD6"/>
    <w:lvl w:ilvl="0" w:tplc="F2A2F9FC">
      <w:start w:val="1"/>
      <w:numFmt w:val="upperRoman"/>
      <w:pStyle w:val="NormalIFT"/>
      <w:lvlText w:val="%1."/>
      <w:lvlJc w:val="right"/>
      <w:pPr>
        <w:ind w:left="720" w:hanging="360"/>
      </w:pPr>
      <w:rPr>
        <w:rFonts w:ascii="Times New Roman" w:hAnsi="Times New Roman" w:cs="Times New Roman" w:hint="default"/>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FD59DB"/>
    <w:multiLevelType w:val="hybridMultilevel"/>
    <w:tmpl w:val="BC6AB0E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716147"/>
    <w:multiLevelType w:val="hybridMultilevel"/>
    <w:tmpl w:val="55725A12"/>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98A1496"/>
    <w:multiLevelType w:val="hybridMultilevel"/>
    <w:tmpl w:val="C4C8BE3A"/>
    <w:lvl w:ilvl="0" w:tplc="332EF506">
      <w:start w:val="1"/>
      <w:numFmt w:val="decimal"/>
      <w:lvlText w:val="%1."/>
      <w:lvlJc w:val="right"/>
      <w:pPr>
        <w:ind w:left="720" w:hanging="360"/>
      </w:pPr>
      <w:rPr>
        <w:rFonts w:ascii="ITC Avant Garde" w:hAnsi="ITC Avant Garde"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A82591"/>
    <w:multiLevelType w:val="multilevel"/>
    <w:tmpl w:val="B392673E"/>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EC842E6"/>
    <w:multiLevelType w:val="hybridMultilevel"/>
    <w:tmpl w:val="52948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436B09"/>
    <w:multiLevelType w:val="hybridMultilevel"/>
    <w:tmpl w:val="47FCF21E"/>
    <w:lvl w:ilvl="0" w:tplc="9236BF2A">
      <w:start w:val="1"/>
      <w:numFmt w:val="bullet"/>
      <w:lvlText w:val=""/>
      <w:lvlJc w:val="left"/>
      <w:pPr>
        <w:ind w:left="720" w:hanging="360"/>
      </w:pPr>
      <w:rPr>
        <w:rFonts w:ascii="Symbol" w:eastAsiaTheme="minorHAnsi" w:hAnsi="Symbol" w:cs="Helvetica"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E56D24"/>
    <w:multiLevelType w:val="hybridMultilevel"/>
    <w:tmpl w:val="BED6A7C6"/>
    <w:lvl w:ilvl="0" w:tplc="E182BD5E">
      <w:start w:val="1"/>
      <w:numFmt w:val="decimal"/>
      <w:pStyle w:val="Cuadros"/>
      <w:suff w:val="space"/>
      <w:lvlText w:val="Cuadro %1. "/>
      <w:lvlJc w:val="left"/>
      <w:pPr>
        <w:ind w:left="1134"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1" w15:restartNumberingAfterBreak="0">
    <w:nsid w:val="7EC35389"/>
    <w:multiLevelType w:val="hybridMultilevel"/>
    <w:tmpl w:val="23609C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30"/>
  </w:num>
  <w:num w:numId="4">
    <w:abstractNumId w:val="4"/>
  </w:num>
  <w:num w:numId="5">
    <w:abstractNumId w:val="11"/>
  </w:num>
  <w:num w:numId="6">
    <w:abstractNumId w:val="7"/>
  </w:num>
  <w:num w:numId="7">
    <w:abstractNumId w:val="3"/>
  </w:num>
  <w:num w:numId="8">
    <w:abstractNumId w:val="15"/>
  </w:num>
  <w:num w:numId="9">
    <w:abstractNumId w:val="14"/>
  </w:num>
  <w:num w:numId="10">
    <w:abstractNumId w:val="22"/>
  </w:num>
  <w:num w:numId="11">
    <w:abstractNumId w:val="0"/>
  </w:num>
  <w:num w:numId="12">
    <w:abstractNumId w:val="19"/>
  </w:num>
  <w:num w:numId="13">
    <w:abstractNumId w:val="24"/>
  </w:num>
  <w:num w:numId="14">
    <w:abstractNumId w:val="1"/>
  </w:num>
  <w:num w:numId="15">
    <w:abstractNumId w:val="10"/>
  </w:num>
  <w:num w:numId="16">
    <w:abstractNumId w:val="2"/>
  </w:num>
  <w:num w:numId="17">
    <w:abstractNumId w:val="12"/>
  </w:num>
  <w:num w:numId="18">
    <w:abstractNumId w:val="21"/>
  </w:num>
  <w:num w:numId="19">
    <w:abstractNumId w:val="31"/>
  </w:num>
  <w:num w:numId="20">
    <w:abstractNumId w:val="5"/>
  </w:num>
  <w:num w:numId="21">
    <w:abstractNumId w:val="20"/>
  </w:num>
  <w:num w:numId="22">
    <w:abstractNumId w:val="6"/>
  </w:num>
  <w:num w:numId="23">
    <w:abstractNumId w:val="25"/>
  </w:num>
  <w:num w:numId="24">
    <w:abstractNumId w:val="26"/>
  </w:num>
  <w:num w:numId="25">
    <w:abstractNumId w:val="16"/>
  </w:num>
  <w:num w:numId="26">
    <w:abstractNumId w:val="28"/>
  </w:num>
  <w:num w:numId="27">
    <w:abstractNumId w:val="8"/>
  </w:num>
  <w:num w:numId="28">
    <w:abstractNumId w:val="8"/>
  </w:num>
  <w:num w:numId="29">
    <w:abstractNumId w:val="13"/>
  </w:num>
  <w:num w:numId="30">
    <w:abstractNumId w:val="27"/>
  </w:num>
  <w:num w:numId="31">
    <w:abstractNumId w:val="29"/>
  </w:num>
  <w:num w:numId="32">
    <w:abstractNumId w:val="18"/>
  </w:num>
  <w:num w:numId="33">
    <w:abstractNumId w:val="17"/>
  </w:num>
  <w:num w:numId="3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71"/>
    <w:rsid w:val="00002DAF"/>
    <w:rsid w:val="00012691"/>
    <w:rsid w:val="000140FB"/>
    <w:rsid w:val="000223B8"/>
    <w:rsid w:val="00024533"/>
    <w:rsid w:val="000252C4"/>
    <w:rsid w:val="000262CC"/>
    <w:rsid w:val="000305B7"/>
    <w:rsid w:val="0003088E"/>
    <w:rsid w:val="00034BC5"/>
    <w:rsid w:val="00036703"/>
    <w:rsid w:val="00042409"/>
    <w:rsid w:val="00052348"/>
    <w:rsid w:val="000716BD"/>
    <w:rsid w:val="00076D5F"/>
    <w:rsid w:val="00081532"/>
    <w:rsid w:val="00082263"/>
    <w:rsid w:val="0009094C"/>
    <w:rsid w:val="00093EAC"/>
    <w:rsid w:val="000973E1"/>
    <w:rsid w:val="000A0B1F"/>
    <w:rsid w:val="000B6C53"/>
    <w:rsid w:val="000C15AC"/>
    <w:rsid w:val="000D2F54"/>
    <w:rsid w:val="000E0ED0"/>
    <w:rsid w:val="000E10D6"/>
    <w:rsid w:val="000F6968"/>
    <w:rsid w:val="00105EB3"/>
    <w:rsid w:val="00126571"/>
    <w:rsid w:val="00127495"/>
    <w:rsid w:val="001319BF"/>
    <w:rsid w:val="001338BB"/>
    <w:rsid w:val="0013483F"/>
    <w:rsid w:val="00142C54"/>
    <w:rsid w:val="001443CB"/>
    <w:rsid w:val="00146491"/>
    <w:rsid w:val="00156B95"/>
    <w:rsid w:val="00164968"/>
    <w:rsid w:val="0016657E"/>
    <w:rsid w:val="00171869"/>
    <w:rsid w:val="00177D56"/>
    <w:rsid w:val="00190198"/>
    <w:rsid w:val="00192E36"/>
    <w:rsid w:val="00193549"/>
    <w:rsid w:val="001A6F50"/>
    <w:rsid w:val="001B3005"/>
    <w:rsid w:val="001B56E3"/>
    <w:rsid w:val="001C133B"/>
    <w:rsid w:val="001C5013"/>
    <w:rsid w:val="001D2F68"/>
    <w:rsid w:val="001D7D46"/>
    <w:rsid w:val="001F6594"/>
    <w:rsid w:val="002071CE"/>
    <w:rsid w:val="00207B11"/>
    <w:rsid w:val="0021282F"/>
    <w:rsid w:val="00220F80"/>
    <w:rsid w:val="002307FC"/>
    <w:rsid w:val="002454FB"/>
    <w:rsid w:val="00247B29"/>
    <w:rsid w:val="00263C2F"/>
    <w:rsid w:val="00270A28"/>
    <w:rsid w:val="00271526"/>
    <w:rsid w:val="002750E9"/>
    <w:rsid w:val="002810E6"/>
    <w:rsid w:val="00283B76"/>
    <w:rsid w:val="00287C6C"/>
    <w:rsid w:val="00295B2A"/>
    <w:rsid w:val="00297181"/>
    <w:rsid w:val="002A4EA0"/>
    <w:rsid w:val="002B1054"/>
    <w:rsid w:val="002B3E21"/>
    <w:rsid w:val="002C165A"/>
    <w:rsid w:val="002D0961"/>
    <w:rsid w:val="002E312C"/>
    <w:rsid w:val="002E3BE2"/>
    <w:rsid w:val="002E4501"/>
    <w:rsid w:val="002F0A92"/>
    <w:rsid w:val="002F4947"/>
    <w:rsid w:val="002F6C6A"/>
    <w:rsid w:val="002F7BA0"/>
    <w:rsid w:val="0031317B"/>
    <w:rsid w:val="00313219"/>
    <w:rsid w:val="00315FB6"/>
    <w:rsid w:val="003221DA"/>
    <w:rsid w:val="0032414F"/>
    <w:rsid w:val="003256B8"/>
    <w:rsid w:val="00326561"/>
    <w:rsid w:val="00327448"/>
    <w:rsid w:val="00330A47"/>
    <w:rsid w:val="00333362"/>
    <w:rsid w:val="00345EC5"/>
    <w:rsid w:val="003503C7"/>
    <w:rsid w:val="00351946"/>
    <w:rsid w:val="00352B43"/>
    <w:rsid w:val="00367867"/>
    <w:rsid w:val="003730E8"/>
    <w:rsid w:val="003779AD"/>
    <w:rsid w:val="00380E8B"/>
    <w:rsid w:val="00391F57"/>
    <w:rsid w:val="003B25EE"/>
    <w:rsid w:val="003C2D5B"/>
    <w:rsid w:val="003C4DF9"/>
    <w:rsid w:val="003C742D"/>
    <w:rsid w:val="003E23D3"/>
    <w:rsid w:val="003E3B2F"/>
    <w:rsid w:val="003E4E95"/>
    <w:rsid w:val="003F49BE"/>
    <w:rsid w:val="00400078"/>
    <w:rsid w:val="00404EBF"/>
    <w:rsid w:val="00411D9C"/>
    <w:rsid w:val="00416451"/>
    <w:rsid w:val="00420086"/>
    <w:rsid w:val="004222E2"/>
    <w:rsid w:val="00435E0A"/>
    <w:rsid w:val="004429B7"/>
    <w:rsid w:val="00443EB3"/>
    <w:rsid w:val="004514ED"/>
    <w:rsid w:val="004609B3"/>
    <w:rsid w:val="004767B2"/>
    <w:rsid w:val="00483673"/>
    <w:rsid w:val="00486DDD"/>
    <w:rsid w:val="00492AE4"/>
    <w:rsid w:val="004A4173"/>
    <w:rsid w:val="004B120A"/>
    <w:rsid w:val="004B4A88"/>
    <w:rsid w:val="004B55AE"/>
    <w:rsid w:val="004B5956"/>
    <w:rsid w:val="004D1C10"/>
    <w:rsid w:val="004E3406"/>
    <w:rsid w:val="004E7632"/>
    <w:rsid w:val="004F35FF"/>
    <w:rsid w:val="004F62CC"/>
    <w:rsid w:val="004F7A58"/>
    <w:rsid w:val="0050382F"/>
    <w:rsid w:val="005109CD"/>
    <w:rsid w:val="0052063D"/>
    <w:rsid w:val="00537732"/>
    <w:rsid w:val="0054210A"/>
    <w:rsid w:val="00552698"/>
    <w:rsid w:val="005802EE"/>
    <w:rsid w:val="00586FE4"/>
    <w:rsid w:val="005A7863"/>
    <w:rsid w:val="005D3130"/>
    <w:rsid w:val="005D646F"/>
    <w:rsid w:val="005D664E"/>
    <w:rsid w:val="005D7AD7"/>
    <w:rsid w:val="005E5EF7"/>
    <w:rsid w:val="005E7400"/>
    <w:rsid w:val="005F2C1C"/>
    <w:rsid w:val="005F2F5B"/>
    <w:rsid w:val="005F4FCD"/>
    <w:rsid w:val="00601112"/>
    <w:rsid w:val="0060123E"/>
    <w:rsid w:val="00602902"/>
    <w:rsid w:val="0060701E"/>
    <w:rsid w:val="00610EBA"/>
    <w:rsid w:val="00616775"/>
    <w:rsid w:val="00621FF5"/>
    <w:rsid w:val="00622EFB"/>
    <w:rsid w:val="006308EE"/>
    <w:rsid w:val="00644BB5"/>
    <w:rsid w:val="00645198"/>
    <w:rsid w:val="00645FF1"/>
    <w:rsid w:val="00651DBA"/>
    <w:rsid w:val="0065655F"/>
    <w:rsid w:val="00662E42"/>
    <w:rsid w:val="00682BEF"/>
    <w:rsid w:val="00691577"/>
    <w:rsid w:val="00694314"/>
    <w:rsid w:val="006A79CF"/>
    <w:rsid w:val="006B0D0A"/>
    <w:rsid w:val="006B1385"/>
    <w:rsid w:val="006B6B49"/>
    <w:rsid w:val="006C0618"/>
    <w:rsid w:val="006C137D"/>
    <w:rsid w:val="006C7DA2"/>
    <w:rsid w:val="006D116E"/>
    <w:rsid w:val="006D2637"/>
    <w:rsid w:val="006D2B2A"/>
    <w:rsid w:val="006E2F9C"/>
    <w:rsid w:val="006F2D6A"/>
    <w:rsid w:val="006F4BDF"/>
    <w:rsid w:val="007102AD"/>
    <w:rsid w:val="007200DB"/>
    <w:rsid w:val="00721CA0"/>
    <w:rsid w:val="007311EE"/>
    <w:rsid w:val="0073315B"/>
    <w:rsid w:val="00735C68"/>
    <w:rsid w:val="00756060"/>
    <w:rsid w:val="007605D2"/>
    <w:rsid w:val="00761925"/>
    <w:rsid w:val="00771240"/>
    <w:rsid w:val="0077296E"/>
    <w:rsid w:val="007812E1"/>
    <w:rsid w:val="007946F1"/>
    <w:rsid w:val="00794DCC"/>
    <w:rsid w:val="007A68D1"/>
    <w:rsid w:val="007B2C6A"/>
    <w:rsid w:val="007C4831"/>
    <w:rsid w:val="007C7943"/>
    <w:rsid w:val="007D5A92"/>
    <w:rsid w:val="007D5F67"/>
    <w:rsid w:val="007E02F8"/>
    <w:rsid w:val="007F2F9E"/>
    <w:rsid w:val="0080117F"/>
    <w:rsid w:val="0080382A"/>
    <w:rsid w:val="008102AD"/>
    <w:rsid w:val="00827F58"/>
    <w:rsid w:val="00831548"/>
    <w:rsid w:val="00845B00"/>
    <w:rsid w:val="00847DA1"/>
    <w:rsid w:val="008528D7"/>
    <w:rsid w:val="00865A8E"/>
    <w:rsid w:val="0088028D"/>
    <w:rsid w:val="00887A95"/>
    <w:rsid w:val="00890970"/>
    <w:rsid w:val="00896F76"/>
    <w:rsid w:val="008A0BF4"/>
    <w:rsid w:val="008A425C"/>
    <w:rsid w:val="008A6E6B"/>
    <w:rsid w:val="008B6806"/>
    <w:rsid w:val="008B7EC5"/>
    <w:rsid w:val="008D5F1D"/>
    <w:rsid w:val="008E06D4"/>
    <w:rsid w:val="008E3C9C"/>
    <w:rsid w:val="008F068E"/>
    <w:rsid w:val="00903E56"/>
    <w:rsid w:val="009215DC"/>
    <w:rsid w:val="0092714A"/>
    <w:rsid w:val="00932051"/>
    <w:rsid w:val="0093250B"/>
    <w:rsid w:val="00932556"/>
    <w:rsid w:val="009409B3"/>
    <w:rsid w:val="009441DC"/>
    <w:rsid w:val="00950D75"/>
    <w:rsid w:val="00953EF2"/>
    <w:rsid w:val="00955812"/>
    <w:rsid w:val="00957935"/>
    <w:rsid w:val="009579EB"/>
    <w:rsid w:val="00957ACE"/>
    <w:rsid w:val="009606BC"/>
    <w:rsid w:val="00964D86"/>
    <w:rsid w:val="009704B3"/>
    <w:rsid w:val="00981AD2"/>
    <w:rsid w:val="00983A3D"/>
    <w:rsid w:val="0098671E"/>
    <w:rsid w:val="00986F20"/>
    <w:rsid w:val="00991A07"/>
    <w:rsid w:val="009A3628"/>
    <w:rsid w:val="009A5C59"/>
    <w:rsid w:val="009B4645"/>
    <w:rsid w:val="009B655F"/>
    <w:rsid w:val="009B7F4F"/>
    <w:rsid w:val="009C282D"/>
    <w:rsid w:val="009C7662"/>
    <w:rsid w:val="009D09EB"/>
    <w:rsid w:val="009D30C8"/>
    <w:rsid w:val="009D36C3"/>
    <w:rsid w:val="009D3CD7"/>
    <w:rsid w:val="009D42DE"/>
    <w:rsid w:val="009D5F46"/>
    <w:rsid w:val="009D662F"/>
    <w:rsid w:val="009E079C"/>
    <w:rsid w:val="009E0F0F"/>
    <w:rsid w:val="009E303C"/>
    <w:rsid w:val="009F0033"/>
    <w:rsid w:val="009F303E"/>
    <w:rsid w:val="009F4C0C"/>
    <w:rsid w:val="009F7308"/>
    <w:rsid w:val="00A01517"/>
    <w:rsid w:val="00A02C36"/>
    <w:rsid w:val="00A04A29"/>
    <w:rsid w:val="00A05585"/>
    <w:rsid w:val="00A17CC3"/>
    <w:rsid w:val="00A26BB8"/>
    <w:rsid w:val="00A27032"/>
    <w:rsid w:val="00A5153D"/>
    <w:rsid w:val="00A57C5A"/>
    <w:rsid w:val="00A8748C"/>
    <w:rsid w:val="00A875AF"/>
    <w:rsid w:val="00A91C92"/>
    <w:rsid w:val="00A92511"/>
    <w:rsid w:val="00AB3E17"/>
    <w:rsid w:val="00AB611C"/>
    <w:rsid w:val="00AD2827"/>
    <w:rsid w:val="00AD3F61"/>
    <w:rsid w:val="00AD4BAA"/>
    <w:rsid w:val="00AD5F9A"/>
    <w:rsid w:val="00AE1F45"/>
    <w:rsid w:val="00AE43AB"/>
    <w:rsid w:val="00AE5AE2"/>
    <w:rsid w:val="00AF38D9"/>
    <w:rsid w:val="00AF7886"/>
    <w:rsid w:val="00B07CFB"/>
    <w:rsid w:val="00B1120F"/>
    <w:rsid w:val="00B24849"/>
    <w:rsid w:val="00B3279C"/>
    <w:rsid w:val="00B33CAD"/>
    <w:rsid w:val="00B41841"/>
    <w:rsid w:val="00B55542"/>
    <w:rsid w:val="00B5575D"/>
    <w:rsid w:val="00B62563"/>
    <w:rsid w:val="00B62A20"/>
    <w:rsid w:val="00B63456"/>
    <w:rsid w:val="00B70115"/>
    <w:rsid w:val="00B734D3"/>
    <w:rsid w:val="00B77464"/>
    <w:rsid w:val="00B80A19"/>
    <w:rsid w:val="00B92BC2"/>
    <w:rsid w:val="00BA3A87"/>
    <w:rsid w:val="00BA4A60"/>
    <w:rsid w:val="00BA69D5"/>
    <w:rsid w:val="00BB504E"/>
    <w:rsid w:val="00BB5A8B"/>
    <w:rsid w:val="00BC13A6"/>
    <w:rsid w:val="00BC5F84"/>
    <w:rsid w:val="00BC65D2"/>
    <w:rsid w:val="00BD2588"/>
    <w:rsid w:val="00BD32D6"/>
    <w:rsid w:val="00BE149C"/>
    <w:rsid w:val="00BE2C93"/>
    <w:rsid w:val="00C1199C"/>
    <w:rsid w:val="00C207D8"/>
    <w:rsid w:val="00C21FC2"/>
    <w:rsid w:val="00C412BA"/>
    <w:rsid w:val="00C41C3B"/>
    <w:rsid w:val="00C439CF"/>
    <w:rsid w:val="00C47CF0"/>
    <w:rsid w:val="00C52B50"/>
    <w:rsid w:val="00C52B53"/>
    <w:rsid w:val="00C54130"/>
    <w:rsid w:val="00C65C57"/>
    <w:rsid w:val="00C7311E"/>
    <w:rsid w:val="00C9437E"/>
    <w:rsid w:val="00CA7EF7"/>
    <w:rsid w:val="00CB7D27"/>
    <w:rsid w:val="00CD00EC"/>
    <w:rsid w:val="00CD13D7"/>
    <w:rsid w:val="00CD50B6"/>
    <w:rsid w:val="00CD7FB0"/>
    <w:rsid w:val="00CF22AB"/>
    <w:rsid w:val="00CF2B1C"/>
    <w:rsid w:val="00CF2DE1"/>
    <w:rsid w:val="00D05BA6"/>
    <w:rsid w:val="00D1492E"/>
    <w:rsid w:val="00D17667"/>
    <w:rsid w:val="00D2359A"/>
    <w:rsid w:val="00D24504"/>
    <w:rsid w:val="00D25AE2"/>
    <w:rsid w:val="00D32BFD"/>
    <w:rsid w:val="00D33E50"/>
    <w:rsid w:val="00D434F3"/>
    <w:rsid w:val="00D440B0"/>
    <w:rsid w:val="00D45FA4"/>
    <w:rsid w:val="00D54174"/>
    <w:rsid w:val="00D552CD"/>
    <w:rsid w:val="00D560D2"/>
    <w:rsid w:val="00D605FF"/>
    <w:rsid w:val="00D774D1"/>
    <w:rsid w:val="00D826DF"/>
    <w:rsid w:val="00D904DF"/>
    <w:rsid w:val="00D97A90"/>
    <w:rsid w:val="00DB3E49"/>
    <w:rsid w:val="00DB60D5"/>
    <w:rsid w:val="00DB62B2"/>
    <w:rsid w:val="00DE7567"/>
    <w:rsid w:val="00DE7C14"/>
    <w:rsid w:val="00DF3C14"/>
    <w:rsid w:val="00DF5CA8"/>
    <w:rsid w:val="00E06B41"/>
    <w:rsid w:val="00E127D6"/>
    <w:rsid w:val="00E164A0"/>
    <w:rsid w:val="00E16632"/>
    <w:rsid w:val="00E175B0"/>
    <w:rsid w:val="00E20FB6"/>
    <w:rsid w:val="00E21C05"/>
    <w:rsid w:val="00E23FF3"/>
    <w:rsid w:val="00E41E4D"/>
    <w:rsid w:val="00E430E2"/>
    <w:rsid w:val="00E5244B"/>
    <w:rsid w:val="00E53361"/>
    <w:rsid w:val="00E55F0F"/>
    <w:rsid w:val="00E574D3"/>
    <w:rsid w:val="00E814FF"/>
    <w:rsid w:val="00E92B0B"/>
    <w:rsid w:val="00EB5FFC"/>
    <w:rsid w:val="00EC1E57"/>
    <w:rsid w:val="00ED232A"/>
    <w:rsid w:val="00ED4204"/>
    <w:rsid w:val="00ED7E0C"/>
    <w:rsid w:val="00EE1A7D"/>
    <w:rsid w:val="00EF7786"/>
    <w:rsid w:val="00F02F21"/>
    <w:rsid w:val="00F127E5"/>
    <w:rsid w:val="00F24E9B"/>
    <w:rsid w:val="00F27B37"/>
    <w:rsid w:val="00F30757"/>
    <w:rsid w:val="00F30AFA"/>
    <w:rsid w:val="00F336D2"/>
    <w:rsid w:val="00F342F9"/>
    <w:rsid w:val="00F34ADF"/>
    <w:rsid w:val="00F352FA"/>
    <w:rsid w:val="00F41EA7"/>
    <w:rsid w:val="00F46F93"/>
    <w:rsid w:val="00F55D26"/>
    <w:rsid w:val="00F611FD"/>
    <w:rsid w:val="00F73ADC"/>
    <w:rsid w:val="00F769F6"/>
    <w:rsid w:val="00F80AD3"/>
    <w:rsid w:val="00F84327"/>
    <w:rsid w:val="00F95D8D"/>
    <w:rsid w:val="00FA3E7D"/>
    <w:rsid w:val="00FA42C8"/>
    <w:rsid w:val="00FA4E06"/>
    <w:rsid w:val="00FA5FD8"/>
    <w:rsid w:val="00FA74F7"/>
    <w:rsid w:val="00FC2D84"/>
    <w:rsid w:val="00FC3156"/>
    <w:rsid w:val="00FE2925"/>
    <w:rsid w:val="00FF4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32BFC91"/>
  <w15:chartTrackingRefBased/>
  <w15:docId w15:val="{05B6404C-F0E3-4621-851A-ECDA8E49B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571"/>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126571"/>
    <w:pPr>
      <w:keepNext/>
      <w:spacing w:before="360" w:after="120"/>
      <w:ind w:left="862" w:hanging="357"/>
      <w:jc w:val="center"/>
      <w:outlineLvl w:val="0"/>
    </w:pPr>
    <w:rPr>
      <w:rFonts w:ascii="ITC Avant Garde" w:hAnsi="ITC Avant Garde"/>
      <w:b/>
      <w:bCs/>
      <w:lang w:eastAsia="es-ES"/>
    </w:rPr>
  </w:style>
  <w:style w:type="paragraph" w:styleId="Ttulo2">
    <w:name w:val="heading 2"/>
    <w:basedOn w:val="Normal"/>
    <w:next w:val="Normal"/>
    <w:link w:val="Ttulo2Car"/>
    <w:uiPriority w:val="9"/>
    <w:unhideWhenUsed/>
    <w:qFormat/>
    <w:rsid w:val="00126571"/>
    <w:pPr>
      <w:keepNext/>
      <w:keepLines/>
      <w:autoSpaceDE w:val="0"/>
      <w:autoSpaceDN w:val="0"/>
      <w:adjustRightInd w:val="0"/>
      <w:spacing w:before="240" w:after="240"/>
      <w:jc w:val="both"/>
      <w:outlineLvl w:val="1"/>
    </w:pPr>
    <w:rPr>
      <w:rFonts w:ascii="ITC Avant Garde" w:hAnsi="ITC Avant Garde"/>
      <w:b/>
    </w:rPr>
  </w:style>
  <w:style w:type="paragraph" w:styleId="Ttulo3">
    <w:name w:val="heading 3"/>
    <w:basedOn w:val="Normal"/>
    <w:next w:val="Normal"/>
    <w:link w:val="Ttulo3Car"/>
    <w:uiPriority w:val="9"/>
    <w:unhideWhenUsed/>
    <w:qFormat/>
    <w:rsid w:val="00126571"/>
    <w:pPr>
      <w:keepNext/>
      <w:numPr>
        <w:numId w:val="2"/>
      </w:numPr>
      <w:spacing w:before="240" w:after="120"/>
      <w:contextualSpacing/>
      <w:jc w:val="both"/>
      <w:outlineLvl w:val="2"/>
    </w:pPr>
    <w:rPr>
      <w:rFonts w:ascii="ITC Avant Garde" w:hAnsi="ITC Avant Garde"/>
      <w:b/>
      <w:i/>
    </w:rPr>
  </w:style>
  <w:style w:type="paragraph" w:styleId="Ttulo4">
    <w:name w:val="heading 4"/>
    <w:basedOn w:val="Ttulo2"/>
    <w:next w:val="Normal"/>
    <w:link w:val="Ttulo4Car"/>
    <w:uiPriority w:val="9"/>
    <w:unhideWhenUsed/>
    <w:qFormat/>
    <w:rsid w:val="00126571"/>
    <w:pPr>
      <w:autoSpaceDE/>
      <w:autoSpaceDN/>
      <w:adjustRightInd/>
      <w:spacing w:line="240" w:lineRule="auto"/>
      <w:ind w:left="658" w:hanging="658"/>
      <w:outlineLvl w:val="3"/>
    </w:pPr>
    <w:rPr>
      <w:rFonts w:eastAsiaTheme="minorHAnsi"/>
    </w:rPr>
  </w:style>
  <w:style w:type="paragraph" w:styleId="Ttulo5">
    <w:name w:val="heading 5"/>
    <w:basedOn w:val="Prraforproyecto"/>
    <w:next w:val="Normal"/>
    <w:link w:val="Ttulo5Car"/>
    <w:uiPriority w:val="9"/>
    <w:unhideWhenUsed/>
    <w:qFormat/>
    <w:rsid w:val="009D5F46"/>
    <w:pPr>
      <w:keepNext/>
      <w:outlineLvl w:val="4"/>
    </w:pPr>
    <w:rPr>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6571"/>
    <w:rPr>
      <w:rFonts w:ascii="ITC Avant Garde" w:eastAsia="Calibri" w:hAnsi="ITC Avant Garde" w:cs="Times New Roman"/>
      <w:b/>
      <w:bCs/>
      <w:lang w:eastAsia="es-ES"/>
    </w:rPr>
  </w:style>
  <w:style w:type="character" w:customStyle="1" w:styleId="Ttulo2Car">
    <w:name w:val="Título 2 Car"/>
    <w:basedOn w:val="Fuentedeprrafopredeter"/>
    <w:link w:val="Ttulo2"/>
    <w:uiPriority w:val="9"/>
    <w:rsid w:val="00126571"/>
    <w:rPr>
      <w:rFonts w:ascii="ITC Avant Garde" w:eastAsia="Calibri" w:hAnsi="ITC Avant Garde" w:cs="Times New Roman"/>
      <w:b/>
    </w:rPr>
  </w:style>
  <w:style w:type="character" w:customStyle="1" w:styleId="Ttulo3Car">
    <w:name w:val="Título 3 Car"/>
    <w:basedOn w:val="Fuentedeprrafopredeter"/>
    <w:link w:val="Ttulo3"/>
    <w:uiPriority w:val="9"/>
    <w:rsid w:val="00126571"/>
    <w:rPr>
      <w:rFonts w:ascii="ITC Avant Garde" w:eastAsia="Calibri" w:hAnsi="ITC Avant Garde" w:cs="Times New Roman"/>
      <w:b/>
      <w:i/>
    </w:rPr>
  </w:style>
  <w:style w:type="character" w:customStyle="1" w:styleId="Ttulo4Car">
    <w:name w:val="Título 4 Car"/>
    <w:basedOn w:val="Fuentedeprrafopredeter"/>
    <w:link w:val="Ttulo4"/>
    <w:uiPriority w:val="9"/>
    <w:rsid w:val="00126571"/>
    <w:rPr>
      <w:rFonts w:ascii="ITC Avant Garde" w:hAnsi="ITC Avant Garde" w:cs="Times New Roman"/>
      <w:b/>
    </w:rPr>
  </w:style>
  <w:style w:type="character" w:customStyle="1" w:styleId="Ttulo5Car">
    <w:name w:val="Título 5 Car"/>
    <w:basedOn w:val="Fuentedeprrafopredeter"/>
    <w:link w:val="Ttulo5"/>
    <w:uiPriority w:val="9"/>
    <w:rsid w:val="009D5F46"/>
    <w:rPr>
      <w:rFonts w:ascii="ITC Avant Garde" w:eastAsia="Times New Roman" w:hAnsi="ITC Avant Garde" w:cs="Times New Roman"/>
      <w:bCs/>
      <w:color w:val="000000"/>
      <w:u w:val="single"/>
      <w:lang w:val="es-ES_tradnl" w:eastAsia="es-MX"/>
    </w:rPr>
  </w:style>
  <w:style w:type="paragraph" w:styleId="Encabezado">
    <w:name w:val="header"/>
    <w:basedOn w:val="Normal"/>
    <w:link w:val="EncabezadoCar"/>
    <w:uiPriority w:val="99"/>
    <w:unhideWhenUsed/>
    <w:rsid w:val="001265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571"/>
    <w:rPr>
      <w:rFonts w:ascii="Calibri" w:eastAsia="Calibri" w:hAnsi="Calibri" w:cs="Times New Roman"/>
    </w:rPr>
  </w:style>
  <w:style w:type="paragraph" w:styleId="Piedepgina">
    <w:name w:val="footer"/>
    <w:basedOn w:val="Normal"/>
    <w:link w:val="PiedepginaCar"/>
    <w:uiPriority w:val="99"/>
    <w:unhideWhenUsed/>
    <w:rsid w:val="001265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571"/>
    <w:rPr>
      <w:rFonts w:ascii="Calibri" w:eastAsia="Calibri" w:hAnsi="Calibri" w:cs="Times New Roman"/>
    </w:rPr>
  </w:style>
  <w:style w:type="paragraph" w:customStyle="1" w:styleId="estilo30">
    <w:name w:val="estilo30"/>
    <w:basedOn w:val="Normal"/>
    <w:rsid w:val="00126571"/>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12657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126571"/>
    <w:pPr>
      <w:autoSpaceDE w:val="0"/>
      <w:autoSpaceDN w:val="0"/>
      <w:adjustRightInd w:val="0"/>
      <w:spacing w:after="0" w:line="240" w:lineRule="auto"/>
    </w:pPr>
    <w:rPr>
      <w:rFonts w:ascii="Tahoma" w:eastAsia="Calibri" w:hAnsi="Tahoma" w:cs="Tahoma"/>
      <w:color w:val="000000"/>
      <w:sz w:val="24"/>
      <w:szCs w:val="24"/>
      <w:lang w:eastAsia="es-MX"/>
    </w:rPr>
  </w:style>
  <w:style w:type="character" w:styleId="Refdenotaalpie">
    <w:name w:val="footnote reference"/>
    <w:aliases w:val="Ref,de nota al pie,fr,(NECG) Footnote Reference,o,Appel note de bas de p,Style 12,Style 124,Style 13,Style 3,Style 17,FR,Footnote Reference/,callout,Style 6,Footnote,Style 20,Footnote symbol,Appel note de bas de p + 11 pt,Italic,f"/>
    <w:basedOn w:val="Fuentedeprrafopredeter"/>
    <w:uiPriority w:val="99"/>
    <w:qFormat/>
    <w:rsid w:val="00126571"/>
    <w:rPr>
      <w:vertAlign w:val="superscript"/>
    </w:rPr>
  </w:style>
  <w:style w:type="paragraph" w:styleId="Prrafodelista">
    <w:name w:val="List Paragraph"/>
    <w:aliases w:val="4 Viñ 1nivel,Numeración 1,Cuadrícula media 1 - Énfasis 21,Bullet List,FooterText,numbered,List Paragraph1,Paragraphe de liste1,Bulletr List Paragraph,列出段落,列出段落1"/>
    <w:basedOn w:val="Normal"/>
    <w:link w:val="PrrafodelistaCar"/>
    <w:uiPriority w:val="34"/>
    <w:qFormat/>
    <w:rsid w:val="00126571"/>
    <w:pPr>
      <w:spacing w:before="120" w:after="120"/>
      <w:ind w:left="720"/>
    </w:pPr>
    <w:rPr>
      <w:rFonts w:ascii="ITC Avant Garde" w:eastAsiaTheme="minorHAnsi" w:hAnsi="ITC Avant Garde" w:cstheme="minorBidi"/>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
    <w:link w:val="Prrafodelista"/>
    <w:uiPriority w:val="99"/>
    <w:rsid w:val="00126571"/>
    <w:rPr>
      <w:rFonts w:ascii="ITC Avant Garde" w:hAnsi="ITC Avant Garde"/>
    </w:rPr>
  </w:style>
  <w:style w:type="character" w:customStyle="1" w:styleId="Textoindependiente2Car">
    <w:name w:val="Texto independiente 2 Car"/>
    <w:basedOn w:val="Fuentedeprrafopredeter"/>
    <w:link w:val="Textoindependiente2"/>
    <w:semiHidden/>
    <w:rsid w:val="00126571"/>
    <w:rPr>
      <w:rFonts w:ascii="Times New Roman" w:eastAsia="Times New Roman" w:hAnsi="Times New Roman" w:cs="Times New Roman"/>
      <w:sz w:val="24"/>
      <w:szCs w:val="20"/>
      <w:lang w:eastAsia="es-ES"/>
    </w:rPr>
  </w:style>
  <w:style w:type="paragraph" w:styleId="Textoindependiente2">
    <w:name w:val="Body Text 2"/>
    <w:basedOn w:val="Normal"/>
    <w:link w:val="Textoindependiente2Car"/>
    <w:semiHidden/>
    <w:rsid w:val="00126571"/>
    <w:pPr>
      <w:tabs>
        <w:tab w:val="left" w:pos="0"/>
        <w:tab w:val="left" w:pos="142"/>
      </w:tabs>
      <w:spacing w:after="0" w:line="240" w:lineRule="auto"/>
      <w:jc w:val="both"/>
    </w:pPr>
    <w:rPr>
      <w:rFonts w:ascii="Times New Roman" w:eastAsia="Times New Roman" w:hAnsi="Times New Roman"/>
      <w:sz w:val="24"/>
      <w:szCs w:val="20"/>
      <w:lang w:eastAsia="es-ES"/>
    </w:rPr>
  </w:style>
  <w:style w:type="paragraph" w:customStyle="1" w:styleId="Texto">
    <w:name w:val="Texto"/>
    <w:basedOn w:val="Normal"/>
    <w:link w:val="TextoCar"/>
    <w:rsid w:val="0012657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126571"/>
    <w:rPr>
      <w:rFonts w:ascii="Arial" w:eastAsia="Times New Roman" w:hAnsi="Arial" w:cs="Arial"/>
      <w:sz w:val="18"/>
      <w:szCs w:val="20"/>
      <w:lang w:val="es-ES" w:eastAsia="es-ES"/>
    </w:rPr>
  </w:style>
  <w:style w:type="paragraph" w:customStyle="1" w:styleId="Prrafodelista1">
    <w:name w:val="Párrafo de lista1"/>
    <w:basedOn w:val="Normal"/>
    <w:uiPriority w:val="34"/>
    <w:qFormat/>
    <w:rsid w:val="00126571"/>
    <w:pPr>
      <w:spacing w:after="0" w:line="240" w:lineRule="auto"/>
      <w:ind w:left="708"/>
    </w:pPr>
    <w:rPr>
      <w:rFonts w:ascii="Arial" w:hAnsi="Arial"/>
    </w:rPr>
  </w:style>
  <w:style w:type="character" w:customStyle="1" w:styleId="TextoindependienteCar">
    <w:name w:val="Texto independiente Car"/>
    <w:basedOn w:val="Fuentedeprrafopredeter"/>
    <w:link w:val="Textoindependiente"/>
    <w:rsid w:val="00126571"/>
    <w:rPr>
      <w:rFonts w:ascii="Calibri" w:eastAsia="Calibri" w:hAnsi="Calibri" w:cs="Times New Roman"/>
    </w:rPr>
  </w:style>
  <w:style w:type="paragraph" w:styleId="Textoindependiente">
    <w:name w:val="Body Text"/>
    <w:basedOn w:val="Normal"/>
    <w:link w:val="TextoindependienteCar"/>
    <w:unhideWhenUsed/>
    <w:rsid w:val="00126571"/>
    <w:pPr>
      <w:spacing w:after="120"/>
    </w:pPr>
  </w:style>
  <w:style w:type="paragraph" w:styleId="Textodeglobo">
    <w:name w:val="Balloon Text"/>
    <w:basedOn w:val="Normal"/>
    <w:link w:val="TextodegloboCar"/>
    <w:uiPriority w:val="99"/>
    <w:semiHidden/>
    <w:unhideWhenUsed/>
    <w:rsid w:val="001265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6571"/>
    <w:rPr>
      <w:rFonts w:ascii="Segoe UI" w:eastAsia="Calibri" w:hAnsi="Segoe UI" w:cs="Segoe UI"/>
      <w:sz w:val="18"/>
      <w:szCs w:val="18"/>
    </w:rPr>
  </w:style>
  <w:style w:type="character" w:styleId="Refdecomentario">
    <w:name w:val="annotation reference"/>
    <w:basedOn w:val="Fuentedeprrafopredeter"/>
    <w:uiPriority w:val="99"/>
    <w:semiHidden/>
    <w:unhideWhenUsed/>
    <w:rsid w:val="00126571"/>
    <w:rPr>
      <w:sz w:val="16"/>
      <w:szCs w:val="16"/>
    </w:rPr>
  </w:style>
  <w:style w:type="paragraph" w:styleId="Textocomentario">
    <w:name w:val="annotation text"/>
    <w:basedOn w:val="Normal"/>
    <w:link w:val="TextocomentarioCar"/>
    <w:uiPriority w:val="99"/>
    <w:unhideWhenUsed/>
    <w:rsid w:val="00126571"/>
    <w:pPr>
      <w:spacing w:line="240" w:lineRule="auto"/>
    </w:pPr>
    <w:rPr>
      <w:sz w:val="20"/>
      <w:szCs w:val="20"/>
    </w:rPr>
  </w:style>
  <w:style w:type="character" w:customStyle="1" w:styleId="TextocomentarioCar">
    <w:name w:val="Texto comentario Car"/>
    <w:basedOn w:val="Fuentedeprrafopredeter"/>
    <w:link w:val="Textocomentario"/>
    <w:uiPriority w:val="99"/>
    <w:rsid w:val="00126571"/>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126571"/>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126571"/>
    <w:rPr>
      <w:b/>
      <w:bCs/>
    </w:rPr>
  </w:style>
  <w:style w:type="table" w:styleId="Tablaconcuadrcula">
    <w:name w:val="Table Grid"/>
    <w:basedOn w:val="Tablanormal"/>
    <w:uiPriority w:val="39"/>
    <w:rsid w:val="0012657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unhideWhenUsed/>
    <w:qFormat/>
    <w:rsid w:val="00126571"/>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126571"/>
    <w:rPr>
      <w:rFonts w:ascii="Calibri" w:eastAsia="Calibri" w:hAnsi="Calibri" w:cs="Times New Roman"/>
      <w:sz w:val="20"/>
      <w:szCs w:val="20"/>
    </w:rPr>
  </w:style>
  <w:style w:type="character" w:styleId="Hipervnculo">
    <w:name w:val="Hyperlink"/>
    <w:basedOn w:val="Fuentedeprrafopredeter"/>
    <w:uiPriority w:val="99"/>
    <w:rsid w:val="00126571"/>
    <w:rPr>
      <w:color w:val="0000FF"/>
      <w:u w:val="single"/>
    </w:rPr>
  </w:style>
  <w:style w:type="paragraph" w:styleId="Sinespaciado">
    <w:name w:val="No Spacing"/>
    <w:uiPriority w:val="1"/>
    <w:qFormat/>
    <w:rsid w:val="00126571"/>
    <w:pPr>
      <w:spacing w:after="0" w:line="240" w:lineRule="auto"/>
    </w:pPr>
    <w:rPr>
      <w:rFonts w:ascii="Calibri" w:eastAsia="Calibri" w:hAnsi="Calibri" w:cs="Times New Roman"/>
    </w:rPr>
  </w:style>
  <w:style w:type="paragraph" w:customStyle="1" w:styleId="NormalIFT">
    <w:name w:val="Normal IFT"/>
    <w:basedOn w:val="Prrafodelista"/>
    <w:link w:val="NormalIFTCar"/>
    <w:qFormat/>
    <w:rsid w:val="00126571"/>
    <w:pPr>
      <w:numPr>
        <w:numId w:val="1"/>
      </w:numPr>
      <w:autoSpaceDE w:val="0"/>
      <w:autoSpaceDN w:val="0"/>
      <w:adjustRightInd w:val="0"/>
      <w:spacing w:after="0" w:line="240" w:lineRule="auto"/>
      <w:jc w:val="both"/>
    </w:pPr>
    <w:rPr>
      <w:rFonts w:eastAsia="Times New Roman" w:cs="Times New Roman"/>
      <w:bCs/>
      <w:color w:val="000000"/>
      <w:sz w:val="24"/>
      <w:szCs w:val="24"/>
      <w:lang w:val="es-ES_tradnl" w:eastAsia="es-ES"/>
    </w:rPr>
  </w:style>
  <w:style w:type="character" w:customStyle="1" w:styleId="NormalIFTCar">
    <w:name w:val="Normal IFT Car"/>
    <w:link w:val="NormalIFT"/>
    <w:rsid w:val="00126571"/>
    <w:rPr>
      <w:rFonts w:ascii="ITC Avant Garde" w:eastAsia="Times New Roman" w:hAnsi="ITC Avant Garde" w:cs="Times New Roman"/>
      <w:bCs/>
      <w:color w:val="000000"/>
      <w:sz w:val="24"/>
      <w:szCs w:val="24"/>
      <w:lang w:val="es-ES_tradnl" w:eastAsia="es-ES"/>
    </w:rPr>
  </w:style>
  <w:style w:type="character" w:customStyle="1" w:styleId="apple-converted-space">
    <w:name w:val="apple-converted-space"/>
    <w:rsid w:val="00126571"/>
  </w:style>
  <w:style w:type="character" w:customStyle="1" w:styleId="hps">
    <w:name w:val="hps"/>
    <w:basedOn w:val="Fuentedeprrafopredeter"/>
    <w:rsid w:val="00126571"/>
  </w:style>
  <w:style w:type="character" w:customStyle="1" w:styleId="atn">
    <w:name w:val="atn"/>
    <w:basedOn w:val="Fuentedeprrafopredeter"/>
    <w:rsid w:val="00126571"/>
  </w:style>
  <w:style w:type="paragraph" w:customStyle="1" w:styleId="texto0">
    <w:name w:val="texto"/>
    <w:basedOn w:val="Normal"/>
    <w:rsid w:val="00126571"/>
    <w:pPr>
      <w:spacing w:after="101" w:line="240" w:lineRule="auto"/>
      <w:ind w:firstLine="288"/>
      <w:jc w:val="both"/>
    </w:pPr>
    <w:rPr>
      <w:rFonts w:ascii="Times New Roman" w:eastAsia="Times New Roman" w:hAnsi="Times New Roman"/>
      <w:color w:val="2F2F2F"/>
      <w:sz w:val="18"/>
      <w:szCs w:val="18"/>
      <w:lang w:eastAsia="es-MX"/>
    </w:rPr>
  </w:style>
  <w:style w:type="paragraph" w:customStyle="1" w:styleId="Bullets">
    <w:name w:val="Bullets"/>
    <w:basedOn w:val="Prrafodelista"/>
    <w:link w:val="BulletsCar"/>
    <w:autoRedefine/>
    <w:qFormat/>
    <w:rsid w:val="00126571"/>
    <w:pPr>
      <w:spacing w:line="264" w:lineRule="auto"/>
      <w:ind w:left="0"/>
      <w:jc w:val="both"/>
    </w:pPr>
    <w:rPr>
      <w:rFonts w:eastAsia="Calibri" w:cs="Calibri"/>
      <w:sz w:val="24"/>
      <w:szCs w:val="24"/>
    </w:rPr>
  </w:style>
  <w:style w:type="character" w:customStyle="1" w:styleId="BulletsCar">
    <w:name w:val="Bullets Car"/>
    <w:basedOn w:val="PrrafodelistaCar"/>
    <w:link w:val="Bullets"/>
    <w:rsid w:val="00126571"/>
    <w:rPr>
      <w:rFonts w:ascii="ITC Avant Garde" w:eastAsia="Calibri" w:hAnsi="ITC Avant Garde" w:cs="Calibri"/>
      <w:sz w:val="24"/>
      <w:szCs w:val="24"/>
    </w:rPr>
  </w:style>
  <w:style w:type="paragraph" w:customStyle="1" w:styleId="Notaalpie">
    <w:name w:val="Nota al pie"/>
    <w:basedOn w:val="Normal"/>
    <w:link w:val="NotaalpieCar"/>
    <w:qFormat/>
    <w:rsid w:val="00126571"/>
    <w:pPr>
      <w:spacing w:after="0" w:line="240" w:lineRule="auto"/>
      <w:jc w:val="both"/>
    </w:pPr>
    <w:rPr>
      <w:rFonts w:ascii="ITC Avant Garde" w:eastAsiaTheme="minorHAnsi" w:hAnsi="ITC Avant Garde" w:cstheme="minorBidi"/>
      <w:sz w:val="18"/>
    </w:rPr>
  </w:style>
  <w:style w:type="character" w:customStyle="1" w:styleId="NotaalpieCar">
    <w:name w:val="Nota al pie Car"/>
    <w:basedOn w:val="Fuentedeprrafopredeter"/>
    <w:link w:val="Notaalpie"/>
    <w:rsid w:val="00126571"/>
    <w:rPr>
      <w:rFonts w:ascii="ITC Avant Garde" w:hAnsi="ITC Avant Garde"/>
      <w:sz w:val="18"/>
    </w:rPr>
  </w:style>
  <w:style w:type="character" w:customStyle="1" w:styleId="TextocomentarioCar1">
    <w:name w:val="Texto comentario Car1"/>
    <w:uiPriority w:val="99"/>
    <w:locked/>
    <w:rsid w:val="00126571"/>
    <w:rPr>
      <w:rFonts w:ascii="Calibri" w:eastAsia="Calibri" w:hAnsi="Calibri" w:cs="Times New Roman"/>
      <w:sz w:val="20"/>
      <w:szCs w:val="20"/>
      <w:lang w:val="es-MX" w:eastAsia="ar-SA"/>
    </w:rPr>
  </w:style>
  <w:style w:type="paragraph" w:styleId="TDC1">
    <w:name w:val="toc 1"/>
    <w:basedOn w:val="Normal"/>
    <w:next w:val="Normal"/>
    <w:autoRedefine/>
    <w:uiPriority w:val="39"/>
    <w:unhideWhenUsed/>
    <w:rsid w:val="00126571"/>
    <w:pPr>
      <w:spacing w:after="0" w:line="240" w:lineRule="auto"/>
    </w:pPr>
    <w:rPr>
      <w:rFonts w:ascii="ITC Avant Garde" w:hAnsi="ITC Avant Garde"/>
      <w:sz w:val="18"/>
    </w:rPr>
  </w:style>
  <w:style w:type="paragraph" w:styleId="TDC2">
    <w:name w:val="toc 2"/>
    <w:basedOn w:val="Normal"/>
    <w:next w:val="Normal"/>
    <w:autoRedefine/>
    <w:uiPriority w:val="39"/>
    <w:unhideWhenUsed/>
    <w:rsid w:val="00126571"/>
    <w:pPr>
      <w:spacing w:after="0" w:line="240" w:lineRule="auto"/>
      <w:ind w:left="221"/>
    </w:pPr>
    <w:rPr>
      <w:rFonts w:ascii="ITC Avant Garde" w:hAnsi="ITC Avant Garde"/>
      <w:sz w:val="18"/>
    </w:rPr>
  </w:style>
  <w:style w:type="paragraph" w:styleId="TDC3">
    <w:name w:val="toc 3"/>
    <w:basedOn w:val="Normal"/>
    <w:next w:val="Normal"/>
    <w:autoRedefine/>
    <w:uiPriority w:val="39"/>
    <w:unhideWhenUsed/>
    <w:rsid w:val="00126571"/>
    <w:pPr>
      <w:spacing w:after="0"/>
      <w:ind w:left="442"/>
    </w:pPr>
    <w:rPr>
      <w:rFonts w:ascii="ITC Avant Garde" w:hAnsi="ITC Avant Garde"/>
      <w:sz w:val="18"/>
    </w:rPr>
  </w:style>
  <w:style w:type="paragraph" w:customStyle="1" w:styleId="Prraforproyecto">
    <w:name w:val="Párrafor proyecto"/>
    <w:basedOn w:val="Normal"/>
    <w:link w:val="PrraforproyectoCar"/>
    <w:qFormat/>
    <w:rsid w:val="00E41E4D"/>
    <w:pPr>
      <w:tabs>
        <w:tab w:val="left" w:pos="2410"/>
      </w:tabs>
      <w:spacing w:before="120" w:after="120"/>
      <w:jc w:val="both"/>
    </w:pPr>
    <w:rPr>
      <w:rFonts w:ascii="ITC Avant Garde" w:eastAsia="Times New Roman" w:hAnsi="ITC Avant Garde"/>
      <w:bCs/>
      <w:color w:val="000000"/>
      <w:lang w:val="es-ES_tradnl" w:eastAsia="es-MX"/>
    </w:rPr>
  </w:style>
  <w:style w:type="character" w:customStyle="1" w:styleId="PrraforproyectoCar">
    <w:name w:val="Párrafor proyecto Car"/>
    <w:basedOn w:val="Fuentedeprrafopredeter"/>
    <w:link w:val="Prraforproyecto"/>
    <w:rsid w:val="00E41E4D"/>
    <w:rPr>
      <w:rFonts w:ascii="ITC Avant Garde" w:eastAsia="Times New Roman" w:hAnsi="ITC Avant Garde" w:cs="Times New Roman"/>
      <w:bCs/>
      <w:color w:val="000000"/>
      <w:lang w:val="es-ES_tradnl" w:eastAsia="es-MX"/>
    </w:rPr>
  </w:style>
  <w:style w:type="paragraph" w:styleId="Cita">
    <w:name w:val="Quote"/>
    <w:basedOn w:val="Normal"/>
    <w:next w:val="Normal"/>
    <w:link w:val="CitaCar"/>
    <w:uiPriority w:val="29"/>
    <w:qFormat/>
    <w:rsid w:val="00126571"/>
    <w:pPr>
      <w:autoSpaceDE w:val="0"/>
      <w:autoSpaceDN w:val="0"/>
      <w:adjustRightInd w:val="0"/>
      <w:spacing w:before="120" w:after="120"/>
      <w:ind w:left="567"/>
      <w:jc w:val="both"/>
    </w:pPr>
    <w:rPr>
      <w:rFonts w:ascii="ITC Avant Garde" w:hAnsi="ITC Avant Garde"/>
      <w:i/>
      <w:sz w:val="20"/>
    </w:rPr>
  </w:style>
  <w:style w:type="character" w:customStyle="1" w:styleId="CitaCar">
    <w:name w:val="Cita Car"/>
    <w:basedOn w:val="Fuentedeprrafopredeter"/>
    <w:link w:val="Cita"/>
    <w:uiPriority w:val="29"/>
    <w:rsid w:val="00126571"/>
    <w:rPr>
      <w:rFonts w:ascii="ITC Avant Garde" w:eastAsia="Calibri" w:hAnsi="ITC Avant Garde" w:cs="Times New Roman"/>
      <w:i/>
      <w:sz w:val="20"/>
    </w:rPr>
  </w:style>
  <w:style w:type="paragraph" w:customStyle="1" w:styleId="Cuadros">
    <w:name w:val="Cuadros"/>
    <w:basedOn w:val="Prrafodelista"/>
    <w:link w:val="CuadrosCar"/>
    <w:qFormat/>
    <w:rsid w:val="00126571"/>
    <w:pPr>
      <w:keepNext/>
      <w:numPr>
        <w:numId w:val="3"/>
      </w:numPr>
      <w:spacing w:after="0"/>
      <w:jc w:val="center"/>
    </w:pPr>
    <w:rPr>
      <w:b/>
      <w:sz w:val="20"/>
    </w:rPr>
  </w:style>
  <w:style w:type="character" w:customStyle="1" w:styleId="CuadrosCar">
    <w:name w:val="Cuadros Car"/>
    <w:link w:val="Cuadros"/>
    <w:rsid w:val="00126571"/>
    <w:rPr>
      <w:rFonts w:ascii="ITC Avant Garde" w:hAnsi="ITC Avant Garde"/>
      <w:b/>
      <w:sz w:val="20"/>
    </w:rPr>
  </w:style>
  <w:style w:type="paragraph" w:customStyle="1" w:styleId="Figura">
    <w:name w:val="Figura"/>
    <w:basedOn w:val="Cuadros"/>
    <w:link w:val="FiguraCar"/>
    <w:qFormat/>
    <w:rsid w:val="00126571"/>
    <w:pPr>
      <w:numPr>
        <w:numId w:val="5"/>
      </w:numPr>
    </w:pPr>
    <w:rPr>
      <w:b w:val="0"/>
    </w:rPr>
  </w:style>
  <w:style w:type="character" w:customStyle="1" w:styleId="FiguraCar">
    <w:name w:val="Figura Car"/>
    <w:basedOn w:val="Fuentedeprrafopredeter"/>
    <w:link w:val="Figura"/>
    <w:rsid w:val="00126571"/>
    <w:rPr>
      <w:rFonts w:ascii="ITC Avant Garde" w:hAnsi="ITC Avant Garde"/>
      <w:sz w:val="20"/>
    </w:rPr>
  </w:style>
  <w:style w:type="paragraph" w:customStyle="1" w:styleId="Prrafonumerado">
    <w:name w:val="Párrafo numerado"/>
    <w:basedOn w:val="Prrafodelista"/>
    <w:link w:val="PrrafonumeradoCar"/>
    <w:autoRedefine/>
    <w:qFormat/>
    <w:rsid w:val="00126571"/>
    <w:pPr>
      <w:numPr>
        <w:numId w:val="7"/>
      </w:numPr>
      <w:spacing w:line="264" w:lineRule="auto"/>
      <w:ind w:left="454" w:hanging="454"/>
      <w:jc w:val="both"/>
    </w:pPr>
  </w:style>
  <w:style w:type="character" w:customStyle="1" w:styleId="PrrafonumeradoCar">
    <w:name w:val="Párrafo numerado Car"/>
    <w:basedOn w:val="Fuentedeprrafopredeter"/>
    <w:link w:val="Prrafonumerado"/>
    <w:rsid w:val="00126571"/>
    <w:rPr>
      <w:rFonts w:ascii="ITC Avant Garde" w:hAnsi="ITC Avant Garde"/>
    </w:rPr>
  </w:style>
  <w:style w:type="paragraph" w:customStyle="1" w:styleId="MayusIFT">
    <w:name w:val="Mayus IFT"/>
    <w:basedOn w:val="Prrafodelista"/>
    <w:qFormat/>
    <w:rsid w:val="00126571"/>
    <w:pPr>
      <w:numPr>
        <w:numId w:val="8"/>
      </w:numPr>
      <w:autoSpaceDE w:val="0"/>
      <w:autoSpaceDN w:val="0"/>
      <w:adjustRightInd w:val="0"/>
      <w:spacing w:before="0" w:after="0" w:line="240" w:lineRule="auto"/>
      <w:jc w:val="both"/>
    </w:pPr>
    <w:rPr>
      <w:rFonts w:eastAsia="Times New Roman" w:cs="Times New Roman"/>
      <w:bCs/>
      <w:color w:val="000000"/>
      <w:sz w:val="24"/>
      <w:szCs w:val="24"/>
      <w:lang w:val="es-ES_tradnl" w:eastAsia="es-ES"/>
    </w:rPr>
  </w:style>
  <w:style w:type="character" w:customStyle="1" w:styleId="PrrafoInstitucionalCar">
    <w:name w:val="Párrafo Institucional Car"/>
    <w:link w:val="PrrafoInstitucional"/>
    <w:locked/>
    <w:rsid w:val="00126571"/>
    <w:rPr>
      <w:rFonts w:ascii="ITC Avant Garde Book" w:eastAsia="Times New Roman" w:hAnsi="ITC Avant Garde Book" w:cs="Calibri"/>
      <w:lang w:eastAsia="es-ES"/>
    </w:rPr>
  </w:style>
  <w:style w:type="paragraph" w:customStyle="1" w:styleId="PrrafoInstitucional">
    <w:name w:val="Párrafo Institucional"/>
    <w:basedOn w:val="Normal"/>
    <w:link w:val="PrrafoInstitucionalCar"/>
    <w:qFormat/>
    <w:rsid w:val="00126571"/>
    <w:pPr>
      <w:spacing w:before="120" w:after="120"/>
      <w:jc w:val="both"/>
    </w:pPr>
    <w:rPr>
      <w:rFonts w:ascii="ITC Avant Garde Book" w:eastAsia="Times New Roman" w:hAnsi="ITC Avant Garde Book" w:cs="Calibri"/>
      <w:lang w:eastAsia="es-ES"/>
    </w:rPr>
  </w:style>
  <w:style w:type="paragraph" w:customStyle="1" w:styleId="Notadecuadro">
    <w:name w:val="Nota de cuadro"/>
    <w:basedOn w:val="Normal"/>
    <w:link w:val="NotadecuadroCar"/>
    <w:qFormat/>
    <w:rsid w:val="00126571"/>
    <w:pPr>
      <w:spacing w:before="120" w:after="120"/>
      <w:contextualSpacing/>
      <w:jc w:val="both"/>
    </w:pPr>
    <w:rPr>
      <w:rFonts w:ascii="ITC Avant Garde" w:hAnsi="ITC Avant Garde"/>
      <w:sz w:val="18"/>
    </w:rPr>
  </w:style>
  <w:style w:type="character" w:customStyle="1" w:styleId="NotadecuadroCar">
    <w:name w:val="Nota de cuadro Car"/>
    <w:basedOn w:val="Fuentedeprrafopredeter"/>
    <w:link w:val="Notadecuadro"/>
    <w:rsid w:val="00126571"/>
    <w:rPr>
      <w:rFonts w:ascii="ITC Avant Garde" w:eastAsia="Calibri" w:hAnsi="ITC Avant Garde" w:cs="Times New Roman"/>
      <w:sz w:val="18"/>
    </w:rPr>
  </w:style>
  <w:style w:type="character" w:customStyle="1" w:styleId="Cuerpodeltexto">
    <w:name w:val="Cuerpo del texto_"/>
    <w:link w:val="Cuerpodeltexto0"/>
    <w:rsid w:val="00126571"/>
    <w:rPr>
      <w:rFonts w:ascii="Times New Roman" w:eastAsia="Times New Roman" w:hAnsi="Times New Roman"/>
      <w:sz w:val="23"/>
      <w:szCs w:val="23"/>
      <w:shd w:val="clear" w:color="auto" w:fill="FFFFFF"/>
    </w:rPr>
  </w:style>
  <w:style w:type="paragraph" w:customStyle="1" w:styleId="Cuerpodeltexto0">
    <w:name w:val="Cuerpo del texto"/>
    <w:basedOn w:val="Normal"/>
    <w:link w:val="Cuerpodeltexto"/>
    <w:rsid w:val="00126571"/>
    <w:pPr>
      <w:shd w:val="clear" w:color="auto" w:fill="FFFFFF"/>
      <w:spacing w:before="240" w:after="600" w:line="0" w:lineRule="atLeast"/>
      <w:ind w:hanging="260"/>
      <w:jc w:val="right"/>
    </w:pPr>
    <w:rPr>
      <w:rFonts w:ascii="Times New Roman" w:eastAsia="Times New Roman" w:hAnsi="Times New Roman" w:cstheme="minorBidi"/>
      <w:sz w:val="23"/>
      <w:szCs w:val="23"/>
    </w:rPr>
  </w:style>
  <w:style w:type="character" w:customStyle="1" w:styleId="visitado">
    <w:name w:val="visitado"/>
    <w:basedOn w:val="Fuentedeprrafopredeter"/>
    <w:rsid w:val="00126571"/>
  </w:style>
  <w:style w:type="table" w:styleId="Tablanormal4">
    <w:name w:val="Plain Table 4"/>
    <w:basedOn w:val="Tablanormal"/>
    <w:uiPriority w:val="99"/>
    <w:rsid w:val="00126571"/>
    <w:pPr>
      <w:spacing w:after="0" w:line="240" w:lineRule="auto"/>
    </w:pPr>
    <w:rPr>
      <w:lang w:val="en-US" w:bidi="he-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81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bajocuadro">
    <w:name w:val="Texto bajo cuadro"/>
    <w:basedOn w:val="Normal"/>
    <w:link w:val="TextobajocuadroCar"/>
    <w:autoRedefine/>
    <w:uiPriority w:val="1"/>
    <w:qFormat/>
    <w:rsid w:val="003E23D3"/>
    <w:pPr>
      <w:spacing w:after="0" w:line="240" w:lineRule="auto"/>
      <w:ind w:right="29"/>
      <w:jc w:val="both"/>
    </w:pPr>
    <w:rPr>
      <w:rFonts w:ascii="ITC Avant Garde" w:eastAsiaTheme="minorHAnsi" w:hAnsi="ITC Avant Garde" w:cstheme="minorBidi"/>
      <w:sz w:val="16"/>
      <w:lang w:val="es-ES_tradnl" w:eastAsia="es-MX"/>
    </w:rPr>
  </w:style>
  <w:style w:type="character" w:customStyle="1" w:styleId="TextobajocuadroCar">
    <w:name w:val="Texto bajo cuadro Car"/>
    <w:basedOn w:val="Fuentedeprrafopredeter"/>
    <w:link w:val="Textobajocuadro"/>
    <w:uiPriority w:val="1"/>
    <w:rsid w:val="003E23D3"/>
    <w:rPr>
      <w:rFonts w:ascii="ITC Avant Garde" w:hAnsi="ITC Avant Garde"/>
      <w:sz w:val="16"/>
      <w:lang w:val="es-ES_tradnl" w:eastAsia="es-MX"/>
    </w:rPr>
  </w:style>
  <w:style w:type="character" w:styleId="Hipervnculovisitado">
    <w:name w:val="FollowedHyperlink"/>
    <w:basedOn w:val="Fuentedeprrafopredeter"/>
    <w:uiPriority w:val="99"/>
    <w:semiHidden/>
    <w:unhideWhenUsed/>
    <w:rsid w:val="00865A8E"/>
    <w:rPr>
      <w:color w:val="954F72" w:themeColor="followedHyperlink"/>
      <w:u w:val="single"/>
    </w:rPr>
  </w:style>
  <w:style w:type="paragraph" w:styleId="Textonotaalfinal">
    <w:name w:val="endnote text"/>
    <w:basedOn w:val="Normal"/>
    <w:link w:val="TextonotaalfinalCar"/>
    <w:uiPriority w:val="99"/>
    <w:semiHidden/>
    <w:unhideWhenUsed/>
    <w:rsid w:val="002F0A9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F0A9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2F0A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8361">
      <w:bodyDiv w:val="1"/>
      <w:marLeft w:val="0"/>
      <w:marRight w:val="0"/>
      <w:marTop w:val="0"/>
      <w:marBottom w:val="0"/>
      <w:divBdr>
        <w:top w:val="none" w:sz="0" w:space="0" w:color="auto"/>
        <w:left w:val="none" w:sz="0" w:space="0" w:color="auto"/>
        <w:bottom w:val="none" w:sz="0" w:space="0" w:color="auto"/>
        <w:right w:val="none" w:sz="0" w:space="0" w:color="auto"/>
      </w:divBdr>
    </w:div>
    <w:div w:id="40372850">
      <w:bodyDiv w:val="1"/>
      <w:marLeft w:val="0"/>
      <w:marRight w:val="0"/>
      <w:marTop w:val="0"/>
      <w:marBottom w:val="0"/>
      <w:divBdr>
        <w:top w:val="none" w:sz="0" w:space="0" w:color="auto"/>
        <w:left w:val="none" w:sz="0" w:space="0" w:color="auto"/>
        <w:bottom w:val="none" w:sz="0" w:space="0" w:color="auto"/>
        <w:right w:val="none" w:sz="0" w:space="0" w:color="auto"/>
      </w:divBdr>
    </w:div>
    <w:div w:id="1064453954">
      <w:bodyDiv w:val="1"/>
      <w:marLeft w:val="0"/>
      <w:marRight w:val="0"/>
      <w:marTop w:val="0"/>
      <w:marBottom w:val="0"/>
      <w:divBdr>
        <w:top w:val="none" w:sz="0" w:space="0" w:color="auto"/>
        <w:left w:val="none" w:sz="0" w:space="0" w:color="auto"/>
        <w:bottom w:val="none" w:sz="0" w:space="0" w:color="auto"/>
        <w:right w:val="none" w:sz="0" w:space="0" w:color="auto"/>
      </w:divBdr>
      <w:divsChild>
        <w:div w:id="255217611">
          <w:marLeft w:val="0"/>
          <w:marRight w:val="0"/>
          <w:marTop w:val="0"/>
          <w:marBottom w:val="0"/>
          <w:divBdr>
            <w:top w:val="none" w:sz="0" w:space="0" w:color="auto"/>
            <w:left w:val="none" w:sz="0" w:space="0" w:color="auto"/>
            <w:bottom w:val="none" w:sz="0" w:space="0" w:color="auto"/>
            <w:right w:val="none" w:sz="0" w:space="0" w:color="auto"/>
          </w:divBdr>
          <w:divsChild>
            <w:div w:id="532234208">
              <w:marLeft w:val="0"/>
              <w:marRight w:val="0"/>
              <w:marTop w:val="0"/>
              <w:marBottom w:val="0"/>
              <w:divBdr>
                <w:top w:val="none" w:sz="0" w:space="0" w:color="auto"/>
                <w:left w:val="none" w:sz="0" w:space="0" w:color="auto"/>
                <w:bottom w:val="none" w:sz="0" w:space="0" w:color="auto"/>
                <w:right w:val="none" w:sz="0" w:space="0" w:color="auto"/>
              </w:divBdr>
              <w:divsChild>
                <w:div w:id="1613441274">
                  <w:marLeft w:val="0"/>
                  <w:marRight w:val="0"/>
                  <w:marTop w:val="0"/>
                  <w:marBottom w:val="0"/>
                  <w:divBdr>
                    <w:top w:val="none" w:sz="0" w:space="0" w:color="auto"/>
                    <w:left w:val="none" w:sz="0" w:space="0" w:color="auto"/>
                    <w:bottom w:val="none" w:sz="0" w:space="0" w:color="auto"/>
                    <w:right w:val="none" w:sz="0" w:space="0" w:color="auto"/>
                  </w:divBdr>
                  <w:divsChild>
                    <w:div w:id="554318147">
                      <w:marLeft w:val="0"/>
                      <w:marRight w:val="0"/>
                      <w:marTop w:val="0"/>
                      <w:marBottom w:val="0"/>
                      <w:divBdr>
                        <w:top w:val="none" w:sz="0" w:space="0" w:color="auto"/>
                        <w:left w:val="none" w:sz="0" w:space="0" w:color="auto"/>
                        <w:bottom w:val="none" w:sz="0" w:space="0" w:color="auto"/>
                        <w:right w:val="none" w:sz="0" w:space="0" w:color="auto"/>
                      </w:divBdr>
                      <w:divsChild>
                        <w:div w:id="10214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545012">
      <w:bodyDiv w:val="1"/>
      <w:marLeft w:val="0"/>
      <w:marRight w:val="0"/>
      <w:marTop w:val="0"/>
      <w:marBottom w:val="0"/>
      <w:divBdr>
        <w:top w:val="none" w:sz="0" w:space="0" w:color="auto"/>
        <w:left w:val="none" w:sz="0" w:space="0" w:color="auto"/>
        <w:bottom w:val="none" w:sz="0" w:space="0" w:color="auto"/>
        <w:right w:val="none" w:sz="0" w:space="0" w:color="auto"/>
      </w:divBdr>
      <w:divsChild>
        <w:div w:id="1705205378">
          <w:marLeft w:val="0"/>
          <w:marRight w:val="0"/>
          <w:marTop w:val="0"/>
          <w:marBottom w:val="0"/>
          <w:divBdr>
            <w:top w:val="none" w:sz="0" w:space="0" w:color="auto"/>
            <w:left w:val="none" w:sz="0" w:space="0" w:color="auto"/>
            <w:bottom w:val="none" w:sz="0" w:space="0" w:color="auto"/>
            <w:right w:val="none" w:sz="0" w:space="0" w:color="auto"/>
          </w:divBdr>
          <w:divsChild>
            <w:div w:id="641546643">
              <w:marLeft w:val="0"/>
              <w:marRight w:val="0"/>
              <w:marTop w:val="0"/>
              <w:marBottom w:val="0"/>
              <w:divBdr>
                <w:top w:val="none" w:sz="0" w:space="0" w:color="auto"/>
                <w:left w:val="none" w:sz="0" w:space="0" w:color="auto"/>
                <w:bottom w:val="none" w:sz="0" w:space="0" w:color="auto"/>
                <w:right w:val="none" w:sz="0" w:space="0" w:color="auto"/>
              </w:divBdr>
              <w:divsChild>
                <w:div w:id="1962609189">
                  <w:marLeft w:val="0"/>
                  <w:marRight w:val="0"/>
                  <w:marTop w:val="0"/>
                  <w:marBottom w:val="0"/>
                  <w:divBdr>
                    <w:top w:val="none" w:sz="0" w:space="0" w:color="auto"/>
                    <w:left w:val="none" w:sz="0" w:space="0" w:color="auto"/>
                    <w:bottom w:val="none" w:sz="0" w:space="0" w:color="auto"/>
                    <w:right w:val="none" w:sz="0" w:space="0" w:color="auto"/>
                  </w:divBdr>
                  <w:divsChild>
                    <w:div w:id="710615669">
                      <w:marLeft w:val="0"/>
                      <w:marRight w:val="0"/>
                      <w:marTop w:val="0"/>
                      <w:marBottom w:val="0"/>
                      <w:divBdr>
                        <w:top w:val="none" w:sz="0" w:space="0" w:color="auto"/>
                        <w:left w:val="none" w:sz="0" w:space="0" w:color="auto"/>
                        <w:bottom w:val="none" w:sz="0" w:space="0" w:color="auto"/>
                        <w:right w:val="none" w:sz="0" w:space="0" w:color="auto"/>
                      </w:divBdr>
                      <w:divsChild>
                        <w:div w:id="1288776308">
                          <w:marLeft w:val="0"/>
                          <w:marRight w:val="0"/>
                          <w:marTop w:val="0"/>
                          <w:marBottom w:val="0"/>
                          <w:divBdr>
                            <w:top w:val="none" w:sz="0" w:space="0" w:color="auto"/>
                            <w:left w:val="none" w:sz="0" w:space="0" w:color="auto"/>
                            <w:bottom w:val="none" w:sz="0" w:space="0" w:color="auto"/>
                            <w:right w:val="none" w:sz="0" w:space="0" w:color="auto"/>
                          </w:divBdr>
                          <w:divsChild>
                            <w:div w:id="65274170">
                              <w:marLeft w:val="0"/>
                              <w:marRight w:val="0"/>
                              <w:marTop w:val="0"/>
                              <w:marBottom w:val="0"/>
                              <w:divBdr>
                                <w:top w:val="none" w:sz="0" w:space="0" w:color="auto"/>
                                <w:left w:val="none" w:sz="0" w:space="0" w:color="auto"/>
                                <w:bottom w:val="none" w:sz="0" w:space="0" w:color="auto"/>
                                <w:right w:val="none" w:sz="0" w:space="0" w:color="auto"/>
                              </w:divBdr>
                            </w:div>
                            <w:div w:id="123960942">
                              <w:marLeft w:val="0"/>
                              <w:marRight w:val="0"/>
                              <w:marTop w:val="0"/>
                              <w:marBottom w:val="0"/>
                              <w:divBdr>
                                <w:top w:val="none" w:sz="0" w:space="0" w:color="auto"/>
                                <w:left w:val="none" w:sz="0" w:space="0" w:color="auto"/>
                                <w:bottom w:val="none" w:sz="0" w:space="0" w:color="auto"/>
                                <w:right w:val="none" w:sz="0" w:space="0" w:color="auto"/>
                              </w:divBdr>
                            </w:div>
                            <w:div w:id="138230264">
                              <w:marLeft w:val="0"/>
                              <w:marRight w:val="0"/>
                              <w:marTop w:val="0"/>
                              <w:marBottom w:val="0"/>
                              <w:divBdr>
                                <w:top w:val="none" w:sz="0" w:space="0" w:color="auto"/>
                                <w:left w:val="none" w:sz="0" w:space="0" w:color="auto"/>
                                <w:bottom w:val="none" w:sz="0" w:space="0" w:color="auto"/>
                                <w:right w:val="none" w:sz="0" w:space="0" w:color="auto"/>
                              </w:divBdr>
                            </w:div>
                            <w:div w:id="351687549">
                              <w:marLeft w:val="0"/>
                              <w:marRight w:val="0"/>
                              <w:marTop w:val="0"/>
                              <w:marBottom w:val="0"/>
                              <w:divBdr>
                                <w:top w:val="none" w:sz="0" w:space="0" w:color="auto"/>
                                <w:left w:val="none" w:sz="0" w:space="0" w:color="auto"/>
                                <w:bottom w:val="none" w:sz="0" w:space="0" w:color="auto"/>
                                <w:right w:val="none" w:sz="0" w:space="0" w:color="auto"/>
                              </w:divBdr>
                            </w:div>
                            <w:div w:id="491721374">
                              <w:marLeft w:val="0"/>
                              <w:marRight w:val="0"/>
                              <w:marTop w:val="0"/>
                              <w:marBottom w:val="0"/>
                              <w:divBdr>
                                <w:top w:val="none" w:sz="0" w:space="0" w:color="auto"/>
                                <w:left w:val="none" w:sz="0" w:space="0" w:color="auto"/>
                                <w:bottom w:val="none" w:sz="0" w:space="0" w:color="auto"/>
                                <w:right w:val="none" w:sz="0" w:space="0" w:color="auto"/>
                              </w:divBdr>
                            </w:div>
                            <w:div w:id="663626263">
                              <w:marLeft w:val="0"/>
                              <w:marRight w:val="0"/>
                              <w:marTop w:val="0"/>
                              <w:marBottom w:val="0"/>
                              <w:divBdr>
                                <w:top w:val="none" w:sz="0" w:space="0" w:color="auto"/>
                                <w:left w:val="none" w:sz="0" w:space="0" w:color="auto"/>
                                <w:bottom w:val="none" w:sz="0" w:space="0" w:color="auto"/>
                                <w:right w:val="none" w:sz="0" w:space="0" w:color="auto"/>
                              </w:divBdr>
                            </w:div>
                            <w:div w:id="665666272">
                              <w:marLeft w:val="0"/>
                              <w:marRight w:val="0"/>
                              <w:marTop w:val="0"/>
                              <w:marBottom w:val="0"/>
                              <w:divBdr>
                                <w:top w:val="none" w:sz="0" w:space="0" w:color="auto"/>
                                <w:left w:val="none" w:sz="0" w:space="0" w:color="auto"/>
                                <w:bottom w:val="none" w:sz="0" w:space="0" w:color="auto"/>
                                <w:right w:val="none" w:sz="0" w:space="0" w:color="auto"/>
                              </w:divBdr>
                            </w:div>
                            <w:div w:id="766075503">
                              <w:marLeft w:val="0"/>
                              <w:marRight w:val="0"/>
                              <w:marTop w:val="0"/>
                              <w:marBottom w:val="0"/>
                              <w:divBdr>
                                <w:top w:val="none" w:sz="0" w:space="0" w:color="auto"/>
                                <w:left w:val="none" w:sz="0" w:space="0" w:color="auto"/>
                                <w:bottom w:val="none" w:sz="0" w:space="0" w:color="auto"/>
                                <w:right w:val="none" w:sz="0" w:space="0" w:color="auto"/>
                              </w:divBdr>
                            </w:div>
                            <w:div w:id="948705030">
                              <w:marLeft w:val="0"/>
                              <w:marRight w:val="0"/>
                              <w:marTop w:val="0"/>
                              <w:marBottom w:val="0"/>
                              <w:divBdr>
                                <w:top w:val="none" w:sz="0" w:space="0" w:color="auto"/>
                                <w:left w:val="none" w:sz="0" w:space="0" w:color="auto"/>
                                <w:bottom w:val="none" w:sz="0" w:space="0" w:color="auto"/>
                                <w:right w:val="none" w:sz="0" w:space="0" w:color="auto"/>
                              </w:divBdr>
                            </w:div>
                            <w:div w:id="990906547">
                              <w:marLeft w:val="0"/>
                              <w:marRight w:val="0"/>
                              <w:marTop w:val="0"/>
                              <w:marBottom w:val="0"/>
                              <w:divBdr>
                                <w:top w:val="none" w:sz="0" w:space="0" w:color="auto"/>
                                <w:left w:val="none" w:sz="0" w:space="0" w:color="auto"/>
                                <w:bottom w:val="none" w:sz="0" w:space="0" w:color="auto"/>
                                <w:right w:val="none" w:sz="0" w:space="0" w:color="auto"/>
                              </w:divBdr>
                            </w:div>
                            <w:div w:id="1080754411">
                              <w:marLeft w:val="0"/>
                              <w:marRight w:val="0"/>
                              <w:marTop w:val="0"/>
                              <w:marBottom w:val="0"/>
                              <w:divBdr>
                                <w:top w:val="none" w:sz="0" w:space="0" w:color="auto"/>
                                <w:left w:val="none" w:sz="0" w:space="0" w:color="auto"/>
                                <w:bottom w:val="none" w:sz="0" w:space="0" w:color="auto"/>
                                <w:right w:val="none" w:sz="0" w:space="0" w:color="auto"/>
                              </w:divBdr>
                            </w:div>
                            <w:div w:id="1106383840">
                              <w:marLeft w:val="0"/>
                              <w:marRight w:val="0"/>
                              <w:marTop w:val="0"/>
                              <w:marBottom w:val="0"/>
                              <w:divBdr>
                                <w:top w:val="none" w:sz="0" w:space="0" w:color="auto"/>
                                <w:left w:val="none" w:sz="0" w:space="0" w:color="auto"/>
                                <w:bottom w:val="none" w:sz="0" w:space="0" w:color="auto"/>
                                <w:right w:val="none" w:sz="0" w:space="0" w:color="auto"/>
                              </w:divBdr>
                            </w:div>
                            <w:div w:id="1188062251">
                              <w:marLeft w:val="0"/>
                              <w:marRight w:val="0"/>
                              <w:marTop w:val="0"/>
                              <w:marBottom w:val="0"/>
                              <w:divBdr>
                                <w:top w:val="none" w:sz="0" w:space="0" w:color="auto"/>
                                <w:left w:val="none" w:sz="0" w:space="0" w:color="auto"/>
                                <w:bottom w:val="none" w:sz="0" w:space="0" w:color="auto"/>
                                <w:right w:val="none" w:sz="0" w:space="0" w:color="auto"/>
                              </w:divBdr>
                            </w:div>
                            <w:div w:id="1345941765">
                              <w:marLeft w:val="0"/>
                              <w:marRight w:val="0"/>
                              <w:marTop w:val="0"/>
                              <w:marBottom w:val="0"/>
                              <w:divBdr>
                                <w:top w:val="none" w:sz="0" w:space="0" w:color="auto"/>
                                <w:left w:val="none" w:sz="0" w:space="0" w:color="auto"/>
                                <w:bottom w:val="none" w:sz="0" w:space="0" w:color="auto"/>
                                <w:right w:val="none" w:sz="0" w:space="0" w:color="auto"/>
                              </w:divBdr>
                            </w:div>
                            <w:div w:id="1379357320">
                              <w:marLeft w:val="0"/>
                              <w:marRight w:val="0"/>
                              <w:marTop w:val="0"/>
                              <w:marBottom w:val="0"/>
                              <w:divBdr>
                                <w:top w:val="none" w:sz="0" w:space="0" w:color="auto"/>
                                <w:left w:val="none" w:sz="0" w:space="0" w:color="auto"/>
                                <w:bottom w:val="none" w:sz="0" w:space="0" w:color="auto"/>
                                <w:right w:val="none" w:sz="0" w:space="0" w:color="auto"/>
                              </w:divBdr>
                            </w:div>
                            <w:div w:id="1427266276">
                              <w:marLeft w:val="0"/>
                              <w:marRight w:val="0"/>
                              <w:marTop w:val="0"/>
                              <w:marBottom w:val="0"/>
                              <w:divBdr>
                                <w:top w:val="none" w:sz="0" w:space="0" w:color="auto"/>
                                <w:left w:val="none" w:sz="0" w:space="0" w:color="auto"/>
                                <w:bottom w:val="none" w:sz="0" w:space="0" w:color="auto"/>
                                <w:right w:val="none" w:sz="0" w:space="0" w:color="auto"/>
                              </w:divBdr>
                            </w:div>
                            <w:div w:id="1539507973">
                              <w:marLeft w:val="0"/>
                              <w:marRight w:val="0"/>
                              <w:marTop w:val="0"/>
                              <w:marBottom w:val="0"/>
                              <w:divBdr>
                                <w:top w:val="none" w:sz="0" w:space="0" w:color="auto"/>
                                <w:left w:val="none" w:sz="0" w:space="0" w:color="auto"/>
                                <w:bottom w:val="none" w:sz="0" w:space="0" w:color="auto"/>
                                <w:right w:val="none" w:sz="0" w:space="0" w:color="auto"/>
                              </w:divBdr>
                            </w:div>
                            <w:div w:id="1603995583">
                              <w:marLeft w:val="0"/>
                              <w:marRight w:val="0"/>
                              <w:marTop w:val="0"/>
                              <w:marBottom w:val="0"/>
                              <w:divBdr>
                                <w:top w:val="none" w:sz="0" w:space="0" w:color="auto"/>
                                <w:left w:val="none" w:sz="0" w:space="0" w:color="auto"/>
                                <w:bottom w:val="none" w:sz="0" w:space="0" w:color="auto"/>
                                <w:right w:val="none" w:sz="0" w:space="0" w:color="auto"/>
                              </w:divBdr>
                            </w:div>
                            <w:div w:id="1739092795">
                              <w:marLeft w:val="0"/>
                              <w:marRight w:val="0"/>
                              <w:marTop w:val="0"/>
                              <w:marBottom w:val="0"/>
                              <w:divBdr>
                                <w:top w:val="none" w:sz="0" w:space="0" w:color="auto"/>
                                <w:left w:val="none" w:sz="0" w:space="0" w:color="auto"/>
                                <w:bottom w:val="none" w:sz="0" w:space="0" w:color="auto"/>
                                <w:right w:val="none" w:sz="0" w:space="0" w:color="auto"/>
                              </w:divBdr>
                            </w:div>
                            <w:div w:id="1759979683">
                              <w:marLeft w:val="0"/>
                              <w:marRight w:val="0"/>
                              <w:marTop w:val="0"/>
                              <w:marBottom w:val="0"/>
                              <w:divBdr>
                                <w:top w:val="none" w:sz="0" w:space="0" w:color="auto"/>
                                <w:left w:val="none" w:sz="0" w:space="0" w:color="auto"/>
                                <w:bottom w:val="none" w:sz="0" w:space="0" w:color="auto"/>
                                <w:right w:val="none" w:sz="0" w:space="0" w:color="auto"/>
                              </w:divBdr>
                            </w:div>
                            <w:div w:id="1882282713">
                              <w:marLeft w:val="0"/>
                              <w:marRight w:val="0"/>
                              <w:marTop w:val="0"/>
                              <w:marBottom w:val="0"/>
                              <w:divBdr>
                                <w:top w:val="none" w:sz="0" w:space="0" w:color="auto"/>
                                <w:left w:val="none" w:sz="0" w:space="0" w:color="auto"/>
                                <w:bottom w:val="none" w:sz="0" w:space="0" w:color="auto"/>
                                <w:right w:val="none" w:sz="0" w:space="0" w:color="auto"/>
                              </w:divBdr>
                            </w:div>
                            <w:div w:id="1976567146">
                              <w:marLeft w:val="0"/>
                              <w:marRight w:val="0"/>
                              <w:marTop w:val="0"/>
                              <w:marBottom w:val="0"/>
                              <w:divBdr>
                                <w:top w:val="none" w:sz="0" w:space="0" w:color="auto"/>
                                <w:left w:val="none" w:sz="0" w:space="0" w:color="auto"/>
                                <w:bottom w:val="none" w:sz="0" w:space="0" w:color="auto"/>
                                <w:right w:val="none" w:sz="0" w:space="0" w:color="auto"/>
                              </w:divBdr>
                            </w:div>
                            <w:div w:id="20158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89570">
      <w:bodyDiv w:val="1"/>
      <w:marLeft w:val="0"/>
      <w:marRight w:val="0"/>
      <w:marTop w:val="0"/>
      <w:marBottom w:val="0"/>
      <w:divBdr>
        <w:top w:val="none" w:sz="0" w:space="0" w:color="auto"/>
        <w:left w:val="none" w:sz="0" w:space="0" w:color="auto"/>
        <w:bottom w:val="none" w:sz="0" w:space="0" w:color="auto"/>
        <w:right w:val="none" w:sz="0" w:space="0" w:color="auto"/>
      </w:divBdr>
    </w:div>
    <w:div w:id="1484809493">
      <w:bodyDiv w:val="1"/>
      <w:marLeft w:val="0"/>
      <w:marRight w:val="0"/>
      <w:marTop w:val="0"/>
      <w:marBottom w:val="0"/>
      <w:divBdr>
        <w:top w:val="none" w:sz="0" w:space="0" w:color="auto"/>
        <w:left w:val="none" w:sz="0" w:space="0" w:color="auto"/>
        <w:bottom w:val="none" w:sz="0" w:space="0" w:color="auto"/>
        <w:right w:val="none" w:sz="0" w:space="0" w:color="auto"/>
      </w:divBdr>
      <w:divsChild>
        <w:div w:id="699210696">
          <w:marLeft w:val="0"/>
          <w:marRight w:val="0"/>
          <w:marTop w:val="0"/>
          <w:marBottom w:val="0"/>
          <w:divBdr>
            <w:top w:val="none" w:sz="0" w:space="0" w:color="auto"/>
            <w:left w:val="none" w:sz="0" w:space="0" w:color="auto"/>
            <w:bottom w:val="none" w:sz="0" w:space="0" w:color="auto"/>
            <w:right w:val="none" w:sz="0" w:space="0" w:color="auto"/>
          </w:divBdr>
          <w:divsChild>
            <w:div w:id="1110707339">
              <w:marLeft w:val="0"/>
              <w:marRight w:val="0"/>
              <w:marTop w:val="0"/>
              <w:marBottom w:val="0"/>
              <w:divBdr>
                <w:top w:val="none" w:sz="0" w:space="0" w:color="auto"/>
                <w:left w:val="none" w:sz="0" w:space="0" w:color="auto"/>
                <w:bottom w:val="none" w:sz="0" w:space="0" w:color="auto"/>
                <w:right w:val="none" w:sz="0" w:space="0" w:color="auto"/>
              </w:divBdr>
              <w:divsChild>
                <w:div w:id="901675819">
                  <w:marLeft w:val="0"/>
                  <w:marRight w:val="0"/>
                  <w:marTop w:val="0"/>
                  <w:marBottom w:val="0"/>
                  <w:divBdr>
                    <w:top w:val="none" w:sz="0" w:space="0" w:color="auto"/>
                    <w:left w:val="none" w:sz="0" w:space="0" w:color="auto"/>
                    <w:bottom w:val="none" w:sz="0" w:space="0" w:color="auto"/>
                    <w:right w:val="none" w:sz="0" w:space="0" w:color="auto"/>
                  </w:divBdr>
                  <w:divsChild>
                    <w:div w:id="165437274">
                      <w:marLeft w:val="0"/>
                      <w:marRight w:val="0"/>
                      <w:marTop w:val="0"/>
                      <w:marBottom w:val="0"/>
                      <w:divBdr>
                        <w:top w:val="none" w:sz="0" w:space="0" w:color="auto"/>
                        <w:left w:val="none" w:sz="0" w:space="0" w:color="auto"/>
                        <w:bottom w:val="none" w:sz="0" w:space="0" w:color="auto"/>
                        <w:right w:val="none" w:sz="0" w:space="0" w:color="auto"/>
                      </w:divBdr>
                      <w:divsChild>
                        <w:div w:id="1577671740">
                          <w:marLeft w:val="0"/>
                          <w:marRight w:val="0"/>
                          <w:marTop w:val="0"/>
                          <w:marBottom w:val="0"/>
                          <w:divBdr>
                            <w:top w:val="none" w:sz="0" w:space="0" w:color="auto"/>
                            <w:left w:val="none" w:sz="0" w:space="0" w:color="auto"/>
                            <w:bottom w:val="none" w:sz="0" w:space="0" w:color="auto"/>
                            <w:right w:val="none" w:sz="0" w:space="0" w:color="auto"/>
                          </w:divBdr>
                          <w:divsChild>
                            <w:div w:id="316619409">
                              <w:marLeft w:val="0"/>
                              <w:marRight w:val="0"/>
                              <w:marTop w:val="0"/>
                              <w:marBottom w:val="0"/>
                              <w:divBdr>
                                <w:top w:val="none" w:sz="0" w:space="0" w:color="auto"/>
                                <w:left w:val="none" w:sz="0" w:space="0" w:color="auto"/>
                                <w:bottom w:val="none" w:sz="0" w:space="0" w:color="auto"/>
                                <w:right w:val="none" w:sz="0" w:space="0" w:color="auto"/>
                              </w:divBdr>
                            </w:div>
                            <w:div w:id="543058921">
                              <w:marLeft w:val="0"/>
                              <w:marRight w:val="0"/>
                              <w:marTop w:val="0"/>
                              <w:marBottom w:val="0"/>
                              <w:divBdr>
                                <w:top w:val="none" w:sz="0" w:space="0" w:color="auto"/>
                                <w:left w:val="none" w:sz="0" w:space="0" w:color="auto"/>
                                <w:bottom w:val="none" w:sz="0" w:space="0" w:color="auto"/>
                                <w:right w:val="none" w:sz="0" w:space="0" w:color="auto"/>
                              </w:divBdr>
                            </w:div>
                            <w:div w:id="770668548">
                              <w:marLeft w:val="0"/>
                              <w:marRight w:val="0"/>
                              <w:marTop w:val="0"/>
                              <w:marBottom w:val="0"/>
                              <w:divBdr>
                                <w:top w:val="none" w:sz="0" w:space="0" w:color="auto"/>
                                <w:left w:val="none" w:sz="0" w:space="0" w:color="auto"/>
                                <w:bottom w:val="none" w:sz="0" w:space="0" w:color="auto"/>
                                <w:right w:val="none" w:sz="0" w:space="0" w:color="auto"/>
                              </w:divBdr>
                            </w:div>
                            <w:div w:id="1134716881">
                              <w:marLeft w:val="0"/>
                              <w:marRight w:val="0"/>
                              <w:marTop w:val="0"/>
                              <w:marBottom w:val="0"/>
                              <w:divBdr>
                                <w:top w:val="none" w:sz="0" w:space="0" w:color="auto"/>
                                <w:left w:val="none" w:sz="0" w:space="0" w:color="auto"/>
                                <w:bottom w:val="none" w:sz="0" w:space="0" w:color="auto"/>
                                <w:right w:val="none" w:sz="0" w:space="0" w:color="auto"/>
                              </w:divBdr>
                            </w:div>
                            <w:div w:id="1482697372">
                              <w:marLeft w:val="0"/>
                              <w:marRight w:val="0"/>
                              <w:marTop w:val="0"/>
                              <w:marBottom w:val="0"/>
                              <w:divBdr>
                                <w:top w:val="none" w:sz="0" w:space="0" w:color="auto"/>
                                <w:left w:val="none" w:sz="0" w:space="0" w:color="auto"/>
                                <w:bottom w:val="none" w:sz="0" w:space="0" w:color="auto"/>
                                <w:right w:val="none" w:sz="0" w:space="0" w:color="auto"/>
                              </w:divBdr>
                            </w:div>
                            <w:div w:id="1843547533">
                              <w:marLeft w:val="0"/>
                              <w:marRight w:val="0"/>
                              <w:marTop w:val="0"/>
                              <w:marBottom w:val="0"/>
                              <w:divBdr>
                                <w:top w:val="none" w:sz="0" w:space="0" w:color="auto"/>
                                <w:left w:val="none" w:sz="0" w:space="0" w:color="auto"/>
                                <w:bottom w:val="none" w:sz="0" w:space="0" w:color="auto"/>
                                <w:right w:val="none" w:sz="0" w:space="0" w:color="auto"/>
                              </w:divBdr>
                            </w:div>
                            <w:div w:id="20478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04905">
      <w:bodyDiv w:val="1"/>
      <w:marLeft w:val="0"/>
      <w:marRight w:val="0"/>
      <w:marTop w:val="0"/>
      <w:marBottom w:val="0"/>
      <w:divBdr>
        <w:top w:val="none" w:sz="0" w:space="0" w:color="auto"/>
        <w:left w:val="none" w:sz="0" w:space="0" w:color="auto"/>
        <w:bottom w:val="none" w:sz="0" w:space="0" w:color="auto"/>
        <w:right w:val="none" w:sz="0" w:space="0" w:color="auto"/>
      </w:divBdr>
      <w:divsChild>
        <w:div w:id="451678578">
          <w:marLeft w:val="0"/>
          <w:marRight w:val="0"/>
          <w:marTop w:val="0"/>
          <w:marBottom w:val="0"/>
          <w:divBdr>
            <w:top w:val="none" w:sz="0" w:space="0" w:color="auto"/>
            <w:left w:val="none" w:sz="0" w:space="0" w:color="auto"/>
            <w:bottom w:val="none" w:sz="0" w:space="0" w:color="auto"/>
            <w:right w:val="none" w:sz="0" w:space="0" w:color="auto"/>
          </w:divBdr>
          <w:divsChild>
            <w:div w:id="1991324583">
              <w:marLeft w:val="0"/>
              <w:marRight w:val="0"/>
              <w:marTop w:val="0"/>
              <w:marBottom w:val="0"/>
              <w:divBdr>
                <w:top w:val="none" w:sz="0" w:space="0" w:color="auto"/>
                <w:left w:val="none" w:sz="0" w:space="0" w:color="auto"/>
                <w:bottom w:val="none" w:sz="0" w:space="0" w:color="auto"/>
                <w:right w:val="none" w:sz="0" w:space="0" w:color="auto"/>
              </w:divBdr>
              <w:divsChild>
                <w:div w:id="1941713403">
                  <w:marLeft w:val="0"/>
                  <w:marRight w:val="0"/>
                  <w:marTop w:val="0"/>
                  <w:marBottom w:val="0"/>
                  <w:divBdr>
                    <w:top w:val="none" w:sz="0" w:space="0" w:color="auto"/>
                    <w:left w:val="none" w:sz="0" w:space="0" w:color="auto"/>
                    <w:bottom w:val="none" w:sz="0" w:space="0" w:color="auto"/>
                    <w:right w:val="none" w:sz="0" w:space="0" w:color="auto"/>
                  </w:divBdr>
                  <w:divsChild>
                    <w:div w:id="942032417">
                      <w:marLeft w:val="0"/>
                      <w:marRight w:val="0"/>
                      <w:marTop w:val="0"/>
                      <w:marBottom w:val="0"/>
                      <w:divBdr>
                        <w:top w:val="none" w:sz="0" w:space="0" w:color="auto"/>
                        <w:left w:val="none" w:sz="0" w:space="0" w:color="auto"/>
                        <w:bottom w:val="none" w:sz="0" w:space="0" w:color="auto"/>
                        <w:right w:val="none" w:sz="0" w:space="0" w:color="auto"/>
                      </w:divBdr>
                      <w:divsChild>
                        <w:div w:id="47580305">
                          <w:marLeft w:val="0"/>
                          <w:marRight w:val="0"/>
                          <w:marTop w:val="0"/>
                          <w:marBottom w:val="0"/>
                          <w:divBdr>
                            <w:top w:val="none" w:sz="0" w:space="0" w:color="auto"/>
                            <w:left w:val="none" w:sz="0" w:space="0" w:color="auto"/>
                            <w:bottom w:val="none" w:sz="0" w:space="0" w:color="auto"/>
                            <w:right w:val="none" w:sz="0" w:space="0" w:color="auto"/>
                          </w:divBdr>
                          <w:divsChild>
                            <w:div w:id="181827034">
                              <w:marLeft w:val="0"/>
                              <w:marRight w:val="0"/>
                              <w:marTop w:val="0"/>
                              <w:marBottom w:val="0"/>
                              <w:divBdr>
                                <w:top w:val="none" w:sz="0" w:space="0" w:color="auto"/>
                                <w:left w:val="none" w:sz="0" w:space="0" w:color="auto"/>
                                <w:bottom w:val="none" w:sz="0" w:space="0" w:color="auto"/>
                                <w:right w:val="none" w:sz="0" w:space="0" w:color="auto"/>
                              </w:divBdr>
                            </w:div>
                            <w:div w:id="222067675">
                              <w:marLeft w:val="0"/>
                              <w:marRight w:val="0"/>
                              <w:marTop w:val="0"/>
                              <w:marBottom w:val="0"/>
                              <w:divBdr>
                                <w:top w:val="none" w:sz="0" w:space="0" w:color="auto"/>
                                <w:left w:val="none" w:sz="0" w:space="0" w:color="auto"/>
                                <w:bottom w:val="none" w:sz="0" w:space="0" w:color="auto"/>
                                <w:right w:val="none" w:sz="0" w:space="0" w:color="auto"/>
                              </w:divBdr>
                            </w:div>
                            <w:div w:id="605649343">
                              <w:marLeft w:val="0"/>
                              <w:marRight w:val="0"/>
                              <w:marTop w:val="0"/>
                              <w:marBottom w:val="0"/>
                              <w:divBdr>
                                <w:top w:val="none" w:sz="0" w:space="0" w:color="auto"/>
                                <w:left w:val="none" w:sz="0" w:space="0" w:color="auto"/>
                                <w:bottom w:val="none" w:sz="0" w:space="0" w:color="auto"/>
                                <w:right w:val="none" w:sz="0" w:space="0" w:color="auto"/>
                              </w:divBdr>
                            </w:div>
                            <w:div w:id="915438557">
                              <w:marLeft w:val="0"/>
                              <w:marRight w:val="0"/>
                              <w:marTop w:val="0"/>
                              <w:marBottom w:val="0"/>
                              <w:divBdr>
                                <w:top w:val="none" w:sz="0" w:space="0" w:color="auto"/>
                                <w:left w:val="none" w:sz="0" w:space="0" w:color="auto"/>
                                <w:bottom w:val="none" w:sz="0" w:space="0" w:color="auto"/>
                                <w:right w:val="none" w:sz="0" w:space="0" w:color="auto"/>
                              </w:divBdr>
                            </w:div>
                            <w:div w:id="1077047484">
                              <w:marLeft w:val="0"/>
                              <w:marRight w:val="0"/>
                              <w:marTop w:val="0"/>
                              <w:marBottom w:val="0"/>
                              <w:divBdr>
                                <w:top w:val="none" w:sz="0" w:space="0" w:color="auto"/>
                                <w:left w:val="none" w:sz="0" w:space="0" w:color="auto"/>
                                <w:bottom w:val="none" w:sz="0" w:space="0" w:color="auto"/>
                                <w:right w:val="none" w:sz="0" w:space="0" w:color="auto"/>
                              </w:divBdr>
                            </w:div>
                            <w:div w:id="1189181075">
                              <w:marLeft w:val="0"/>
                              <w:marRight w:val="0"/>
                              <w:marTop w:val="0"/>
                              <w:marBottom w:val="0"/>
                              <w:divBdr>
                                <w:top w:val="none" w:sz="0" w:space="0" w:color="auto"/>
                                <w:left w:val="none" w:sz="0" w:space="0" w:color="auto"/>
                                <w:bottom w:val="none" w:sz="0" w:space="0" w:color="auto"/>
                                <w:right w:val="none" w:sz="0" w:space="0" w:color="auto"/>
                              </w:divBdr>
                            </w:div>
                            <w:div w:id="1288009590">
                              <w:marLeft w:val="0"/>
                              <w:marRight w:val="0"/>
                              <w:marTop w:val="0"/>
                              <w:marBottom w:val="0"/>
                              <w:divBdr>
                                <w:top w:val="none" w:sz="0" w:space="0" w:color="auto"/>
                                <w:left w:val="none" w:sz="0" w:space="0" w:color="auto"/>
                                <w:bottom w:val="none" w:sz="0" w:space="0" w:color="auto"/>
                                <w:right w:val="none" w:sz="0" w:space="0" w:color="auto"/>
                              </w:divBdr>
                            </w:div>
                            <w:div w:id="1307199053">
                              <w:marLeft w:val="0"/>
                              <w:marRight w:val="0"/>
                              <w:marTop w:val="0"/>
                              <w:marBottom w:val="0"/>
                              <w:divBdr>
                                <w:top w:val="none" w:sz="0" w:space="0" w:color="auto"/>
                                <w:left w:val="none" w:sz="0" w:space="0" w:color="auto"/>
                                <w:bottom w:val="none" w:sz="0" w:space="0" w:color="auto"/>
                                <w:right w:val="none" w:sz="0" w:space="0" w:color="auto"/>
                              </w:divBdr>
                            </w:div>
                            <w:div w:id="1860703829">
                              <w:marLeft w:val="0"/>
                              <w:marRight w:val="0"/>
                              <w:marTop w:val="0"/>
                              <w:marBottom w:val="0"/>
                              <w:divBdr>
                                <w:top w:val="none" w:sz="0" w:space="0" w:color="auto"/>
                                <w:left w:val="none" w:sz="0" w:space="0" w:color="auto"/>
                                <w:bottom w:val="none" w:sz="0" w:space="0" w:color="auto"/>
                                <w:right w:val="none" w:sz="0" w:space="0" w:color="auto"/>
                              </w:divBdr>
                            </w:div>
                            <w:div w:id="1875116054">
                              <w:marLeft w:val="0"/>
                              <w:marRight w:val="0"/>
                              <w:marTop w:val="0"/>
                              <w:marBottom w:val="0"/>
                              <w:divBdr>
                                <w:top w:val="none" w:sz="0" w:space="0" w:color="auto"/>
                                <w:left w:val="none" w:sz="0" w:space="0" w:color="auto"/>
                                <w:bottom w:val="none" w:sz="0" w:space="0" w:color="auto"/>
                                <w:right w:val="none" w:sz="0" w:space="0" w:color="auto"/>
                              </w:divBdr>
                            </w:div>
                            <w:div w:id="20806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26310">
      <w:bodyDiv w:val="1"/>
      <w:marLeft w:val="0"/>
      <w:marRight w:val="0"/>
      <w:marTop w:val="0"/>
      <w:marBottom w:val="0"/>
      <w:divBdr>
        <w:top w:val="none" w:sz="0" w:space="0" w:color="auto"/>
        <w:left w:val="none" w:sz="0" w:space="0" w:color="auto"/>
        <w:bottom w:val="none" w:sz="0" w:space="0" w:color="auto"/>
        <w:right w:val="none" w:sz="0" w:space="0" w:color="auto"/>
      </w:divBdr>
      <w:divsChild>
        <w:div w:id="815999558">
          <w:marLeft w:val="0"/>
          <w:marRight w:val="0"/>
          <w:marTop w:val="0"/>
          <w:marBottom w:val="0"/>
          <w:divBdr>
            <w:top w:val="none" w:sz="0" w:space="0" w:color="auto"/>
            <w:left w:val="none" w:sz="0" w:space="0" w:color="auto"/>
            <w:bottom w:val="none" w:sz="0" w:space="0" w:color="auto"/>
            <w:right w:val="none" w:sz="0" w:space="0" w:color="auto"/>
          </w:divBdr>
          <w:divsChild>
            <w:div w:id="261455859">
              <w:marLeft w:val="0"/>
              <w:marRight w:val="0"/>
              <w:marTop w:val="0"/>
              <w:marBottom w:val="0"/>
              <w:divBdr>
                <w:top w:val="none" w:sz="0" w:space="0" w:color="auto"/>
                <w:left w:val="none" w:sz="0" w:space="0" w:color="auto"/>
                <w:bottom w:val="none" w:sz="0" w:space="0" w:color="auto"/>
                <w:right w:val="none" w:sz="0" w:space="0" w:color="auto"/>
              </w:divBdr>
              <w:divsChild>
                <w:div w:id="971323309">
                  <w:marLeft w:val="0"/>
                  <w:marRight w:val="0"/>
                  <w:marTop w:val="0"/>
                  <w:marBottom w:val="0"/>
                  <w:divBdr>
                    <w:top w:val="none" w:sz="0" w:space="0" w:color="auto"/>
                    <w:left w:val="none" w:sz="0" w:space="0" w:color="auto"/>
                    <w:bottom w:val="none" w:sz="0" w:space="0" w:color="auto"/>
                    <w:right w:val="none" w:sz="0" w:space="0" w:color="auto"/>
                  </w:divBdr>
                  <w:divsChild>
                    <w:div w:id="1867523213">
                      <w:marLeft w:val="0"/>
                      <w:marRight w:val="0"/>
                      <w:marTop w:val="0"/>
                      <w:marBottom w:val="0"/>
                      <w:divBdr>
                        <w:top w:val="none" w:sz="0" w:space="0" w:color="auto"/>
                        <w:left w:val="none" w:sz="0" w:space="0" w:color="auto"/>
                        <w:bottom w:val="none" w:sz="0" w:space="0" w:color="auto"/>
                        <w:right w:val="none" w:sz="0" w:space="0" w:color="auto"/>
                      </w:divBdr>
                      <w:divsChild>
                        <w:div w:id="1719430278">
                          <w:marLeft w:val="0"/>
                          <w:marRight w:val="0"/>
                          <w:marTop w:val="0"/>
                          <w:marBottom w:val="0"/>
                          <w:divBdr>
                            <w:top w:val="none" w:sz="0" w:space="0" w:color="auto"/>
                            <w:left w:val="none" w:sz="0" w:space="0" w:color="auto"/>
                            <w:bottom w:val="none" w:sz="0" w:space="0" w:color="auto"/>
                            <w:right w:val="none" w:sz="0" w:space="0" w:color="auto"/>
                          </w:divBdr>
                          <w:divsChild>
                            <w:div w:id="9843005">
                              <w:marLeft w:val="0"/>
                              <w:marRight w:val="0"/>
                              <w:marTop w:val="0"/>
                              <w:marBottom w:val="0"/>
                              <w:divBdr>
                                <w:top w:val="none" w:sz="0" w:space="0" w:color="auto"/>
                                <w:left w:val="none" w:sz="0" w:space="0" w:color="auto"/>
                                <w:bottom w:val="none" w:sz="0" w:space="0" w:color="auto"/>
                                <w:right w:val="none" w:sz="0" w:space="0" w:color="auto"/>
                              </w:divBdr>
                            </w:div>
                            <w:div w:id="120073180">
                              <w:marLeft w:val="0"/>
                              <w:marRight w:val="0"/>
                              <w:marTop w:val="0"/>
                              <w:marBottom w:val="0"/>
                              <w:divBdr>
                                <w:top w:val="none" w:sz="0" w:space="0" w:color="auto"/>
                                <w:left w:val="none" w:sz="0" w:space="0" w:color="auto"/>
                                <w:bottom w:val="none" w:sz="0" w:space="0" w:color="auto"/>
                                <w:right w:val="none" w:sz="0" w:space="0" w:color="auto"/>
                              </w:divBdr>
                            </w:div>
                            <w:div w:id="192576822">
                              <w:marLeft w:val="0"/>
                              <w:marRight w:val="0"/>
                              <w:marTop w:val="0"/>
                              <w:marBottom w:val="0"/>
                              <w:divBdr>
                                <w:top w:val="none" w:sz="0" w:space="0" w:color="auto"/>
                                <w:left w:val="none" w:sz="0" w:space="0" w:color="auto"/>
                                <w:bottom w:val="none" w:sz="0" w:space="0" w:color="auto"/>
                                <w:right w:val="none" w:sz="0" w:space="0" w:color="auto"/>
                              </w:divBdr>
                            </w:div>
                            <w:div w:id="199051641">
                              <w:marLeft w:val="0"/>
                              <w:marRight w:val="0"/>
                              <w:marTop w:val="0"/>
                              <w:marBottom w:val="0"/>
                              <w:divBdr>
                                <w:top w:val="none" w:sz="0" w:space="0" w:color="auto"/>
                                <w:left w:val="none" w:sz="0" w:space="0" w:color="auto"/>
                                <w:bottom w:val="none" w:sz="0" w:space="0" w:color="auto"/>
                                <w:right w:val="none" w:sz="0" w:space="0" w:color="auto"/>
                              </w:divBdr>
                            </w:div>
                            <w:div w:id="449276447">
                              <w:marLeft w:val="0"/>
                              <w:marRight w:val="0"/>
                              <w:marTop w:val="0"/>
                              <w:marBottom w:val="0"/>
                              <w:divBdr>
                                <w:top w:val="none" w:sz="0" w:space="0" w:color="auto"/>
                                <w:left w:val="none" w:sz="0" w:space="0" w:color="auto"/>
                                <w:bottom w:val="none" w:sz="0" w:space="0" w:color="auto"/>
                                <w:right w:val="none" w:sz="0" w:space="0" w:color="auto"/>
                              </w:divBdr>
                            </w:div>
                            <w:div w:id="555823586">
                              <w:marLeft w:val="0"/>
                              <w:marRight w:val="0"/>
                              <w:marTop w:val="0"/>
                              <w:marBottom w:val="0"/>
                              <w:divBdr>
                                <w:top w:val="none" w:sz="0" w:space="0" w:color="auto"/>
                                <w:left w:val="none" w:sz="0" w:space="0" w:color="auto"/>
                                <w:bottom w:val="none" w:sz="0" w:space="0" w:color="auto"/>
                                <w:right w:val="none" w:sz="0" w:space="0" w:color="auto"/>
                              </w:divBdr>
                            </w:div>
                            <w:div w:id="564921102">
                              <w:marLeft w:val="0"/>
                              <w:marRight w:val="0"/>
                              <w:marTop w:val="0"/>
                              <w:marBottom w:val="0"/>
                              <w:divBdr>
                                <w:top w:val="none" w:sz="0" w:space="0" w:color="auto"/>
                                <w:left w:val="none" w:sz="0" w:space="0" w:color="auto"/>
                                <w:bottom w:val="none" w:sz="0" w:space="0" w:color="auto"/>
                                <w:right w:val="none" w:sz="0" w:space="0" w:color="auto"/>
                              </w:divBdr>
                            </w:div>
                            <w:div w:id="603076266">
                              <w:marLeft w:val="0"/>
                              <w:marRight w:val="0"/>
                              <w:marTop w:val="0"/>
                              <w:marBottom w:val="0"/>
                              <w:divBdr>
                                <w:top w:val="none" w:sz="0" w:space="0" w:color="auto"/>
                                <w:left w:val="none" w:sz="0" w:space="0" w:color="auto"/>
                                <w:bottom w:val="none" w:sz="0" w:space="0" w:color="auto"/>
                                <w:right w:val="none" w:sz="0" w:space="0" w:color="auto"/>
                              </w:divBdr>
                            </w:div>
                            <w:div w:id="770861779">
                              <w:marLeft w:val="0"/>
                              <w:marRight w:val="0"/>
                              <w:marTop w:val="0"/>
                              <w:marBottom w:val="0"/>
                              <w:divBdr>
                                <w:top w:val="none" w:sz="0" w:space="0" w:color="auto"/>
                                <w:left w:val="none" w:sz="0" w:space="0" w:color="auto"/>
                                <w:bottom w:val="none" w:sz="0" w:space="0" w:color="auto"/>
                                <w:right w:val="none" w:sz="0" w:space="0" w:color="auto"/>
                              </w:divBdr>
                            </w:div>
                            <w:div w:id="888690091">
                              <w:marLeft w:val="0"/>
                              <w:marRight w:val="0"/>
                              <w:marTop w:val="0"/>
                              <w:marBottom w:val="0"/>
                              <w:divBdr>
                                <w:top w:val="none" w:sz="0" w:space="0" w:color="auto"/>
                                <w:left w:val="none" w:sz="0" w:space="0" w:color="auto"/>
                                <w:bottom w:val="none" w:sz="0" w:space="0" w:color="auto"/>
                                <w:right w:val="none" w:sz="0" w:space="0" w:color="auto"/>
                              </w:divBdr>
                            </w:div>
                            <w:div w:id="946741373">
                              <w:marLeft w:val="0"/>
                              <w:marRight w:val="0"/>
                              <w:marTop w:val="0"/>
                              <w:marBottom w:val="0"/>
                              <w:divBdr>
                                <w:top w:val="none" w:sz="0" w:space="0" w:color="auto"/>
                                <w:left w:val="none" w:sz="0" w:space="0" w:color="auto"/>
                                <w:bottom w:val="none" w:sz="0" w:space="0" w:color="auto"/>
                                <w:right w:val="none" w:sz="0" w:space="0" w:color="auto"/>
                              </w:divBdr>
                            </w:div>
                            <w:div w:id="959340268">
                              <w:marLeft w:val="0"/>
                              <w:marRight w:val="0"/>
                              <w:marTop w:val="0"/>
                              <w:marBottom w:val="0"/>
                              <w:divBdr>
                                <w:top w:val="none" w:sz="0" w:space="0" w:color="auto"/>
                                <w:left w:val="none" w:sz="0" w:space="0" w:color="auto"/>
                                <w:bottom w:val="none" w:sz="0" w:space="0" w:color="auto"/>
                                <w:right w:val="none" w:sz="0" w:space="0" w:color="auto"/>
                              </w:divBdr>
                            </w:div>
                            <w:div w:id="1191186959">
                              <w:marLeft w:val="0"/>
                              <w:marRight w:val="0"/>
                              <w:marTop w:val="0"/>
                              <w:marBottom w:val="0"/>
                              <w:divBdr>
                                <w:top w:val="none" w:sz="0" w:space="0" w:color="auto"/>
                                <w:left w:val="none" w:sz="0" w:space="0" w:color="auto"/>
                                <w:bottom w:val="none" w:sz="0" w:space="0" w:color="auto"/>
                                <w:right w:val="none" w:sz="0" w:space="0" w:color="auto"/>
                              </w:divBdr>
                            </w:div>
                            <w:div w:id="1203442862">
                              <w:marLeft w:val="0"/>
                              <w:marRight w:val="0"/>
                              <w:marTop w:val="0"/>
                              <w:marBottom w:val="0"/>
                              <w:divBdr>
                                <w:top w:val="none" w:sz="0" w:space="0" w:color="auto"/>
                                <w:left w:val="none" w:sz="0" w:space="0" w:color="auto"/>
                                <w:bottom w:val="none" w:sz="0" w:space="0" w:color="auto"/>
                                <w:right w:val="none" w:sz="0" w:space="0" w:color="auto"/>
                              </w:divBdr>
                            </w:div>
                            <w:div w:id="1369643385">
                              <w:marLeft w:val="0"/>
                              <w:marRight w:val="0"/>
                              <w:marTop w:val="0"/>
                              <w:marBottom w:val="0"/>
                              <w:divBdr>
                                <w:top w:val="none" w:sz="0" w:space="0" w:color="auto"/>
                                <w:left w:val="none" w:sz="0" w:space="0" w:color="auto"/>
                                <w:bottom w:val="none" w:sz="0" w:space="0" w:color="auto"/>
                                <w:right w:val="none" w:sz="0" w:space="0" w:color="auto"/>
                              </w:divBdr>
                            </w:div>
                            <w:div w:id="1391343995">
                              <w:marLeft w:val="0"/>
                              <w:marRight w:val="0"/>
                              <w:marTop w:val="0"/>
                              <w:marBottom w:val="0"/>
                              <w:divBdr>
                                <w:top w:val="none" w:sz="0" w:space="0" w:color="auto"/>
                                <w:left w:val="none" w:sz="0" w:space="0" w:color="auto"/>
                                <w:bottom w:val="none" w:sz="0" w:space="0" w:color="auto"/>
                                <w:right w:val="none" w:sz="0" w:space="0" w:color="auto"/>
                              </w:divBdr>
                            </w:div>
                            <w:div w:id="1395350987">
                              <w:marLeft w:val="0"/>
                              <w:marRight w:val="0"/>
                              <w:marTop w:val="0"/>
                              <w:marBottom w:val="0"/>
                              <w:divBdr>
                                <w:top w:val="none" w:sz="0" w:space="0" w:color="auto"/>
                                <w:left w:val="none" w:sz="0" w:space="0" w:color="auto"/>
                                <w:bottom w:val="none" w:sz="0" w:space="0" w:color="auto"/>
                                <w:right w:val="none" w:sz="0" w:space="0" w:color="auto"/>
                              </w:divBdr>
                            </w:div>
                            <w:div w:id="1493369272">
                              <w:marLeft w:val="0"/>
                              <w:marRight w:val="0"/>
                              <w:marTop w:val="0"/>
                              <w:marBottom w:val="0"/>
                              <w:divBdr>
                                <w:top w:val="none" w:sz="0" w:space="0" w:color="auto"/>
                                <w:left w:val="none" w:sz="0" w:space="0" w:color="auto"/>
                                <w:bottom w:val="none" w:sz="0" w:space="0" w:color="auto"/>
                                <w:right w:val="none" w:sz="0" w:space="0" w:color="auto"/>
                              </w:divBdr>
                            </w:div>
                            <w:div w:id="1525052124">
                              <w:marLeft w:val="0"/>
                              <w:marRight w:val="0"/>
                              <w:marTop w:val="0"/>
                              <w:marBottom w:val="0"/>
                              <w:divBdr>
                                <w:top w:val="none" w:sz="0" w:space="0" w:color="auto"/>
                                <w:left w:val="none" w:sz="0" w:space="0" w:color="auto"/>
                                <w:bottom w:val="none" w:sz="0" w:space="0" w:color="auto"/>
                                <w:right w:val="none" w:sz="0" w:space="0" w:color="auto"/>
                              </w:divBdr>
                            </w:div>
                            <w:div w:id="1659458418">
                              <w:marLeft w:val="0"/>
                              <w:marRight w:val="0"/>
                              <w:marTop w:val="0"/>
                              <w:marBottom w:val="0"/>
                              <w:divBdr>
                                <w:top w:val="none" w:sz="0" w:space="0" w:color="auto"/>
                                <w:left w:val="none" w:sz="0" w:space="0" w:color="auto"/>
                                <w:bottom w:val="none" w:sz="0" w:space="0" w:color="auto"/>
                                <w:right w:val="none" w:sz="0" w:space="0" w:color="auto"/>
                              </w:divBdr>
                            </w:div>
                            <w:div w:id="1723560367">
                              <w:marLeft w:val="0"/>
                              <w:marRight w:val="0"/>
                              <w:marTop w:val="0"/>
                              <w:marBottom w:val="0"/>
                              <w:divBdr>
                                <w:top w:val="none" w:sz="0" w:space="0" w:color="auto"/>
                                <w:left w:val="none" w:sz="0" w:space="0" w:color="auto"/>
                                <w:bottom w:val="none" w:sz="0" w:space="0" w:color="auto"/>
                                <w:right w:val="none" w:sz="0" w:space="0" w:color="auto"/>
                              </w:divBdr>
                            </w:div>
                            <w:div w:id="1763378841">
                              <w:marLeft w:val="0"/>
                              <w:marRight w:val="0"/>
                              <w:marTop w:val="0"/>
                              <w:marBottom w:val="0"/>
                              <w:divBdr>
                                <w:top w:val="none" w:sz="0" w:space="0" w:color="auto"/>
                                <w:left w:val="none" w:sz="0" w:space="0" w:color="auto"/>
                                <w:bottom w:val="none" w:sz="0" w:space="0" w:color="auto"/>
                                <w:right w:val="none" w:sz="0" w:space="0" w:color="auto"/>
                              </w:divBdr>
                            </w:div>
                            <w:div w:id="18349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submarinecablemap.com/" TargetMode="External"/><Relationship Id="rId1" Type="http://schemas.openxmlformats.org/officeDocument/2006/relationships/hyperlink" Target="https://www.submarinecablema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5D1FB-DD72-4152-A881-BDCB4D369331}">
  <ds:schemaRefs>
    <ds:schemaRef ds:uri="http://schemas.microsoft.com/sharepoint/v3/contenttype/forms"/>
  </ds:schemaRefs>
</ds:datastoreItem>
</file>

<file path=customXml/itemProps2.xml><?xml version="1.0" encoding="utf-8"?>
<ds:datastoreItem xmlns:ds="http://schemas.openxmlformats.org/officeDocument/2006/customXml" ds:itemID="{D87C0E56-7157-472B-B654-64F6A605F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1F07B4-45ED-4A12-8D7A-4F7943B681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69255A-039D-405F-8143-6BEA6760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30</Pages>
  <Words>8449</Words>
  <Characters>46473</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Uriel Salinas Morales</dc:creator>
  <cp:keywords/>
  <dc:description/>
  <cp:lastModifiedBy>Maria del Consuelo Gonzalez Moreno</cp:lastModifiedBy>
  <cp:revision>12</cp:revision>
  <cp:lastPrinted>2017-09-26T21:49:00Z</cp:lastPrinted>
  <dcterms:created xsi:type="dcterms:W3CDTF">2017-09-26T20:58:00Z</dcterms:created>
  <dcterms:modified xsi:type="dcterms:W3CDTF">2017-10-18T00:39:00Z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