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2FA" w:rsidRPr="00644EFB" w:rsidRDefault="00EE12FA" w:rsidP="00EE12FA">
      <w:pPr>
        <w:pStyle w:val="Ttulo1"/>
        <w:spacing w:before="40" w:after="240" w:line="240" w:lineRule="auto"/>
        <w:rPr>
          <w:color w:val="000000" w:themeColor="text1"/>
        </w:rPr>
      </w:pPr>
      <w:r w:rsidRPr="00644EFB">
        <w:rPr>
          <w:color w:val="000000" w:themeColor="text1"/>
        </w:rPr>
        <w:t xml:space="preserve">VERSIÓN PÚBLICA DEL ACUERDO </w:t>
      </w:r>
      <w:r w:rsidRPr="00EE12FA">
        <w:rPr>
          <w:color w:val="000000" w:themeColor="text1"/>
        </w:rPr>
        <w:t>P/IFT/181017/651</w:t>
      </w:r>
    </w:p>
    <w:p w:rsidR="00EE12FA" w:rsidRPr="005B4B17" w:rsidRDefault="00EE12FA" w:rsidP="00EE12FA">
      <w:pPr>
        <w:pStyle w:val="Textoindependiente"/>
        <w:spacing w:after="0" w:line="360" w:lineRule="auto"/>
        <w:jc w:val="center"/>
        <w:rPr>
          <w:rFonts w:ascii="ITC Avant Garde" w:hAnsi="ITC Avant Garde"/>
          <w:b/>
          <w:sz w:val="20"/>
          <w:szCs w:val="20"/>
        </w:rPr>
      </w:pPr>
      <w:r w:rsidRPr="005B4B17">
        <w:rPr>
          <w:rFonts w:ascii="ITC Avant Garde" w:hAnsi="ITC Avant Garde"/>
          <w:b/>
          <w:sz w:val="20"/>
          <w:szCs w:val="20"/>
        </w:rPr>
        <w:t>DE LA SESIÓN DEL PLENO DEL INSTITUTO FEDERAL</w:t>
      </w:r>
      <w:r>
        <w:rPr>
          <w:rFonts w:ascii="ITC Avant Garde" w:hAnsi="ITC Avant Garde"/>
          <w:b/>
          <w:sz w:val="20"/>
          <w:szCs w:val="20"/>
        </w:rPr>
        <w:t xml:space="preserve"> DE TELECOMUNICACIONES EN SU </w:t>
      </w:r>
      <w:r w:rsidRPr="00D44A15">
        <w:rPr>
          <w:rFonts w:ascii="ITC Avant Garde" w:hAnsi="ITC Avant Garde"/>
          <w:b/>
          <w:sz w:val="20"/>
          <w:szCs w:val="20"/>
        </w:rPr>
        <w:t>XLI</w:t>
      </w:r>
      <w:r>
        <w:rPr>
          <w:rFonts w:ascii="ITC Avant Garde" w:hAnsi="ITC Avant Garde"/>
          <w:b/>
          <w:sz w:val="20"/>
          <w:szCs w:val="20"/>
        </w:rPr>
        <w:t xml:space="preserve"> </w:t>
      </w:r>
      <w:r w:rsidRPr="00BD2557">
        <w:rPr>
          <w:rFonts w:ascii="ITC Avant Garde" w:hAnsi="ITC Avant Garde"/>
          <w:b/>
          <w:sz w:val="20"/>
          <w:szCs w:val="20"/>
        </w:rPr>
        <w:t>SESIÓN ORDINARIA DEL 201</w:t>
      </w:r>
      <w:r>
        <w:rPr>
          <w:rFonts w:ascii="ITC Avant Garde" w:hAnsi="ITC Avant Garde"/>
          <w:b/>
          <w:sz w:val="20"/>
          <w:szCs w:val="20"/>
        </w:rPr>
        <w:t>7</w:t>
      </w:r>
      <w:r w:rsidRPr="00BD2557">
        <w:rPr>
          <w:rFonts w:ascii="ITC Avant Garde" w:hAnsi="ITC Avant Garde"/>
          <w:b/>
          <w:sz w:val="20"/>
          <w:szCs w:val="20"/>
        </w:rPr>
        <w:t xml:space="preserve">, CELEBRADA EL </w:t>
      </w:r>
      <w:r>
        <w:rPr>
          <w:rFonts w:ascii="ITC Avant Garde" w:hAnsi="ITC Avant Garde"/>
          <w:b/>
          <w:sz w:val="20"/>
          <w:szCs w:val="20"/>
        </w:rPr>
        <w:t>18</w:t>
      </w:r>
      <w:r w:rsidRPr="00BD2557">
        <w:rPr>
          <w:rFonts w:ascii="ITC Avant Garde" w:hAnsi="ITC Avant Garde"/>
          <w:b/>
          <w:sz w:val="20"/>
          <w:szCs w:val="20"/>
        </w:rPr>
        <w:t xml:space="preserve"> DE </w:t>
      </w:r>
      <w:r>
        <w:rPr>
          <w:rFonts w:ascii="ITC Avant Garde" w:hAnsi="ITC Avant Garde"/>
          <w:b/>
          <w:sz w:val="20"/>
          <w:szCs w:val="20"/>
        </w:rPr>
        <w:t>OCTUBRE</w:t>
      </w:r>
      <w:r w:rsidRPr="00BD2557">
        <w:rPr>
          <w:rFonts w:ascii="ITC Avant Garde" w:hAnsi="ITC Avant Garde"/>
          <w:b/>
          <w:sz w:val="20"/>
          <w:szCs w:val="20"/>
        </w:rPr>
        <w:t xml:space="preserve"> DE 2017</w:t>
      </w:r>
      <w:r>
        <w:rPr>
          <w:rFonts w:ascii="ITC Avant Garde" w:hAnsi="ITC Avant Garde"/>
          <w:b/>
          <w:sz w:val="20"/>
          <w:szCs w:val="20"/>
        </w:rPr>
        <w:t>.</w:t>
      </w:r>
    </w:p>
    <w:p w:rsidR="00EE12FA" w:rsidRPr="00644EFB" w:rsidRDefault="00EE12FA" w:rsidP="00EE12FA">
      <w:pPr>
        <w:pStyle w:val="Ttulo2"/>
        <w:spacing w:before="360" w:line="360" w:lineRule="auto"/>
        <w:contextualSpacing/>
        <w:jc w:val="center"/>
        <w:rPr>
          <w:rFonts w:eastAsia="Arial" w:cs="Arial"/>
          <w:b w:val="0"/>
          <w:color w:val="000000"/>
          <w:sz w:val="21"/>
          <w:szCs w:val="21"/>
          <w:lang w:eastAsia="es-MX"/>
        </w:rPr>
      </w:pPr>
      <w:r w:rsidRPr="00644EFB">
        <w:rPr>
          <w:rFonts w:eastAsia="Arial" w:cs="Arial"/>
          <w:color w:val="000000"/>
          <w:sz w:val="21"/>
          <w:szCs w:val="21"/>
          <w:lang w:eastAsia="es-MX"/>
        </w:rPr>
        <w:t>LEYENDA DE LA CLASIFICACIÓN</w:t>
      </w:r>
    </w:p>
    <w:p w:rsidR="00EE12FA" w:rsidRPr="00A25064" w:rsidRDefault="00EE12FA" w:rsidP="00EE12FA">
      <w:pPr>
        <w:pStyle w:val="Textoindependiente"/>
        <w:spacing w:after="0" w:line="360" w:lineRule="auto"/>
        <w:jc w:val="both"/>
        <w:rPr>
          <w:rFonts w:ascii="ITC Avant Garde" w:eastAsia="Times New Roman" w:hAnsi="ITC Avant Garde"/>
          <w:bCs/>
          <w:color w:val="000000"/>
          <w:sz w:val="19"/>
          <w:szCs w:val="19"/>
          <w:lang w:eastAsia="es-MX"/>
        </w:rPr>
      </w:pPr>
      <w:r w:rsidRPr="00191470">
        <w:rPr>
          <w:rFonts w:ascii="ITC Avant Garde" w:eastAsia="Times New Roman" w:hAnsi="ITC Avant Garde"/>
          <w:b/>
          <w:bCs/>
          <w:color w:val="000000"/>
          <w:sz w:val="20"/>
          <w:szCs w:val="20"/>
          <w:lang w:eastAsia="es-MX"/>
        </w:rPr>
        <w:t>F</w:t>
      </w:r>
      <w:r w:rsidRPr="00A25064">
        <w:rPr>
          <w:rFonts w:ascii="ITC Avant Garde" w:eastAsia="Times New Roman" w:hAnsi="ITC Avant Garde"/>
          <w:b/>
          <w:bCs/>
          <w:color w:val="000000"/>
          <w:sz w:val="19"/>
          <w:szCs w:val="19"/>
          <w:lang w:eastAsia="es-MX"/>
        </w:rPr>
        <w:t>echa de Clasificación:</w:t>
      </w:r>
      <w:r w:rsidRPr="00A25064">
        <w:rPr>
          <w:rFonts w:ascii="ITC Avant Garde" w:eastAsia="Times New Roman" w:hAnsi="ITC Avant Garde"/>
          <w:bCs/>
          <w:color w:val="000000"/>
          <w:sz w:val="19"/>
          <w:szCs w:val="19"/>
          <w:lang w:eastAsia="es-MX"/>
        </w:rPr>
        <w:t xml:space="preserve"> </w:t>
      </w:r>
      <w:r>
        <w:rPr>
          <w:rFonts w:ascii="ITC Avant Garde" w:hAnsi="ITC Avant Garde"/>
          <w:sz w:val="19"/>
          <w:szCs w:val="19"/>
        </w:rPr>
        <w:t>18</w:t>
      </w:r>
      <w:r w:rsidRPr="00A25064">
        <w:rPr>
          <w:rFonts w:ascii="ITC Avant Garde" w:hAnsi="ITC Avant Garde"/>
          <w:sz w:val="19"/>
          <w:szCs w:val="19"/>
        </w:rPr>
        <w:t xml:space="preserve"> de </w:t>
      </w:r>
      <w:r>
        <w:rPr>
          <w:rFonts w:ascii="ITC Avant Garde" w:hAnsi="ITC Avant Garde"/>
          <w:sz w:val="19"/>
          <w:szCs w:val="19"/>
        </w:rPr>
        <w:t>octubre</w:t>
      </w:r>
      <w:r w:rsidRPr="00A25064">
        <w:rPr>
          <w:rFonts w:ascii="ITC Avant Garde" w:hAnsi="ITC Avant Garde"/>
          <w:sz w:val="19"/>
          <w:szCs w:val="19"/>
        </w:rPr>
        <w:t xml:space="preserve"> de 2017</w:t>
      </w:r>
      <w:r w:rsidRPr="00A25064">
        <w:rPr>
          <w:rFonts w:ascii="ITC Avant Garde" w:eastAsia="Times New Roman" w:hAnsi="ITC Avant Garde"/>
          <w:bCs/>
          <w:color w:val="000000"/>
          <w:sz w:val="19"/>
          <w:szCs w:val="19"/>
          <w:lang w:eastAsia="es-MX"/>
        </w:rPr>
        <w:t xml:space="preserve">. </w:t>
      </w:r>
    </w:p>
    <w:p w:rsidR="00EE12FA" w:rsidRPr="00A25064" w:rsidRDefault="00EE12FA" w:rsidP="00EE12FA">
      <w:pPr>
        <w:pStyle w:val="Textoindependiente"/>
        <w:spacing w:after="0" w:line="360" w:lineRule="auto"/>
        <w:jc w:val="both"/>
        <w:rPr>
          <w:rFonts w:ascii="ITC Avant Garde" w:hAnsi="ITC Avant Garde"/>
          <w:sz w:val="19"/>
          <w:szCs w:val="19"/>
        </w:rPr>
      </w:pPr>
      <w:r w:rsidRPr="00A25064">
        <w:rPr>
          <w:rFonts w:ascii="ITC Avant Garde" w:eastAsia="Times New Roman" w:hAnsi="ITC Avant Garde"/>
          <w:b/>
          <w:bCs/>
          <w:color w:val="000000"/>
          <w:sz w:val="19"/>
          <w:szCs w:val="19"/>
          <w:lang w:eastAsia="es-MX"/>
        </w:rPr>
        <w:t>Unidad Administrativa:</w:t>
      </w:r>
      <w:r w:rsidRPr="00A25064">
        <w:rPr>
          <w:rFonts w:ascii="ITC Avant Garde" w:eastAsia="Times New Roman" w:hAnsi="ITC Avant Garde"/>
          <w:bCs/>
          <w:color w:val="000000"/>
          <w:sz w:val="19"/>
          <w:szCs w:val="19"/>
          <w:lang w:eastAsia="es-MX"/>
        </w:rPr>
        <w:t xml:space="preserve"> </w:t>
      </w:r>
      <w:r w:rsidRPr="00A25064">
        <w:rPr>
          <w:rFonts w:ascii="ITC Avant Garde" w:hAnsi="ITC Avant Garde"/>
          <w:sz w:val="19"/>
          <w:szCs w:val="19"/>
        </w:rPr>
        <w:t>Secretaría Técnica del Pleno.</w:t>
      </w:r>
    </w:p>
    <w:p w:rsidR="00EE12FA" w:rsidRPr="00A25064" w:rsidRDefault="00EE12FA" w:rsidP="00EE12FA">
      <w:pPr>
        <w:pStyle w:val="Textoindependiente"/>
        <w:spacing w:after="0" w:line="360" w:lineRule="auto"/>
        <w:jc w:val="both"/>
        <w:rPr>
          <w:rFonts w:ascii="ITC Avant Garde" w:hAnsi="ITC Avant Garde"/>
          <w:sz w:val="19"/>
          <w:szCs w:val="19"/>
        </w:rPr>
      </w:pPr>
      <w:r w:rsidRPr="00A25064">
        <w:rPr>
          <w:rFonts w:ascii="ITC Avant Garde" w:hAnsi="ITC Avant Garde"/>
          <w:b/>
          <w:sz w:val="19"/>
          <w:szCs w:val="19"/>
        </w:rPr>
        <w:t>Clasificación:</w:t>
      </w:r>
      <w:r w:rsidRPr="00A25064">
        <w:rPr>
          <w:rFonts w:ascii="ITC Avant Garde" w:hAnsi="ITC Avant Garde"/>
          <w:sz w:val="19"/>
          <w:szCs w:val="19"/>
        </w:rPr>
        <w:t xml:space="preserve"> Confidencial, de conformidad con los artículos 72, fracción V, inciso c), 98, fracción III y 104 de la Ley Federal de Transparencia y Acceso a la Información Pública (“LFTAIP”); 106, 107 y 110 de la Ley General de Transparencia y Acceso a la Información Pública ("LGTAIP”); así como el Lineamiento Séptimo, fracción III, Quincuagésimo Primero al Cuarto, Sexagésimo y Sexagésimo Primero de los Lineamientos Generales en materia de Clasificación y Desclasificación de la Información, </w:t>
      </w:r>
      <w:r w:rsidRPr="00EE12FA">
        <w:rPr>
          <w:rFonts w:ascii="ITC Avant Garde" w:hAnsi="ITC Avant Garde"/>
          <w:sz w:val="19"/>
          <w:szCs w:val="19"/>
        </w:rPr>
        <w:t>así como la versión pública elaborada por la Dirección Jurídica de Concentraciones adscrita a la Unidad de Competencia Económica y remitida mediante correo electrónico de fecha 7 de noviembre de 2017</w:t>
      </w:r>
      <w:r w:rsidRPr="00A25064">
        <w:rPr>
          <w:rFonts w:ascii="ITC Avant Garde" w:hAnsi="ITC Avant Garde"/>
          <w:sz w:val="19"/>
          <w:szCs w:val="19"/>
        </w:rPr>
        <w:t>.</w:t>
      </w:r>
    </w:p>
    <w:p w:rsidR="00EE12FA" w:rsidRPr="00A25064" w:rsidRDefault="00EE12FA" w:rsidP="00EE12FA">
      <w:pPr>
        <w:pStyle w:val="Textoindependiente"/>
        <w:spacing w:after="0" w:line="360" w:lineRule="auto"/>
        <w:jc w:val="both"/>
        <w:rPr>
          <w:rFonts w:ascii="ITC Avant Garde" w:eastAsia="Times New Roman" w:hAnsi="ITC Avant Garde"/>
          <w:bCs/>
          <w:color w:val="000000"/>
          <w:sz w:val="19"/>
          <w:szCs w:val="19"/>
          <w:lang w:eastAsia="es-MX"/>
        </w:rPr>
      </w:pPr>
      <w:r w:rsidRPr="00A25064">
        <w:rPr>
          <w:rFonts w:ascii="ITC Avant Garde" w:eastAsia="Times New Roman" w:hAnsi="ITC Avant Garde"/>
          <w:b/>
          <w:bCs/>
          <w:color w:val="000000"/>
          <w:sz w:val="19"/>
          <w:szCs w:val="19"/>
          <w:lang w:eastAsia="es-MX"/>
        </w:rPr>
        <w:t>Núm. de Resolución:</w:t>
      </w:r>
      <w:r w:rsidRPr="00A25064">
        <w:rPr>
          <w:rFonts w:ascii="ITC Avant Garde" w:eastAsia="Times New Roman" w:hAnsi="ITC Avant Garde"/>
          <w:bCs/>
          <w:color w:val="000000"/>
          <w:sz w:val="19"/>
          <w:szCs w:val="19"/>
          <w:lang w:eastAsia="es-MX"/>
        </w:rPr>
        <w:t xml:space="preserve"> </w:t>
      </w:r>
      <w:r w:rsidRPr="00EE12FA">
        <w:rPr>
          <w:rFonts w:ascii="ITC Avant Garde" w:hAnsi="ITC Avant Garde"/>
          <w:sz w:val="19"/>
          <w:szCs w:val="19"/>
        </w:rPr>
        <w:t>P/IFT/181017/651</w:t>
      </w:r>
      <w:r w:rsidRPr="00A25064">
        <w:rPr>
          <w:rFonts w:ascii="ITC Avant Garde" w:hAnsi="ITC Avant Garde"/>
          <w:sz w:val="19"/>
          <w:szCs w:val="19"/>
        </w:rPr>
        <w:t>.</w:t>
      </w:r>
    </w:p>
    <w:p w:rsidR="00EE12FA" w:rsidRPr="00A25064" w:rsidRDefault="00EE12FA" w:rsidP="00EE12FA">
      <w:pPr>
        <w:pStyle w:val="Textoindependiente"/>
        <w:spacing w:after="0" w:line="360" w:lineRule="auto"/>
        <w:jc w:val="both"/>
        <w:rPr>
          <w:rFonts w:ascii="ITC Avant Garde" w:eastAsia="Times New Roman" w:hAnsi="ITC Avant Garde"/>
          <w:bCs/>
          <w:color w:val="000000"/>
          <w:sz w:val="19"/>
          <w:szCs w:val="19"/>
          <w:lang w:eastAsia="es-MX"/>
        </w:rPr>
      </w:pPr>
      <w:r w:rsidRPr="00A25064">
        <w:rPr>
          <w:rFonts w:ascii="ITC Avant Garde" w:eastAsia="Times New Roman" w:hAnsi="ITC Avant Garde"/>
          <w:b/>
          <w:bCs/>
          <w:color w:val="000000"/>
          <w:sz w:val="19"/>
          <w:szCs w:val="19"/>
          <w:lang w:eastAsia="es-MX"/>
        </w:rPr>
        <w:t>Descripción del asunto:</w:t>
      </w:r>
      <w:r w:rsidRPr="00A25064">
        <w:rPr>
          <w:rFonts w:ascii="ITC Avant Garde" w:eastAsia="Times New Roman" w:hAnsi="ITC Avant Garde"/>
          <w:bCs/>
          <w:color w:val="000000"/>
          <w:sz w:val="19"/>
          <w:szCs w:val="19"/>
          <w:lang w:eastAsia="es-MX"/>
        </w:rPr>
        <w:t xml:space="preserve"> </w:t>
      </w:r>
      <w:r w:rsidRPr="00EE12FA">
        <w:rPr>
          <w:rFonts w:ascii="ITC Avant Garde" w:hAnsi="ITC Avant Garde"/>
          <w:sz w:val="19"/>
          <w:szCs w:val="19"/>
        </w:rPr>
        <w:t xml:space="preserve">Resolución mediante la cual el Pleno del Instituto Federal de Telecomunicaciones autoriza la Concentración radicada bajo el expediente No. UCE/CNC-002-2017, notificada por Axtel, S.A.B. de C.V. y </w:t>
      </w:r>
      <w:proofErr w:type="spellStart"/>
      <w:r w:rsidRPr="00EE12FA">
        <w:rPr>
          <w:rFonts w:ascii="ITC Avant Garde" w:hAnsi="ITC Avant Garde"/>
          <w:sz w:val="19"/>
          <w:szCs w:val="19"/>
        </w:rPr>
        <w:t>Matc</w:t>
      </w:r>
      <w:proofErr w:type="spellEnd"/>
      <w:r w:rsidRPr="00EE12FA">
        <w:rPr>
          <w:rFonts w:ascii="ITC Avant Garde" w:hAnsi="ITC Avant Garde"/>
          <w:sz w:val="19"/>
          <w:szCs w:val="19"/>
        </w:rPr>
        <w:t xml:space="preserve"> Digital, S. de R.L. de C.V.</w:t>
      </w:r>
    </w:p>
    <w:p w:rsidR="00EE12FA" w:rsidRPr="00A25064" w:rsidRDefault="00EE12FA" w:rsidP="00EE12FA">
      <w:pPr>
        <w:pStyle w:val="Textoindependiente"/>
        <w:spacing w:after="0" w:line="360" w:lineRule="auto"/>
        <w:jc w:val="both"/>
        <w:rPr>
          <w:rFonts w:ascii="ITC Avant Garde" w:hAnsi="ITC Avant Garde"/>
          <w:sz w:val="19"/>
          <w:szCs w:val="19"/>
        </w:rPr>
      </w:pPr>
      <w:r w:rsidRPr="00A25064">
        <w:rPr>
          <w:rFonts w:ascii="ITC Avant Garde" w:eastAsia="Times New Roman" w:hAnsi="ITC Avant Garde"/>
          <w:b/>
          <w:bCs/>
          <w:color w:val="000000"/>
          <w:sz w:val="19"/>
          <w:szCs w:val="19"/>
          <w:lang w:eastAsia="es-MX"/>
        </w:rPr>
        <w:t>Fundamento legal:</w:t>
      </w:r>
      <w:r w:rsidRPr="00A25064">
        <w:rPr>
          <w:rFonts w:ascii="ITC Avant Garde" w:eastAsia="Times New Roman" w:hAnsi="ITC Avant Garde"/>
          <w:bCs/>
          <w:color w:val="000000"/>
          <w:sz w:val="19"/>
          <w:szCs w:val="19"/>
          <w:lang w:eastAsia="es-MX"/>
        </w:rPr>
        <w:t xml:space="preserve"> </w:t>
      </w:r>
      <w:r w:rsidRPr="00EE12FA">
        <w:rPr>
          <w:rFonts w:ascii="ITC Avant Garde" w:hAnsi="ITC Avant Garde"/>
          <w:sz w:val="19"/>
          <w:szCs w:val="19"/>
        </w:rPr>
        <w:t>Confidencial, de conformidad con los artículos 3, fracción IX, 124 y 125 de la Ley Federal de Competencia Económica; así como el artículo 113, fracción I y III de la “LFTAIP” publicada en el Diario Oficial de la Federación (DOF) el 9 de mayo de 2016; el artículo 116 de la “LGTAIP”, publicada en el DOF el 4 de mayo de 2015; y los Lineamientos Trigésimo Octavo, fracción I y II, y Cuadragésimo, fracción I y II de los “LCCDIEVP”, publicados en el DOF el 15 de abril de 2016.</w:t>
      </w:r>
    </w:p>
    <w:p w:rsidR="00EE12FA" w:rsidRPr="00A25064" w:rsidRDefault="00EE12FA" w:rsidP="00EE12FA">
      <w:pPr>
        <w:pStyle w:val="Textoindependiente"/>
        <w:spacing w:after="0" w:line="360" w:lineRule="auto"/>
        <w:jc w:val="both"/>
        <w:rPr>
          <w:rFonts w:ascii="ITC Avant Garde" w:eastAsia="Times New Roman" w:hAnsi="ITC Avant Garde"/>
          <w:bCs/>
          <w:color w:val="000000"/>
          <w:sz w:val="19"/>
          <w:szCs w:val="19"/>
          <w:lang w:eastAsia="es-MX"/>
        </w:rPr>
      </w:pPr>
      <w:r w:rsidRPr="00A25064">
        <w:rPr>
          <w:rFonts w:ascii="ITC Avant Garde" w:eastAsia="Times New Roman" w:hAnsi="ITC Avant Garde"/>
          <w:b/>
          <w:bCs/>
          <w:color w:val="000000"/>
          <w:sz w:val="19"/>
          <w:szCs w:val="19"/>
          <w:lang w:eastAsia="es-MX"/>
        </w:rPr>
        <w:t>Motivación:</w:t>
      </w:r>
      <w:r w:rsidRPr="00A25064">
        <w:rPr>
          <w:rFonts w:ascii="ITC Avant Garde" w:eastAsia="Times New Roman" w:hAnsi="ITC Avant Garde"/>
          <w:bCs/>
          <w:color w:val="000000"/>
          <w:sz w:val="19"/>
          <w:szCs w:val="19"/>
          <w:lang w:eastAsia="es-MX"/>
        </w:rPr>
        <w:t xml:space="preserve"> </w:t>
      </w:r>
      <w:r w:rsidRPr="00EE12FA">
        <w:rPr>
          <w:rFonts w:ascii="ITC Avant Garde" w:hAnsi="ITC Avant Garde"/>
          <w:sz w:val="19"/>
          <w:szCs w:val="19"/>
        </w:rPr>
        <w:t>Contiene datos personales concernientes a una persona identificada o identificable, información que corresponde patrimonio de personas físicas y/o morales, hechos y actos de carácter económico, contable, jurídico o administrativo que pudieran ser útiles a los competidores, así como información presentada con carácter Confidencial por los particulares.</w:t>
      </w:r>
    </w:p>
    <w:p w:rsidR="00EE12FA" w:rsidRPr="00A25064" w:rsidRDefault="00EE12FA" w:rsidP="00EE12FA">
      <w:pPr>
        <w:pStyle w:val="Textoindependiente"/>
        <w:spacing w:after="0" w:line="360" w:lineRule="auto"/>
        <w:jc w:val="both"/>
        <w:rPr>
          <w:rFonts w:ascii="ITC Avant Garde" w:eastAsia="Times New Roman" w:hAnsi="ITC Avant Garde"/>
          <w:bCs/>
          <w:color w:val="000000"/>
          <w:sz w:val="19"/>
          <w:szCs w:val="19"/>
          <w:lang w:eastAsia="es-MX"/>
        </w:rPr>
      </w:pPr>
      <w:r w:rsidRPr="00A25064">
        <w:rPr>
          <w:rFonts w:ascii="ITC Avant Garde" w:eastAsia="Times New Roman" w:hAnsi="ITC Avant Garde"/>
          <w:b/>
          <w:bCs/>
          <w:color w:val="000000"/>
          <w:sz w:val="19"/>
          <w:szCs w:val="19"/>
          <w:lang w:eastAsia="es-MX"/>
        </w:rPr>
        <w:t>Secciones Confidenciales:</w:t>
      </w:r>
      <w:r w:rsidRPr="00A25064">
        <w:rPr>
          <w:rFonts w:ascii="ITC Avant Garde" w:eastAsia="Times New Roman" w:hAnsi="ITC Avant Garde"/>
          <w:bCs/>
          <w:color w:val="000000"/>
          <w:sz w:val="19"/>
          <w:szCs w:val="19"/>
          <w:lang w:eastAsia="es-MX"/>
        </w:rPr>
        <w:t xml:space="preserve"> Las secciones marcadas en color azul con la inscripción que dice </w:t>
      </w:r>
      <w:r w:rsidRPr="00A25064">
        <w:rPr>
          <w:rFonts w:ascii="ITC Avant Garde" w:eastAsia="Times New Roman" w:hAnsi="ITC Avant Garde"/>
          <w:b/>
          <w:bCs/>
          <w:color w:val="0000CC"/>
          <w:sz w:val="19"/>
          <w:szCs w:val="19"/>
          <w:lang w:eastAsia="es-MX"/>
        </w:rPr>
        <w:t>“CONFIDENCIAL POR LEY”</w:t>
      </w:r>
      <w:r w:rsidRPr="00A25064">
        <w:rPr>
          <w:rFonts w:ascii="ITC Avant Garde" w:eastAsia="Times New Roman" w:hAnsi="ITC Avant Garde"/>
          <w:bCs/>
          <w:color w:val="000000"/>
          <w:sz w:val="19"/>
          <w:szCs w:val="19"/>
          <w:lang w:eastAsia="es-MX"/>
        </w:rPr>
        <w:t>.</w:t>
      </w:r>
    </w:p>
    <w:p w:rsidR="00EE12FA" w:rsidRPr="00A25064" w:rsidRDefault="00EE12FA" w:rsidP="00EE12FA">
      <w:pPr>
        <w:pStyle w:val="Textoindependiente"/>
        <w:spacing w:after="0" w:line="360" w:lineRule="auto"/>
        <w:jc w:val="both"/>
        <w:rPr>
          <w:rFonts w:ascii="ITC Avant Garde" w:eastAsia="Times New Roman" w:hAnsi="ITC Avant Garde"/>
          <w:bCs/>
          <w:color w:val="000000"/>
          <w:sz w:val="19"/>
          <w:szCs w:val="19"/>
          <w:lang w:eastAsia="es-MX"/>
        </w:rPr>
        <w:sectPr w:rsidR="00EE12FA" w:rsidRPr="00A25064" w:rsidSect="00EE12FA">
          <w:headerReference w:type="even" r:id="rId11"/>
          <w:footerReference w:type="default" r:id="rId12"/>
          <w:headerReference w:type="first" r:id="rId13"/>
          <w:pgSz w:w="12240" w:h="15840"/>
          <w:pgMar w:top="2127" w:right="1750" w:bottom="1418" w:left="1701" w:header="709" w:footer="992" w:gutter="0"/>
          <w:cols w:space="708"/>
          <w:docGrid w:linePitch="360"/>
        </w:sectPr>
      </w:pPr>
      <w:r>
        <w:rPr>
          <w:rFonts w:ascii="ITC Avant Garde" w:eastAsia="Times New Roman" w:hAnsi="ITC Avant Garde"/>
          <w:bCs/>
          <w:color w:val="000000"/>
          <w:sz w:val="19"/>
          <w:szCs w:val="19"/>
          <w:lang w:eastAsia="es-MX"/>
        </w:rPr>
        <w:t>Fin de la L</w:t>
      </w:r>
      <w:r w:rsidRPr="00A25064">
        <w:rPr>
          <w:rFonts w:ascii="ITC Avant Garde" w:eastAsia="Times New Roman" w:hAnsi="ITC Avant Garde"/>
          <w:bCs/>
          <w:color w:val="000000"/>
          <w:sz w:val="19"/>
          <w:szCs w:val="19"/>
          <w:lang w:eastAsia="es-MX"/>
        </w:rPr>
        <w:t>eyenda.</w:t>
      </w:r>
    </w:p>
    <w:p w:rsidR="007177DE" w:rsidRPr="007D02A7" w:rsidRDefault="00201B5C" w:rsidP="00637B96">
      <w:pPr>
        <w:pStyle w:val="Ttulo1"/>
        <w:spacing w:after="0" w:line="240" w:lineRule="auto"/>
        <w:ind w:left="0" w:firstLine="0"/>
        <w:jc w:val="both"/>
      </w:pPr>
      <w:r w:rsidRPr="007D02A7">
        <w:lastRenderedPageBreak/>
        <w:t>R</w:t>
      </w:r>
      <w:r w:rsidR="008A39CF" w:rsidRPr="007D02A7">
        <w:t xml:space="preserve">ESOLUCIÓN </w:t>
      </w:r>
      <w:r w:rsidR="0081664A" w:rsidRPr="007D02A7">
        <w:t xml:space="preserve">MEDIANTE LA CUAL </w:t>
      </w:r>
      <w:r w:rsidR="008A39CF" w:rsidRPr="007D02A7">
        <w:t xml:space="preserve">EL PLENO DEL INSTITUTO FEDERAL DE TELECOMUNICACIONES </w:t>
      </w:r>
      <w:r w:rsidR="00B533FF" w:rsidRPr="007D02A7">
        <w:t xml:space="preserve">AUTORIZA </w:t>
      </w:r>
      <w:r w:rsidR="008A39CF" w:rsidRPr="007D02A7">
        <w:t>LA CONCENTRACIÓN</w:t>
      </w:r>
      <w:r w:rsidR="005632CB" w:rsidRPr="007D02A7">
        <w:t xml:space="preserve"> </w:t>
      </w:r>
      <w:r w:rsidR="008A39CF" w:rsidRPr="007D02A7">
        <w:t>RADICADA BAJO EL EXPEDIENTE NO. UCE/CNC-00</w:t>
      </w:r>
      <w:r w:rsidR="005632CB" w:rsidRPr="007D02A7">
        <w:t>2</w:t>
      </w:r>
      <w:r w:rsidR="008A39CF" w:rsidRPr="007D02A7">
        <w:t>-201</w:t>
      </w:r>
      <w:r w:rsidR="005632CB" w:rsidRPr="007D02A7">
        <w:t>7</w:t>
      </w:r>
      <w:r w:rsidR="00735AA9" w:rsidRPr="007D02A7">
        <w:t xml:space="preserve">, </w:t>
      </w:r>
      <w:r w:rsidR="00A13AF4" w:rsidRPr="007D02A7">
        <w:t xml:space="preserve">NOTIFICADA POR </w:t>
      </w:r>
      <w:r w:rsidR="005632CB" w:rsidRPr="007D02A7">
        <w:t>AXTEL</w:t>
      </w:r>
      <w:r w:rsidR="002C32E9" w:rsidRPr="007D02A7">
        <w:t>, S.A.</w:t>
      </w:r>
      <w:r w:rsidR="005632CB" w:rsidRPr="007D02A7">
        <w:t>B.</w:t>
      </w:r>
      <w:r w:rsidR="002C32E9" w:rsidRPr="007D02A7">
        <w:t xml:space="preserve"> DE C.V.</w:t>
      </w:r>
      <w:r w:rsidR="005632CB" w:rsidRPr="007D02A7">
        <w:t xml:space="preserve"> Y MATC DIGITAL, S. DE R.L.</w:t>
      </w:r>
      <w:r w:rsidR="002C32E9" w:rsidRPr="007D02A7">
        <w:t xml:space="preserve"> DE C.V.</w:t>
      </w:r>
    </w:p>
    <w:p w:rsidR="008A39CF" w:rsidRPr="007D02A7" w:rsidRDefault="008A39CF" w:rsidP="00D9223F">
      <w:pPr>
        <w:pStyle w:val="Ttulo2"/>
        <w:jc w:val="center"/>
        <w:rPr>
          <w:rStyle w:val="NormalIFTCar"/>
          <w:rFonts w:eastAsia="Calibri"/>
          <w:bCs w:val="0"/>
          <w:color w:val="auto"/>
          <w:sz w:val="22"/>
          <w:szCs w:val="22"/>
          <w:lang w:val="es-MX"/>
        </w:rPr>
      </w:pPr>
      <w:bookmarkStart w:id="0" w:name="_Toc435697300"/>
      <w:bookmarkStart w:id="1" w:name="_Toc435697376"/>
      <w:r w:rsidRPr="007D02A7">
        <w:rPr>
          <w:rStyle w:val="NormalIFTCar"/>
          <w:rFonts w:eastAsia="Calibri"/>
          <w:bCs w:val="0"/>
          <w:color w:val="auto"/>
          <w:sz w:val="22"/>
          <w:szCs w:val="22"/>
          <w:lang w:val="es-MX"/>
        </w:rPr>
        <w:t xml:space="preserve">I. </w:t>
      </w:r>
      <w:r w:rsidRPr="007D02A7">
        <w:rPr>
          <w:rStyle w:val="NormalIFTCar"/>
          <w:rFonts w:eastAsia="Calibri"/>
          <w:bCs w:val="0"/>
          <w:color w:val="auto"/>
          <w:sz w:val="22"/>
          <w:szCs w:val="22"/>
          <w:lang w:val="es-MX" w:eastAsia="en-US"/>
        </w:rPr>
        <w:t>ANTECEDENTES</w:t>
      </w:r>
      <w:bookmarkEnd w:id="0"/>
      <w:bookmarkEnd w:id="1"/>
    </w:p>
    <w:p w:rsidR="00E305B9" w:rsidRPr="007D02A7" w:rsidRDefault="00F235FF" w:rsidP="00637B96">
      <w:pPr>
        <w:pStyle w:val="Texto"/>
        <w:numPr>
          <w:ilvl w:val="0"/>
          <w:numId w:val="9"/>
        </w:numPr>
        <w:spacing w:before="120" w:after="120" w:line="276" w:lineRule="auto"/>
        <w:rPr>
          <w:rFonts w:ascii="ITC Avant Garde" w:hAnsi="ITC Avant Garde" w:cs="Times New Roman"/>
          <w:sz w:val="22"/>
          <w:szCs w:val="22"/>
        </w:rPr>
      </w:pPr>
      <w:r w:rsidRPr="007D02A7">
        <w:rPr>
          <w:rFonts w:ascii="ITC Avant Garde" w:hAnsi="ITC Avant Garde" w:cs="Times New Roman"/>
          <w:sz w:val="22"/>
          <w:szCs w:val="22"/>
        </w:rPr>
        <w:t>E</w:t>
      </w:r>
      <w:r w:rsidR="0097155B" w:rsidRPr="007D02A7">
        <w:rPr>
          <w:rFonts w:ascii="ITC Avant Garde" w:hAnsi="ITC Avant Garde" w:cs="Times New Roman"/>
          <w:sz w:val="22"/>
          <w:szCs w:val="22"/>
        </w:rPr>
        <w:t xml:space="preserve">l </w:t>
      </w:r>
      <w:r w:rsidR="005632CB" w:rsidRPr="007D02A7">
        <w:rPr>
          <w:rFonts w:ascii="ITC Avant Garde" w:hAnsi="ITC Avant Garde"/>
          <w:sz w:val="22"/>
          <w:szCs w:val="22"/>
        </w:rPr>
        <w:t>treinta y uno</w:t>
      </w:r>
      <w:r w:rsidRPr="007D02A7">
        <w:rPr>
          <w:rFonts w:ascii="ITC Avant Garde" w:hAnsi="ITC Avant Garde"/>
          <w:sz w:val="22"/>
          <w:szCs w:val="22"/>
        </w:rPr>
        <w:t xml:space="preserve"> de </w:t>
      </w:r>
      <w:r w:rsidR="005632CB" w:rsidRPr="007D02A7">
        <w:rPr>
          <w:rFonts w:ascii="ITC Avant Garde" w:hAnsi="ITC Avant Garde"/>
          <w:sz w:val="22"/>
          <w:szCs w:val="22"/>
        </w:rPr>
        <w:t xml:space="preserve">julio </w:t>
      </w:r>
      <w:r w:rsidRPr="007D02A7">
        <w:rPr>
          <w:rFonts w:ascii="ITC Avant Garde" w:hAnsi="ITC Avant Garde"/>
          <w:sz w:val="22"/>
          <w:szCs w:val="22"/>
        </w:rPr>
        <w:t xml:space="preserve">de dos mil </w:t>
      </w:r>
      <w:r w:rsidR="005632CB" w:rsidRPr="007D02A7">
        <w:rPr>
          <w:rFonts w:ascii="ITC Avant Garde" w:hAnsi="ITC Avant Garde"/>
          <w:sz w:val="22"/>
          <w:szCs w:val="22"/>
        </w:rPr>
        <w:t>diecisiete</w:t>
      </w:r>
      <w:r w:rsidRPr="007D02A7">
        <w:rPr>
          <w:rFonts w:ascii="ITC Avant Garde" w:hAnsi="ITC Avant Garde" w:cs="Times New Roman"/>
          <w:sz w:val="22"/>
          <w:szCs w:val="22"/>
        </w:rPr>
        <w:t xml:space="preserve">, mediante escrito y anexos (Escrito de Notificación) presentados </w:t>
      </w:r>
      <w:r w:rsidR="0097155B" w:rsidRPr="007D02A7">
        <w:rPr>
          <w:rFonts w:ascii="ITC Avant Garde" w:hAnsi="ITC Avant Garde" w:cs="Times New Roman"/>
          <w:sz w:val="22"/>
          <w:szCs w:val="22"/>
        </w:rPr>
        <w:t xml:space="preserve">en la </w:t>
      </w:r>
      <w:r w:rsidR="004238A1" w:rsidRPr="007D02A7">
        <w:rPr>
          <w:rFonts w:ascii="ITC Avant Garde" w:hAnsi="ITC Avant Garde" w:cs="Times New Roman"/>
          <w:sz w:val="22"/>
          <w:szCs w:val="22"/>
        </w:rPr>
        <w:t>oficialía de partes</w:t>
      </w:r>
      <w:r w:rsidR="0097155B" w:rsidRPr="007D02A7">
        <w:rPr>
          <w:rFonts w:ascii="ITC Avant Garde" w:hAnsi="ITC Avant Garde" w:cs="Times New Roman"/>
          <w:sz w:val="22"/>
          <w:szCs w:val="22"/>
        </w:rPr>
        <w:t xml:space="preserve"> del Instituto</w:t>
      </w:r>
      <w:r w:rsidR="00860B27" w:rsidRPr="007D02A7">
        <w:rPr>
          <w:rFonts w:ascii="ITC Avant Garde" w:hAnsi="ITC Avant Garde" w:cs="Times New Roman"/>
          <w:sz w:val="22"/>
          <w:szCs w:val="22"/>
        </w:rPr>
        <w:t xml:space="preserve"> Federal de Telecomunicaciones (Instituto)</w:t>
      </w:r>
      <w:r w:rsidR="0097155B" w:rsidRPr="007D02A7">
        <w:rPr>
          <w:rFonts w:ascii="ITC Avant Garde" w:hAnsi="ITC Avant Garde" w:cs="Times New Roman"/>
          <w:sz w:val="22"/>
          <w:szCs w:val="22"/>
        </w:rPr>
        <w:t xml:space="preserve">, </w:t>
      </w:r>
      <w:r w:rsidR="005632CB" w:rsidRPr="007D02A7">
        <w:rPr>
          <w:rFonts w:ascii="ITC Avant Garde" w:hAnsi="ITC Avant Garde" w:cs="Times New Roman"/>
          <w:sz w:val="22"/>
          <w:szCs w:val="22"/>
        </w:rPr>
        <w:t>e</w:t>
      </w:r>
      <w:r w:rsidR="0097155B" w:rsidRPr="007D02A7">
        <w:rPr>
          <w:rFonts w:ascii="ITC Avant Garde" w:hAnsi="ITC Avant Garde" w:cs="Times New Roman"/>
          <w:sz w:val="22"/>
          <w:szCs w:val="22"/>
        </w:rPr>
        <w:t xml:space="preserve">l representante legal de </w:t>
      </w:r>
      <w:r w:rsidR="0014660D" w:rsidRPr="007D02A7">
        <w:rPr>
          <w:rFonts w:ascii="ITC Avant Garde" w:hAnsi="ITC Avant Garde" w:cs="Times New Roman"/>
          <w:sz w:val="22"/>
          <w:szCs w:val="22"/>
          <w:lang w:val="es-MX"/>
        </w:rPr>
        <w:t>AXTEL, S.A.B. de</w:t>
      </w:r>
      <w:r w:rsidR="005632CB" w:rsidRPr="007D02A7">
        <w:rPr>
          <w:rFonts w:ascii="ITC Avant Garde" w:hAnsi="ITC Avant Garde" w:cs="Times New Roman"/>
          <w:sz w:val="22"/>
          <w:szCs w:val="22"/>
          <w:lang w:val="es-MX"/>
        </w:rPr>
        <w:t xml:space="preserve"> C.V.</w:t>
      </w:r>
      <w:r w:rsidRPr="007D02A7">
        <w:rPr>
          <w:rFonts w:ascii="ITC Avant Garde" w:hAnsi="ITC Avant Garde"/>
          <w:sz w:val="22"/>
          <w:szCs w:val="22"/>
        </w:rPr>
        <w:t xml:space="preserve"> (</w:t>
      </w:r>
      <w:r w:rsidR="005632CB" w:rsidRPr="007D02A7">
        <w:rPr>
          <w:rFonts w:ascii="ITC Avant Garde" w:hAnsi="ITC Avant Garde"/>
          <w:sz w:val="22"/>
          <w:szCs w:val="22"/>
          <w:lang w:val="es-MX"/>
        </w:rPr>
        <w:t>AXTEL</w:t>
      </w:r>
      <w:r w:rsidRPr="007D02A7">
        <w:rPr>
          <w:rFonts w:ascii="ITC Avant Garde" w:hAnsi="ITC Avant Garde"/>
          <w:sz w:val="22"/>
          <w:szCs w:val="22"/>
        </w:rPr>
        <w:t xml:space="preserve">, </w:t>
      </w:r>
      <w:r w:rsidR="005632CB" w:rsidRPr="007D02A7">
        <w:rPr>
          <w:rFonts w:ascii="ITC Avant Garde" w:hAnsi="ITC Avant Garde"/>
          <w:sz w:val="22"/>
          <w:szCs w:val="22"/>
        </w:rPr>
        <w:t>e</w:t>
      </w:r>
      <w:r w:rsidRPr="007D02A7">
        <w:rPr>
          <w:rFonts w:ascii="ITC Avant Garde" w:hAnsi="ITC Avant Garde"/>
          <w:sz w:val="22"/>
          <w:szCs w:val="22"/>
        </w:rPr>
        <w:t>l Vendedor)</w:t>
      </w:r>
      <w:r w:rsidR="005F5FC5" w:rsidRPr="007D02A7">
        <w:rPr>
          <w:rFonts w:ascii="ITC Avant Garde" w:hAnsi="ITC Avant Garde"/>
          <w:sz w:val="22"/>
          <w:szCs w:val="22"/>
        </w:rPr>
        <w:t>,</w:t>
      </w:r>
      <w:r w:rsidR="00453168" w:rsidRPr="007D02A7">
        <w:rPr>
          <w:rFonts w:ascii="ITC Avant Garde" w:hAnsi="ITC Avant Garde"/>
          <w:sz w:val="22"/>
          <w:szCs w:val="22"/>
        </w:rPr>
        <w:t xml:space="preserve"> </w:t>
      </w:r>
      <w:r w:rsidR="0029381D" w:rsidRPr="007D02A7">
        <w:rPr>
          <w:rFonts w:ascii="ITC Avant Garde" w:hAnsi="ITC Avant Garde" w:cs="Times New Roman"/>
          <w:b/>
          <w:bCs/>
          <w:color w:val="0000CC"/>
          <w:sz w:val="19"/>
          <w:szCs w:val="19"/>
          <w:lang w:eastAsia="es-MX"/>
        </w:rPr>
        <w:t xml:space="preserve">“CONFIDENCIAL POR LEY </w:t>
      </w:r>
      <w:r w:rsidR="00250347">
        <w:rPr>
          <w:rFonts w:ascii="ITC Avant Garde" w:hAnsi="ITC Avant Garde" w:cs="Times New Roman"/>
          <w:b/>
          <w:bCs/>
          <w:color w:val="0000CC"/>
          <w:sz w:val="19"/>
          <w:szCs w:val="19"/>
          <w:lang w:eastAsia="es-MX"/>
        </w:rPr>
        <w:t>(</w:t>
      </w:r>
      <w:r w:rsidR="0029381D" w:rsidRPr="007D02A7">
        <w:rPr>
          <w:rFonts w:ascii="ITC Avant Garde" w:hAnsi="ITC Avant Garde" w:cs="Times New Roman"/>
          <w:b/>
          <w:bCs/>
          <w:color w:val="0000CC"/>
          <w:sz w:val="19"/>
          <w:szCs w:val="19"/>
          <w:lang w:eastAsia="es-MX"/>
        </w:rPr>
        <w:t>1</w:t>
      </w:r>
      <w:r w:rsidR="00250347">
        <w:rPr>
          <w:rFonts w:ascii="ITC Avant Garde" w:hAnsi="ITC Avant Garde" w:cs="Times New Roman"/>
          <w:b/>
          <w:bCs/>
          <w:color w:val="0000CC"/>
          <w:sz w:val="19"/>
          <w:szCs w:val="19"/>
          <w:lang w:eastAsia="es-MX"/>
        </w:rPr>
        <w:t>)</w:t>
      </w:r>
      <w:r w:rsidR="0029381D" w:rsidRPr="007D02A7">
        <w:rPr>
          <w:rFonts w:ascii="ITC Avant Garde" w:hAnsi="ITC Avant Garde" w:cs="Times New Roman"/>
          <w:b/>
          <w:bCs/>
          <w:color w:val="0000CC"/>
          <w:sz w:val="19"/>
          <w:szCs w:val="19"/>
          <w:lang w:eastAsia="es-MX"/>
        </w:rPr>
        <w:t>”</w:t>
      </w:r>
      <w:r w:rsidRPr="007D02A7">
        <w:rPr>
          <w:rFonts w:ascii="ITC Avant Garde" w:hAnsi="ITC Avant Garde"/>
          <w:sz w:val="22"/>
          <w:szCs w:val="22"/>
        </w:rPr>
        <w:t xml:space="preserve">, así como </w:t>
      </w:r>
      <w:r w:rsidR="005632CB" w:rsidRPr="007D02A7">
        <w:rPr>
          <w:rFonts w:ascii="ITC Avant Garde" w:hAnsi="ITC Avant Garde"/>
          <w:sz w:val="22"/>
          <w:szCs w:val="22"/>
        </w:rPr>
        <w:t>e</w:t>
      </w:r>
      <w:r w:rsidRPr="007D02A7">
        <w:rPr>
          <w:rFonts w:ascii="ITC Avant Garde" w:hAnsi="ITC Avant Garde"/>
          <w:sz w:val="22"/>
          <w:szCs w:val="22"/>
        </w:rPr>
        <w:t xml:space="preserve">l representante legal de </w:t>
      </w:r>
      <w:r w:rsidR="00AF7A0C" w:rsidRPr="007D02A7">
        <w:rPr>
          <w:rFonts w:ascii="ITC Avant Garde" w:hAnsi="ITC Avant Garde"/>
          <w:sz w:val="22"/>
          <w:szCs w:val="22"/>
          <w:lang w:val="es-MX"/>
        </w:rPr>
        <w:t>MATC Digital</w:t>
      </w:r>
      <w:r w:rsidR="0014660D" w:rsidRPr="007D02A7">
        <w:rPr>
          <w:rFonts w:ascii="ITC Avant Garde" w:hAnsi="ITC Avant Garde"/>
          <w:sz w:val="22"/>
          <w:szCs w:val="22"/>
          <w:lang w:val="es-MX"/>
        </w:rPr>
        <w:t>, S. de</w:t>
      </w:r>
      <w:r w:rsidR="005632CB" w:rsidRPr="007D02A7">
        <w:rPr>
          <w:rFonts w:ascii="ITC Avant Garde" w:hAnsi="ITC Avant Garde"/>
          <w:sz w:val="22"/>
          <w:szCs w:val="22"/>
          <w:lang w:val="es-MX"/>
        </w:rPr>
        <w:t xml:space="preserve"> R.L. DE C.V.</w:t>
      </w:r>
      <w:r w:rsidRPr="007D02A7">
        <w:rPr>
          <w:rFonts w:ascii="ITC Avant Garde" w:hAnsi="ITC Avant Garde"/>
          <w:sz w:val="22"/>
          <w:szCs w:val="22"/>
        </w:rPr>
        <w:t xml:space="preserve"> (</w:t>
      </w:r>
      <w:r w:rsidR="00AF7A0C" w:rsidRPr="007D02A7">
        <w:rPr>
          <w:rFonts w:ascii="ITC Avant Garde" w:hAnsi="ITC Avant Garde"/>
          <w:sz w:val="22"/>
          <w:szCs w:val="22"/>
          <w:lang w:val="es-MX"/>
        </w:rPr>
        <w:t>MATC Digital</w:t>
      </w:r>
      <w:r w:rsidRPr="007D02A7">
        <w:rPr>
          <w:rFonts w:ascii="ITC Avant Garde" w:hAnsi="ITC Avant Garde"/>
          <w:sz w:val="22"/>
          <w:szCs w:val="22"/>
        </w:rPr>
        <w:t xml:space="preserve">, </w:t>
      </w:r>
      <w:r w:rsidR="00810A8A" w:rsidRPr="007D02A7">
        <w:rPr>
          <w:rFonts w:ascii="ITC Avant Garde" w:hAnsi="ITC Avant Garde"/>
          <w:sz w:val="22"/>
          <w:szCs w:val="22"/>
        </w:rPr>
        <w:t>e</w:t>
      </w:r>
      <w:r w:rsidRPr="007D02A7">
        <w:rPr>
          <w:rFonts w:ascii="ITC Avant Garde" w:hAnsi="ITC Avant Garde"/>
          <w:sz w:val="22"/>
          <w:szCs w:val="22"/>
        </w:rPr>
        <w:t xml:space="preserve">l Comprador; y conjuntamente </w:t>
      </w:r>
      <w:r w:rsidR="00AA2EA4" w:rsidRPr="007D02A7">
        <w:rPr>
          <w:rFonts w:ascii="ITC Avant Garde" w:hAnsi="ITC Avant Garde"/>
          <w:sz w:val="22"/>
          <w:szCs w:val="22"/>
        </w:rPr>
        <w:t xml:space="preserve">con </w:t>
      </w:r>
      <w:r w:rsidR="00810A8A" w:rsidRPr="007D02A7">
        <w:rPr>
          <w:rFonts w:ascii="ITC Avant Garde" w:hAnsi="ITC Avant Garde"/>
          <w:sz w:val="22"/>
          <w:szCs w:val="22"/>
        </w:rPr>
        <w:t>e</w:t>
      </w:r>
      <w:r w:rsidRPr="007D02A7">
        <w:rPr>
          <w:rFonts w:ascii="ITC Avant Garde" w:hAnsi="ITC Avant Garde"/>
          <w:sz w:val="22"/>
          <w:szCs w:val="22"/>
        </w:rPr>
        <w:t>l Vendedor</w:t>
      </w:r>
      <w:r w:rsidR="00AE1E5F" w:rsidRPr="007D02A7">
        <w:rPr>
          <w:rFonts w:ascii="ITC Avant Garde" w:hAnsi="ITC Avant Garde" w:cs="Times New Roman"/>
          <w:sz w:val="22"/>
          <w:szCs w:val="22"/>
        </w:rPr>
        <w:t>,</w:t>
      </w:r>
      <w:r w:rsidR="00514F28" w:rsidRPr="007D02A7">
        <w:rPr>
          <w:rFonts w:ascii="ITC Avant Garde" w:hAnsi="ITC Avant Garde" w:cs="Times New Roman"/>
          <w:sz w:val="22"/>
          <w:szCs w:val="22"/>
        </w:rPr>
        <w:t xml:space="preserve"> las Partes)</w:t>
      </w:r>
      <w:r w:rsidR="00453168" w:rsidRPr="007D02A7">
        <w:rPr>
          <w:rFonts w:ascii="ITC Avant Garde" w:hAnsi="ITC Avant Garde" w:cs="Times New Roman"/>
          <w:sz w:val="22"/>
          <w:szCs w:val="22"/>
        </w:rPr>
        <w:t xml:space="preserve">, </w:t>
      </w:r>
      <w:r w:rsidR="0029381D" w:rsidRPr="007D02A7">
        <w:rPr>
          <w:rFonts w:ascii="ITC Avant Garde" w:hAnsi="ITC Avant Garde" w:cs="Times New Roman"/>
          <w:b/>
          <w:bCs/>
          <w:color w:val="0000CC"/>
          <w:sz w:val="19"/>
          <w:szCs w:val="19"/>
          <w:lang w:eastAsia="es-MX"/>
        </w:rPr>
        <w:t>“CONFIDENCIAL POR LEY</w:t>
      </w:r>
      <w:r w:rsidR="00481CDD" w:rsidRPr="007D02A7">
        <w:rPr>
          <w:rFonts w:ascii="ITC Avant Garde" w:hAnsi="ITC Avant Garde" w:cs="Times New Roman"/>
          <w:b/>
          <w:bCs/>
          <w:color w:val="0000CC"/>
          <w:sz w:val="19"/>
          <w:szCs w:val="19"/>
          <w:lang w:eastAsia="es-MX"/>
        </w:rPr>
        <w:t xml:space="preserve"> </w:t>
      </w:r>
      <w:r w:rsidR="00250347">
        <w:rPr>
          <w:rFonts w:ascii="ITC Avant Garde" w:hAnsi="ITC Avant Garde" w:cs="Times New Roman"/>
          <w:b/>
          <w:bCs/>
          <w:color w:val="0000CC"/>
          <w:sz w:val="19"/>
          <w:szCs w:val="19"/>
          <w:lang w:eastAsia="es-MX"/>
        </w:rPr>
        <w:t>(</w:t>
      </w:r>
      <w:r w:rsidR="00481CDD" w:rsidRPr="007D02A7">
        <w:rPr>
          <w:rFonts w:ascii="ITC Avant Garde" w:hAnsi="ITC Avant Garde" w:cs="Times New Roman"/>
          <w:b/>
          <w:bCs/>
          <w:color w:val="0000CC"/>
          <w:sz w:val="19"/>
          <w:szCs w:val="19"/>
          <w:lang w:eastAsia="es-MX"/>
        </w:rPr>
        <w:t>2</w:t>
      </w:r>
      <w:r w:rsidR="00250347">
        <w:rPr>
          <w:rFonts w:ascii="ITC Avant Garde" w:hAnsi="ITC Avant Garde" w:cs="Times New Roman"/>
          <w:b/>
          <w:bCs/>
          <w:color w:val="0000CC"/>
          <w:sz w:val="19"/>
          <w:szCs w:val="19"/>
          <w:lang w:eastAsia="es-MX"/>
        </w:rPr>
        <w:t>)</w:t>
      </w:r>
      <w:r w:rsidR="0029381D" w:rsidRPr="007D02A7">
        <w:rPr>
          <w:rFonts w:ascii="ITC Avant Garde" w:hAnsi="ITC Avant Garde" w:cs="Times New Roman"/>
          <w:b/>
          <w:bCs/>
          <w:color w:val="0000CC"/>
          <w:sz w:val="19"/>
          <w:szCs w:val="19"/>
          <w:lang w:eastAsia="es-MX"/>
        </w:rPr>
        <w:t>”</w:t>
      </w:r>
      <w:r w:rsidR="00453168" w:rsidRPr="007D02A7">
        <w:rPr>
          <w:rFonts w:ascii="ITC Avant Garde" w:hAnsi="ITC Avant Garde" w:cs="Times New Roman"/>
          <w:sz w:val="22"/>
          <w:szCs w:val="22"/>
        </w:rPr>
        <w:t>,</w:t>
      </w:r>
      <w:r w:rsidR="0097155B" w:rsidRPr="007D02A7">
        <w:rPr>
          <w:rFonts w:ascii="ITC Avant Garde" w:hAnsi="ITC Avant Garde" w:cs="Times New Roman"/>
          <w:sz w:val="22"/>
          <w:szCs w:val="22"/>
        </w:rPr>
        <w:t xml:space="preserve"> notificaron ante este órgano autónomo su intención de </w:t>
      </w:r>
      <w:r w:rsidR="006B24C0" w:rsidRPr="007D02A7">
        <w:rPr>
          <w:rFonts w:ascii="ITC Avant Garde" w:hAnsi="ITC Avant Garde" w:cs="Times New Roman"/>
          <w:sz w:val="22"/>
          <w:szCs w:val="22"/>
        </w:rPr>
        <w:t>realizar</w:t>
      </w:r>
      <w:r w:rsidR="00514F28" w:rsidRPr="007D02A7">
        <w:rPr>
          <w:rFonts w:ascii="ITC Avant Garde" w:hAnsi="ITC Avant Garde" w:cs="Times New Roman"/>
          <w:sz w:val="22"/>
          <w:szCs w:val="22"/>
        </w:rPr>
        <w:t xml:space="preserve"> </w:t>
      </w:r>
      <w:r w:rsidRPr="007D02A7">
        <w:rPr>
          <w:rFonts w:ascii="ITC Avant Garde" w:hAnsi="ITC Avant Garde"/>
          <w:bCs/>
          <w:noProof/>
          <w:color w:val="000000"/>
          <w:sz w:val="22"/>
          <w:szCs w:val="22"/>
        </w:rPr>
        <w:t>una concentración consistente en la adquisici</w:t>
      </w:r>
      <w:r w:rsidR="008B48D9" w:rsidRPr="007D02A7">
        <w:rPr>
          <w:rFonts w:ascii="ITC Avant Garde" w:hAnsi="ITC Avant Garde"/>
          <w:bCs/>
          <w:noProof/>
          <w:color w:val="000000"/>
          <w:sz w:val="22"/>
          <w:szCs w:val="22"/>
        </w:rPr>
        <w:t>ó</w:t>
      </w:r>
      <w:r w:rsidRPr="007D02A7">
        <w:rPr>
          <w:rFonts w:ascii="ITC Avant Garde" w:hAnsi="ITC Avant Garde"/>
          <w:bCs/>
          <w:noProof/>
          <w:color w:val="000000"/>
          <w:sz w:val="22"/>
          <w:szCs w:val="22"/>
        </w:rPr>
        <w:t xml:space="preserve">n por parte del Comprador de </w:t>
      </w:r>
      <w:r w:rsidR="00AB61E7" w:rsidRPr="007D02A7">
        <w:rPr>
          <w:rFonts w:ascii="ITC Avant Garde" w:hAnsi="ITC Avant Garde"/>
          <w:bCs/>
          <w:noProof/>
          <w:color w:val="000000"/>
          <w:sz w:val="22"/>
          <w:szCs w:val="22"/>
        </w:rPr>
        <w:t>142</w:t>
      </w:r>
      <w:r w:rsidR="00810A8A" w:rsidRPr="007D02A7">
        <w:rPr>
          <w:rFonts w:ascii="ITC Avant Garde" w:hAnsi="ITC Avant Garde"/>
          <w:bCs/>
          <w:noProof/>
          <w:color w:val="000000"/>
          <w:sz w:val="22"/>
          <w:szCs w:val="22"/>
        </w:rPr>
        <w:t xml:space="preserve"> (ciento cuarenta y </w:t>
      </w:r>
      <w:r w:rsidR="00AB61E7" w:rsidRPr="007D02A7">
        <w:rPr>
          <w:rFonts w:ascii="ITC Avant Garde" w:hAnsi="ITC Avant Garde"/>
          <w:bCs/>
          <w:noProof/>
          <w:color w:val="000000"/>
          <w:sz w:val="22"/>
          <w:szCs w:val="22"/>
        </w:rPr>
        <w:t>dos</w:t>
      </w:r>
      <w:r w:rsidR="00810A8A" w:rsidRPr="007D02A7">
        <w:rPr>
          <w:rFonts w:ascii="ITC Avant Garde" w:hAnsi="ITC Avant Garde"/>
          <w:bCs/>
          <w:noProof/>
          <w:color w:val="000000"/>
          <w:sz w:val="22"/>
          <w:szCs w:val="22"/>
        </w:rPr>
        <w:t xml:space="preserve">) torres de telecomunicaciones, actualmente propiedad del Vendedor </w:t>
      </w:r>
      <w:r w:rsidRPr="007D02A7">
        <w:rPr>
          <w:rFonts w:ascii="ITC Avant Garde" w:hAnsi="ITC Avant Garde"/>
          <w:bCs/>
          <w:noProof/>
          <w:color w:val="000000"/>
          <w:sz w:val="22"/>
          <w:szCs w:val="22"/>
        </w:rPr>
        <w:t>(Operación</w:t>
      </w:r>
      <w:r w:rsidR="00C34D96" w:rsidRPr="007D02A7">
        <w:rPr>
          <w:rFonts w:ascii="ITC Avant Garde" w:hAnsi="ITC Avant Garde"/>
          <w:bCs/>
          <w:noProof/>
          <w:color w:val="000000"/>
          <w:sz w:val="22"/>
          <w:szCs w:val="22"/>
        </w:rPr>
        <w:t xml:space="preserve"> o Concentración</w:t>
      </w:r>
      <w:r w:rsidRPr="007D02A7">
        <w:rPr>
          <w:rFonts w:ascii="ITC Avant Garde" w:hAnsi="ITC Avant Garde"/>
          <w:bCs/>
          <w:noProof/>
          <w:color w:val="000000"/>
          <w:sz w:val="22"/>
          <w:szCs w:val="22"/>
        </w:rPr>
        <w:t>)</w:t>
      </w:r>
      <w:r w:rsidR="00DA3C48" w:rsidRPr="007D02A7">
        <w:rPr>
          <w:rFonts w:ascii="ITC Avant Garde" w:hAnsi="ITC Avant Garde" w:cs="Times New Roman"/>
          <w:sz w:val="22"/>
          <w:szCs w:val="22"/>
        </w:rPr>
        <w:t>.</w:t>
      </w:r>
      <w:r w:rsidR="00AE460A" w:rsidRPr="007D02A7">
        <w:rPr>
          <w:rFonts w:ascii="ITC Avant Garde" w:hAnsi="ITC Avant Garde" w:cs="Times New Roman"/>
          <w:sz w:val="22"/>
          <w:szCs w:val="22"/>
        </w:rPr>
        <w:t xml:space="preserve"> </w:t>
      </w:r>
      <w:r w:rsidR="0097155B" w:rsidRPr="007D02A7">
        <w:rPr>
          <w:rFonts w:ascii="ITC Avant Garde" w:hAnsi="ITC Avant Garde" w:cs="Times New Roman"/>
          <w:sz w:val="22"/>
          <w:szCs w:val="22"/>
        </w:rPr>
        <w:t>Las Partes designaron como representante común al C.</w:t>
      </w:r>
      <w:r w:rsidR="00810A8A" w:rsidRPr="007D02A7">
        <w:rPr>
          <w:rFonts w:ascii="ITC Avant Garde" w:hAnsi="ITC Avant Garde"/>
          <w:bCs/>
          <w:noProof/>
          <w:color w:val="000000"/>
          <w:sz w:val="22"/>
          <w:szCs w:val="22"/>
        </w:rPr>
        <w:t xml:space="preserve"> </w:t>
      </w:r>
      <w:r w:rsidR="0029381D" w:rsidRPr="007D02A7">
        <w:rPr>
          <w:rFonts w:ascii="ITC Avant Garde" w:hAnsi="ITC Avant Garde" w:cs="Times New Roman"/>
          <w:b/>
          <w:bCs/>
          <w:color w:val="0000CC"/>
          <w:sz w:val="19"/>
          <w:szCs w:val="19"/>
          <w:lang w:eastAsia="es-MX"/>
        </w:rPr>
        <w:t>“CONFIDENCIAL POR LEY</w:t>
      </w:r>
      <w:r w:rsidR="00481CDD" w:rsidRPr="007D02A7">
        <w:rPr>
          <w:rFonts w:ascii="ITC Avant Garde" w:hAnsi="ITC Avant Garde" w:cs="Times New Roman"/>
          <w:b/>
          <w:bCs/>
          <w:color w:val="0000CC"/>
          <w:sz w:val="19"/>
          <w:szCs w:val="19"/>
          <w:lang w:eastAsia="es-MX"/>
        </w:rPr>
        <w:t xml:space="preserve"> </w:t>
      </w:r>
      <w:r w:rsidR="00250347">
        <w:rPr>
          <w:rFonts w:ascii="ITC Avant Garde" w:hAnsi="ITC Avant Garde" w:cs="Times New Roman"/>
          <w:b/>
          <w:bCs/>
          <w:color w:val="0000CC"/>
          <w:sz w:val="19"/>
          <w:szCs w:val="19"/>
          <w:lang w:eastAsia="es-MX"/>
        </w:rPr>
        <w:t>(</w:t>
      </w:r>
      <w:r w:rsidR="00481CDD" w:rsidRPr="007D02A7">
        <w:rPr>
          <w:rFonts w:ascii="ITC Avant Garde" w:hAnsi="ITC Avant Garde" w:cs="Times New Roman"/>
          <w:b/>
          <w:bCs/>
          <w:color w:val="0000CC"/>
          <w:sz w:val="19"/>
          <w:szCs w:val="19"/>
          <w:lang w:eastAsia="es-MX"/>
        </w:rPr>
        <w:t>3</w:t>
      </w:r>
      <w:r w:rsidR="00250347">
        <w:rPr>
          <w:rFonts w:ascii="ITC Avant Garde" w:hAnsi="ITC Avant Garde" w:cs="Times New Roman"/>
          <w:b/>
          <w:bCs/>
          <w:color w:val="0000CC"/>
          <w:sz w:val="19"/>
          <w:szCs w:val="19"/>
          <w:lang w:eastAsia="es-MX"/>
        </w:rPr>
        <w:t>)</w:t>
      </w:r>
      <w:r w:rsidR="0029381D" w:rsidRPr="007D02A7">
        <w:rPr>
          <w:rFonts w:ascii="ITC Avant Garde" w:hAnsi="ITC Avant Garde" w:cs="Times New Roman"/>
          <w:b/>
          <w:bCs/>
          <w:color w:val="0000CC"/>
          <w:sz w:val="19"/>
          <w:szCs w:val="19"/>
          <w:lang w:eastAsia="es-MX"/>
        </w:rPr>
        <w:t>”</w:t>
      </w:r>
      <w:r w:rsidR="0097155B" w:rsidRPr="007D02A7">
        <w:rPr>
          <w:rFonts w:ascii="ITC Avant Garde" w:hAnsi="ITC Avant Garde" w:cs="Times New Roman"/>
          <w:sz w:val="22"/>
          <w:szCs w:val="22"/>
        </w:rPr>
        <w:t>.</w:t>
      </w:r>
    </w:p>
    <w:p w:rsidR="001D3887" w:rsidRPr="007D02A7" w:rsidRDefault="001D3887" w:rsidP="00637B96">
      <w:pPr>
        <w:pStyle w:val="Texto"/>
        <w:numPr>
          <w:ilvl w:val="0"/>
          <w:numId w:val="9"/>
        </w:numPr>
        <w:spacing w:before="120" w:after="120" w:line="276" w:lineRule="auto"/>
        <w:rPr>
          <w:rFonts w:ascii="ITC Avant Garde" w:hAnsi="ITC Avant Garde" w:cs="Times New Roman"/>
          <w:sz w:val="22"/>
          <w:szCs w:val="22"/>
        </w:rPr>
      </w:pPr>
      <w:r w:rsidRPr="007D02A7">
        <w:rPr>
          <w:rFonts w:ascii="ITC Avant Garde" w:hAnsi="ITC Avant Garde" w:cs="Times New Roman"/>
          <w:sz w:val="22"/>
          <w:szCs w:val="22"/>
        </w:rPr>
        <w:t xml:space="preserve">El </w:t>
      </w:r>
      <w:r w:rsidR="00425785" w:rsidRPr="007D02A7">
        <w:rPr>
          <w:rFonts w:ascii="ITC Avant Garde" w:hAnsi="ITC Avant Garde"/>
          <w:sz w:val="22"/>
          <w:szCs w:val="22"/>
        </w:rPr>
        <w:t>once</w:t>
      </w:r>
      <w:r w:rsidRPr="007D02A7">
        <w:rPr>
          <w:rFonts w:ascii="ITC Avant Garde" w:hAnsi="ITC Avant Garde"/>
          <w:sz w:val="22"/>
          <w:szCs w:val="22"/>
        </w:rPr>
        <w:t xml:space="preserve"> de </w:t>
      </w:r>
      <w:r w:rsidR="00425785" w:rsidRPr="007D02A7">
        <w:rPr>
          <w:rFonts w:ascii="ITC Avant Garde" w:hAnsi="ITC Avant Garde"/>
          <w:sz w:val="22"/>
          <w:szCs w:val="22"/>
        </w:rPr>
        <w:t>agosto</w:t>
      </w:r>
      <w:r w:rsidRPr="007D02A7">
        <w:rPr>
          <w:rFonts w:ascii="ITC Avant Garde" w:hAnsi="ITC Avant Garde"/>
          <w:sz w:val="22"/>
          <w:szCs w:val="22"/>
        </w:rPr>
        <w:t xml:space="preserve"> de dos mil diecis</w:t>
      </w:r>
      <w:r w:rsidR="00610364" w:rsidRPr="007D02A7">
        <w:rPr>
          <w:rFonts w:ascii="ITC Avant Garde" w:hAnsi="ITC Avant Garde"/>
          <w:sz w:val="22"/>
          <w:szCs w:val="22"/>
        </w:rPr>
        <w:t>iete</w:t>
      </w:r>
      <w:r w:rsidRPr="007D02A7">
        <w:rPr>
          <w:rFonts w:ascii="ITC Avant Garde" w:hAnsi="ITC Avant Garde"/>
          <w:sz w:val="22"/>
          <w:szCs w:val="22"/>
        </w:rPr>
        <w:t>, m</w:t>
      </w:r>
      <w:r w:rsidR="0097155B" w:rsidRPr="007D02A7">
        <w:rPr>
          <w:rFonts w:ascii="ITC Avant Garde" w:hAnsi="ITC Avant Garde" w:cs="Times New Roman"/>
          <w:sz w:val="22"/>
          <w:szCs w:val="22"/>
        </w:rPr>
        <w:t>ediante acuerdo firmado por la Titular de la Unidad de Competencia Económica</w:t>
      </w:r>
      <w:r w:rsidR="002A601E" w:rsidRPr="007D02A7">
        <w:rPr>
          <w:rFonts w:ascii="ITC Avant Garde" w:hAnsi="ITC Avant Garde" w:cs="Times New Roman"/>
          <w:sz w:val="22"/>
          <w:szCs w:val="22"/>
        </w:rPr>
        <w:t xml:space="preserve"> (UCE)</w:t>
      </w:r>
      <w:r w:rsidR="0097155B" w:rsidRPr="007D02A7">
        <w:rPr>
          <w:rFonts w:ascii="ITC Avant Garde" w:hAnsi="ITC Avant Garde" w:cs="Times New Roman"/>
          <w:sz w:val="22"/>
          <w:szCs w:val="22"/>
        </w:rPr>
        <w:t xml:space="preserve"> </w:t>
      </w:r>
      <w:r w:rsidR="003B55B2" w:rsidRPr="007D02A7">
        <w:rPr>
          <w:rFonts w:ascii="ITC Avant Garde" w:hAnsi="ITC Avant Garde" w:cs="Times New Roman"/>
          <w:sz w:val="22"/>
          <w:szCs w:val="22"/>
        </w:rPr>
        <w:t>del Instituto</w:t>
      </w:r>
      <w:r w:rsidR="0097155B" w:rsidRPr="007D02A7">
        <w:rPr>
          <w:rFonts w:ascii="ITC Avant Garde" w:hAnsi="ITC Avant Garde" w:cs="Times New Roman"/>
          <w:sz w:val="22"/>
          <w:szCs w:val="22"/>
        </w:rPr>
        <w:t xml:space="preserve">, </w:t>
      </w:r>
      <w:r w:rsidRPr="007D02A7">
        <w:rPr>
          <w:rFonts w:ascii="ITC Avant Garde" w:hAnsi="ITC Avant Garde"/>
          <w:sz w:val="22"/>
          <w:szCs w:val="22"/>
        </w:rPr>
        <w:t>se radicó el Escrito de Notificación bajo el número de expediente</w:t>
      </w:r>
      <w:r w:rsidR="004B6A87" w:rsidRPr="007D02A7">
        <w:rPr>
          <w:rFonts w:ascii="ITC Avant Garde" w:hAnsi="ITC Avant Garde"/>
          <w:sz w:val="22"/>
          <w:szCs w:val="22"/>
        </w:rPr>
        <w:t xml:space="preserve"> </w:t>
      </w:r>
      <w:r w:rsidR="00DF32B7" w:rsidRPr="007D02A7">
        <w:rPr>
          <w:rFonts w:ascii="ITC Avant Garde" w:hAnsi="ITC Avant Garde"/>
          <w:sz w:val="22"/>
          <w:szCs w:val="22"/>
        </w:rPr>
        <w:t>número</w:t>
      </w:r>
      <w:r w:rsidR="0098652F" w:rsidRPr="007D02A7">
        <w:rPr>
          <w:rFonts w:ascii="ITC Avant Garde" w:hAnsi="ITC Avant Garde"/>
          <w:sz w:val="22"/>
          <w:szCs w:val="22"/>
        </w:rPr>
        <w:t xml:space="preserve"> UCE/CNC-002-2017</w:t>
      </w:r>
      <w:r w:rsidRPr="007D02A7">
        <w:rPr>
          <w:rFonts w:ascii="ITC Avant Garde" w:hAnsi="ITC Avant Garde"/>
          <w:sz w:val="22"/>
          <w:szCs w:val="22"/>
        </w:rPr>
        <w:t xml:space="preserve"> </w:t>
      </w:r>
      <w:r w:rsidR="00AA2805" w:rsidRPr="007D02A7">
        <w:rPr>
          <w:rFonts w:ascii="ITC Avant Garde" w:hAnsi="ITC Avant Garde"/>
          <w:sz w:val="22"/>
          <w:szCs w:val="22"/>
        </w:rPr>
        <w:t xml:space="preserve">(Expediente) </w:t>
      </w:r>
      <w:r w:rsidRPr="007D02A7">
        <w:rPr>
          <w:rFonts w:ascii="ITC Avant Garde" w:hAnsi="ITC Avant Garde"/>
          <w:sz w:val="22"/>
          <w:szCs w:val="22"/>
        </w:rPr>
        <w:t xml:space="preserve">y, con fundamento en el artículo 90, fracción I, de la </w:t>
      </w:r>
      <w:r w:rsidRPr="007D02A7">
        <w:rPr>
          <w:rFonts w:ascii="ITC Avant Garde" w:hAnsi="ITC Avant Garde"/>
          <w:bCs/>
          <w:sz w:val="22"/>
          <w:szCs w:val="22"/>
        </w:rPr>
        <w:t>Ley Federal de Competencia Económica (LFCE),</w:t>
      </w:r>
      <w:r w:rsidRPr="007D02A7">
        <w:rPr>
          <w:rFonts w:ascii="ITC Avant Garde" w:hAnsi="ITC Avant Garde"/>
          <w:sz w:val="22"/>
          <w:szCs w:val="22"/>
        </w:rPr>
        <w:t xml:space="preserve"> se previno a las Partes para que en </w:t>
      </w:r>
      <w:r w:rsidR="008C598B" w:rsidRPr="007D02A7">
        <w:rPr>
          <w:rFonts w:ascii="ITC Avant Garde" w:hAnsi="ITC Avant Garde"/>
          <w:sz w:val="22"/>
          <w:szCs w:val="22"/>
        </w:rPr>
        <w:t>un</w:t>
      </w:r>
      <w:r w:rsidRPr="007D02A7">
        <w:rPr>
          <w:rFonts w:ascii="ITC Avant Garde" w:hAnsi="ITC Avant Garde"/>
          <w:sz w:val="22"/>
          <w:szCs w:val="22"/>
        </w:rPr>
        <w:t xml:space="preserve"> plazo de </w:t>
      </w:r>
      <w:r w:rsidR="008C598B" w:rsidRPr="007D02A7">
        <w:rPr>
          <w:rFonts w:ascii="ITC Avant Garde" w:hAnsi="ITC Avant Garde"/>
          <w:sz w:val="22"/>
          <w:szCs w:val="22"/>
        </w:rPr>
        <w:t>10 (</w:t>
      </w:r>
      <w:r w:rsidRPr="007D02A7">
        <w:rPr>
          <w:rFonts w:ascii="ITC Avant Garde" w:hAnsi="ITC Avant Garde"/>
          <w:sz w:val="22"/>
          <w:szCs w:val="22"/>
        </w:rPr>
        <w:t>diez</w:t>
      </w:r>
      <w:r w:rsidR="008C598B" w:rsidRPr="007D02A7">
        <w:rPr>
          <w:rFonts w:ascii="ITC Avant Garde" w:hAnsi="ITC Avant Garde"/>
          <w:sz w:val="22"/>
          <w:szCs w:val="22"/>
        </w:rPr>
        <w:t>)</w:t>
      </w:r>
      <w:r w:rsidRPr="007D02A7">
        <w:rPr>
          <w:rFonts w:ascii="ITC Avant Garde" w:hAnsi="ITC Avant Garde"/>
          <w:sz w:val="22"/>
          <w:szCs w:val="22"/>
        </w:rPr>
        <w:t xml:space="preserve"> días hábiles presentaran información faltante (Acuerdo de Prevención).</w:t>
      </w:r>
    </w:p>
    <w:p w:rsidR="001D3887" w:rsidRPr="007D02A7" w:rsidRDefault="001D3887" w:rsidP="00637B96">
      <w:pPr>
        <w:pStyle w:val="Texto"/>
        <w:numPr>
          <w:ilvl w:val="0"/>
          <w:numId w:val="9"/>
        </w:numPr>
        <w:spacing w:before="120" w:after="120" w:line="276" w:lineRule="auto"/>
        <w:rPr>
          <w:rFonts w:ascii="ITC Avant Garde" w:hAnsi="ITC Avant Garde" w:cs="Times New Roman"/>
          <w:sz w:val="22"/>
          <w:szCs w:val="22"/>
        </w:rPr>
      </w:pPr>
      <w:r w:rsidRPr="007D02A7">
        <w:rPr>
          <w:rFonts w:ascii="ITC Avant Garde" w:hAnsi="ITC Avant Garde"/>
          <w:sz w:val="22"/>
          <w:szCs w:val="22"/>
        </w:rPr>
        <w:t xml:space="preserve">El </w:t>
      </w:r>
      <w:r w:rsidR="00F96FB1" w:rsidRPr="007D02A7">
        <w:rPr>
          <w:rFonts w:ascii="ITC Avant Garde" w:hAnsi="ITC Avant Garde"/>
          <w:sz w:val="22"/>
          <w:szCs w:val="22"/>
        </w:rPr>
        <w:t>veinticinco</w:t>
      </w:r>
      <w:r w:rsidRPr="007D02A7">
        <w:rPr>
          <w:rFonts w:ascii="ITC Avant Garde" w:hAnsi="ITC Avant Garde"/>
          <w:sz w:val="22"/>
          <w:szCs w:val="22"/>
        </w:rPr>
        <w:t xml:space="preserve"> de </w:t>
      </w:r>
      <w:r w:rsidR="00F96FB1" w:rsidRPr="007D02A7">
        <w:rPr>
          <w:rFonts w:ascii="ITC Avant Garde" w:hAnsi="ITC Avant Garde"/>
          <w:sz w:val="22"/>
          <w:szCs w:val="22"/>
        </w:rPr>
        <w:t>agosto</w:t>
      </w:r>
      <w:r w:rsidRPr="007D02A7">
        <w:rPr>
          <w:rFonts w:ascii="ITC Avant Garde" w:hAnsi="ITC Avant Garde"/>
          <w:sz w:val="22"/>
          <w:szCs w:val="22"/>
        </w:rPr>
        <w:t xml:space="preserve"> de dos mil diecis</w:t>
      </w:r>
      <w:r w:rsidR="00F96FB1" w:rsidRPr="007D02A7">
        <w:rPr>
          <w:rFonts w:ascii="ITC Avant Garde" w:hAnsi="ITC Avant Garde"/>
          <w:sz w:val="22"/>
          <w:szCs w:val="22"/>
        </w:rPr>
        <w:t>iete</w:t>
      </w:r>
      <w:r w:rsidRPr="007D02A7">
        <w:rPr>
          <w:rFonts w:ascii="ITC Avant Garde" w:hAnsi="ITC Avant Garde"/>
          <w:sz w:val="22"/>
          <w:szCs w:val="22"/>
        </w:rPr>
        <w:t xml:space="preserve">, </w:t>
      </w:r>
      <w:r w:rsidRPr="007D02A7">
        <w:rPr>
          <w:rFonts w:ascii="ITC Avant Garde" w:hAnsi="ITC Avant Garde" w:cs="Times New Roman"/>
          <w:sz w:val="22"/>
          <w:szCs w:val="22"/>
        </w:rPr>
        <w:t xml:space="preserve">mediante escrito y anexos presentados en la oficialía de partes del Instituto, </w:t>
      </w:r>
      <w:r w:rsidRPr="007D02A7">
        <w:rPr>
          <w:rFonts w:ascii="ITC Avant Garde" w:hAnsi="ITC Avant Garde"/>
          <w:sz w:val="22"/>
          <w:szCs w:val="22"/>
        </w:rPr>
        <w:t>las Partes remitieron en tiempo y forma la información solicitada en el Acuerdo de Prevención (Escrito de Desahogo de Prevención).</w:t>
      </w:r>
    </w:p>
    <w:p w:rsidR="0064509D" w:rsidRPr="007D02A7" w:rsidRDefault="0064509D" w:rsidP="00637B96">
      <w:pPr>
        <w:pStyle w:val="Texto"/>
        <w:numPr>
          <w:ilvl w:val="0"/>
          <w:numId w:val="9"/>
        </w:numPr>
        <w:spacing w:before="120" w:after="120" w:line="276" w:lineRule="auto"/>
        <w:rPr>
          <w:rFonts w:ascii="ITC Avant Garde" w:hAnsi="ITC Avant Garde" w:cs="Times New Roman"/>
          <w:sz w:val="22"/>
          <w:szCs w:val="22"/>
        </w:rPr>
      </w:pPr>
      <w:r w:rsidRPr="007D02A7">
        <w:rPr>
          <w:rFonts w:ascii="ITC Avant Garde" w:hAnsi="ITC Avant Garde"/>
          <w:sz w:val="22"/>
          <w:szCs w:val="22"/>
        </w:rPr>
        <w:t xml:space="preserve">El veintinueve </w:t>
      </w:r>
      <w:r w:rsidR="002C05D0" w:rsidRPr="007D02A7">
        <w:rPr>
          <w:rFonts w:ascii="ITC Avant Garde" w:hAnsi="ITC Avant Garde"/>
          <w:sz w:val="22"/>
          <w:szCs w:val="22"/>
        </w:rPr>
        <w:t xml:space="preserve">y treinta </w:t>
      </w:r>
      <w:r w:rsidRPr="007D02A7">
        <w:rPr>
          <w:rFonts w:ascii="ITC Avant Garde" w:hAnsi="ITC Avant Garde"/>
          <w:sz w:val="22"/>
          <w:szCs w:val="22"/>
        </w:rPr>
        <w:t>de agosto de dos mil diecisiete, mediante escrito</w:t>
      </w:r>
      <w:r w:rsidR="002C05D0" w:rsidRPr="007D02A7">
        <w:rPr>
          <w:rFonts w:ascii="ITC Avant Garde" w:hAnsi="ITC Avant Garde"/>
          <w:sz w:val="22"/>
          <w:szCs w:val="22"/>
        </w:rPr>
        <w:t>s</w:t>
      </w:r>
      <w:r w:rsidRPr="007D02A7">
        <w:rPr>
          <w:rFonts w:ascii="ITC Avant Garde" w:hAnsi="ITC Avant Garde"/>
          <w:sz w:val="22"/>
          <w:szCs w:val="22"/>
        </w:rPr>
        <w:t xml:space="preserve"> en alcance, las Partes remitieron información </w:t>
      </w:r>
      <w:r w:rsidR="002C05D0" w:rsidRPr="007D02A7">
        <w:rPr>
          <w:rFonts w:ascii="ITC Avant Garde" w:hAnsi="ITC Avant Garde"/>
          <w:sz w:val="22"/>
          <w:szCs w:val="22"/>
        </w:rPr>
        <w:t xml:space="preserve">complementaria </w:t>
      </w:r>
      <w:r w:rsidRPr="007D02A7">
        <w:rPr>
          <w:rFonts w:ascii="ITC Avant Garde" w:hAnsi="ITC Avant Garde"/>
          <w:sz w:val="22"/>
          <w:szCs w:val="22"/>
        </w:rPr>
        <w:t>al Escrito de Desahogo de Prevención.</w:t>
      </w:r>
    </w:p>
    <w:p w:rsidR="001D3887" w:rsidRPr="007D02A7" w:rsidRDefault="001D3887" w:rsidP="00637B96">
      <w:pPr>
        <w:pStyle w:val="Texto"/>
        <w:numPr>
          <w:ilvl w:val="0"/>
          <w:numId w:val="9"/>
        </w:numPr>
        <w:spacing w:before="120" w:after="120" w:line="276" w:lineRule="auto"/>
        <w:rPr>
          <w:rFonts w:ascii="ITC Avant Garde" w:hAnsi="ITC Avant Garde" w:cs="Times New Roman"/>
          <w:sz w:val="22"/>
          <w:szCs w:val="22"/>
        </w:rPr>
      </w:pPr>
      <w:r w:rsidRPr="007D02A7">
        <w:rPr>
          <w:rFonts w:ascii="ITC Avant Garde" w:hAnsi="ITC Avant Garde"/>
          <w:sz w:val="22"/>
          <w:szCs w:val="22"/>
        </w:rPr>
        <w:t xml:space="preserve">El </w:t>
      </w:r>
      <w:r w:rsidR="00BC194B" w:rsidRPr="007D02A7">
        <w:rPr>
          <w:rFonts w:ascii="ITC Avant Garde" w:hAnsi="ITC Avant Garde"/>
          <w:sz w:val="22"/>
          <w:szCs w:val="22"/>
        </w:rPr>
        <w:t>primero</w:t>
      </w:r>
      <w:r w:rsidRPr="007D02A7">
        <w:rPr>
          <w:rFonts w:ascii="ITC Avant Garde" w:hAnsi="ITC Avant Garde"/>
          <w:sz w:val="22"/>
          <w:szCs w:val="22"/>
        </w:rPr>
        <w:t xml:space="preserve"> de </w:t>
      </w:r>
      <w:r w:rsidR="00BC194B" w:rsidRPr="007D02A7">
        <w:rPr>
          <w:rFonts w:ascii="ITC Avant Garde" w:hAnsi="ITC Avant Garde"/>
          <w:sz w:val="22"/>
          <w:szCs w:val="22"/>
        </w:rPr>
        <w:t>septiembre</w:t>
      </w:r>
      <w:r w:rsidRPr="007D02A7">
        <w:rPr>
          <w:rFonts w:ascii="ITC Avant Garde" w:hAnsi="ITC Avant Garde"/>
          <w:sz w:val="22"/>
          <w:szCs w:val="22"/>
        </w:rPr>
        <w:t xml:space="preserve"> de dos mil diecis</w:t>
      </w:r>
      <w:r w:rsidR="00BC194B" w:rsidRPr="007D02A7">
        <w:rPr>
          <w:rFonts w:ascii="ITC Avant Garde" w:hAnsi="ITC Avant Garde"/>
          <w:sz w:val="22"/>
          <w:szCs w:val="22"/>
        </w:rPr>
        <w:t>iete</w:t>
      </w:r>
      <w:r w:rsidRPr="007D02A7">
        <w:rPr>
          <w:rFonts w:ascii="ITC Avant Garde" w:hAnsi="ITC Avant Garde"/>
          <w:sz w:val="22"/>
          <w:szCs w:val="22"/>
        </w:rPr>
        <w:t>, m</w:t>
      </w:r>
      <w:r w:rsidRPr="007D02A7">
        <w:rPr>
          <w:rFonts w:ascii="ITC Avant Garde" w:hAnsi="ITC Avant Garde" w:cs="Times New Roman"/>
          <w:sz w:val="22"/>
          <w:szCs w:val="22"/>
        </w:rPr>
        <w:t xml:space="preserve">ediante acuerdo firmado por la Titular de la UCE, </w:t>
      </w:r>
      <w:r w:rsidRPr="007D02A7">
        <w:rPr>
          <w:rFonts w:ascii="ITC Avant Garde" w:hAnsi="ITC Avant Garde"/>
          <w:sz w:val="22"/>
          <w:szCs w:val="22"/>
        </w:rPr>
        <w:t xml:space="preserve">se </w:t>
      </w:r>
      <w:r w:rsidR="00AA2805" w:rsidRPr="007D02A7">
        <w:rPr>
          <w:rFonts w:ascii="ITC Avant Garde" w:hAnsi="ITC Avant Garde"/>
          <w:sz w:val="22"/>
          <w:szCs w:val="22"/>
        </w:rPr>
        <w:t xml:space="preserve">recibió a trámite la notificación de </w:t>
      </w:r>
      <w:r w:rsidRPr="007D02A7">
        <w:rPr>
          <w:rFonts w:ascii="ITC Avant Garde" w:hAnsi="ITC Avant Garde"/>
          <w:sz w:val="22"/>
          <w:szCs w:val="22"/>
        </w:rPr>
        <w:t xml:space="preserve">la Operación </w:t>
      </w:r>
      <w:r w:rsidR="00AA2805" w:rsidRPr="007D02A7">
        <w:rPr>
          <w:rFonts w:ascii="ITC Avant Garde" w:hAnsi="ITC Avant Garde"/>
          <w:sz w:val="22"/>
          <w:szCs w:val="22"/>
        </w:rPr>
        <w:t xml:space="preserve">a partir del </w:t>
      </w:r>
      <w:r w:rsidR="00BC194B" w:rsidRPr="007D02A7">
        <w:rPr>
          <w:rFonts w:ascii="ITC Avant Garde" w:hAnsi="ITC Avant Garde"/>
          <w:sz w:val="22"/>
          <w:szCs w:val="22"/>
        </w:rPr>
        <w:t>veinticinco de agosto</w:t>
      </w:r>
      <w:r w:rsidR="00AA2805" w:rsidRPr="007D02A7">
        <w:rPr>
          <w:rFonts w:ascii="ITC Avant Garde" w:hAnsi="ITC Avant Garde"/>
          <w:sz w:val="22"/>
          <w:szCs w:val="22"/>
        </w:rPr>
        <w:t xml:space="preserve"> de dos mil diecis</w:t>
      </w:r>
      <w:r w:rsidR="00BC194B" w:rsidRPr="007D02A7">
        <w:rPr>
          <w:rFonts w:ascii="ITC Avant Garde" w:hAnsi="ITC Avant Garde"/>
          <w:sz w:val="22"/>
          <w:szCs w:val="22"/>
        </w:rPr>
        <w:t>iete</w:t>
      </w:r>
      <w:r w:rsidR="00AA2805" w:rsidRPr="007D02A7">
        <w:rPr>
          <w:rFonts w:ascii="ITC Avant Garde" w:hAnsi="ITC Avant Garde"/>
          <w:sz w:val="22"/>
          <w:szCs w:val="22"/>
        </w:rPr>
        <w:t xml:space="preserve"> </w:t>
      </w:r>
      <w:r w:rsidRPr="007D02A7">
        <w:rPr>
          <w:rFonts w:ascii="ITC Avant Garde" w:hAnsi="ITC Avant Garde"/>
          <w:sz w:val="22"/>
          <w:szCs w:val="22"/>
        </w:rPr>
        <w:t xml:space="preserve">y se turnó el </w:t>
      </w:r>
      <w:r w:rsidR="00AA2805" w:rsidRPr="007D02A7">
        <w:rPr>
          <w:rFonts w:ascii="ITC Avant Garde" w:hAnsi="ITC Avant Garde"/>
          <w:sz w:val="22"/>
          <w:szCs w:val="22"/>
        </w:rPr>
        <w:t>E</w:t>
      </w:r>
      <w:r w:rsidRPr="007D02A7">
        <w:rPr>
          <w:rFonts w:ascii="ITC Avant Garde" w:hAnsi="ITC Avant Garde"/>
          <w:sz w:val="22"/>
          <w:szCs w:val="22"/>
        </w:rPr>
        <w:t>xpediente a la Dirección General de Concentraciones y Concesiones (DGCC) para efecto de dar el trámite correspond</w:t>
      </w:r>
      <w:r w:rsidR="00DF32B7" w:rsidRPr="007D02A7">
        <w:rPr>
          <w:rFonts w:ascii="ITC Avant Garde" w:hAnsi="ITC Avant Garde"/>
          <w:sz w:val="22"/>
          <w:szCs w:val="22"/>
        </w:rPr>
        <w:t>iente</w:t>
      </w:r>
      <w:r w:rsidRPr="007D02A7">
        <w:rPr>
          <w:rFonts w:ascii="ITC Avant Garde" w:hAnsi="ITC Avant Garde"/>
          <w:sz w:val="22"/>
          <w:szCs w:val="22"/>
        </w:rPr>
        <w:t xml:space="preserve"> en términos de la LFCE (Acuerdo de Recepción</w:t>
      </w:r>
      <w:r w:rsidR="00AA2805" w:rsidRPr="007D02A7">
        <w:rPr>
          <w:rFonts w:ascii="ITC Avant Garde" w:hAnsi="ITC Avant Garde"/>
          <w:sz w:val="22"/>
          <w:szCs w:val="22"/>
        </w:rPr>
        <w:t>)</w:t>
      </w:r>
      <w:r w:rsidR="00AA2805" w:rsidRPr="007D02A7">
        <w:rPr>
          <w:rFonts w:ascii="ITC Avant Garde" w:hAnsi="ITC Avant Garde"/>
          <w:bCs/>
          <w:sz w:val="22"/>
          <w:szCs w:val="22"/>
        </w:rPr>
        <w:t>.</w:t>
      </w:r>
    </w:p>
    <w:p w:rsidR="008455E1" w:rsidRPr="007D02A7" w:rsidRDefault="008455E1" w:rsidP="00637B96">
      <w:pPr>
        <w:pStyle w:val="Texto"/>
        <w:numPr>
          <w:ilvl w:val="0"/>
          <w:numId w:val="9"/>
        </w:numPr>
        <w:spacing w:before="120" w:after="120" w:line="276" w:lineRule="auto"/>
        <w:rPr>
          <w:rFonts w:ascii="ITC Avant Garde" w:hAnsi="ITC Avant Garde" w:cs="Times New Roman"/>
          <w:sz w:val="22"/>
          <w:szCs w:val="22"/>
        </w:rPr>
      </w:pPr>
      <w:r w:rsidRPr="007D02A7">
        <w:rPr>
          <w:rFonts w:ascii="ITC Avant Garde" w:eastAsiaTheme="minorHAnsi" w:hAnsi="ITC Avant Garde" w:cs="Century Gothic"/>
          <w:bCs/>
          <w:color w:val="000000"/>
          <w:sz w:val="22"/>
          <w:szCs w:val="22"/>
          <w:lang w:val="es-MX" w:eastAsia="en-US"/>
        </w:rPr>
        <w:lastRenderedPageBreak/>
        <w:t xml:space="preserve">El diecinueve de septiembre de dos mil diecisiete el Pleno del Instituto emitió y publicó un Acuerdo que declaró </w:t>
      </w:r>
      <w:r w:rsidRPr="007D02A7">
        <w:rPr>
          <w:rFonts w:ascii="ITC Avant Garde" w:hAnsi="ITC Avant Garde"/>
          <w:sz w:val="22"/>
          <w:szCs w:val="22"/>
        </w:rPr>
        <w:t xml:space="preserve">la suspensión de labores en todas sus áreas administrativas, por causas de fuerza mayor, los días veinte y veintiuno de septiembre de dos mil diecisiete. </w:t>
      </w:r>
    </w:p>
    <w:p w:rsidR="008455E1" w:rsidRPr="007D02A7" w:rsidRDefault="008455E1" w:rsidP="00637B96">
      <w:pPr>
        <w:pStyle w:val="Texto"/>
        <w:numPr>
          <w:ilvl w:val="0"/>
          <w:numId w:val="9"/>
        </w:numPr>
        <w:spacing w:before="120" w:after="120" w:line="276" w:lineRule="auto"/>
        <w:rPr>
          <w:rFonts w:ascii="ITC Avant Garde" w:hAnsi="ITC Avant Garde" w:cs="Times New Roman"/>
          <w:sz w:val="22"/>
          <w:szCs w:val="22"/>
        </w:rPr>
      </w:pPr>
      <w:r w:rsidRPr="007D02A7">
        <w:rPr>
          <w:rFonts w:ascii="ITC Avant Garde" w:eastAsiaTheme="minorHAnsi" w:hAnsi="ITC Avant Garde" w:cs="Century Gothic"/>
          <w:bCs/>
          <w:color w:val="000000"/>
          <w:sz w:val="22"/>
          <w:szCs w:val="22"/>
          <w:lang w:eastAsia="en-US"/>
        </w:rPr>
        <w:t xml:space="preserve">El </w:t>
      </w:r>
      <w:r w:rsidRPr="007D02A7">
        <w:rPr>
          <w:rFonts w:ascii="ITC Avant Garde" w:hAnsi="ITC Avant Garde"/>
          <w:sz w:val="22"/>
          <w:szCs w:val="22"/>
        </w:rPr>
        <w:t xml:space="preserve">veintiuno de septiembre de dos mil diecisiete el Pleno </w:t>
      </w:r>
      <w:r w:rsidRPr="007D02A7">
        <w:rPr>
          <w:rFonts w:ascii="ITC Avant Garde" w:eastAsiaTheme="minorHAnsi" w:hAnsi="ITC Avant Garde" w:cs="Century Gothic"/>
          <w:bCs/>
          <w:color w:val="000000"/>
          <w:sz w:val="22"/>
          <w:szCs w:val="22"/>
          <w:lang w:val="es-MX" w:eastAsia="en-US"/>
        </w:rPr>
        <w:t xml:space="preserve">del Instituto emitió y publicó un Acuerdo que declaró </w:t>
      </w:r>
      <w:r w:rsidRPr="007D02A7">
        <w:rPr>
          <w:rFonts w:ascii="ITC Avant Garde" w:hAnsi="ITC Avant Garde"/>
          <w:sz w:val="22"/>
          <w:szCs w:val="22"/>
        </w:rPr>
        <w:t>la suspensión de labores en todas sus áreas administrativas, por causas de fuerza mayor,</w:t>
      </w:r>
      <w:r w:rsidRPr="007D02A7">
        <w:rPr>
          <w:rFonts w:ascii="ITC Avant Garde" w:eastAsiaTheme="minorHAnsi" w:hAnsi="ITC Avant Garde" w:cs="Century Gothic"/>
          <w:bCs/>
          <w:color w:val="000000"/>
          <w:sz w:val="22"/>
          <w:szCs w:val="22"/>
          <w:lang w:val="es-MX" w:eastAsia="en-US"/>
        </w:rPr>
        <w:t xml:space="preserve"> el día </w:t>
      </w:r>
      <w:r w:rsidRPr="007D02A7">
        <w:rPr>
          <w:rFonts w:ascii="ITC Avant Garde" w:hAnsi="ITC Avant Garde"/>
          <w:sz w:val="22"/>
          <w:szCs w:val="22"/>
        </w:rPr>
        <w:t xml:space="preserve">veintidós de septiembre de dos mil diecisiete. </w:t>
      </w:r>
    </w:p>
    <w:p w:rsidR="008455E1" w:rsidRPr="007D02A7" w:rsidRDefault="008455E1" w:rsidP="00637B96">
      <w:pPr>
        <w:pStyle w:val="Texto"/>
        <w:numPr>
          <w:ilvl w:val="0"/>
          <w:numId w:val="9"/>
        </w:numPr>
        <w:spacing w:before="120" w:after="120" w:line="276" w:lineRule="auto"/>
        <w:rPr>
          <w:rFonts w:ascii="ITC Avant Garde" w:hAnsi="ITC Avant Garde" w:cs="Times New Roman"/>
          <w:sz w:val="22"/>
          <w:szCs w:val="22"/>
        </w:rPr>
      </w:pPr>
      <w:r w:rsidRPr="007D02A7">
        <w:rPr>
          <w:rFonts w:ascii="ITC Avant Garde" w:hAnsi="ITC Avant Garde"/>
          <w:sz w:val="22"/>
          <w:szCs w:val="22"/>
        </w:rPr>
        <w:t xml:space="preserve">De conformidad con lo señalado en los antecedentes </w:t>
      </w:r>
      <w:r w:rsidR="00343E8D" w:rsidRPr="007D02A7">
        <w:rPr>
          <w:rFonts w:ascii="ITC Avant Garde" w:hAnsi="ITC Avant Garde"/>
          <w:sz w:val="22"/>
          <w:szCs w:val="22"/>
        </w:rPr>
        <w:t>Sexto</w:t>
      </w:r>
      <w:r w:rsidRPr="007D02A7">
        <w:rPr>
          <w:rFonts w:ascii="ITC Avant Garde" w:hAnsi="ITC Avant Garde"/>
          <w:sz w:val="22"/>
          <w:szCs w:val="22"/>
        </w:rPr>
        <w:t xml:space="preserve"> y </w:t>
      </w:r>
      <w:r w:rsidR="00343E8D" w:rsidRPr="007D02A7">
        <w:rPr>
          <w:rFonts w:ascii="ITC Avant Garde" w:hAnsi="ITC Avant Garde"/>
          <w:sz w:val="22"/>
          <w:szCs w:val="22"/>
        </w:rPr>
        <w:t>Séptimo</w:t>
      </w:r>
      <w:r w:rsidRPr="007D02A7">
        <w:rPr>
          <w:rFonts w:ascii="ITC Avant Garde" w:hAnsi="ITC Avant Garde"/>
          <w:sz w:val="22"/>
          <w:szCs w:val="22"/>
        </w:rPr>
        <w:t xml:space="preserve"> de esta resolución, quedaron suspendidos los plazos y términos previstos en el artículo 90, fracción V, primer párrafo en este procedimiento del veinte al veintidós de septiembre de dos mil diecisiete, reanudándose al día hábil siguiente que corresponde al veinticinco de septiembre de dos mil diecisiete.</w:t>
      </w:r>
    </w:p>
    <w:p w:rsidR="000E152E" w:rsidRPr="007D02A7" w:rsidRDefault="00453168" w:rsidP="00637B96">
      <w:pPr>
        <w:pStyle w:val="Texto"/>
        <w:numPr>
          <w:ilvl w:val="0"/>
          <w:numId w:val="9"/>
        </w:numPr>
        <w:spacing w:before="120" w:after="120" w:line="276" w:lineRule="auto"/>
        <w:rPr>
          <w:rFonts w:ascii="ITC Avant Garde" w:hAnsi="ITC Avant Garde" w:cs="Times New Roman"/>
          <w:sz w:val="22"/>
          <w:szCs w:val="22"/>
        </w:rPr>
      </w:pPr>
      <w:r w:rsidRPr="007D02A7">
        <w:rPr>
          <w:rFonts w:ascii="ITC Avant Garde" w:hAnsi="ITC Avant Garde"/>
          <w:sz w:val="22"/>
          <w:szCs w:val="22"/>
        </w:rPr>
        <w:t xml:space="preserve">El veintisiete de septiembre </w:t>
      </w:r>
      <w:r w:rsidR="003763AD" w:rsidRPr="007D02A7">
        <w:rPr>
          <w:rFonts w:ascii="ITC Avant Garde" w:hAnsi="ITC Avant Garde"/>
          <w:sz w:val="22"/>
          <w:szCs w:val="22"/>
        </w:rPr>
        <w:t xml:space="preserve">y el diez de octubre </w:t>
      </w:r>
      <w:r w:rsidRPr="007D02A7">
        <w:rPr>
          <w:rFonts w:ascii="ITC Avant Garde" w:hAnsi="ITC Avant Garde"/>
          <w:sz w:val="22"/>
          <w:szCs w:val="22"/>
        </w:rPr>
        <w:t>de dos mil diecisiete, mediante escrito</w:t>
      </w:r>
      <w:r w:rsidR="003763AD" w:rsidRPr="007D02A7">
        <w:rPr>
          <w:rFonts w:ascii="ITC Avant Garde" w:hAnsi="ITC Avant Garde"/>
          <w:sz w:val="22"/>
          <w:szCs w:val="22"/>
        </w:rPr>
        <w:t>s</w:t>
      </w:r>
      <w:r w:rsidRPr="007D02A7">
        <w:rPr>
          <w:rFonts w:ascii="ITC Avant Garde" w:hAnsi="ITC Avant Garde"/>
          <w:sz w:val="22"/>
          <w:szCs w:val="22"/>
        </w:rPr>
        <w:t xml:space="preserve"> en alcance, las Partes remitieron información complementaria relacionada con la Operación.</w:t>
      </w:r>
    </w:p>
    <w:p w:rsidR="007177DE" w:rsidRPr="007D02A7" w:rsidRDefault="00EA4567" w:rsidP="00637B96">
      <w:pPr>
        <w:pStyle w:val="Texto"/>
        <w:numPr>
          <w:ilvl w:val="0"/>
          <w:numId w:val="9"/>
        </w:numPr>
        <w:spacing w:before="120" w:after="120" w:line="276" w:lineRule="auto"/>
        <w:rPr>
          <w:rFonts w:ascii="ITC Avant Garde" w:hAnsi="ITC Avant Garde"/>
          <w:sz w:val="22"/>
          <w:szCs w:val="22"/>
        </w:rPr>
      </w:pPr>
      <w:r w:rsidRPr="007D02A7">
        <w:rPr>
          <w:rFonts w:ascii="ITC Avant Garde" w:hAnsi="ITC Avant Garde"/>
          <w:sz w:val="22"/>
          <w:szCs w:val="22"/>
        </w:rPr>
        <w:t xml:space="preserve">En términos del artículo 90, fracción V, primer párrafo, de la LFCE, el Instituto tiene un plazo de sesenta días hábiles para emitir resolución, a partir de la recepción de la </w:t>
      </w:r>
      <w:r w:rsidR="00130AA9" w:rsidRPr="007D02A7">
        <w:rPr>
          <w:rFonts w:ascii="ITC Avant Garde" w:hAnsi="ITC Avant Garde"/>
          <w:sz w:val="22"/>
          <w:szCs w:val="22"/>
        </w:rPr>
        <w:t xml:space="preserve">notificación o, en su caso, de </w:t>
      </w:r>
      <w:r w:rsidRPr="007D02A7">
        <w:rPr>
          <w:rFonts w:ascii="ITC Avant Garde" w:hAnsi="ITC Avant Garde"/>
          <w:sz w:val="22"/>
          <w:szCs w:val="22"/>
        </w:rPr>
        <w:t xml:space="preserve">la documentación adicional solicitada. De conformidad con los antecedentes tercero, sexto, séptimo y octavo de esta resolución, el plazo para resolver vence hasta el </w:t>
      </w:r>
      <w:r w:rsidR="003763AD" w:rsidRPr="007D02A7">
        <w:rPr>
          <w:rFonts w:ascii="ITC Avant Garde" w:hAnsi="ITC Avant Garde"/>
          <w:sz w:val="22"/>
          <w:szCs w:val="22"/>
        </w:rPr>
        <w:t>veintitrés</w:t>
      </w:r>
      <w:r w:rsidRPr="007D02A7">
        <w:rPr>
          <w:rFonts w:ascii="ITC Avant Garde" w:hAnsi="ITC Avant Garde"/>
          <w:sz w:val="22"/>
          <w:szCs w:val="22"/>
        </w:rPr>
        <w:t xml:space="preserve"> de noviembre de dos mil diecisiete.</w:t>
      </w:r>
    </w:p>
    <w:p w:rsidR="007177DE" w:rsidRPr="007D02A7" w:rsidRDefault="008A39CF" w:rsidP="00637B96">
      <w:pPr>
        <w:pStyle w:val="Texto"/>
        <w:spacing w:before="120" w:after="120" w:line="276" w:lineRule="auto"/>
        <w:ind w:firstLine="0"/>
        <w:rPr>
          <w:rFonts w:ascii="ITC Avant Garde" w:hAnsi="ITC Avant Garde" w:cs="Times New Roman"/>
          <w:sz w:val="22"/>
          <w:szCs w:val="22"/>
        </w:rPr>
      </w:pPr>
      <w:r w:rsidRPr="007D02A7">
        <w:rPr>
          <w:rFonts w:ascii="ITC Avant Garde" w:hAnsi="ITC Avant Garde" w:cs="Times New Roman"/>
          <w:sz w:val="22"/>
          <w:szCs w:val="22"/>
        </w:rPr>
        <w:t>En virtud de los Antecede</w:t>
      </w:r>
      <w:r w:rsidR="00AC40D9" w:rsidRPr="007D02A7">
        <w:rPr>
          <w:rFonts w:ascii="ITC Avant Garde" w:hAnsi="ITC Avant Garde" w:cs="Times New Roman"/>
          <w:sz w:val="22"/>
          <w:szCs w:val="22"/>
        </w:rPr>
        <w:t xml:space="preserve">ntes referidos y </w:t>
      </w:r>
    </w:p>
    <w:p w:rsidR="008A39CF" w:rsidRPr="007D02A7" w:rsidRDefault="008A39CF" w:rsidP="00CF0AFC">
      <w:pPr>
        <w:pStyle w:val="Ttulo2"/>
        <w:spacing w:before="360" w:after="360"/>
        <w:jc w:val="center"/>
        <w:rPr>
          <w:rStyle w:val="NormalIFTCar"/>
          <w:rFonts w:eastAsia="Calibri"/>
          <w:bCs w:val="0"/>
          <w:color w:val="auto"/>
          <w:sz w:val="22"/>
          <w:szCs w:val="22"/>
          <w:lang w:val="es-MX"/>
        </w:rPr>
      </w:pPr>
      <w:bookmarkStart w:id="2" w:name="_Toc435697301"/>
      <w:bookmarkStart w:id="3" w:name="_Toc435697377"/>
      <w:r w:rsidRPr="007D02A7">
        <w:rPr>
          <w:rStyle w:val="NormalIFTCar"/>
          <w:rFonts w:eastAsia="Calibri"/>
          <w:bCs w:val="0"/>
          <w:color w:val="auto"/>
          <w:sz w:val="22"/>
          <w:szCs w:val="22"/>
          <w:lang w:val="es-MX"/>
        </w:rPr>
        <w:t>II. CONSIDERA</w:t>
      </w:r>
      <w:r w:rsidR="00306324" w:rsidRPr="007D02A7">
        <w:rPr>
          <w:rStyle w:val="NormalIFTCar"/>
          <w:rFonts w:eastAsia="Calibri"/>
          <w:bCs w:val="0"/>
          <w:color w:val="auto"/>
          <w:sz w:val="22"/>
          <w:szCs w:val="22"/>
          <w:lang w:val="es-MX"/>
        </w:rPr>
        <w:t>NDO</w:t>
      </w:r>
      <w:bookmarkEnd w:id="2"/>
      <w:bookmarkEnd w:id="3"/>
    </w:p>
    <w:p w:rsidR="008A39CF" w:rsidRPr="007D02A7" w:rsidRDefault="00D9223F" w:rsidP="00637B96">
      <w:pPr>
        <w:spacing w:before="120" w:after="120"/>
        <w:rPr>
          <w:rFonts w:ascii="ITC Avant Garde" w:hAnsi="ITC Avant Garde"/>
          <w:b/>
        </w:rPr>
      </w:pPr>
      <w:bookmarkStart w:id="4" w:name="_Toc435697302"/>
      <w:bookmarkStart w:id="5" w:name="_Toc435697378"/>
      <w:r w:rsidRPr="007D02A7">
        <w:rPr>
          <w:rFonts w:ascii="ITC Avant Garde" w:hAnsi="ITC Avant Garde"/>
          <w:b/>
        </w:rPr>
        <w:t xml:space="preserve">Primero.- </w:t>
      </w:r>
      <w:r w:rsidR="008A39CF" w:rsidRPr="007D02A7">
        <w:rPr>
          <w:rFonts w:ascii="ITC Avant Garde" w:hAnsi="ITC Avant Garde"/>
          <w:b/>
        </w:rPr>
        <w:t>Facultades del Instituto</w:t>
      </w:r>
      <w:bookmarkEnd w:id="4"/>
      <w:bookmarkEnd w:id="5"/>
    </w:p>
    <w:p w:rsidR="00B02448" w:rsidRPr="007D02A7" w:rsidRDefault="00FF1F61" w:rsidP="00637B96">
      <w:pPr>
        <w:pStyle w:val="Prraforproyecto"/>
        <w:keepNext w:val="0"/>
        <w:spacing w:before="120"/>
        <w:rPr>
          <w:rStyle w:val="Refdecomentario"/>
          <w:rFonts w:eastAsia="Calibri"/>
          <w:bCs w:val="0"/>
          <w:color w:val="auto"/>
          <w:lang w:eastAsia="en-US"/>
        </w:rPr>
      </w:pPr>
      <w:r w:rsidRPr="007D02A7">
        <w:t>De conformidad con lo dispuesto en el artículo 28, párrafo</w:t>
      </w:r>
      <w:r w:rsidR="00EA4567" w:rsidRPr="007D02A7">
        <w:t>s décimo cuarto, décimo quinto y</w:t>
      </w:r>
      <w:r w:rsidRPr="007D02A7">
        <w:t xml:space="preserve"> décimo sexto de la </w:t>
      </w:r>
      <w:r w:rsidR="00B02448" w:rsidRPr="007D02A7">
        <w:t>Constitución Política de los Estados Unidos Mexicanos (</w:t>
      </w:r>
      <w:r w:rsidRPr="007D02A7">
        <w:t>CPEUM</w:t>
      </w:r>
      <w:r w:rsidR="00B02448" w:rsidRPr="007D02A7">
        <w:t>)</w:t>
      </w:r>
      <w:r w:rsidRPr="007D02A7">
        <w:t xml:space="preserve">; 5 párrafo primero de la </w:t>
      </w:r>
      <w:r w:rsidR="00E61710" w:rsidRPr="007D02A7">
        <w:t>LFCE</w:t>
      </w:r>
      <w:r w:rsidRPr="007D02A7">
        <w:t xml:space="preserve"> y 7 párrafo tercero de la </w:t>
      </w:r>
      <w:r w:rsidR="00547740" w:rsidRPr="007D02A7">
        <w:t>Ley Federal de Telecomunicaciones y Radiodifusión (</w:t>
      </w:r>
      <w:r w:rsidRPr="007D02A7">
        <w:t>LFTR</w:t>
      </w:r>
      <w:r w:rsidR="00547740" w:rsidRPr="007D02A7">
        <w:t>)</w:t>
      </w:r>
      <w:r w:rsidRPr="007D02A7">
        <w:t xml:space="preserve">, el Instituto es un órgano autónomo, con personalidad jurídica y patrimonio propio que tiene por objeto el desarrollo eficiente de la radiodifusión y las telecomunicaciones, y para tales efectos </w:t>
      </w:r>
      <w:r w:rsidR="00A57B78" w:rsidRPr="007D02A7">
        <w:t>tiene</w:t>
      </w:r>
      <w:r w:rsidRPr="007D02A7">
        <w:t xml:space="preserve"> a su cargo, la regulación, promoción y supervisión, entre otros, </w:t>
      </w:r>
      <w:r w:rsidR="00FB7C49" w:rsidRPr="007D02A7">
        <w:t>del uso, aprovechamiento y explotación del espectro radioeléctrico;</w:t>
      </w:r>
      <w:r w:rsidR="00A57B78" w:rsidRPr="007D02A7">
        <w:t xml:space="preserve"> </w:t>
      </w:r>
      <w:r w:rsidR="00EA4567" w:rsidRPr="007D02A7">
        <w:t xml:space="preserve">y </w:t>
      </w:r>
      <w:r w:rsidR="00A57B78" w:rsidRPr="007D02A7">
        <w:t xml:space="preserve">es </w:t>
      </w:r>
      <w:r w:rsidRPr="007D02A7">
        <w:t>la autoridad en materia de competencia económica en los sectores de radiodifusión y telecomunicaciones</w:t>
      </w:r>
      <w:r w:rsidR="008A39CF" w:rsidRPr="007D02A7">
        <w:t>.</w:t>
      </w:r>
    </w:p>
    <w:p w:rsidR="00F11384" w:rsidRPr="007D02A7" w:rsidRDefault="00547740" w:rsidP="00637B96">
      <w:pPr>
        <w:pStyle w:val="Prraforproyecto"/>
        <w:keepNext w:val="0"/>
        <w:spacing w:before="120"/>
      </w:pPr>
      <w:r w:rsidRPr="007D02A7">
        <w:t>E</w:t>
      </w:r>
      <w:r w:rsidR="00D03887" w:rsidRPr="007D02A7">
        <w:t xml:space="preserve">l Instituto </w:t>
      </w:r>
      <w:r w:rsidR="00A83195" w:rsidRPr="007D02A7">
        <w:t>es competente</w:t>
      </w:r>
      <w:r w:rsidR="00D03887" w:rsidRPr="007D02A7">
        <w:t xml:space="preserve"> para tramitar, evaluar y resolver la Operación notificada</w:t>
      </w:r>
      <w:r w:rsidR="009B5CBD" w:rsidRPr="007D02A7">
        <w:t xml:space="preserve"> toda vez que involucra: </w:t>
      </w:r>
    </w:p>
    <w:p w:rsidR="00F11384" w:rsidRPr="007D02A7" w:rsidRDefault="00F11384" w:rsidP="00637B96">
      <w:pPr>
        <w:pStyle w:val="Prraforproyecto"/>
        <w:keepNext w:val="0"/>
        <w:numPr>
          <w:ilvl w:val="0"/>
          <w:numId w:val="19"/>
        </w:numPr>
        <w:spacing w:before="120"/>
      </w:pPr>
      <w:r w:rsidRPr="007D02A7">
        <w:lastRenderedPageBreak/>
        <w:t xml:space="preserve">Como </w:t>
      </w:r>
      <w:r w:rsidR="009B5CBD" w:rsidRPr="007D02A7">
        <w:t xml:space="preserve">Vendedor </w:t>
      </w:r>
      <w:r w:rsidR="00E13857" w:rsidRPr="007D02A7">
        <w:t>a A</w:t>
      </w:r>
      <w:r w:rsidR="008F2C79" w:rsidRPr="007D02A7">
        <w:t>XTEL</w:t>
      </w:r>
      <w:r w:rsidR="00CA5141" w:rsidRPr="007D02A7">
        <w:t>,</w:t>
      </w:r>
      <w:r w:rsidR="00E779C1" w:rsidRPr="007D02A7">
        <w:t xml:space="preserve"> que es</w:t>
      </w:r>
      <w:r w:rsidR="00721000" w:rsidRPr="007D02A7">
        <w:t xml:space="preserve"> </w:t>
      </w:r>
      <w:r w:rsidR="00E75D37" w:rsidRPr="007D02A7">
        <w:t xml:space="preserve">un </w:t>
      </w:r>
      <w:r w:rsidR="00721000" w:rsidRPr="007D02A7">
        <w:t xml:space="preserve">agente económico </w:t>
      </w:r>
      <w:r w:rsidR="009B5CBD" w:rsidRPr="007D02A7">
        <w:t xml:space="preserve">titular de </w:t>
      </w:r>
      <w:r w:rsidR="007504A3" w:rsidRPr="007D02A7">
        <w:rPr>
          <w:lang w:val="es-ES_tradnl"/>
        </w:rPr>
        <w:t xml:space="preserve">concesiones para instalar, operar y explotar redes públicas de telecomunicaciones y de espectro radioeléctrico, sujetas a </w:t>
      </w:r>
      <w:r w:rsidR="009B5CBD" w:rsidRPr="007D02A7">
        <w:t>la LFTR</w:t>
      </w:r>
      <w:r w:rsidR="007504A3" w:rsidRPr="007D02A7">
        <w:t>,</w:t>
      </w:r>
      <w:r w:rsidR="009B5CBD" w:rsidRPr="007D02A7" w:rsidDel="009B5CBD">
        <w:t xml:space="preserve"> </w:t>
      </w:r>
      <w:r w:rsidR="009B5CBD" w:rsidRPr="007D02A7">
        <w:t xml:space="preserve">que emplea para prestar </w:t>
      </w:r>
      <w:r w:rsidR="00FB7C49" w:rsidRPr="007D02A7">
        <w:t>servicios de telecomunicaciones</w:t>
      </w:r>
      <w:r w:rsidR="00EA4567" w:rsidRPr="007D02A7">
        <w:t>;</w:t>
      </w:r>
      <w:r w:rsidR="00E75D37" w:rsidRPr="007D02A7">
        <w:t xml:space="preserve"> </w:t>
      </w:r>
    </w:p>
    <w:p w:rsidR="00F11384" w:rsidRPr="007D02A7" w:rsidRDefault="00F11384" w:rsidP="00637B96">
      <w:pPr>
        <w:pStyle w:val="Prraforproyecto"/>
        <w:keepNext w:val="0"/>
        <w:spacing w:before="120"/>
        <w:ind w:left="1134"/>
      </w:pPr>
      <w:r w:rsidRPr="007D02A7">
        <w:t xml:space="preserve">Como </w:t>
      </w:r>
      <w:r w:rsidR="009B5CBD" w:rsidRPr="007D02A7">
        <w:t xml:space="preserve">Comprador </w:t>
      </w:r>
      <w:r w:rsidR="00E13857" w:rsidRPr="007D02A7">
        <w:t>a MATC Digital,</w:t>
      </w:r>
      <w:r w:rsidR="00E779C1" w:rsidRPr="007D02A7">
        <w:t xml:space="preserve"> </w:t>
      </w:r>
      <w:r w:rsidR="00E75D37" w:rsidRPr="007D02A7">
        <w:t xml:space="preserve">un agente económico </w:t>
      </w:r>
      <w:r w:rsidR="00A14015" w:rsidRPr="007D02A7">
        <w:t xml:space="preserve">que </w:t>
      </w:r>
      <w:r w:rsidR="00E75D37" w:rsidRPr="007D02A7">
        <w:t>arr</w:t>
      </w:r>
      <w:r w:rsidR="00EA4567" w:rsidRPr="007D02A7">
        <w:t xml:space="preserve">ienda </w:t>
      </w:r>
      <w:r w:rsidR="008C6117" w:rsidRPr="007D02A7">
        <w:t xml:space="preserve">sitios </w:t>
      </w:r>
      <w:r w:rsidR="008E1B6F" w:rsidRPr="007D02A7">
        <w:t xml:space="preserve">(i.e. espacios físicos) </w:t>
      </w:r>
      <w:r w:rsidR="008C6117" w:rsidRPr="007D02A7">
        <w:t xml:space="preserve">en </w:t>
      </w:r>
      <w:r w:rsidR="00E75D37" w:rsidRPr="007D02A7">
        <w:t>torres de telecomunicaciones</w:t>
      </w:r>
      <w:r w:rsidR="008E1B6F" w:rsidRPr="007D02A7">
        <w:t xml:space="preserve"> e infraestructura auxiliar</w:t>
      </w:r>
      <w:r w:rsidR="009B5CBD" w:rsidRPr="007D02A7">
        <w:t>, los cuales son elementos de Infraestructura pasiva</w:t>
      </w:r>
      <w:r w:rsidR="008B076E" w:rsidRPr="007D02A7">
        <w:rPr>
          <w:rStyle w:val="Refdenotaalpie"/>
        </w:rPr>
        <w:footnoteReference w:id="2"/>
      </w:r>
      <w:r w:rsidR="009B5CBD" w:rsidRPr="007D02A7">
        <w:t xml:space="preserve"> utilizados por concesionarios de </w:t>
      </w:r>
      <w:r w:rsidR="007504A3" w:rsidRPr="007D02A7">
        <w:t>telecomunicaciones</w:t>
      </w:r>
      <w:r w:rsidRPr="007D02A7">
        <w:t>,</w:t>
      </w:r>
      <w:r w:rsidR="009B5CBD" w:rsidRPr="007D02A7">
        <w:t xml:space="preserve"> y </w:t>
      </w:r>
    </w:p>
    <w:p w:rsidR="009D72DA" w:rsidRPr="007D02A7" w:rsidRDefault="00F11384" w:rsidP="00637B96">
      <w:pPr>
        <w:pStyle w:val="Prraforproyecto"/>
        <w:keepNext w:val="0"/>
        <w:numPr>
          <w:ilvl w:val="0"/>
          <w:numId w:val="19"/>
        </w:numPr>
        <w:spacing w:before="120"/>
      </w:pPr>
      <w:r w:rsidRPr="007D02A7">
        <w:t xml:space="preserve">El </w:t>
      </w:r>
      <w:r w:rsidR="009B5CBD" w:rsidRPr="007D02A7">
        <w:t xml:space="preserve">objeto es </w:t>
      </w:r>
      <w:r w:rsidR="00E779C1" w:rsidRPr="007D02A7">
        <w:t>que MATC Digital adquiera</w:t>
      </w:r>
      <w:r w:rsidR="009B5CBD" w:rsidRPr="007D02A7">
        <w:t xml:space="preserve"> 142 (ciento cuarenta y </w:t>
      </w:r>
      <w:r w:rsidR="009B5CBD" w:rsidRPr="007D02A7">
        <w:rPr>
          <w:noProof/>
        </w:rPr>
        <w:t>dos</w:t>
      </w:r>
      <w:r w:rsidR="009B5CBD" w:rsidRPr="007D02A7">
        <w:t>)</w:t>
      </w:r>
      <w:r w:rsidR="009B5CBD" w:rsidRPr="007D02A7">
        <w:rPr>
          <w:noProof/>
        </w:rPr>
        <w:t xml:space="preserve"> torres de telecomunicaciones propiedad de </w:t>
      </w:r>
      <w:r w:rsidR="009B5CBD" w:rsidRPr="007D02A7">
        <w:t xml:space="preserve">AXTEL. </w:t>
      </w:r>
    </w:p>
    <w:p w:rsidR="000E152E" w:rsidRPr="007D02A7" w:rsidRDefault="009B5CBD" w:rsidP="00637B96">
      <w:pPr>
        <w:pStyle w:val="Prraforproyecto"/>
        <w:keepNext w:val="0"/>
        <w:spacing w:before="120"/>
      </w:pPr>
      <w:r w:rsidRPr="007D02A7">
        <w:t xml:space="preserve">Así, la totalidad de los elementos de la Operación forman parte del sector de telecomunicaciones, en el cual este Instituto es la autoridad competente en materia de competencia económica </w:t>
      </w:r>
      <w:r w:rsidR="00FD1516" w:rsidRPr="007D02A7">
        <w:t xml:space="preserve">para </w:t>
      </w:r>
      <w:r w:rsidR="00A57B78" w:rsidRPr="007D02A7">
        <w:t>conocer y resolver sobre</w:t>
      </w:r>
      <w:r w:rsidR="00FD1516" w:rsidRPr="007D02A7">
        <w:t xml:space="preserve"> </w:t>
      </w:r>
      <w:r w:rsidRPr="007D02A7">
        <w:t xml:space="preserve">esta </w:t>
      </w:r>
      <w:r w:rsidR="00FD1516" w:rsidRPr="007D02A7">
        <w:t>concentraci</w:t>
      </w:r>
      <w:r w:rsidRPr="007D02A7">
        <w:t xml:space="preserve">ón </w:t>
      </w:r>
      <w:r w:rsidR="00FD1516" w:rsidRPr="007D02A7">
        <w:t xml:space="preserve">antes de que se </w:t>
      </w:r>
      <w:r w:rsidRPr="007D02A7">
        <w:t xml:space="preserve">lleve </w:t>
      </w:r>
      <w:r w:rsidR="00FD1516" w:rsidRPr="007D02A7">
        <w:t xml:space="preserve">a cabo, </w:t>
      </w:r>
      <w:r w:rsidRPr="007D02A7">
        <w:t xml:space="preserve">dado que actualiza </w:t>
      </w:r>
      <w:r w:rsidR="00FD1516" w:rsidRPr="007D02A7">
        <w:t xml:space="preserve">los umbrales establecidos en el artículo 86 </w:t>
      </w:r>
      <w:r w:rsidRPr="007D02A7">
        <w:t>de la LFCE</w:t>
      </w:r>
      <w:r w:rsidR="00FD1516" w:rsidRPr="007D02A7">
        <w:t xml:space="preserve">. </w:t>
      </w:r>
    </w:p>
    <w:p w:rsidR="00E13857" w:rsidRPr="007D02A7" w:rsidRDefault="00D03887" w:rsidP="00637B96">
      <w:pPr>
        <w:pStyle w:val="Prraforproyecto"/>
        <w:keepNext w:val="0"/>
        <w:spacing w:before="120"/>
      </w:pPr>
      <w:r w:rsidRPr="007D02A7">
        <w:t xml:space="preserve">Así, el actuar de este Instituto </w:t>
      </w:r>
      <w:r w:rsidR="00E13857" w:rsidRPr="007D02A7">
        <w:t>se funda</w:t>
      </w:r>
      <w:r w:rsidRPr="007D02A7">
        <w:t xml:space="preserve"> </w:t>
      </w:r>
      <w:r w:rsidR="00E13857" w:rsidRPr="007D02A7">
        <w:t xml:space="preserve">en </w:t>
      </w:r>
      <w:r w:rsidRPr="007D02A7">
        <w:t xml:space="preserve">lo establecido </w:t>
      </w:r>
      <w:r w:rsidR="00E13857" w:rsidRPr="007D02A7">
        <w:t xml:space="preserve">por </w:t>
      </w:r>
      <w:r w:rsidRPr="007D02A7">
        <w:t>los artículos 28, párrafo</w:t>
      </w:r>
      <w:r w:rsidR="00D0279C" w:rsidRPr="007D02A7">
        <w:t>s</w:t>
      </w:r>
      <w:r w:rsidR="00184D48" w:rsidRPr="007D02A7">
        <w:t xml:space="preserve"> décimo </w:t>
      </w:r>
      <w:r w:rsidR="00E2155F" w:rsidRPr="007D02A7">
        <w:t>quinto</w:t>
      </w:r>
      <w:r w:rsidR="00D0279C" w:rsidRPr="007D02A7">
        <w:t xml:space="preserve"> y décimo </w:t>
      </w:r>
      <w:r w:rsidR="00E2155F" w:rsidRPr="007D02A7">
        <w:t>sexto</w:t>
      </w:r>
      <w:r w:rsidR="00184D48" w:rsidRPr="007D02A7">
        <w:t xml:space="preserve">, </w:t>
      </w:r>
      <w:r w:rsidRPr="007D02A7">
        <w:t>de la CPEUM; 58, 59, 61, 63, 64, 86, fracción I</w:t>
      </w:r>
      <w:r w:rsidR="00E13857" w:rsidRPr="007D02A7">
        <w:t>II</w:t>
      </w:r>
      <w:r w:rsidRPr="007D02A7">
        <w:t>, 87, 88, 89, 90 y 120, párrafo tercero, de la LFCE</w:t>
      </w:r>
      <w:r w:rsidR="00C01DC1" w:rsidRPr="007D02A7">
        <w:t>;</w:t>
      </w:r>
      <w:r w:rsidR="00FB7C49" w:rsidRPr="007D02A7">
        <w:t xml:space="preserve"> </w:t>
      </w:r>
      <w:r w:rsidR="00AD17F3" w:rsidRPr="007D02A7">
        <w:t>7 de la LFTR</w:t>
      </w:r>
      <w:r w:rsidR="00C01DC1" w:rsidRPr="007D02A7">
        <w:t>; y 15 de las Disposiciones Regulatorias de la Ley Federal de Competencia Económica para los sectores de telecomunicaciones y radiodifusión (Disposiciones Regulatorias)</w:t>
      </w:r>
      <w:r w:rsidRPr="007D02A7">
        <w:t>.</w:t>
      </w:r>
    </w:p>
    <w:p w:rsidR="008A39CF" w:rsidRPr="007D02A7" w:rsidRDefault="00D9223F" w:rsidP="00637B96">
      <w:pPr>
        <w:spacing w:before="120" w:after="120"/>
        <w:rPr>
          <w:rFonts w:ascii="ITC Avant Garde" w:hAnsi="ITC Avant Garde"/>
          <w:b/>
        </w:rPr>
      </w:pPr>
      <w:bookmarkStart w:id="6" w:name="_Toc435697303"/>
      <w:bookmarkStart w:id="7" w:name="_Toc435697379"/>
      <w:bookmarkStart w:id="8" w:name="_Ref473542032"/>
      <w:bookmarkStart w:id="9" w:name="_Ref473712366"/>
      <w:r w:rsidRPr="007D02A7">
        <w:rPr>
          <w:rFonts w:ascii="ITC Avant Garde" w:hAnsi="ITC Avant Garde"/>
          <w:b/>
        </w:rPr>
        <w:t xml:space="preserve">Segundo.- </w:t>
      </w:r>
      <w:r w:rsidR="008A39CF" w:rsidRPr="007D02A7">
        <w:rPr>
          <w:rFonts w:ascii="ITC Avant Garde" w:hAnsi="ITC Avant Garde"/>
          <w:b/>
        </w:rPr>
        <w:t xml:space="preserve">La </w:t>
      </w:r>
      <w:r w:rsidR="00AB3016" w:rsidRPr="007D02A7">
        <w:rPr>
          <w:rFonts w:ascii="ITC Avant Garde" w:hAnsi="ITC Avant Garde"/>
          <w:b/>
        </w:rPr>
        <w:t>Operación</w:t>
      </w:r>
      <w:bookmarkEnd w:id="6"/>
      <w:bookmarkEnd w:id="7"/>
      <w:bookmarkEnd w:id="8"/>
      <w:bookmarkEnd w:id="9"/>
    </w:p>
    <w:p w:rsidR="007E36C5" w:rsidRPr="007D02A7" w:rsidRDefault="007E36C5" w:rsidP="00637B96">
      <w:pPr>
        <w:spacing w:before="120" w:after="120"/>
        <w:ind w:firstLine="708"/>
        <w:rPr>
          <w:rFonts w:ascii="ITC Avant Garde" w:hAnsi="ITC Avant Garde"/>
          <w:b/>
          <w:i/>
        </w:rPr>
      </w:pPr>
      <w:r w:rsidRPr="007D02A7">
        <w:rPr>
          <w:rFonts w:ascii="ITC Avant Garde" w:hAnsi="ITC Avant Garde"/>
          <w:b/>
          <w:i/>
        </w:rPr>
        <w:t>2.1. Descripción</w:t>
      </w:r>
    </w:p>
    <w:p w:rsidR="0017207B" w:rsidRPr="007D02A7" w:rsidRDefault="004461B3" w:rsidP="00637B96">
      <w:pPr>
        <w:pStyle w:val="Prraforproyecto"/>
        <w:keepNext w:val="0"/>
        <w:spacing w:before="120"/>
      </w:pPr>
      <w:r w:rsidRPr="007D02A7">
        <w:t>L</w:t>
      </w:r>
      <w:r w:rsidR="008A39CF" w:rsidRPr="007D02A7">
        <w:t xml:space="preserve">a </w:t>
      </w:r>
      <w:r w:rsidR="00AB3016" w:rsidRPr="007D02A7">
        <w:t>Operación</w:t>
      </w:r>
      <w:r w:rsidR="00D922C7" w:rsidRPr="007D02A7">
        <w:t xml:space="preserve"> </w:t>
      </w:r>
      <w:r w:rsidR="007E49FF" w:rsidRPr="007D02A7">
        <w:t xml:space="preserve">consiste en </w:t>
      </w:r>
      <w:r w:rsidR="00AB7598" w:rsidRPr="007D02A7">
        <w:t xml:space="preserve">que </w:t>
      </w:r>
      <w:r w:rsidR="00AF7A0C" w:rsidRPr="007D02A7">
        <w:t>MATC Digital</w:t>
      </w:r>
      <w:r w:rsidR="00AB7598" w:rsidRPr="007D02A7">
        <w:t xml:space="preserve"> adquiera</w:t>
      </w:r>
      <w:r w:rsidR="007E49FF" w:rsidRPr="007D02A7">
        <w:t xml:space="preserve"> </w:t>
      </w:r>
      <w:r w:rsidR="00713038" w:rsidRPr="007D02A7">
        <w:t>14</w:t>
      </w:r>
      <w:r w:rsidR="00AB61E7" w:rsidRPr="007D02A7">
        <w:t>2</w:t>
      </w:r>
      <w:r w:rsidR="00713038" w:rsidRPr="007D02A7">
        <w:t xml:space="preserve"> (ciento cuarenta y </w:t>
      </w:r>
      <w:r w:rsidR="00AB61E7" w:rsidRPr="007D02A7">
        <w:rPr>
          <w:noProof/>
        </w:rPr>
        <w:t>dos</w:t>
      </w:r>
      <w:r w:rsidR="00713038" w:rsidRPr="007D02A7">
        <w:t>)</w:t>
      </w:r>
      <w:r w:rsidR="007E49FF" w:rsidRPr="007D02A7">
        <w:rPr>
          <w:noProof/>
        </w:rPr>
        <w:t xml:space="preserve"> </w:t>
      </w:r>
      <w:r w:rsidR="00713038" w:rsidRPr="007D02A7">
        <w:rPr>
          <w:noProof/>
        </w:rPr>
        <w:t>torres de telecomunicaciones</w:t>
      </w:r>
      <w:r w:rsidR="007E49FF" w:rsidRPr="007D02A7">
        <w:rPr>
          <w:noProof/>
        </w:rPr>
        <w:t xml:space="preserve"> propiedad de </w:t>
      </w:r>
      <w:r w:rsidR="00713038" w:rsidRPr="007D02A7">
        <w:t>AXTEL</w:t>
      </w:r>
      <w:r w:rsidR="00AB7598" w:rsidRPr="007D02A7">
        <w:t xml:space="preserve"> que se ubican </w:t>
      </w:r>
      <w:r w:rsidR="0014660D" w:rsidRPr="007D02A7">
        <w:t>en</w:t>
      </w:r>
      <w:r w:rsidR="00AB61E7" w:rsidRPr="007D02A7">
        <w:t xml:space="preserve"> 130</w:t>
      </w:r>
      <w:r w:rsidR="00990035" w:rsidRPr="007D02A7">
        <w:t xml:space="preserve"> (ciento t</w:t>
      </w:r>
      <w:r w:rsidR="000E398B" w:rsidRPr="007D02A7">
        <w:t xml:space="preserve">reinta) </w:t>
      </w:r>
      <w:r w:rsidR="00AB7598" w:rsidRPr="007D02A7">
        <w:t xml:space="preserve">Sitios o </w:t>
      </w:r>
      <w:r w:rsidR="000E398B" w:rsidRPr="007D02A7">
        <w:t>ubicaciones distintas</w:t>
      </w:r>
      <w:r w:rsidR="00AB7598" w:rsidRPr="007D02A7">
        <w:t xml:space="preserve"> distribuidas</w:t>
      </w:r>
      <w:r w:rsidR="000E398B" w:rsidRPr="007D02A7">
        <w:t xml:space="preserve"> </w:t>
      </w:r>
      <w:r w:rsidR="00CB1B27" w:rsidRPr="007D02A7">
        <w:t xml:space="preserve">en </w:t>
      </w:r>
      <w:r w:rsidR="007D6E79" w:rsidRPr="007D02A7">
        <w:t>24</w:t>
      </w:r>
      <w:r w:rsidR="008B4867" w:rsidRPr="007D02A7">
        <w:t xml:space="preserve"> </w:t>
      </w:r>
      <w:r w:rsidR="000E398B" w:rsidRPr="007D02A7">
        <w:t>(veintic</w:t>
      </w:r>
      <w:r w:rsidR="007D6E79" w:rsidRPr="007D02A7">
        <w:t>uatro</w:t>
      </w:r>
      <w:r w:rsidR="000E398B" w:rsidRPr="007D02A7">
        <w:t xml:space="preserve">) </w:t>
      </w:r>
      <w:r w:rsidR="008B4867" w:rsidRPr="007D02A7">
        <w:t>entidades federativas</w:t>
      </w:r>
      <w:r w:rsidR="000E398B" w:rsidRPr="007D02A7">
        <w:t xml:space="preserve"> de la República Mexicana</w:t>
      </w:r>
      <w:r w:rsidR="0088682E" w:rsidRPr="007D02A7">
        <w:t>.</w:t>
      </w:r>
      <w:r w:rsidR="00A73497" w:rsidRPr="007D02A7">
        <w:t xml:space="preserve"> </w:t>
      </w:r>
    </w:p>
    <w:p w:rsidR="00B02641" w:rsidRPr="007D02A7" w:rsidRDefault="00B02641" w:rsidP="00637B96">
      <w:pPr>
        <w:spacing w:before="120" w:after="120"/>
        <w:rPr>
          <w:rFonts w:ascii="ITC Avant Garde" w:hAnsi="ITC Avant Garde"/>
          <w:b/>
        </w:rPr>
      </w:pPr>
      <w:r w:rsidRPr="007D02A7">
        <w:rPr>
          <w:rFonts w:ascii="ITC Avant Garde" w:hAnsi="ITC Avant Garde"/>
          <w:b/>
        </w:rPr>
        <w:t>Sucesión de actos</w:t>
      </w:r>
    </w:p>
    <w:p w:rsidR="001C4DAA" w:rsidRPr="007D02A7" w:rsidRDefault="009F3322" w:rsidP="00637B96">
      <w:pPr>
        <w:pStyle w:val="Prraforproyecto"/>
        <w:keepNext w:val="0"/>
        <w:spacing w:before="120"/>
      </w:pPr>
      <w:r w:rsidRPr="007D02A7">
        <w:t>E</w:t>
      </w:r>
      <w:r w:rsidR="00145D10" w:rsidRPr="007D02A7">
        <w:t xml:space="preserve">l </w:t>
      </w:r>
      <w:r w:rsidR="00772EB1" w:rsidRPr="007D02A7">
        <w:t xml:space="preserve">treinta </w:t>
      </w:r>
      <w:r w:rsidR="00145D10" w:rsidRPr="007D02A7">
        <w:t xml:space="preserve">de </w:t>
      </w:r>
      <w:r w:rsidR="00772EB1" w:rsidRPr="007D02A7">
        <w:t xml:space="preserve">junio </w:t>
      </w:r>
      <w:r w:rsidR="00145D10" w:rsidRPr="007D02A7">
        <w:t xml:space="preserve">de </w:t>
      </w:r>
      <w:r w:rsidR="00D11BFC" w:rsidRPr="007D02A7">
        <w:t xml:space="preserve">dos mil </w:t>
      </w:r>
      <w:r w:rsidR="00772EB1" w:rsidRPr="007D02A7">
        <w:t xml:space="preserve">diecisiete </w:t>
      </w:r>
      <w:r w:rsidRPr="007D02A7">
        <w:t xml:space="preserve">las Partes celebraron </w:t>
      </w:r>
      <w:r w:rsidR="0078458C" w:rsidRPr="007D02A7">
        <w:t xml:space="preserve">un </w:t>
      </w:r>
      <w:r w:rsidR="00534DE3" w:rsidRPr="007D02A7">
        <w:t>c</w:t>
      </w:r>
      <w:r w:rsidR="003A6486" w:rsidRPr="007D02A7">
        <w:t xml:space="preserve">ontrato de compraventa de </w:t>
      </w:r>
      <w:r w:rsidR="00772EB1" w:rsidRPr="007D02A7">
        <w:t xml:space="preserve">activos </w:t>
      </w:r>
      <w:r w:rsidR="0078458C" w:rsidRPr="007D02A7">
        <w:t>sujeto a condiciones suspensivas</w:t>
      </w:r>
      <w:r w:rsidR="00145D10" w:rsidRPr="007D02A7">
        <w:t xml:space="preserve"> (Contrato de Compraventa),</w:t>
      </w:r>
      <w:r w:rsidR="0078458C" w:rsidRPr="007D02A7">
        <w:t xml:space="preserve"> </w:t>
      </w:r>
      <w:r w:rsidR="00145D10" w:rsidRPr="007D02A7">
        <w:t>firmado por</w:t>
      </w:r>
      <w:r w:rsidR="00B57C74" w:rsidRPr="007D02A7">
        <w:t xml:space="preserve"> </w:t>
      </w:r>
      <w:r w:rsidR="00772EB1" w:rsidRPr="007D02A7">
        <w:t>AXTEL y MATC D</w:t>
      </w:r>
      <w:r w:rsidR="00AF7A0C" w:rsidRPr="007D02A7">
        <w:t>igital</w:t>
      </w:r>
      <w:r w:rsidR="00772EB1" w:rsidRPr="007D02A7">
        <w:t xml:space="preserve">, a través del cual </w:t>
      </w:r>
      <w:r w:rsidR="004B01AD" w:rsidRPr="007D02A7">
        <w:t xml:space="preserve">se especifica que </w:t>
      </w:r>
      <w:r w:rsidR="00772EB1" w:rsidRPr="007D02A7">
        <w:t xml:space="preserve">la Operación se lleva a cabo en </w:t>
      </w:r>
      <w:r w:rsidR="00772EB1" w:rsidRPr="007D02A7">
        <w:lastRenderedPageBreak/>
        <w:t>distintos actos sucesivos</w:t>
      </w:r>
      <w:r w:rsidRPr="007D02A7">
        <w:t xml:space="preserve"> a los que denominan </w:t>
      </w:r>
      <w:r w:rsidR="00772EB1" w:rsidRPr="007D02A7">
        <w:t>primer, segundo, tercer y cuarto cierre</w:t>
      </w:r>
      <w:r w:rsidR="00146420" w:rsidRPr="007D02A7">
        <w:rPr>
          <w:rStyle w:val="Refdenotaalpie"/>
        </w:rPr>
        <w:footnoteReference w:id="3"/>
      </w:r>
      <w:r w:rsidRPr="007D02A7">
        <w:t xml:space="preserve"> en las fechas que se listan en el </w:t>
      </w:r>
      <w:r w:rsidRPr="007D02A7">
        <w:fldChar w:fldCharType="begin"/>
      </w:r>
      <w:r w:rsidRPr="007D02A7">
        <w:instrText xml:space="preserve"> REF _Ref495405966 \r \h </w:instrText>
      </w:r>
      <w:r w:rsidR="00FC2118" w:rsidRPr="007D02A7">
        <w:instrText xml:space="preserve"> \* MERGEFORMAT </w:instrText>
      </w:r>
      <w:r w:rsidRPr="007D02A7">
        <w:fldChar w:fldCharType="separate"/>
      </w:r>
      <w:r w:rsidR="0017207B" w:rsidRPr="007D02A7">
        <w:t>Cuadro 1</w:t>
      </w:r>
      <w:r w:rsidRPr="007D02A7">
        <w:fldChar w:fldCharType="end"/>
      </w:r>
      <w:r w:rsidRPr="007D02A7">
        <w:t>.</w:t>
      </w:r>
      <w:r w:rsidR="007177DE" w:rsidRPr="007D02A7">
        <w:t xml:space="preserve"> </w:t>
      </w:r>
    </w:p>
    <w:p w:rsidR="00920715" w:rsidRPr="007D02A7" w:rsidRDefault="00384178" w:rsidP="00637B96">
      <w:pPr>
        <w:pStyle w:val="Sinespaciado"/>
        <w:numPr>
          <w:ilvl w:val="0"/>
          <w:numId w:val="13"/>
        </w:numPr>
        <w:spacing w:before="120" w:after="120" w:line="276" w:lineRule="auto"/>
        <w:ind w:left="1134" w:hanging="1276"/>
        <w:jc w:val="center"/>
        <w:rPr>
          <w:rFonts w:ascii="ITC Avant Garde" w:hAnsi="ITC Avant Garde"/>
          <w:b/>
        </w:rPr>
      </w:pPr>
      <w:bookmarkStart w:id="10" w:name="_Ref495405966"/>
      <w:r w:rsidRPr="007D02A7">
        <w:rPr>
          <w:rFonts w:ascii="ITC Avant Garde" w:hAnsi="ITC Avant Garde"/>
          <w:b/>
        </w:rPr>
        <w:t>Actos que integra</w:t>
      </w:r>
      <w:r w:rsidR="00322233" w:rsidRPr="007D02A7">
        <w:rPr>
          <w:rFonts w:ascii="ITC Avant Garde" w:hAnsi="ITC Avant Garde"/>
          <w:b/>
        </w:rPr>
        <w:t>n</w:t>
      </w:r>
      <w:r w:rsidRPr="007D02A7">
        <w:rPr>
          <w:rFonts w:ascii="ITC Avant Garde" w:hAnsi="ITC Avant Garde"/>
          <w:b/>
        </w:rPr>
        <w:t xml:space="preserve"> la Operación</w:t>
      </w:r>
      <w:bookmarkEnd w:id="10"/>
    </w:p>
    <w:tbl>
      <w:tblPr>
        <w:tblStyle w:val="Tablaconcuadrcula1"/>
        <w:tblW w:w="9621" w:type="dxa"/>
        <w:jc w:val="center"/>
        <w:tblLook w:val="04A0" w:firstRow="1" w:lastRow="0" w:firstColumn="1" w:lastColumn="0" w:noHBand="0" w:noVBand="1"/>
        <w:tblCaption w:val="Actos que integran la Operación"/>
        <w:tblDescription w:val="En este cuadro se presentan los distintos actos que integran la Operación, el número de sitios y torres de telecomunicaciones incluidos en cada uno de ellos, los respectivos montos en dólares y la fecha en que fueron o serán celebrados."/>
      </w:tblPr>
      <w:tblGrid>
        <w:gridCol w:w="1405"/>
        <w:gridCol w:w="1560"/>
        <w:gridCol w:w="1847"/>
        <w:gridCol w:w="2830"/>
        <w:gridCol w:w="1979"/>
      </w:tblGrid>
      <w:tr w:rsidR="00BA4114" w:rsidRPr="007D02A7" w:rsidTr="00A45207">
        <w:trPr>
          <w:trHeight w:val="20"/>
          <w:tblHeader/>
          <w:jc w:val="center"/>
        </w:trPr>
        <w:tc>
          <w:tcPr>
            <w:tcW w:w="1405" w:type="dxa"/>
            <w:shd w:val="clear" w:color="auto" w:fill="538135" w:themeFill="accent6" w:themeFillShade="BF"/>
            <w:noWrap/>
            <w:vAlign w:val="center"/>
          </w:tcPr>
          <w:p w:rsidR="009F3322" w:rsidRPr="00EE12FA" w:rsidRDefault="009F3322" w:rsidP="00EE12FA">
            <w:pPr>
              <w:spacing w:after="0" w:line="240" w:lineRule="auto"/>
              <w:jc w:val="center"/>
              <w:rPr>
                <w:rFonts w:ascii="ITC Avant Garde" w:eastAsia="Times New Roman" w:hAnsi="ITC Avant Garde"/>
                <w:b/>
                <w:color w:val="000000" w:themeColor="text1"/>
                <w:sz w:val="18"/>
                <w:szCs w:val="18"/>
              </w:rPr>
            </w:pPr>
            <w:r w:rsidRPr="00EE12FA">
              <w:rPr>
                <w:rFonts w:ascii="ITC Avant Garde" w:eastAsia="Times New Roman" w:hAnsi="ITC Avant Garde"/>
                <w:b/>
                <w:color w:val="000000" w:themeColor="text1"/>
                <w:sz w:val="18"/>
                <w:szCs w:val="18"/>
              </w:rPr>
              <w:t>Actos</w:t>
            </w:r>
          </w:p>
        </w:tc>
        <w:tc>
          <w:tcPr>
            <w:tcW w:w="1560" w:type="dxa"/>
            <w:shd w:val="clear" w:color="auto" w:fill="538135" w:themeFill="accent6" w:themeFillShade="BF"/>
            <w:vAlign w:val="center"/>
          </w:tcPr>
          <w:p w:rsidR="00BA4114" w:rsidRPr="00EE12FA" w:rsidRDefault="00BA4114" w:rsidP="00A45207">
            <w:pPr>
              <w:spacing w:after="0" w:line="240" w:lineRule="auto"/>
              <w:jc w:val="center"/>
              <w:rPr>
                <w:rFonts w:ascii="ITC Avant Garde" w:eastAsia="Times New Roman" w:hAnsi="ITC Avant Garde"/>
                <w:b/>
                <w:color w:val="000000" w:themeColor="text1"/>
                <w:sz w:val="18"/>
                <w:szCs w:val="18"/>
              </w:rPr>
            </w:pPr>
            <w:r w:rsidRPr="00EE12FA">
              <w:rPr>
                <w:rFonts w:ascii="ITC Avant Garde" w:eastAsia="Times New Roman" w:hAnsi="ITC Avant Garde"/>
                <w:b/>
                <w:color w:val="000000" w:themeColor="text1"/>
                <w:sz w:val="18"/>
                <w:szCs w:val="18"/>
              </w:rPr>
              <w:t>Número de torres objeto de cada cierre</w:t>
            </w:r>
          </w:p>
        </w:tc>
        <w:tc>
          <w:tcPr>
            <w:tcW w:w="1847" w:type="dxa"/>
            <w:shd w:val="clear" w:color="auto" w:fill="538135" w:themeFill="accent6" w:themeFillShade="BF"/>
            <w:vAlign w:val="center"/>
          </w:tcPr>
          <w:p w:rsidR="00BA4114" w:rsidRPr="00EE12FA" w:rsidRDefault="00BA4114" w:rsidP="00A45207">
            <w:pPr>
              <w:spacing w:after="0" w:line="240" w:lineRule="auto"/>
              <w:jc w:val="center"/>
              <w:rPr>
                <w:rFonts w:ascii="ITC Avant Garde" w:eastAsia="Times New Roman" w:hAnsi="ITC Avant Garde"/>
                <w:b/>
                <w:color w:val="000000" w:themeColor="text1"/>
                <w:sz w:val="18"/>
                <w:szCs w:val="18"/>
              </w:rPr>
            </w:pPr>
            <w:r w:rsidRPr="00EE12FA">
              <w:rPr>
                <w:rFonts w:ascii="ITC Avant Garde" w:eastAsia="Times New Roman" w:hAnsi="ITC Avant Garde"/>
                <w:b/>
                <w:color w:val="000000" w:themeColor="text1"/>
                <w:sz w:val="18"/>
                <w:szCs w:val="18"/>
              </w:rPr>
              <w:t>Número de sitios objeto de cada cierre</w:t>
            </w:r>
          </w:p>
        </w:tc>
        <w:tc>
          <w:tcPr>
            <w:tcW w:w="2830" w:type="dxa"/>
            <w:shd w:val="clear" w:color="auto" w:fill="538135" w:themeFill="accent6" w:themeFillShade="BF"/>
            <w:noWrap/>
            <w:vAlign w:val="center"/>
          </w:tcPr>
          <w:p w:rsidR="00BA4114" w:rsidRPr="00EE12FA" w:rsidRDefault="00BA4114" w:rsidP="00A45207">
            <w:pPr>
              <w:spacing w:after="0" w:line="240" w:lineRule="auto"/>
              <w:jc w:val="center"/>
              <w:rPr>
                <w:rFonts w:ascii="ITC Avant Garde" w:eastAsia="Times New Roman" w:hAnsi="ITC Avant Garde"/>
                <w:b/>
                <w:color w:val="000000" w:themeColor="text1"/>
                <w:sz w:val="18"/>
                <w:szCs w:val="18"/>
              </w:rPr>
            </w:pPr>
            <w:r w:rsidRPr="00EE12FA">
              <w:rPr>
                <w:rFonts w:ascii="ITC Avant Garde" w:eastAsia="Times New Roman" w:hAnsi="ITC Avant Garde"/>
                <w:b/>
                <w:color w:val="000000" w:themeColor="text1"/>
                <w:sz w:val="18"/>
                <w:szCs w:val="18"/>
              </w:rPr>
              <w:t xml:space="preserve">Monto monetario </w:t>
            </w:r>
            <w:r w:rsidR="009F3322" w:rsidRPr="00EE12FA">
              <w:rPr>
                <w:rFonts w:ascii="ITC Avant Garde" w:eastAsia="Times New Roman" w:hAnsi="ITC Avant Garde"/>
                <w:b/>
                <w:color w:val="000000" w:themeColor="text1"/>
                <w:sz w:val="18"/>
                <w:szCs w:val="18"/>
              </w:rPr>
              <w:t xml:space="preserve">del pago </w:t>
            </w:r>
            <w:r w:rsidRPr="00EE12FA">
              <w:rPr>
                <w:rFonts w:ascii="ITC Avant Garde" w:eastAsia="Times New Roman" w:hAnsi="ITC Avant Garde"/>
                <w:b/>
                <w:color w:val="000000" w:themeColor="text1"/>
                <w:sz w:val="18"/>
                <w:szCs w:val="18"/>
              </w:rPr>
              <w:t xml:space="preserve">en </w:t>
            </w:r>
            <w:r w:rsidR="00D512F5" w:rsidRPr="00EE12FA">
              <w:rPr>
                <w:rFonts w:ascii="ITC Avant Garde" w:eastAsia="Times New Roman" w:hAnsi="ITC Avant Garde"/>
                <w:b/>
                <w:color w:val="000000" w:themeColor="text1"/>
                <w:sz w:val="18"/>
                <w:szCs w:val="18"/>
              </w:rPr>
              <w:t>dólares (</w:t>
            </w:r>
            <w:r w:rsidRPr="00EE12FA">
              <w:rPr>
                <w:rFonts w:ascii="ITC Avant Garde" w:eastAsia="Times New Roman" w:hAnsi="ITC Avant Garde"/>
                <w:b/>
                <w:color w:val="000000" w:themeColor="text1"/>
                <w:sz w:val="18"/>
                <w:szCs w:val="18"/>
              </w:rPr>
              <w:t>USD</w:t>
            </w:r>
            <w:r w:rsidR="00D512F5" w:rsidRPr="00EE12FA">
              <w:rPr>
                <w:rFonts w:ascii="ITC Avant Garde" w:eastAsia="Times New Roman" w:hAnsi="ITC Avant Garde"/>
                <w:b/>
                <w:color w:val="000000" w:themeColor="text1"/>
                <w:sz w:val="18"/>
                <w:szCs w:val="18"/>
              </w:rPr>
              <w:t>)</w:t>
            </w:r>
          </w:p>
        </w:tc>
        <w:tc>
          <w:tcPr>
            <w:tcW w:w="1979" w:type="dxa"/>
            <w:shd w:val="clear" w:color="auto" w:fill="538135" w:themeFill="accent6" w:themeFillShade="BF"/>
            <w:vAlign w:val="center"/>
          </w:tcPr>
          <w:p w:rsidR="00BA4114" w:rsidRPr="00EE12FA" w:rsidRDefault="00BA4114" w:rsidP="00A45207">
            <w:pPr>
              <w:spacing w:after="0" w:line="240" w:lineRule="auto"/>
              <w:jc w:val="center"/>
              <w:rPr>
                <w:rFonts w:ascii="ITC Avant Garde" w:eastAsia="Times New Roman" w:hAnsi="ITC Avant Garde"/>
                <w:b/>
                <w:color w:val="000000" w:themeColor="text1"/>
                <w:sz w:val="18"/>
                <w:szCs w:val="18"/>
              </w:rPr>
            </w:pPr>
            <w:r w:rsidRPr="00EE12FA">
              <w:rPr>
                <w:rFonts w:ascii="ITC Avant Garde" w:eastAsia="Times New Roman" w:hAnsi="ITC Avant Garde"/>
                <w:b/>
                <w:color w:val="000000" w:themeColor="text1"/>
                <w:sz w:val="18"/>
                <w:szCs w:val="18"/>
              </w:rPr>
              <w:t>Fecha de celebración</w:t>
            </w:r>
          </w:p>
        </w:tc>
      </w:tr>
      <w:tr w:rsidR="00BA4114" w:rsidRPr="007D02A7" w:rsidTr="00A45207">
        <w:trPr>
          <w:trHeight w:val="20"/>
          <w:jc w:val="center"/>
        </w:trPr>
        <w:tc>
          <w:tcPr>
            <w:tcW w:w="1405" w:type="dxa"/>
            <w:noWrap/>
            <w:vAlign w:val="center"/>
            <w:hideMark/>
          </w:tcPr>
          <w:p w:rsidR="00BA4114" w:rsidRPr="007D02A7" w:rsidRDefault="00BA4114" w:rsidP="00A4520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Primer</w:t>
            </w:r>
            <w:r w:rsidR="009F3322" w:rsidRPr="007D02A7">
              <w:rPr>
                <w:rFonts w:ascii="ITC Avant Garde" w:eastAsia="Times New Roman" w:hAnsi="ITC Avant Garde"/>
                <w:color w:val="000000"/>
                <w:sz w:val="18"/>
                <w:szCs w:val="18"/>
              </w:rPr>
              <w:t xml:space="preserve"> cierre</w:t>
            </w:r>
          </w:p>
        </w:tc>
        <w:tc>
          <w:tcPr>
            <w:tcW w:w="1560" w:type="dxa"/>
            <w:vAlign w:val="center"/>
          </w:tcPr>
          <w:p w:rsidR="00BA4114" w:rsidRPr="007D02A7" w:rsidRDefault="00BA4114" w:rsidP="00A4520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50</w:t>
            </w:r>
          </w:p>
        </w:tc>
        <w:tc>
          <w:tcPr>
            <w:tcW w:w="1847" w:type="dxa"/>
            <w:vAlign w:val="center"/>
          </w:tcPr>
          <w:p w:rsidR="00BA4114" w:rsidRPr="007D02A7" w:rsidRDefault="00BA4114" w:rsidP="00A4520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46</w:t>
            </w:r>
          </w:p>
        </w:tc>
        <w:tc>
          <w:tcPr>
            <w:tcW w:w="2830" w:type="dxa"/>
            <w:noWrap/>
            <w:vAlign w:val="center"/>
            <w:hideMark/>
          </w:tcPr>
          <w:p w:rsidR="00BA4114" w:rsidRPr="00BB3A3C" w:rsidRDefault="0029381D" w:rsidP="00A4520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w:t>
            </w:r>
            <w:r w:rsidR="00481CDD" w:rsidRPr="00BB3A3C">
              <w:rPr>
                <w:rFonts w:ascii="ITC Avant Garde" w:hAnsi="ITC Avant Garde"/>
                <w:b/>
                <w:bCs/>
                <w:color w:val="0000CC"/>
                <w:sz w:val="13"/>
                <w:szCs w:val="13"/>
              </w:rPr>
              <w:t xml:space="preserve"> </w:t>
            </w:r>
            <w:r w:rsidR="00250347" w:rsidRPr="00BB3A3C">
              <w:rPr>
                <w:rFonts w:ascii="ITC Avant Garde" w:hAnsi="ITC Avant Garde"/>
                <w:b/>
                <w:bCs/>
                <w:color w:val="0000CC"/>
                <w:sz w:val="13"/>
                <w:szCs w:val="13"/>
              </w:rPr>
              <w:t>(</w:t>
            </w:r>
            <w:r w:rsidR="00481CDD" w:rsidRPr="00BB3A3C">
              <w:rPr>
                <w:rFonts w:ascii="ITC Avant Garde" w:hAnsi="ITC Avant Garde"/>
                <w:b/>
                <w:bCs/>
                <w:color w:val="0000CC"/>
                <w:sz w:val="13"/>
                <w:szCs w:val="13"/>
              </w:rPr>
              <w:t>4</w:t>
            </w:r>
            <w:r w:rsidR="00250347" w:rsidRPr="00BB3A3C">
              <w:rPr>
                <w:rFonts w:ascii="ITC Avant Garde" w:hAnsi="ITC Avant Garde"/>
                <w:b/>
                <w:bCs/>
                <w:color w:val="0000CC"/>
                <w:sz w:val="13"/>
                <w:szCs w:val="13"/>
              </w:rPr>
              <w:t>)</w:t>
            </w:r>
            <w:r w:rsidRPr="00BB3A3C">
              <w:rPr>
                <w:rFonts w:ascii="ITC Avant Garde" w:hAnsi="ITC Avant Garde"/>
                <w:b/>
                <w:bCs/>
                <w:color w:val="0000CC"/>
                <w:sz w:val="13"/>
                <w:szCs w:val="13"/>
              </w:rPr>
              <w:t>”</w:t>
            </w:r>
          </w:p>
        </w:tc>
        <w:tc>
          <w:tcPr>
            <w:tcW w:w="1979" w:type="dxa"/>
            <w:vAlign w:val="center"/>
          </w:tcPr>
          <w:p w:rsidR="00BA4114" w:rsidRPr="007D02A7" w:rsidRDefault="00BA4114" w:rsidP="00A4520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30 de junio de 2017</w:t>
            </w:r>
          </w:p>
        </w:tc>
      </w:tr>
      <w:tr w:rsidR="00BA4114" w:rsidRPr="007D02A7" w:rsidTr="00A45207">
        <w:trPr>
          <w:trHeight w:val="20"/>
          <w:jc w:val="center"/>
        </w:trPr>
        <w:tc>
          <w:tcPr>
            <w:tcW w:w="1405" w:type="dxa"/>
            <w:noWrap/>
            <w:vAlign w:val="center"/>
          </w:tcPr>
          <w:p w:rsidR="00BA4114" w:rsidRPr="007D02A7" w:rsidRDefault="00BA4114" w:rsidP="00A4520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Segundo</w:t>
            </w:r>
            <w:r w:rsidR="009F3322" w:rsidRPr="007D02A7">
              <w:rPr>
                <w:rFonts w:ascii="ITC Avant Garde" w:eastAsia="Times New Roman" w:hAnsi="ITC Avant Garde"/>
                <w:color w:val="000000"/>
                <w:sz w:val="18"/>
                <w:szCs w:val="18"/>
              </w:rPr>
              <w:t xml:space="preserve"> cierre</w:t>
            </w:r>
          </w:p>
        </w:tc>
        <w:tc>
          <w:tcPr>
            <w:tcW w:w="1560" w:type="dxa"/>
            <w:vAlign w:val="center"/>
          </w:tcPr>
          <w:p w:rsidR="00BA4114" w:rsidRPr="007D02A7" w:rsidRDefault="00BA4114" w:rsidP="00A4520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27</w:t>
            </w:r>
          </w:p>
        </w:tc>
        <w:tc>
          <w:tcPr>
            <w:tcW w:w="1847" w:type="dxa"/>
            <w:vAlign w:val="center"/>
          </w:tcPr>
          <w:p w:rsidR="00BA4114" w:rsidRPr="007D02A7" w:rsidRDefault="00BA4114" w:rsidP="00A4520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23</w:t>
            </w:r>
          </w:p>
        </w:tc>
        <w:tc>
          <w:tcPr>
            <w:tcW w:w="2830" w:type="dxa"/>
            <w:noWrap/>
            <w:vAlign w:val="center"/>
            <w:hideMark/>
          </w:tcPr>
          <w:p w:rsidR="00BA4114" w:rsidRPr="00BB3A3C" w:rsidRDefault="0029381D" w:rsidP="00A4520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w:t>
            </w:r>
            <w:r w:rsidR="00481CDD" w:rsidRPr="00BB3A3C">
              <w:rPr>
                <w:rFonts w:ascii="ITC Avant Garde" w:hAnsi="ITC Avant Garde"/>
                <w:b/>
                <w:bCs/>
                <w:color w:val="0000CC"/>
                <w:sz w:val="13"/>
                <w:szCs w:val="13"/>
              </w:rPr>
              <w:t xml:space="preserve"> </w:t>
            </w:r>
            <w:r w:rsidR="00250347" w:rsidRPr="00BB3A3C">
              <w:rPr>
                <w:rFonts w:ascii="ITC Avant Garde" w:hAnsi="ITC Avant Garde"/>
                <w:b/>
                <w:bCs/>
                <w:color w:val="0000CC"/>
                <w:sz w:val="13"/>
                <w:szCs w:val="13"/>
              </w:rPr>
              <w:t>(</w:t>
            </w:r>
            <w:r w:rsidR="00481CDD" w:rsidRPr="00BB3A3C">
              <w:rPr>
                <w:rFonts w:ascii="ITC Avant Garde" w:hAnsi="ITC Avant Garde"/>
                <w:b/>
                <w:bCs/>
                <w:color w:val="0000CC"/>
                <w:sz w:val="13"/>
                <w:szCs w:val="13"/>
              </w:rPr>
              <w:t>5</w:t>
            </w:r>
            <w:r w:rsidR="00250347" w:rsidRPr="00BB3A3C">
              <w:rPr>
                <w:rFonts w:ascii="ITC Avant Garde" w:hAnsi="ITC Avant Garde"/>
                <w:b/>
                <w:bCs/>
                <w:color w:val="0000CC"/>
                <w:sz w:val="13"/>
                <w:szCs w:val="13"/>
              </w:rPr>
              <w:t>)</w:t>
            </w:r>
            <w:r w:rsidRPr="00BB3A3C">
              <w:rPr>
                <w:rFonts w:ascii="ITC Avant Garde" w:hAnsi="ITC Avant Garde"/>
                <w:b/>
                <w:bCs/>
                <w:color w:val="0000CC"/>
                <w:sz w:val="13"/>
                <w:szCs w:val="13"/>
              </w:rPr>
              <w:t>”</w:t>
            </w:r>
          </w:p>
        </w:tc>
        <w:tc>
          <w:tcPr>
            <w:tcW w:w="1979" w:type="dxa"/>
            <w:vAlign w:val="center"/>
          </w:tcPr>
          <w:p w:rsidR="00BA4114" w:rsidRPr="007D02A7" w:rsidRDefault="00061EB8" w:rsidP="00A4520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3</w:t>
            </w:r>
            <w:r w:rsidR="00BA4114" w:rsidRPr="007D02A7">
              <w:rPr>
                <w:rFonts w:ascii="ITC Avant Garde" w:eastAsia="Times New Roman" w:hAnsi="ITC Avant Garde"/>
                <w:color w:val="000000"/>
                <w:sz w:val="18"/>
                <w:szCs w:val="18"/>
              </w:rPr>
              <w:t xml:space="preserve"> de </w:t>
            </w:r>
            <w:r w:rsidRPr="007D02A7">
              <w:rPr>
                <w:rFonts w:ascii="ITC Avant Garde" w:eastAsia="Times New Roman" w:hAnsi="ITC Avant Garde"/>
                <w:color w:val="000000"/>
                <w:sz w:val="18"/>
                <w:szCs w:val="18"/>
              </w:rPr>
              <w:t>agosto</w:t>
            </w:r>
            <w:r w:rsidR="00BA4114" w:rsidRPr="007D02A7">
              <w:rPr>
                <w:rFonts w:ascii="ITC Avant Garde" w:eastAsia="Times New Roman" w:hAnsi="ITC Avant Garde"/>
                <w:color w:val="000000"/>
                <w:sz w:val="18"/>
                <w:szCs w:val="18"/>
              </w:rPr>
              <w:t xml:space="preserve"> de 2017</w:t>
            </w:r>
          </w:p>
        </w:tc>
      </w:tr>
      <w:tr w:rsidR="00BA4114" w:rsidRPr="007D02A7" w:rsidTr="00A45207">
        <w:trPr>
          <w:trHeight w:val="20"/>
          <w:jc w:val="center"/>
        </w:trPr>
        <w:tc>
          <w:tcPr>
            <w:tcW w:w="1405" w:type="dxa"/>
            <w:noWrap/>
            <w:vAlign w:val="center"/>
          </w:tcPr>
          <w:p w:rsidR="00BA4114" w:rsidRPr="007D02A7" w:rsidRDefault="00BA4114" w:rsidP="00A4520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Tercer</w:t>
            </w:r>
            <w:r w:rsidR="009F3322" w:rsidRPr="007D02A7">
              <w:rPr>
                <w:rFonts w:ascii="ITC Avant Garde" w:eastAsia="Times New Roman" w:hAnsi="ITC Avant Garde"/>
                <w:color w:val="000000"/>
                <w:sz w:val="18"/>
                <w:szCs w:val="18"/>
              </w:rPr>
              <w:t xml:space="preserve"> cierre</w:t>
            </w:r>
          </w:p>
        </w:tc>
        <w:tc>
          <w:tcPr>
            <w:tcW w:w="1560" w:type="dxa"/>
            <w:vAlign w:val="center"/>
          </w:tcPr>
          <w:p w:rsidR="00BA4114" w:rsidRPr="007D02A7" w:rsidRDefault="00322233" w:rsidP="00A4520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65</w:t>
            </w:r>
          </w:p>
        </w:tc>
        <w:tc>
          <w:tcPr>
            <w:tcW w:w="1847" w:type="dxa"/>
            <w:vAlign w:val="center"/>
          </w:tcPr>
          <w:p w:rsidR="00BA4114" w:rsidRPr="007D02A7" w:rsidRDefault="00BA4114" w:rsidP="00A4520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61</w:t>
            </w:r>
          </w:p>
        </w:tc>
        <w:tc>
          <w:tcPr>
            <w:tcW w:w="2830" w:type="dxa"/>
            <w:noWrap/>
            <w:vAlign w:val="center"/>
          </w:tcPr>
          <w:p w:rsidR="00BA4114" w:rsidRPr="00BB3A3C" w:rsidRDefault="0029381D" w:rsidP="00A4520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w:t>
            </w:r>
            <w:r w:rsidR="00481CDD" w:rsidRPr="00BB3A3C">
              <w:rPr>
                <w:rFonts w:ascii="ITC Avant Garde" w:hAnsi="ITC Avant Garde"/>
                <w:b/>
                <w:bCs/>
                <w:color w:val="0000CC"/>
                <w:sz w:val="13"/>
                <w:szCs w:val="13"/>
              </w:rPr>
              <w:t xml:space="preserve"> </w:t>
            </w:r>
            <w:r w:rsidR="00250347" w:rsidRPr="00BB3A3C">
              <w:rPr>
                <w:rFonts w:ascii="ITC Avant Garde" w:hAnsi="ITC Avant Garde"/>
                <w:b/>
                <w:bCs/>
                <w:color w:val="0000CC"/>
                <w:sz w:val="13"/>
                <w:szCs w:val="13"/>
              </w:rPr>
              <w:t>(</w:t>
            </w:r>
            <w:r w:rsidR="00481CDD" w:rsidRPr="00BB3A3C">
              <w:rPr>
                <w:rFonts w:ascii="ITC Avant Garde" w:hAnsi="ITC Avant Garde"/>
                <w:b/>
                <w:bCs/>
                <w:color w:val="0000CC"/>
                <w:sz w:val="13"/>
                <w:szCs w:val="13"/>
              </w:rPr>
              <w:t>6</w:t>
            </w:r>
            <w:r w:rsidR="00250347" w:rsidRPr="00BB3A3C">
              <w:rPr>
                <w:rFonts w:ascii="ITC Avant Garde" w:hAnsi="ITC Avant Garde"/>
                <w:b/>
                <w:bCs/>
                <w:color w:val="0000CC"/>
                <w:sz w:val="13"/>
                <w:szCs w:val="13"/>
              </w:rPr>
              <w:t>)</w:t>
            </w:r>
            <w:r w:rsidRPr="00BB3A3C">
              <w:rPr>
                <w:rFonts w:ascii="ITC Avant Garde" w:hAnsi="ITC Avant Garde"/>
                <w:b/>
                <w:bCs/>
                <w:color w:val="0000CC"/>
                <w:sz w:val="13"/>
                <w:szCs w:val="13"/>
              </w:rPr>
              <w:t>”</w:t>
            </w:r>
          </w:p>
        </w:tc>
        <w:tc>
          <w:tcPr>
            <w:tcW w:w="1979" w:type="dxa"/>
            <w:vAlign w:val="center"/>
          </w:tcPr>
          <w:p w:rsidR="00BA4114" w:rsidRPr="007D02A7" w:rsidRDefault="00420394" w:rsidP="00A4520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Después de que el Instituto autorice la Operación</w:t>
            </w:r>
          </w:p>
        </w:tc>
      </w:tr>
    </w:tbl>
    <w:p w:rsidR="00A45207" w:rsidRPr="007D02A7" w:rsidRDefault="00A45207" w:rsidP="009B0248">
      <w:pPr>
        <w:pStyle w:val="Prraforproyecto"/>
        <w:keepNext w:val="0"/>
        <w:spacing w:after="0" w:line="240" w:lineRule="auto"/>
        <w:rPr>
          <w:sz w:val="16"/>
          <w:szCs w:val="16"/>
        </w:rPr>
      </w:pPr>
    </w:p>
    <w:tbl>
      <w:tblPr>
        <w:tblStyle w:val="Tablaconcuadrcula1"/>
        <w:tblW w:w="9621" w:type="dxa"/>
        <w:jc w:val="center"/>
        <w:tblLook w:val="04A0" w:firstRow="1" w:lastRow="0" w:firstColumn="1" w:lastColumn="0" w:noHBand="0" w:noVBand="1"/>
        <w:tblCaption w:val="Actos que integran la Operación"/>
        <w:tblDescription w:val="En este cuadro se presentan los distintos actos que integran la Operación, el número de sitios y torres de telecomunicaciones incluidos en cada uno de ellos, los respectivos montos en dólares y la fecha en que fueron o serán celebrados."/>
      </w:tblPr>
      <w:tblGrid>
        <w:gridCol w:w="1405"/>
        <w:gridCol w:w="6237"/>
        <w:gridCol w:w="1979"/>
      </w:tblGrid>
      <w:tr w:rsidR="00A45207" w:rsidRPr="007D02A7" w:rsidTr="001509D8">
        <w:trPr>
          <w:trHeight w:val="20"/>
          <w:tblHeader/>
          <w:jc w:val="center"/>
        </w:trPr>
        <w:tc>
          <w:tcPr>
            <w:tcW w:w="1405" w:type="dxa"/>
            <w:noWrap/>
            <w:vAlign w:val="center"/>
          </w:tcPr>
          <w:p w:rsidR="00A45207" w:rsidRPr="007D02A7" w:rsidRDefault="00A45207" w:rsidP="00E22AA2">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Cuarto cierre</w:t>
            </w:r>
          </w:p>
        </w:tc>
        <w:tc>
          <w:tcPr>
            <w:tcW w:w="6237" w:type="dxa"/>
            <w:vAlign w:val="center"/>
          </w:tcPr>
          <w:p w:rsidR="00A45207" w:rsidRPr="007D02A7" w:rsidRDefault="00A45207" w:rsidP="00E22AA2">
            <w:pPr>
              <w:spacing w:after="0" w:line="240" w:lineRule="auto"/>
              <w:jc w:val="center"/>
              <w:rPr>
                <w:rFonts w:ascii="ITC Avant Garde" w:eastAsia="Times New Roman" w:hAnsi="ITC Avant Garde"/>
                <w:color w:val="000000"/>
                <w:sz w:val="18"/>
                <w:szCs w:val="18"/>
              </w:rPr>
            </w:pPr>
            <w:r w:rsidRPr="007D02A7">
              <w:rPr>
                <w:rFonts w:ascii="ITC Avant Garde" w:hAnsi="ITC Avant Garde"/>
                <w:sz w:val="18"/>
                <w:szCs w:val="18"/>
              </w:rPr>
              <w:t>Cierre total de la Operación</w:t>
            </w:r>
            <w:r w:rsidRPr="007D02A7">
              <w:rPr>
                <w:rFonts w:ascii="ITC Avant Garde" w:hAnsi="ITC Avant Garde"/>
                <w:sz w:val="18"/>
                <w:szCs w:val="18"/>
                <w:vertAlign w:val="superscript"/>
              </w:rPr>
              <w:t>1</w:t>
            </w:r>
          </w:p>
        </w:tc>
        <w:tc>
          <w:tcPr>
            <w:tcW w:w="1979" w:type="dxa"/>
            <w:vAlign w:val="center"/>
          </w:tcPr>
          <w:p w:rsidR="00A45207" w:rsidRPr="007D02A7" w:rsidRDefault="00A45207" w:rsidP="00E22AA2">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Después de que el Instituto autorice la Operación</w:t>
            </w:r>
          </w:p>
        </w:tc>
      </w:tr>
    </w:tbl>
    <w:p w:rsidR="00A45207" w:rsidRPr="007D02A7" w:rsidRDefault="00A45207" w:rsidP="009B0248">
      <w:pPr>
        <w:pStyle w:val="Prraforproyecto"/>
        <w:keepNext w:val="0"/>
        <w:spacing w:after="0" w:line="240" w:lineRule="auto"/>
        <w:rPr>
          <w:sz w:val="16"/>
          <w:szCs w:val="16"/>
        </w:rPr>
      </w:pPr>
    </w:p>
    <w:tbl>
      <w:tblPr>
        <w:tblStyle w:val="Tablaconcuadrcula1"/>
        <w:tblW w:w="9621" w:type="dxa"/>
        <w:jc w:val="center"/>
        <w:tblLook w:val="04A0" w:firstRow="1" w:lastRow="0" w:firstColumn="1" w:lastColumn="0" w:noHBand="0" w:noVBand="1"/>
        <w:tblCaption w:val="Actos que integran la Operación"/>
        <w:tblDescription w:val="En este cuadro se presentan los distintos actos que integran la Operación, el número de sitios y torres de telecomunicaciones incluidos en cada uno de ellos, los respectivos montos en dólares y la fecha en que fueron o serán celebrados."/>
      </w:tblPr>
      <w:tblGrid>
        <w:gridCol w:w="1405"/>
        <w:gridCol w:w="1560"/>
        <w:gridCol w:w="1847"/>
        <w:gridCol w:w="2830"/>
        <w:gridCol w:w="1979"/>
      </w:tblGrid>
      <w:tr w:rsidR="00A45207" w:rsidRPr="007D02A7" w:rsidTr="001509D8">
        <w:trPr>
          <w:trHeight w:val="20"/>
          <w:tblHeader/>
          <w:jc w:val="center"/>
        </w:trPr>
        <w:tc>
          <w:tcPr>
            <w:tcW w:w="1405" w:type="dxa"/>
            <w:noWrap/>
            <w:vAlign w:val="center"/>
          </w:tcPr>
          <w:p w:rsidR="00A45207" w:rsidRPr="007D02A7" w:rsidRDefault="00A45207" w:rsidP="00E22AA2">
            <w:pPr>
              <w:spacing w:after="0" w:line="240" w:lineRule="auto"/>
              <w:jc w:val="center"/>
              <w:rPr>
                <w:rFonts w:ascii="ITC Avant Garde" w:eastAsia="Times New Roman" w:hAnsi="ITC Avant Garde"/>
                <w:b/>
                <w:color w:val="000000"/>
                <w:sz w:val="18"/>
                <w:szCs w:val="18"/>
              </w:rPr>
            </w:pPr>
            <w:r w:rsidRPr="007D02A7">
              <w:rPr>
                <w:rFonts w:ascii="ITC Avant Garde" w:eastAsia="Times New Roman" w:hAnsi="ITC Avant Garde"/>
                <w:b/>
                <w:color w:val="000000"/>
                <w:sz w:val="18"/>
                <w:szCs w:val="18"/>
              </w:rPr>
              <w:t>Total</w:t>
            </w:r>
          </w:p>
        </w:tc>
        <w:tc>
          <w:tcPr>
            <w:tcW w:w="1560" w:type="dxa"/>
            <w:vAlign w:val="center"/>
          </w:tcPr>
          <w:p w:rsidR="00A45207" w:rsidRPr="007D02A7" w:rsidRDefault="00A45207" w:rsidP="00E22AA2">
            <w:pPr>
              <w:spacing w:after="0" w:line="240" w:lineRule="auto"/>
              <w:jc w:val="center"/>
              <w:rPr>
                <w:rFonts w:ascii="ITC Avant Garde" w:eastAsia="Times New Roman" w:hAnsi="ITC Avant Garde"/>
                <w:b/>
                <w:color w:val="000000"/>
                <w:sz w:val="18"/>
                <w:szCs w:val="18"/>
              </w:rPr>
            </w:pPr>
            <w:r w:rsidRPr="007D02A7">
              <w:rPr>
                <w:rFonts w:ascii="ITC Avant Garde" w:eastAsia="Times New Roman" w:hAnsi="ITC Avant Garde"/>
                <w:b/>
                <w:color w:val="000000"/>
                <w:sz w:val="18"/>
                <w:szCs w:val="18"/>
              </w:rPr>
              <w:t>142</w:t>
            </w:r>
          </w:p>
        </w:tc>
        <w:tc>
          <w:tcPr>
            <w:tcW w:w="1847" w:type="dxa"/>
            <w:vAlign w:val="center"/>
          </w:tcPr>
          <w:p w:rsidR="00A45207" w:rsidRPr="007D02A7" w:rsidRDefault="00A45207" w:rsidP="00E22AA2">
            <w:pPr>
              <w:spacing w:after="0" w:line="240" w:lineRule="auto"/>
              <w:jc w:val="center"/>
              <w:rPr>
                <w:rFonts w:ascii="ITC Avant Garde" w:eastAsia="Times New Roman" w:hAnsi="ITC Avant Garde"/>
                <w:b/>
                <w:color w:val="000000"/>
                <w:sz w:val="18"/>
                <w:szCs w:val="18"/>
              </w:rPr>
            </w:pPr>
            <w:r w:rsidRPr="007D02A7">
              <w:rPr>
                <w:rFonts w:ascii="ITC Avant Garde" w:eastAsia="Times New Roman" w:hAnsi="ITC Avant Garde"/>
                <w:b/>
                <w:color w:val="000000"/>
                <w:sz w:val="18"/>
                <w:szCs w:val="18"/>
              </w:rPr>
              <w:t>130</w:t>
            </w:r>
          </w:p>
        </w:tc>
        <w:tc>
          <w:tcPr>
            <w:tcW w:w="2830" w:type="dxa"/>
            <w:noWrap/>
            <w:vAlign w:val="center"/>
          </w:tcPr>
          <w:p w:rsidR="00A45207" w:rsidRPr="00BB3A3C" w:rsidRDefault="00A45207" w:rsidP="00E22AA2">
            <w:pPr>
              <w:spacing w:after="0" w:line="240" w:lineRule="auto"/>
              <w:jc w:val="center"/>
              <w:rPr>
                <w:rFonts w:ascii="ITC Avant Garde" w:eastAsia="Times New Roman" w:hAnsi="ITC Avant Garde"/>
                <w:b/>
                <w:color w:val="000000"/>
                <w:sz w:val="13"/>
                <w:szCs w:val="13"/>
              </w:rPr>
            </w:pPr>
            <w:r w:rsidRPr="00BB3A3C">
              <w:rPr>
                <w:rFonts w:ascii="ITC Avant Garde" w:hAnsi="ITC Avant Garde"/>
                <w:b/>
                <w:bCs/>
                <w:color w:val="0000CC"/>
                <w:sz w:val="13"/>
                <w:szCs w:val="13"/>
              </w:rPr>
              <w:t xml:space="preserve">“CONFIDENCIAL POR LEY </w:t>
            </w:r>
            <w:r w:rsidR="00250347" w:rsidRPr="00BB3A3C">
              <w:rPr>
                <w:rFonts w:ascii="ITC Avant Garde" w:hAnsi="ITC Avant Garde"/>
                <w:b/>
                <w:bCs/>
                <w:color w:val="0000CC"/>
                <w:sz w:val="13"/>
                <w:szCs w:val="13"/>
              </w:rPr>
              <w:t>(</w:t>
            </w:r>
            <w:r w:rsidRPr="00BB3A3C">
              <w:rPr>
                <w:rFonts w:ascii="ITC Avant Garde" w:hAnsi="ITC Avant Garde"/>
                <w:b/>
                <w:bCs/>
                <w:color w:val="0000CC"/>
                <w:sz w:val="13"/>
                <w:szCs w:val="13"/>
              </w:rPr>
              <w:t>7</w:t>
            </w:r>
            <w:r w:rsidR="00250347" w:rsidRPr="00BB3A3C">
              <w:rPr>
                <w:rFonts w:ascii="ITC Avant Garde" w:hAnsi="ITC Avant Garde"/>
                <w:b/>
                <w:bCs/>
                <w:color w:val="0000CC"/>
                <w:sz w:val="13"/>
                <w:szCs w:val="13"/>
              </w:rPr>
              <w:t>)</w:t>
            </w:r>
            <w:r w:rsidRPr="00BB3A3C">
              <w:rPr>
                <w:rFonts w:ascii="ITC Avant Garde" w:hAnsi="ITC Avant Garde"/>
                <w:b/>
                <w:bCs/>
                <w:color w:val="0000CC"/>
                <w:sz w:val="13"/>
                <w:szCs w:val="13"/>
              </w:rPr>
              <w:t>”</w:t>
            </w:r>
          </w:p>
        </w:tc>
        <w:tc>
          <w:tcPr>
            <w:tcW w:w="1979" w:type="dxa"/>
            <w:vAlign w:val="center"/>
          </w:tcPr>
          <w:p w:rsidR="00A45207" w:rsidRPr="007D02A7" w:rsidRDefault="00A45207" w:rsidP="00E22AA2">
            <w:pPr>
              <w:spacing w:after="0" w:line="240" w:lineRule="auto"/>
              <w:jc w:val="center"/>
              <w:rPr>
                <w:rFonts w:ascii="ITC Avant Garde" w:eastAsia="Times New Roman" w:hAnsi="ITC Avant Garde"/>
                <w:b/>
                <w:color w:val="000000"/>
                <w:sz w:val="18"/>
                <w:szCs w:val="18"/>
              </w:rPr>
            </w:pPr>
          </w:p>
        </w:tc>
      </w:tr>
    </w:tbl>
    <w:p w:rsidR="005F2555" w:rsidRPr="007D02A7" w:rsidRDefault="00A45207" w:rsidP="009B0248">
      <w:pPr>
        <w:pStyle w:val="Prraforproyecto"/>
        <w:keepNext w:val="0"/>
        <w:spacing w:after="0" w:line="240" w:lineRule="auto"/>
        <w:rPr>
          <w:sz w:val="16"/>
          <w:szCs w:val="16"/>
        </w:rPr>
      </w:pPr>
      <w:r w:rsidRPr="007D02A7">
        <w:rPr>
          <w:sz w:val="16"/>
          <w:szCs w:val="16"/>
        </w:rPr>
        <w:t xml:space="preserve"> </w:t>
      </w:r>
      <w:r w:rsidR="00920715" w:rsidRPr="007D02A7">
        <w:rPr>
          <w:sz w:val="16"/>
          <w:szCs w:val="16"/>
        </w:rPr>
        <w:t>Fuente: Elaboración propia con información contenida en Foja</w:t>
      </w:r>
      <w:r w:rsidR="00FC2118" w:rsidRPr="007D02A7">
        <w:rPr>
          <w:sz w:val="16"/>
          <w:szCs w:val="16"/>
        </w:rPr>
        <w:t>s 79</w:t>
      </w:r>
      <w:r w:rsidR="00B67CFE" w:rsidRPr="007D02A7">
        <w:rPr>
          <w:sz w:val="16"/>
          <w:szCs w:val="16"/>
        </w:rPr>
        <w:t>,</w:t>
      </w:r>
      <w:r w:rsidR="00FC2118" w:rsidRPr="007D02A7">
        <w:rPr>
          <w:sz w:val="16"/>
          <w:szCs w:val="16"/>
        </w:rPr>
        <w:t xml:space="preserve"> 85</w:t>
      </w:r>
      <w:r w:rsidR="00920715" w:rsidRPr="007D02A7">
        <w:rPr>
          <w:sz w:val="16"/>
          <w:szCs w:val="16"/>
        </w:rPr>
        <w:t xml:space="preserve"> </w:t>
      </w:r>
      <w:r w:rsidR="00B67CFE" w:rsidRPr="007D02A7">
        <w:rPr>
          <w:sz w:val="16"/>
          <w:szCs w:val="16"/>
        </w:rPr>
        <w:t xml:space="preserve">y 146 </w:t>
      </w:r>
      <w:r w:rsidR="00920715" w:rsidRPr="007D02A7">
        <w:rPr>
          <w:sz w:val="16"/>
          <w:szCs w:val="16"/>
        </w:rPr>
        <w:t>del Expediente.</w:t>
      </w:r>
    </w:p>
    <w:p w:rsidR="009F3322" w:rsidRPr="007D02A7" w:rsidRDefault="009A34F5" w:rsidP="009B0248">
      <w:pPr>
        <w:pStyle w:val="Prraforproyecto"/>
        <w:keepNext w:val="0"/>
        <w:spacing w:after="0" w:line="240" w:lineRule="auto"/>
      </w:pPr>
      <w:r w:rsidRPr="007D02A7">
        <w:rPr>
          <w:sz w:val="16"/>
          <w:szCs w:val="16"/>
        </w:rPr>
        <w:t xml:space="preserve">1/ </w:t>
      </w:r>
      <w:r w:rsidR="00F2402E" w:rsidRPr="007D02A7">
        <w:rPr>
          <w:sz w:val="16"/>
          <w:szCs w:val="16"/>
        </w:rPr>
        <w:t xml:space="preserve">El Vendedor y </w:t>
      </w:r>
      <w:r w:rsidRPr="007D02A7">
        <w:rPr>
          <w:sz w:val="16"/>
          <w:szCs w:val="16"/>
        </w:rPr>
        <w:t xml:space="preserve">el </w:t>
      </w:r>
      <w:r w:rsidR="00F2402E" w:rsidRPr="007D02A7">
        <w:rPr>
          <w:sz w:val="16"/>
          <w:szCs w:val="16"/>
        </w:rPr>
        <w:t xml:space="preserve">Comprador deben cumplir con lo establecido en el Contrato de Compraventa, en términos de transferencias </w:t>
      </w:r>
      <w:r w:rsidR="009F3322" w:rsidRPr="007D02A7">
        <w:rPr>
          <w:sz w:val="16"/>
          <w:szCs w:val="16"/>
        </w:rPr>
        <w:t xml:space="preserve">tanto </w:t>
      </w:r>
      <w:r w:rsidR="00F2402E" w:rsidRPr="007D02A7">
        <w:rPr>
          <w:sz w:val="16"/>
          <w:szCs w:val="16"/>
        </w:rPr>
        <w:t xml:space="preserve">monetarias </w:t>
      </w:r>
      <w:r w:rsidR="009F3322" w:rsidRPr="007D02A7">
        <w:rPr>
          <w:sz w:val="16"/>
          <w:szCs w:val="16"/>
        </w:rPr>
        <w:t>como</w:t>
      </w:r>
      <w:r w:rsidR="00F2402E" w:rsidRPr="007D02A7">
        <w:rPr>
          <w:sz w:val="16"/>
          <w:szCs w:val="16"/>
        </w:rPr>
        <w:t xml:space="preserve"> </w:t>
      </w:r>
      <w:r w:rsidRPr="007D02A7">
        <w:rPr>
          <w:sz w:val="16"/>
          <w:szCs w:val="16"/>
        </w:rPr>
        <w:t xml:space="preserve">de </w:t>
      </w:r>
      <w:r w:rsidR="00F2402E" w:rsidRPr="007D02A7">
        <w:rPr>
          <w:sz w:val="16"/>
          <w:szCs w:val="16"/>
        </w:rPr>
        <w:t>derechos y obligaciones</w:t>
      </w:r>
      <w:r w:rsidRPr="007D02A7">
        <w:rPr>
          <w:sz w:val="16"/>
          <w:szCs w:val="16"/>
        </w:rPr>
        <w:t>, según corresponda.</w:t>
      </w:r>
      <w:r w:rsidR="00F2402E" w:rsidRPr="007D02A7">
        <w:t xml:space="preserve"> </w:t>
      </w:r>
    </w:p>
    <w:p w:rsidR="006F666D" w:rsidRPr="007D02A7" w:rsidRDefault="00694BAC" w:rsidP="00637B96">
      <w:pPr>
        <w:pStyle w:val="Prraforproyecto"/>
        <w:keepNext w:val="0"/>
        <w:spacing w:before="120"/>
      </w:pPr>
      <w:r w:rsidRPr="007D02A7">
        <w:t>E</w:t>
      </w:r>
      <w:r w:rsidR="00D64D61" w:rsidRPr="007D02A7">
        <w:t>l p</w:t>
      </w:r>
      <w:r w:rsidR="001C7EB5" w:rsidRPr="007D02A7">
        <w:t xml:space="preserve">rimer </w:t>
      </w:r>
      <w:r w:rsidR="0020355F" w:rsidRPr="007D02A7">
        <w:t xml:space="preserve">y segundo </w:t>
      </w:r>
      <w:r w:rsidR="001C7EB5" w:rsidRPr="007D02A7">
        <w:t>cierre</w:t>
      </w:r>
      <w:r w:rsidR="0020355F" w:rsidRPr="007D02A7">
        <w:t>s</w:t>
      </w:r>
      <w:r w:rsidR="001C7EB5" w:rsidRPr="007D02A7">
        <w:t xml:space="preserve"> ya fue</w:t>
      </w:r>
      <w:r w:rsidR="0020355F" w:rsidRPr="007D02A7">
        <w:t>ron</w:t>
      </w:r>
      <w:r w:rsidR="001C7EB5" w:rsidRPr="007D02A7">
        <w:t xml:space="preserve"> </w:t>
      </w:r>
      <w:r w:rsidR="0028468D" w:rsidRPr="007D02A7">
        <w:t>celebrado</w:t>
      </w:r>
      <w:r w:rsidRPr="007D02A7">
        <w:t>s</w:t>
      </w:r>
      <w:r w:rsidR="006F666D" w:rsidRPr="007D02A7">
        <w:t xml:space="preserve"> en las fechas señaladas en el Contrato de Compraventa y no </w:t>
      </w:r>
      <w:r w:rsidR="00F71357" w:rsidRPr="007D02A7">
        <w:t xml:space="preserve">fueron </w:t>
      </w:r>
      <w:r w:rsidR="0020355F" w:rsidRPr="007D02A7">
        <w:t>notifica</w:t>
      </w:r>
      <w:r w:rsidR="00F71357" w:rsidRPr="007D02A7">
        <w:t>dos</w:t>
      </w:r>
      <w:r w:rsidR="0020355F" w:rsidRPr="007D02A7">
        <w:t xml:space="preserve"> </w:t>
      </w:r>
      <w:r w:rsidR="001C7EB5" w:rsidRPr="007D02A7">
        <w:t xml:space="preserve">al </w:t>
      </w:r>
      <w:r w:rsidR="00F71357" w:rsidRPr="007D02A7">
        <w:t>Instituto</w:t>
      </w:r>
      <w:r w:rsidR="006F666D" w:rsidRPr="007D02A7">
        <w:t xml:space="preserve"> porque estos actos en conjunto</w:t>
      </w:r>
      <w:r w:rsidR="00F71357" w:rsidRPr="007D02A7">
        <w:t xml:space="preserve"> </w:t>
      </w:r>
      <w:r w:rsidR="001C7EB5" w:rsidRPr="007D02A7">
        <w:t>no supera</w:t>
      </w:r>
      <w:r w:rsidR="006F666D" w:rsidRPr="007D02A7">
        <w:t>n</w:t>
      </w:r>
      <w:r w:rsidR="001C7EB5" w:rsidRPr="007D02A7">
        <w:t xml:space="preserve"> los umbrales </w:t>
      </w:r>
      <w:r w:rsidR="006F666D" w:rsidRPr="007D02A7">
        <w:t xml:space="preserve">establecidos en el </w:t>
      </w:r>
      <w:r w:rsidR="001C7EB5" w:rsidRPr="007D02A7">
        <w:t>artículo 86 de la LFCE.</w:t>
      </w:r>
      <w:r w:rsidR="00316B93" w:rsidRPr="007D02A7">
        <w:t xml:space="preserve"> </w:t>
      </w:r>
    </w:p>
    <w:p w:rsidR="00BA4114" w:rsidRPr="007D02A7" w:rsidRDefault="00896412" w:rsidP="00637B96">
      <w:pPr>
        <w:pStyle w:val="Prraforproyecto"/>
        <w:keepNext w:val="0"/>
        <w:spacing w:before="120"/>
      </w:pPr>
      <w:r w:rsidRPr="007D02A7">
        <w:t xml:space="preserve">El monto de ambos actos fue de </w:t>
      </w:r>
      <w:r w:rsidR="0029381D" w:rsidRPr="007D02A7">
        <w:rPr>
          <w:b/>
          <w:color w:val="0000CC"/>
          <w:sz w:val="19"/>
          <w:szCs w:val="19"/>
        </w:rPr>
        <w:t>“CONFIDENCIAL POR LEY</w:t>
      </w:r>
      <w:r w:rsidR="00481CDD" w:rsidRPr="007D02A7">
        <w:rPr>
          <w:b/>
          <w:color w:val="0000CC"/>
          <w:sz w:val="19"/>
          <w:szCs w:val="19"/>
        </w:rPr>
        <w:t xml:space="preserve"> </w:t>
      </w:r>
      <w:r w:rsidR="00250347">
        <w:rPr>
          <w:b/>
          <w:color w:val="0000CC"/>
          <w:sz w:val="19"/>
          <w:szCs w:val="19"/>
        </w:rPr>
        <w:t>(</w:t>
      </w:r>
      <w:r w:rsidR="00481CDD" w:rsidRPr="007D02A7">
        <w:rPr>
          <w:b/>
          <w:color w:val="0000CC"/>
          <w:sz w:val="19"/>
          <w:szCs w:val="19"/>
        </w:rPr>
        <w:t>8</w:t>
      </w:r>
      <w:r w:rsidR="00250347">
        <w:rPr>
          <w:b/>
          <w:color w:val="0000CC"/>
          <w:sz w:val="19"/>
          <w:szCs w:val="19"/>
        </w:rPr>
        <w:t>)</w:t>
      </w:r>
      <w:r w:rsidR="0029381D" w:rsidRPr="007D02A7">
        <w:rPr>
          <w:b/>
          <w:color w:val="0000CC"/>
          <w:sz w:val="19"/>
          <w:szCs w:val="19"/>
        </w:rPr>
        <w:t>”</w:t>
      </w:r>
      <w:r w:rsidR="007177DE" w:rsidRPr="007D02A7">
        <w:t xml:space="preserve"> </w:t>
      </w:r>
      <w:r w:rsidRPr="007D02A7">
        <w:t>pesos,</w:t>
      </w:r>
      <w:r w:rsidR="00DE2444" w:rsidRPr="007D02A7">
        <w:rPr>
          <w:rStyle w:val="Refdenotaalpie"/>
        </w:rPr>
        <w:footnoteReference w:id="4"/>
      </w:r>
      <w:r w:rsidRPr="007D02A7">
        <w:t xml:space="preserve"> que se ubicó por debajo del umbral de ocho millones cuatrocientas mil veces el valor diario de la Unidad de Medida y Actualización,</w:t>
      </w:r>
      <w:r w:rsidRPr="007D02A7">
        <w:rPr>
          <w:rStyle w:val="Refdenotaalpie"/>
        </w:rPr>
        <w:footnoteReference w:id="5"/>
      </w:r>
      <w:r w:rsidRPr="007D02A7">
        <w:t xml:space="preserve"> equivalentes a </w:t>
      </w:r>
      <w:r w:rsidR="00D512F5" w:rsidRPr="007D02A7">
        <w:t>634</w:t>
      </w:r>
      <w:proofErr w:type="gramStart"/>
      <w:r w:rsidR="00D512F5" w:rsidRPr="007D02A7">
        <w:t>,116,000</w:t>
      </w:r>
      <w:proofErr w:type="gramEnd"/>
      <w:r w:rsidR="00D512F5" w:rsidRPr="007D02A7">
        <w:t xml:space="preserve"> (seiscientos treinta y cuatro millones ciento dieciséis mil) pesos</w:t>
      </w:r>
      <w:r w:rsidRPr="007D02A7">
        <w:t xml:space="preserve">. </w:t>
      </w:r>
      <w:r w:rsidR="00614A71" w:rsidRPr="007D02A7">
        <w:t>Esta última</w:t>
      </w:r>
      <w:r w:rsidR="00557830" w:rsidRPr="007D02A7">
        <w:t xml:space="preserve"> cifra </w:t>
      </w:r>
      <w:r w:rsidR="00961047" w:rsidRPr="007D02A7">
        <w:t>corresponde al umbral de menor monto a que se refiere el artículo 86 de la LFCE.</w:t>
      </w:r>
      <w:r w:rsidR="002B473F" w:rsidRPr="007D02A7">
        <w:t xml:space="preserve"> Por lo anterior, esos actos no requirieron ser notificados </w:t>
      </w:r>
      <w:r w:rsidR="00F0232B" w:rsidRPr="007D02A7">
        <w:t xml:space="preserve">de manera anterior a </w:t>
      </w:r>
      <w:r w:rsidR="002B473F" w:rsidRPr="007D02A7">
        <w:t>su realización.</w:t>
      </w:r>
      <w:r w:rsidR="007177DE" w:rsidRPr="007D02A7">
        <w:t xml:space="preserve"> </w:t>
      </w:r>
    </w:p>
    <w:p w:rsidR="00D512F5" w:rsidRPr="007D02A7" w:rsidRDefault="00C3083A" w:rsidP="00637B96">
      <w:pPr>
        <w:pStyle w:val="Prraforproyecto"/>
        <w:keepNext w:val="0"/>
        <w:spacing w:before="120"/>
      </w:pPr>
      <w:r w:rsidRPr="007D02A7">
        <w:t>Las Partes especifican</w:t>
      </w:r>
      <w:r w:rsidR="001C4DAA" w:rsidRPr="007D02A7">
        <w:t xml:space="preserve"> </w:t>
      </w:r>
      <w:r w:rsidR="006F666D" w:rsidRPr="007D02A7">
        <w:t xml:space="preserve">que es a partir del tercer cierre cuando la Operación actualiza </w:t>
      </w:r>
      <w:r w:rsidR="001C4DAA" w:rsidRPr="007D02A7">
        <w:t>el umbral de notificación</w:t>
      </w:r>
      <w:r w:rsidR="006F666D" w:rsidRPr="007D02A7">
        <w:t xml:space="preserve"> establecido en el</w:t>
      </w:r>
      <w:r w:rsidR="001C4DAA" w:rsidRPr="007D02A7">
        <w:t xml:space="preserve"> artículo 86 de la LFCE</w:t>
      </w:r>
      <w:r w:rsidR="00316B93" w:rsidRPr="007D02A7">
        <w:t xml:space="preserve">. En este sentido, </w:t>
      </w:r>
      <w:r w:rsidR="00264C7D" w:rsidRPr="007D02A7">
        <w:t xml:space="preserve">el Contrato </w:t>
      </w:r>
      <w:r w:rsidR="00264C7D" w:rsidRPr="007D02A7">
        <w:lastRenderedPageBreak/>
        <w:t xml:space="preserve">de Compraventa establece que ningún cierre se llevará a cabo cuando el monto agregado exceda </w:t>
      </w:r>
      <w:r w:rsidR="00316B93" w:rsidRPr="007D02A7">
        <w:t xml:space="preserve">la cantidad de </w:t>
      </w:r>
      <w:r w:rsidR="00264C7D" w:rsidRPr="007D02A7">
        <w:t>634</w:t>
      </w:r>
      <w:proofErr w:type="gramStart"/>
      <w:r w:rsidR="00264C7D" w:rsidRPr="007D02A7">
        <w:t>,116,000</w:t>
      </w:r>
      <w:proofErr w:type="gramEnd"/>
      <w:r w:rsidR="00264C7D" w:rsidRPr="007D02A7">
        <w:t xml:space="preserve"> (seiscientos treinta y cuatro millones ciento dieciséis mil) pesos</w:t>
      </w:r>
      <w:r w:rsidR="00316B93" w:rsidRPr="007D02A7">
        <w:t>,</w:t>
      </w:r>
      <w:r w:rsidR="00E13CE1" w:rsidRPr="007D02A7">
        <w:rPr>
          <w:rStyle w:val="Refdenotaalpie"/>
        </w:rPr>
        <w:footnoteReference w:id="6"/>
      </w:r>
      <w:r w:rsidR="00316B93" w:rsidRPr="007D02A7">
        <w:t xml:space="preserve"> a menos de que dichas transacciones sean autorizadas por el Instituto, en términos de la LFCE</w:t>
      </w:r>
      <w:r w:rsidR="00F06619" w:rsidRPr="007D02A7">
        <w:t>.</w:t>
      </w:r>
    </w:p>
    <w:p w:rsidR="00B02641" w:rsidRPr="007D02A7" w:rsidRDefault="007F559E" w:rsidP="00637B96">
      <w:pPr>
        <w:pStyle w:val="Prraforproyecto"/>
        <w:keepNext w:val="0"/>
        <w:spacing w:before="120"/>
      </w:pPr>
      <w:r w:rsidRPr="007D02A7">
        <w:t xml:space="preserve">El artículo 86 de la LFCE establece que las concentraciones deberán ser autorizadas por el Instituto antes de que se lleven a cabo, cuando el acto o sucesión de actos que les den origen actualicen alguno de los umbrales previstos en sus tres fracciones. A su vez el artículo 87, fracción IV, de la LFCE establece que la autorización para realizar la concentración, cuando se trate de una sucesión de actos, debe obtenerse antes de que se perfeccione </w:t>
      </w:r>
      <w:r w:rsidR="00B02641" w:rsidRPr="007D02A7">
        <w:t xml:space="preserve">aquél </w:t>
      </w:r>
      <w:r w:rsidRPr="007D02A7">
        <w:t>por virtud del cual se</w:t>
      </w:r>
      <w:r w:rsidR="00B02641" w:rsidRPr="007D02A7">
        <w:t xml:space="preserve"> </w:t>
      </w:r>
      <w:r w:rsidRPr="007D02A7">
        <w:t xml:space="preserve">rebasen los montos establecidos en el artículo </w:t>
      </w:r>
      <w:r w:rsidR="00F0232B" w:rsidRPr="007D02A7">
        <w:t>86</w:t>
      </w:r>
      <w:r w:rsidR="00B02641" w:rsidRPr="007D02A7">
        <w:t xml:space="preserve">. Por lo anterior, corresponde dar trámite a esta Operación en términos del artículo 90 de la LFCE. </w:t>
      </w:r>
    </w:p>
    <w:p w:rsidR="007F559E" w:rsidRPr="007D02A7" w:rsidRDefault="007E36C5" w:rsidP="00637B96">
      <w:pPr>
        <w:spacing w:before="120" w:after="120"/>
        <w:rPr>
          <w:rFonts w:ascii="ITC Avant Garde" w:hAnsi="ITC Avant Garde"/>
          <w:b/>
        </w:rPr>
      </w:pPr>
      <w:r w:rsidRPr="007D02A7">
        <w:rPr>
          <w:rFonts w:ascii="ITC Avant Garde" w:hAnsi="ITC Avant Garde"/>
          <w:b/>
        </w:rPr>
        <w:t xml:space="preserve">Ubicación de las torres de telecomunicaciones </w:t>
      </w:r>
      <w:r w:rsidR="00B02641" w:rsidRPr="007D02A7">
        <w:rPr>
          <w:rFonts w:ascii="ITC Avant Garde" w:hAnsi="ITC Avant Garde"/>
          <w:b/>
        </w:rPr>
        <w:t>en compraventa</w:t>
      </w:r>
      <w:r w:rsidR="007177DE" w:rsidRPr="007D02A7">
        <w:rPr>
          <w:rFonts w:ascii="ITC Avant Garde" w:hAnsi="ITC Avant Garde"/>
          <w:b/>
        </w:rPr>
        <w:t xml:space="preserve"> </w:t>
      </w:r>
      <w:r w:rsidR="007F559E" w:rsidRPr="007D02A7">
        <w:rPr>
          <w:rFonts w:ascii="ITC Avant Garde" w:hAnsi="ITC Avant Garde"/>
          <w:b/>
        </w:rPr>
        <w:t xml:space="preserve"> </w:t>
      </w:r>
    </w:p>
    <w:p w:rsidR="006303A3" w:rsidRPr="007D02A7" w:rsidRDefault="006303A3" w:rsidP="00637B96">
      <w:pPr>
        <w:pStyle w:val="Prraforproyecto"/>
        <w:keepNext w:val="0"/>
        <w:spacing w:before="120"/>
      </w:pPr>
      <w:r w:rsidRPr="007D02A7">
        <w:t xml:space="preserve">El </w:t>
      </w:r>
      <w:r w:rsidR="007E36C5" w:rsidRPr="007D02A7">
        <w:t>Cuadro 2</w:t>
      </w:r>
      <w:r w:rsidRPr="007D02A7">
        <w:t xml:space="preserve"> identifica el n</w:t>
      </w:r>
      <w:r w:rsidR="00552DB1" w:rsidRPr="007D02A7">
        <w:t>úmero de torres de telecomunicaciones objeto</w:t>
      </w:r>
      <w:r w:rsidR="00BD2299" w:rsidRPr="007D02A7">
        <w:t xml:space="preserve"> de cada uno de los tres cierres en los que está programada la Operación, </w:t>
      </w:r>
      <w:r w:rsidR="00552DB1" w:rsidRPr="007D02A7">
        <w:t>a nivel de Municipio.</w:t>
      </w:r>
    </w:p>
    <w:p w:rsidR="00D6086F" w:rsidRPr="007D02A7" w:rsidRDefault="00D6086F" w:rsidP="00637B96">
      <w:pPr>
        <w:pStyle w:val="Sinespaciado"/>
        <w:numPr>
          <w:ilvl w:val="0"/>
          <w:numId w:val="13"/>
        </w:numPr>
        <w:spacing w:before="120" w:after="120" w:line="276" w:lineRule="auto"/>
        <w:ind w:left="426"/>
        <w:jc w:val="center"/>
        <w:rPr>
          <w:rFonts w:ascii="ITC Avant Garde" w:hAnsi="ITC Avant Garde"/>
          <w:b/>
        </w:rPr>
      </w:pPr>
      <w:r w:rsidRPr="007D02A7">
        <w:rPr>
          <w:rFonts w:ascii="ITC Avant Garde" w:hAnsi="ITC Avant Garde"/>
          <w:b/>
        </w:rPr>
        <w:t>Torres de telecomunicaciones por cada cierre de la Operación a nivel Municipio</w:t>
      </w:r>
    </w:p>
    <w:tbl>
      <w:tblPr>
        <w:tblStyle w:val="Tablaconcuadrcula1"/>
        <w:tblW w:w="9353" w:type="dxa"/>
        <w:jc w:val="center"/>
        <w:tblLayout w:type="fixed"/>
        <w:tblLook w:val="04A0" w:firstRow="1" w:lastRow="0" w:firstColumn="1" w:lastColumn="0" w:noHBand="0" w:noVBand="1"/>
        <w:tblCaption w:val="Torres de telecomunicaciones por cada cierre de la Operación a nivel Municipio"/>
        <w:tblDescription w:val="En este cuadro se describe la ubicación de las 142 (ciento cuarenta y dos) torres de telecomunicaciones a nivel municipio/delegación, involucradas en cada uno de los cierres de la Operación."/>
      </w:tblPr>
      <w:tblGrid>
        <w:gridCol w:w="1696"/>
        <w:gridCol w:w="1605"/>
        <w:gridCol w:w="1513"/>
        <w:gridCol w:w="1513"/>
        <w:gridCol w:w="1513"/>
        <w:gridCol w:w="1513"/>
      </w:tblGrid>
      <w:tr w:rsidR="00EE12FA" w:rsidRPr="00EE12FA" w:rsidTr="00953945">
        <w:trPr>
          <w:trHeight w:val="1196"/>
          <w:tblHeader/>
          <w:jc w:val="center"/>
        </w:trPr>
        <w:tc>
          <w:tcPr>
            <w:tcW w:w="1696" w:type="dxa"/>
            <w:shd w:val="clear" w:color="auto" w:fill="538135" w:themeFill="accent6" w:themeFillShade="BF"/>
            <w:vAlign w:val="center"/>
            <w:hideMark/>
          </w:tcPr>
          <w:p w:rsidR="00552DB1" w:rsidRPr="00EE12FA" w:rsidRDefault="00552DB1" w:rsidP="00A45207">
            <w:pPr>
              <w:spacing w:after="0" w:line="240" w:lineRule="auto"/>
              <w:jc w:val="center"/>
              <w:rPr>
                <w:rFonts w:ascii="ITC Avant Garde" w:eastAsia="Times New Roman" w:hAnsi="ITC Avant Garde"/>
                <w:b/>
                <w:bCs/>
                <w:color w:val="000000" w:themeColor="text1"/>
                <w:sz w:val="18"/>
                <w:szCs w:val="18"/>
              </w:rPr>
            </w:pPr>
            <w:r w:rsidRPr="00EE12FA">
              <w:rPr>
                <w:rFonts w:ascii="ITC Avant Garde" w:eastAsia="Times New Roman" w:hAnsi="ITC Avant Garde"/>
                <w:b/>
                <w:bCs/>
                <w:color w:val="000000" w:themeColor="text1"/>
                <w:sz w:val="18"/>
                <w:szCs w:val="18"/>
              </w:rPr>
              <w:t>Entidad Federativa</w:t>
            </w:r>
          </w:p>
        </w:tc>
        <w:tc>
          <w:tcPr>
            <w:tcW w:w="1605" w:type="dxa"/>
            <w:shd w:val="clear" w:color="auto" w:fill="538135" w:themeFill="accent6" w:themeFillShade="BF"/>
            <w:vAlign w:val="center"/>
          </w:tcPr>
          <w:p w:rsidR="00552DB1" w:rsidRPr="00EE12FA" w:rsidRDefault="00552DB1" w:rsidP="00A45207">
            <w:pPr>
              <w:spacing w:after="0" w:line="240" w:lineRule="auto"/>
              <w:jc w:val="center"/>
              <w:rPr>
                <w:rFonts w:ascii="ITC Avant Garde" w:eastAsia="Times New Roman" w:hAnsi="ITC Avant Garde"/>
                <w:b/>
                <w:bCs/>
                <w:color w:val="000000" w:themeColor="text1"/>
                <w:sz w:val="18"/>
                <w:szCs w:val="18"/>
              </w:rPr>
            </w:pPr>
            <w:r w:rsidRPr="00EE12FA">
              <w:rPr>
                <w:rFonts w:ascii="ITC Avant Garde" w:eastAsia="Times New Roman" w:hAnsi="ITC Avant Garde"/>
                <w:b/>
                <w:bCs/>
                <w:color w:val="000000" w:themeColor="text1"/>
                <w:sz w:val="18"/>
                <w:szCs w:val="18"/>
              </w:rPr>
              <w:t>Municipio</w:t>
            </w:r>
            <w:r w:rsidR="00953945" w:rsidRPr="00EE12FA">
              <w:rPr>
                <w:rFonts w:ascii="ITC Avant Garde" w:eastAsia="Times New Roman" w:hAnsi="ITC Avant Garde"/>
                <w:b/>
                <w:bCs/>
                <w:color w:val="000000" w:themeColor="text1"/>
                <w:sz w:val="18"/>
                <w:szCs w:val="18"/>
              </w:rPr>
              <w:t xml:space="preserve"> </w:t>
            </w:r>
            <w:r w:rsidRPr="00EE12FA">
              <w:rPr>
                <w:rFonts w:ascii="ITC Avant Garde" w:eastAsia="Times New Roman" w:hAnsi="ITC Avant Garde"/>
                <w:b/>
                <w:bCs/>
                <w:color w:val="000000" w:themeColor="text1"/>
                <w:sz w:val="18"/>
                <w:szCs w:val="18"/>
              </w:rPr>
              <w:t>/</w:t>
            </w:r>
            <w:r w:rsidR="00953945" w:rsidRPr="00EE12FA">
              <w:rPr>
                <w:rFonts w:ascii="ITC Avant Garde" w:eastAsia="Times New Roman" w:hAnsi="ITC Avant Garde"/>
                <w:b/>
                <w:bCs/>
                <w:color w:val="000000" w:themeColor="text1"/>
                <w:sz w:val="18"/>
                <w:szCs w:val="18"/>
              </w:rPr>
              <w:t xml:space="preserve"> </w:t>
            </w:r>
            <w:r w:rsidRPr="00EE12FA">
              <w:rPr>
                <w:rFonts w:ascii="ITC Avant Garde" w:eastAsia="Times New Roman" w:hAnsi="ITC Avant Garde"/>
                <w:b/>
                <w:bCs/>
                <w:color w:val="000000" w:themeColor="text1"/>
                <w:sz w:val="18"/>
                <w:szCs w:val="18"/>
              </w:rPr>
              <w:t>Delegación</w:t>
            </w:r>
          </w:p>
        </w:tc>
        <w:tc>
          <w:tcPr>
            <w:tcW w:w="1513" w:type="dxa"/>
            <w:shd w:val="clear" w:color="auto" w:fill="538135" w:themeFill="accent6" w:themeFillShade="BF"/>
            <w:vAlign w:val="center"/>
            <w:hideMark/>
          </w:tcPr>
          <w:p w:rsidR="00552DB1" w:rsidRPr="00EE12FA" w:rsidRDefault="00552DB1" w:rsidP="00A45207">
            <w:pPr>
              <w:spacing w:after="0" w:line="240" w:lineRule="auto"/>
              <w:jc w:val="center"/>
              <w:rPr>
                <w:rFonts w:ascii="ITC Avant Garde" w:eastAsia="Times New Roman" w:hAnsi="ITC Avant Garde"/>
                <w:b/>
                <w:bCs/>
                <w:color w:val="000000" w:themeColor="text1"/>
                <w:sz w:val="18"/>
                <w:szCs w:val="18"/>
              </w:rPr>
            </w:pPr>
            <w:r w:rsidRPr="00EE12FA">
              <w:rPr>
                <w:rFonts w:ascii="ITC Avant Garde" w:eastAsia="Times New Roman" w:hAnsi="ITC Avant Garde"/>
                <w:b/>
                <w:bCs/>
                <w:color w:val="000000" w:themeColor="text1"/>
                <w:sz w:val="18"/>
                <w:szCs w:val="18"/>
              </w:rPr>
              <w:t>Torres AXTEL involucradas en la Operación</w:t>
            </w:r>
          </w:p>
        </w:tc>
        <w:tc>
          <w:tcPr>
            <w:tcW w:w="1513" w:type="dxa"/>
            <w:shd w:val="clear" w:color="auto" w:fill="538135" w:themeFill="accent6" w:themeFillShade="BF"/>
            <w:vAlign w:val="center"/>
            <w:hideMark/>
          </w:tcPr>
          <w:p w:rsidR="00552DB1" w:rsidRPr="00EE12FA" w:rsidRDefault="00552DB1" w:rsidP="00A45207">
            <w:pPr>
              <w:spacing w:after="0" w:line="240" w:lineRule="auto"/>
              <w:jc w:val="center"/>
              <w:rPr>
                <w:rFonts w:ascii="ITC Avant Garde" w:eastAsia="Times New Roman" w:hAnsi="ITC Avant Garde"/>
                <w:b/>
                <w:bCs/>
                <w:color w:val="000000" w:themeColor="text1"/>
                <w:sz w:val="18"/>
                <w:szCs w:val="18"/>
              </w:rPr>
            </w:pPr>
            <w:r w:rsidRPr="00EE12FA">
              <w:rPr>
                <w:rFonts w:ascii="ITC Avant Garde" w:eastAsia="Times New Roman" w:hAnsi="ITC Avant Garde"/>
                <w:b/>
                <w:bCs/>
                <w:color w:val="000000" w:themeColor="text1"/>
                <w:sz w:val="18"/>
                <w:szCs w:val="18"/>
              </w:rPr>
              <w:t xml:space="preserve">Torres de </w:t>
            </w:r>
            <w:r w:rsidR="00545D20" w:rsidRPr="00EE12FA">
              <w:rPr>
                <w:rFonts w:ascii="ITC Avant Garde" w:eastAsia="Times New Roman" w:hAnsi="ITC Avant Garde"/>
                <w:b/>
                <w:bCs/>
                <w:color w:val="000000" w:themeColor="text1"/>
                <w:sz w:val="18"/>
                <w:szCs w:val="18"/>
              </w:rPr>
              <w:t xml:space="preserve">AXTEL </w:t>
            </w:r>
            <w:r w:rsidRPr="00EE12FA">
              <w:rPr>
                <w:rFonts w:ascii="ITC Avant Garde" w:eastAsia="Times New Roman" w:hAnsi="ITC Avant Garde"/>
                <w:b/>
                <w:bCs/>
                <w:color w:val="000000" w:themeColor="text1"/>
                <w:sz w:val="18"/>
                <w:szCs w:val="18"/>
              </w:rPr>
              <w:t>involucradas en el Primer Cierre</w:t>
            </w:r>
          </w:p>
        </w:tc>
        <w:tc>
          <w:tcPr>
            <w:tcW w:w="1513" w:type="dxa"/>
            <w:shd w:val="clear" w:color="auto" w:fill="538135" w:themeFill="accent6" w:themeFillShade="BF"/>
            <w:vAlign w:val="center"/>
            <w:hideMark/>
          </w:tcPr>
          <w:p w:rsidR="00552DB1" w:rsidRPr="00EE12FA" w:rsidRDefault="00552DB1" w:rsidP="00A45207">
            <w:pPr>
              <w:spacing w:after="0" w:line="240" w:lineRule="auto"/>
              <w:jc w:val="center"/>
              <w:rPr>
                <w:rFonts w:ascii="ITC Avant Garde" w:eastAsia="Times New Roman" w:hAnsi="ITC Avant Garde"/>
                <w:b/>
                <w:bCs/>
                <w:color w:val="000000" w:themeColor="text1"/>
                <w:sz w:val="18"/>
                <w:szCs w:val="18"/>
              </w:rPr>
            </w:pPr>
            <w:r w:rsidRPr="00EE12FA">
              <w:rPr>
                <w:rFonts w:ascii="ITC Avant Garde" w:eastAsia="Times New Roman" w:hAnsi="ITC Avant Garde"/>
                <w:b/>
                <w:bCs/>
                <w:color w:val="000000" w:themeColor="text1"/>
                <w:sz w:val="18"/>
                <w:szCs w:val="18"/>
              </w:rPr>
              <w:t xml:space="preserve">Torres de </w:t>
            </w:r>
            <w:r w:rsidR="00545D20" w:rsidRPr="00EE12FA">
              <w:rPr>
                <w:rFonts w:ascii="ITC Avant Garde" w:eastAsia="Times New Roman" w:hAnsi="ITC Avant Garde"/>
                <w:b/>
                <w:bCs/>
                <w:color w:val="000000" w:themeColor="text1"/>
                <w:sz w:val="18"/>
                <w:szCs w:val="18"/>
              </w:rPr>
              <w:t xml:space="preserve">AXTEL </w:t>
            </w:r>
            <w:r w:rsidRPr="00EE12FA">
              <w:rPr>
                <w:rFonts w:ascii="ITC Avant Garde" w:eastAsia="Times New Roman" w:hAnsi="ITC Avant Garde"/>
                <w:b/>
                <w:bCs/>
                <w:color w:val="000000" w:themeColor="text1"/>
                <w:sz w:val="18"/>
                <w:szCs w:val="18"/>
              </w:rPr>
              <w:t>involucradas en el Segundo Cierre</w:t>
            </w:r>
          </w:p>
        </w:tc>
        <w:tc>
          <w:tcPr>
            <w:tcW w:w="1513" w:type="dxa"/>
            <w:shd w:val="clear" w:color="auto" w:fill="538135" w:themeFill="accent6" w:themeFillShade="BF"/>
            <w:vAlign w:val="center"/>
            <w:hideMark/>
          </w:tcPr>
          <w:p w:rsidR="00552DB1" w:rsidRPr="00EE12FA" w:rsidRDefault="00552DB1" w:rsidP="00A45207">
            <w:pPr>
              <w:spacing w:after="0" w:line="240" w:lineRule="auto"/>
              <w:jc w:val="center"/>
              <w:rPr>
                <w:rFonts w:ascii="ITC Avant Garde" w:eastAsia="Times New Roman" w:hAnsi="ITC Avant Garde"/>
                <w:b/>
                <w:bCs/>
                <w:color w:val="000000" w:themeColor="text1"/>
                <w:sz w:val="18"/>
                <w:szCs w:val="18"/>
              </w:rPr>
            </w:pPr>
            <w:r w:rsidRPr="00EE12FA">
              <w:rPr>
                <w:rFonts w:ascii="ITC Avant Garde" w:eastAsia="Times New Roman" w:hAnsi="ITC Avant Garde"/>
                <w:b/>
                <w:bCs/>
                <w:color w:val="000000" w:themeColor="text1"/>
                <w:sz w:val="18"/>
                <w:szCs w:val="18"/>
              </w:rPr>
              <w:t xml:space="preserve">Torres de </w:t>
            </w:r>
            <w:r w:rsidR="00545D20" w:rsidRPr="00EE12FA">
              <w:rPr>
                <w:rFonts w:ascii="ITC Avant Garde" w:eastAsia="Times New Roman" w:hAnsi="ITC Avant Garde"/>
                <w:b/>
                <w:bCs/>
                <w:color w:val="000000" w:themeColor="text1"/>
                <w:sz w:val="18"/>
                <w:szCs w:val="18"/>
              </w:rPr>
              <w:t>AXTEL</w:t>
            </w:r>
            <w:r w:rsidR="007D6EA6" w:rsidRPr="00EE12FA">
              <w:rPr>
                <w:rFonts w:ascii="ITC Avant Garde" w:eastAsia="Times New Roman" w:hAnsi="ITC Avant Garde"/>
                <w:b/>
                <w:bCs/>
                <w:color w:val="000000" w:themeColor="text1"/>
                <w:sz w:val="18"/>
                <w:szCs w:val="18"/>
              </w:rPr>
              <w:t xml:space="preserve"> </w:t>
            </w:r>
            <w:r w:rsidRPr="00EE12FA">
              <w:rPr>
                <w:rFonts w:ascii="ITC Avant Garde" w:eastAsia="Times New Roman" w:hAnsi="ITC Avant Garde"/>
                <w:b/>
                <w:bCs/>
                <w:color w:val="000000" w:themeColor="text1"/>
                <w:sz w:val="18"/>
                <w:szCs w:val="18"/>
              </w:rPr>
              <w:t>involucradas en el Tercer Cierre</w:t>
            </w:r>
          </w:p>
        </w:tc>
      </w:tr>
      <w:tr w:rsidR="00552DB1" w:rsidRPr="007D02A7" w:rsidTr="00953945">
        <w:trPr>
          <w:trHeight w:val="124"/>
          <w:jc w:val="center"/>
        </w:trPr>
        <w:tc>
          <w:tcPr>
            <w:tcW w:w="1696" w:type="dxa"/>
            <w:vAlign w:val="center"/>
            <w:hideMark/>
          </w:tcPr>
          <w:p w:rsidR="00552DB1" w:rsidRPr="007D02A7" w:rsidRDefault="00552DB1" w:rsidP="00A4520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Aguascalientes</w:t>
            </w:r>
          </w:p>
        </w:tc>
        <w:tc>
          <w:tcPr>
            <w:tcW w:w="1605" w:type="dxa"/>
            <w:vAlign w:val="center"/>
          </w:tcPr>
          <w:p w:rsidR="00552DB1" w:rsidRPr="007D02A7" w:rsidRDefault="00552DB1" w:rsidP="00A4520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Aguascalientes</w:t>
            </w:r>
          </w:p>
        </w:tc>
        <w:tc>
          <w:tcPr>
            <w:tcW w:w="1513" w:type="dxa"/>
            <w:shd w:val="clear" w:color="auto" w:fill="auto"/>
            <w:vAlign w:val="center"/>
          </w:tcPr>
          <w:p w:rsidR="00552DB1" w:rsidRPr="00BB3A3C" w:rsidRDefault="00953945" w:rsidP="00A4520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 xml:space="preserve">“CONFIDENCIAL POR LEY </w:t>
            </w:r>
            <w:r w:rsidR="00250347" w:rsidRPr="00BB3A3C">
              <w:rPr>
                <w:rFonts w:ascii="ITC Avant Garde" w:hAnsi="ITC Avant Garde"/>
                <w:b/>
                <w:bCs/>
                <w:color w:val="0000CC"/>
                <w:sz w:val="13"/>
                <w:szCs w:val="13"/>
              </w:rPr>
              <w:t>(</w:t>
            </w:r>
            <w:r w:rsidRPr="00BB3A3C">
              <w:rPr>
                <w:rFonts w:ascii="ITC Avant Garde" w:hAnsi="ITC Avant Garde"/>
                <w:b/>
                <w:bCs/>
                <w:color w:val="0000CC"/>
                <w:sz w:val="13"/>
                <w:szCs w:val="13"/>
              </w:rPr>
              <w:t>10</w:t>
            </w:r>
            <w:r w:rsidR="00250347" w:rsidRPr="00BB3A3C">
              <w:rPr>
                <w:rFonts w:ascii="ITC Avant Garde" w:hAnsi="ITC Avant Garde"/>
                <w:b/>
                <w:bCs/>
                <w:color w:val="0000CC"/>
                <w:sz w:val="13"/>
                <w:szCs w:val="13"/>
              </w:rPr>
              <w:t>)</w:t>
            </w:r>
            <w:r w:rsidRPr="00BB3A3C">
              <w:rPr>
                <w:rFonts w:ascii="ITC Avant Garde" w:hAnsi="ITC Avant Garde"/>
                <w:b/>
                <w:bCs/>
                <w:color w:val="0000CC"/>
                <w:sz w:val="13"/>
                <w:szCs w:val="13"/>
              </w:rPr>
              <w:t xml:space="preserve"> y </w:t>
            </w:r>
            <w:r w:rsidR="00250347" w:rsidRPr="00BB3A3C">
              <w:rPr>
                <w:rFonts w:ascii="ITC Avant Garde" w:hAnsi="ITC Avant Garde"/>
                <w:b/>
                <w:bCs/>
                <w:color w:val="0000CC"/>
                <w:sz w:val="13"/>
                <w:szCs w:val="13"/>
              </w:rPr>
              <w:t>(</w:t>
            </w:r>
            <w:r w:rsidRPr="00BB3A3C">
              <w:rPr>
                <w:rFonts w:ascii="ITC Avant Garde" w:hAnsi="ITC Avant Garde"/>
                <w:b/>
                <w:bCs/>
                <w:color w:val="0000CC"/>
                <w:sz w:val="13"/>
                <w:szCs w:val="13"/>
              </w:rPr>
              <w:t>11</w:t>
            </w:r>
            <w:r w:rsidR="00250347" w:rsidRPr="00BB3A3C">
              <w:rPr>
                <w:rFonts w:ascii="ITC Avant Garde" w:hAnsi="ITC Avant Garde"/>
                <w:b/>
                <w:bCs/>
                <w:color w:val="0000CC"/>
                <w:sz w:val="13"/>
                <w:szCs w:val="13"/>
              </w:rPr>
              <w:t>)</w:t>
            </w:r>
            <w:r w:rsidRPr="00BB3A3C">
              <w:rPr>
                <w:rFonts w:ascii="ITC Avant Garde" w:hAnsi="ITC Avant Garde"/>
                <w:b/>
                <w:bCs/>
                <w:color w:val="0000CC"/>
                <w:sz w:val="13"/>
                <w:szCs w:val="13"/>
              </w:rPr>
              <w:t>”</w:t>
            </w:r>
          </w:p>
        </w:tc>
        <w:tc>
          <w:tcPr>
            <w:tcW w:w="1513" w:type="dxa"/>
            <w:shd w:val="clear" w:color="auto" w:fill="auto"/>
            <w:vAlign w:val="center"/>
          </w:tcPr>
          <w:p w:rsidR="00552DB1" w:rsidRPr="00BB3A3C" w:rsidRDefault="00250347" w:rsidP="0095394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552DB1" w:rsidRPr="00BB3A3C" w:rsidRDefault="00250347" w:rsidP="0095394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552DB1" w:rsidRPr="00BB3A3C" w:rsidRDefault="00250347" w:rsidP="0095394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r>
      <w:tr w:rsidR="00250347" w:rsidRPr="007D02A7" w:rsidTr="00953945">
        <w:trPr>
          <w:trHeight w:val="60"/>
          <w:jc w:val="center"/>
        </w:trPr>
        <w:tc>
          <w:tcPr>
            <w:tcW w:w="1696" w:type="dxa"/>
            <w:vAlign w:val="center"/>
            <w:hideMark/>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Baja California</w:t>
            </w:r>
          </w:p>
        </w:tc>
        <w:tc>
          <w:tcPr>
            <w:tcW w:w="1605" w:type="dxa"/>
            <w:vAlign w:val="center"/>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Tijuana</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r>
      <w:tr w:rsidR="00250347" w:rsidRPr="007D02A7" w:rsidTr="00953945">
        <w:trPr>
          <w:trHeight w:val="60"/>
          <w:jc w:val="center"/>
        </w:trPr>
        <w:tc>
          <w:tcPr>
            <w:tcW w:w="1696" w:type="dxa"/>
            <w:vAlign w:val="center"/>
            <w:hideMark/>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Campeche</w:t>
            </w:r>
          </w:p>
        </w:tc>
        <w:tc>
          <w:tcPr>
            <w:tcW w:w="1605" w:type="dxa"/>
            <w:vAlign w:val="center"/>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Campeche</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r>
      <w:tr w:rsidR="00250347" w:rsidRPr="007D02A7" w:rsidTr="00953945">
        <w:trPr>
          <w:trHeight w:val="60"/>
          <w:jc w:val="center"/>
        </w:trPr>
        <w:tc>
          <w:tcPr>
            <w:tcW w:w="1696" w:type="dxa"/>
            <w:vAlign w:val="center"/>
            <w:hideMark/>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Chihuahua</w:t>
            </w:r>
          </w:p>
        </w:tc>
        <w:tc>
          <w:tcPr>
            <w:tcW w:w="1605" w:type="dxa"/>
            <w:vAlign w:val="center"/>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Chihuahua</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r>
      <w:tr w:rsidR="00250347" w:rsidRPr="007D02A7" w:rsidTr="00953945">
        <w:trPr>
          <w:trHeight w:val="60"/>
          <w:jc w:val="center"/>
        </w:trPr>
        <w:tc>
          <w:tcPr>
            <w:tcW w:w="1696" w:type="dxa"/>
            <w:vAlign w:val="center"/>
            <w:hideMark/>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Chihuahua</w:t>
            </w:r>
          </w:p>
        </w:tc>
        <w:tc>
          <w:tcPr>
            <w:tcW w:w="1605" w:type="dxa"/>
            <w:vAlign w:val="center"/>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Juárez</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r>
      <w:tr w:rsidR="00250347" w:rsidRPr="007D02A7" w:rsidTr="00953945">
        <w:trPr>
          <w:trHeight w:val="98"/>
          <w:jc w:val="center"/>
        </w:trPr>
        <w:tc>
          <w:tcPr>
            <w:tcW w:w="1696" w:type="dxa"/>
            <w:vAlign w:val="center"/>
            <w:hideMark/>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Ciudad de México</w:t>
            </w:r>
          </w:p>
        </w:tc>
        <w:tc>
          <w:tcPr>
            <w:tcW w:w="1605" w:type="dxa"/>
            <w:vAlign w:val="center"/>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Álvaro Obregón</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r>
      <w:tr w:rsidR="00250347" w:rsidRPr="007D02A7" w:rsidTr="00953945">
        <w:trPr>
          <w:trHeight w:val="60"/>
          <w:jc w:val="center"/>
        </w:trPr>
        <w:tc>
          <w:tcPr>
            <w:tcW w:w="1696" w:type="dxa"/>
            <w:vAlign w:val="center"/>
            <w:hideMark/>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Ciudad de México</w:t>
            </w:r>
          </w:p>
        </w:tc>
        <w:tc>
          <w:tcPr>
            <w:tcW w:w="1605" w:type="dxa"/>
            <w:vAlign w:val="center"/>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Benito Juárez</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r>
      <w:tr w:rsidR="00250347" w:rsidRPr="007D02A7" w:rsidTr="00953945">
        <w:trPr>
          <w:trHeight w:val="60"/>
          <w:jc w:val="center"/>
        </w:trPr>
        <w:tc>
          <w:tcPr>
            <w:tcW w:w="1696" w:type="dxa"/>
            <w:vAlign w:val="center"/>
            <w:hideMark/>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Ciudad de México</w:t>
            </w:r>
          </w:p>
        </w:tc>
        <w:tc>
          <w:tcPr>
            <w:tcW w:w="1605" w:type="dxa"/>
            <w:vAlign w:val="center"/>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Coyoacán</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r>
      <w:tr w:rsidR="00250347" w:rsidRPr="007D02A7" w:rsidTr="00953945">
        <w:trPr>
          <w:trHeight w:val="250"/>
          <w:jc w:val="center"/>
        </w:trPr>
        <w:tc>
          <w:tcPr>
            <w:tcW w:w="1696" w:type="dxa"/>
            <w:vAlign w:val="center"/>
            <w:hideMark/>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Ciudad de México</w:t>
            </w:r>
          </w:p>
        </w:tc>
        <w:tc>
          <w:tcPr>
            <w:tcW w:w="1605" w:type="dxa"/>
            <w:vAlign w:val="center"/>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Cuajimalpa de Morelos</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r>
      <w:tr w:rsidR="00250347" w:rsidRPr="007D02A7" w:rsidTr="00953945">
        <w:trPr>
          <w:trHeight w:val="126"/>
          <w:jc w:val="center"/>
        </w:trPr>
        <w:tc>
          <w:tcPr>
            <w:tcW w:w="1696" w:type="dxa"/>
            <w:vAlign w:val="center"/>
            <w:hideMark/>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Ciudad de México</w:t>
            </w:r>
          </w:p>
        </w:tc>
        <w:tc>
          <w:tcPr>
            <w:tcW w:w="1605" w:type="dxa"/>
            <w:vAlign w:val="center"/>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Cuauhtémoc</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r>
      <w:tr w:rsidR="00250347" w:rsidRPr="007D02A7" w:rsidTr="00953945">
        <w:trPr>
          <w:trHeight w:val="60"/>
          <w:jc w:val="center"/>
        </w:trPr>
        <w:tc>
          <w:tcPr>
            <w:tcW w:w="1696" w:type="dxa"/>
            <w:vAlign w:val="center"/>
            <w:hideMark/>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Ciudad de México</w:t>
            </w:r>
          </w:p>
        </w:tc>
        <w:tc>
          <w:tcPr>
            <w:tcW w:w="1605" w:type="dxa"/>
            <w:vAlign w:val="center"/>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Miguel Hidalgo</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r>
      <w:tr w:rsidR="00250347" w:rsidRPr="007D02A7" w:rsidTr="00953945">
        <w:trPr>
          <w:trHeight w:val="60"/>
          <w:jc w:val="center"/>
        </w:trPr>
        <w:tc>
          <w:tcPr>
            <w:tcW w:w="1696" w:type="dxa"/>
            <w:vAlign w:val="center"/>
            <w:hideMark/>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lastRenderedPageBreak/>
              <w:t>Ciudad de México</w:t>
            </w:r>
          </w:p>
        </w:tc>
        <w:tc>
          <w:tcPr>
            <w:tcW w:w="1605" w:type="dxa"/>
            <w:vAlign w:val="center"/>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Tlalpan</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r>
      <w:tr w:rsidR="00250347" w:rsidRPr="007D02A7" w:rsidTr="00953945">
        <w:trPr>
          <w:trHeight w:val="60"/>
          <w:jc w:val="center"/>
        </w:trPr>
        <w:tc>
          <w:tcPr>
            <w:tcW w:w="1696" w:type="dxa"/>
            <w:noWrap/>
            <w:vAlign w:val="center"/>
            <w:hideMark/>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Coahuila de Zaragoza</w:t>
            </w:r>
          </w:p>
        </w:tc>
        <w:tc>
          <w:tcPr>
            <w:tcW w:w="1605" w:type="dxa"/>
            <w:vAlign w:val="center"/>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Saltillo</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r>
      <w:tr w:rsidR="00250347" w:rsidRPr="007D02A7" w:rsidTr="00953945">
        <w:trPr>
          <w:trHeight w:val="60"/>
          <w:jc w:val="center"/>
        </w:trPr>
        <w:tc>
          <w:tcPr>
            <w:tcW w:w="1696" w:type="dxa"/>
            <w:vAlign w:val="center"/>
            <w:hideMark/>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Durango</w:t>
            </w:r>
          </w:p>
        </w:tc>
        <w:tc>
          <w:tcPr>
            <w:tcW w:w="1605" w:type="dxa"/>
            <w:vAlign w:val="center"/>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Durango</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r>
      <w:tr w:rsidR="00250347" w:rsidRPr="007D02A7" w:rsidTr="00953945">
        <w:trPr>
          <w:trHeight w:val="60"/>
          <w:jc w:val="center"/>
        </w:trPr>
        <w:tc>
          <w:tcPr>
            <w:tcW w:w="1696" w:type="dxa"/>
            <w:vAlign w:val="center"/>
            <w:hideMark/>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Guanajuato</w:t>
            </w:r>
          </w:p>
        </w:tc>
        <w:tc>
          <w:tcPr>
            <w:tcW w:w="1605" w:type="dxa"/>
            <w:vAlign w:val="center"/>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Celaya</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r>
      <w:tr w:rsidR="00250347" w:rsidRPr="007D02A7" w:rsidTr="00953945">
        <w:trPr>
          <w:trHeight w:val="60"/>
          <w:jc w:val="center"/>
        </w:trPr>
        <w:tc>
          <w:tcPr>
            <w:tcW w:w="1696" w:type="dxa"/>
            <w:vAlign w:val="center"/>
            <w:hideMark/>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Guanajuato</w:t>
            </w:r>
          </w:p>
        </w:tc>
        <w:tc>
          <w:tcPr>
            <w:tcW w:w="1605" w:type="dxa"/>
            <w:vAlign w:val="center"/>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Guanajuato</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r>
      <w:tr w:rsidR="00250347" w:rsidRPr="007D02A7" w:rsidTr="00953945">
        <w:trPr>
          <w:trHeight w:val="64"/>
          <w:jc w:val="center"/>
        </w:trPr>
        <w:tc>
          <w:tcPr>
            <w:tcW w:w="1696" w:type="dxa"/>
            <w:vAlign w:val="center"/>
            <w:hideMark/>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Guanajuato</w:t>
            </w:r>
          </w:p>
        </w:tc>
        <w:tc>
          <w:tcPr>
            <w:tcW w:w="1605" w:type="dxa"/>
            <w:vAlign w:val="center"/>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León</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r>
      <w:tr w:rsidR="00250347" w:rsidRPr="007D02A7" w:rsidTr="00953945">
        <w:trPr>
          <w:trHeight w:val="110"/>
          <w:jc w:val="center"/>
        </w:trPr>
        <w:tc>
          <w:tcPr>
            <w:tcW w:w="1696" w:type="dxa"/>
            <w:vAlign w:val="center"/>
            <w:hideMark/>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Guerrero</w:t>
            </w:r>
          </w:p>
        </w:tc>
        <w:tc>
          <w:tcPr>
            <w:tcW w:w="1605" w:type="dxa"/>
            <w:vAlign w:val="center"/>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Acapulco de Juárez</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r>
      <w:tr w:rsidR="00250347" w:rsidRPr="007D02A7" w:rsidTr="00953945">
        <w:trPr>
          <w:trHeight w:val="137"/>
          <w:jc w:val="center"/>
        </w:trPr>
        <w:tc>
          <w:tcPr>
            <w:tcW w:w="1696" w:type="dxa"/>
            <w:vAlign w:val="center"/>
            <w:hideMark/>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Hidalgo</w:t>
            </w:r>
          </w:p>
        </w:tc>
        <w:tc>
          <w:tcPr>
            <w:tcW w:w="1605" w:type="dxa"/>
            <w:vAlign w:val="center"/>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Pachuca de Soto</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r>
      <w:tr w:rsidR="00250347" w:rsidRPr="007D02A7" w:rsidTr="00953945">
        <w:trPr>
          <w:trHeight w:val="60"/>
          <w:jc w:val="center"/>
        </w:trPr>
        <w:tc>
          <w:tcPr>
            <w:tcW w:w="1696" w:type="dxa"/>
            <w:vAlign w:val="center"/>
            <w:hideMark/>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Jalisco</w:t>
            </w:r>
          </w:p>
        </w:tc>
        <w:tc>
          <w:tcPr>
            <w:tcW w:w="1605" w:type="dxa"/>
            <w:vAlign w:val="center"/>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Guadalajara</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r>
      <w:tr w:rsidR="00250347" w:rsidRPr="007D02A7" w:rsidTr="00953945">
        <w:trPr>
          <w:trHeight w:val="183"/>
          <w:jc w:val="center"/>
        </w:trPr>
        <w:tc>
          <w:tcPr>
            <w:tcW w:w="1696" w:type="dxa"/>
            <w:vAlign w:val="center"/>
            <w:hideMark/>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Jalisco</w:t>
            </w:r>
          </w:p>
        </w:tc>
        <w:tc>
          <w:tcPr>
            <w:tcW w:w="1605" w:type="dxa"/>
            <w:vAlign w:val="center"/>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Ocotlán</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r>
      <w:tr w:rsidR="00250347" w:rsidRPr="007D02A7" w:rsidTr="00953945">
        <w:trPr>
          <w:trHeight w:val="60"/>
          <w:jc w:val="center"/>
        </w:trPr>
        <w:tc>
          <w:tcPr>
            <w:tcW w:w="1696" w:type="dxa"/>
            <w:vAlign w:val="center"/>
            <w:hideMark/>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Jalisco</w:t>
            </w:r>
          </w:p>
        </w:tc>
        <w:tc>
          <w:tcPr>
            <w:tcW w:w="1605" w:type="dxa"/>
            <w:vAlign w:val="center"/>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Zapopan</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r>
      <w:tr w:rsidR="00250347" w:rsidRPr="007D02A7" w:rsidTr="00953945">
        <w:trPr>
          <w:trHeight w:val="60"/>
          <w:jc w:val="center"/>
        </w:trPr>
        <w:tc>
          <w:tcPr>
            <w:tcW w:w="1696" w:type="dxa"/>
            <w:vAlign w:val="center"/>
            <w:hideMark/>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Estado de México</w:t>
            </w:r>
          </w:p>
        </w:tc>
        <w:tc>
          <w:tcPr>
            <w:tcW w:w="1605" w:type="dxa"/>
            <w:vAlign w:val="center"/>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Atizapán de Zaragoza</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r>
      <w:tr w:rsidR="00250347" w:rsidRPr="007D02A7" w:rsidTr="00953945">
        <w:trPr>
          <w:trHeight w:val="60"/>
          <w:jc w:val="center"/>
        </w:trPr>
        <w:tc>
          <w:tcPr>
            <w:tcW w:w="1696" w:type="dxa"/>
            <w:vAlign w:val="center"/>
            <w:hideMark/>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Estado de México</w:t>
            </w:r>
          </w:p>
        </w:tc>
        <w:tc>
          <w:tcPr>
            <w:tcW w:w="1605" w:type="dxa"/>
            <w:vAlign w:val="center"/>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Cuautitlán Izcalli</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r>
      <w:tr w:rsidR="00250347" w:rsidRPr="007D02A7" w:rsidTr="00953945">
        <w:trPr>
          <w:trHeight w:val="97"/>
          <w:jc w:val="center"/>
        </w:trPr>
        <w:tc>
          <w:tcPr>
            <w:tcW w:w="1696" w:type="dxa"/>
            <w:vAlign w:val="center"/>
            <w:hideMark/>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Estado de México</w:t>
            </w:r>
          </w:p>
        </w:tc>
        <w:tc>
          <w:tcPr>
            <w:tcW w:w="1605" w:type="dxa"/>
            <w:vAlign w:val="center"/>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Metepec</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r>
      <w:tr w:rsidR="00250347" w:rsidRPr="007D02A7" w:rsidTr="00953945">
        <w:trPr>
          <w:trHeight w:val="60"/>
          <w:jc w:val="center"/>
        </w:trPr>
        <w:tc>
          <w:tcPr>
            <w:tcW w:w="1696" w:type="dxa"/>
            <w:vAlign w:val="center"/>
            <w:hideMark/>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Estado de México</w:t>
            </w:r>
          </w:p>
        </w:tc>
        <w:tc>
          <w:tcPr>
            <w:tcW w:w="1605" w:type="dxa"/>
            <w:vAlign w:val="center"/>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Texcoco</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r>
      <w:tr w:rsidR="00250347" w:rsidRPr="007D02A7" w:rsidTr="00953945">
        <w:trPr>
          <w:trHeight w:val="60"/>
          <w:jc w:val="center"/>
        </w:trPr>
        <w:tc>
          <w:tcPr>
            <w:tcW w:w="1696" w:type="dxa"/>
            <w:vAlign w:val="center"/>
            <w:hideMark/>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Estado de México</w:t>
            </w:r>
          </w:p>
        </w:tc>
        <w:tc>
          <w:tcPr>
            <w:tcW w:w="1605" w:type="dxa"/>
            <w:vAlign w:val="center"/>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Tlalnepantla de Baz</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r>
      <w:tr w:rsidR="00250347" w:rsidRPr="007D02A7" w:rsidTr="00953945">
        <w:trPr>
          <w:trHeight w:val="60"/>
          <w:jc w:val="center"/>
        </w:trPr>
        <w:tc>
          <w:tcPr>
            <w:tcW w:w="1696" w:type="dxa"/>
            <w:vAlign w:val="center"/>
            <w:hideMark/>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Estado de México</w:t>
            </w:r>
          </w:p>
        </w:tc>
        <w:tc>
          <w:tcPr>
            <w:tcW w:w="1605" w:type="dxa"/>
            <w:vAlign w:val="center"/>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Toluca</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r>
      <w:tr w:rsidR="00250347" w:rsidRPr="007D02A7" w:rsidTr="00953945">
        <w:trPr>
          <w:trHeight w:val="300"/>
          <w:jc w:val="center"/>
        </w:trPr>
        <w:tc>
          <w:tcPr>
            <w:tcW w:w="1696" w:type="dxa"/>
            <w:vAlign w:val="center"/>
            <w:hideMark/>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Morelos</w:t>
            </w:r>
          </w:p>
        </w:tc>
        <w:tc>
          <w:tcPr>
            <w:tcW w:w="1605" w:type="dxa"/>
            <w:vAlign w:val="center"/>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Jiutepec</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r>
      <w:tr w:rsidR="00250347" w:rsidRPr="007D02A7" w:rsidTr="00953945">
        <w:trPr>
          <w:trHeight w:val="60"/>
          <w:jc w:val="center"/>
        </w:trPr>
        <w:tc>
          <w:tcPr>
            <w:tcW w:w="1696" w:type="dxa"/>
            <w:vAlign w:val="center"/>
            <w:hideMark/>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Nuevo León</w:t>
            </w:r>
          </w:p>
        </w:tc>
        <w:tc>
          <w:tcPr>
            <w:tcW w:w="1605" w:type="dxa"/>
            <w:vAlign w:val="center"/>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Apodaca</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r>
      <w:tr w:rsidR="00250347" w:rsidRPr="007D02A7" w:rsidTr="00953945">
        <w:trPr>
          <w:trHeight w:val="60"/>
          <w:jc w:val="center"/>
        </w:trPr>
        <w:tc>
          <w:tcPr>
            <w:tcW w:w="1696" w:type="dxa"/>
            <w:vAlign w:val="center"/>
            <w:hideMark/>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Nuevo León</w:t>
            </w:r>
          </w:p>
        </w:tc>
        <w:tc>
          <w:tcPr>
            <w:tcW w:w="1605" w:type="dxa"/>
            <w:vAlign w:val="center"/>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Gral. Escobedo</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r>
      <w:tr w:rsidR="00250347" w:rsidRPr="007D02A7" w:rsidTr="00953945">
        <w:trPr>
          <w:trHeight w:val="60"/>
          <w:jc w:val="center"/>
        </w:trPr>
        <w:tc>
          <w:tcPr>
            <w:tcW w:w="1696" w:type="dxa"/>
            <w:vAlign w:val="center"/>
            <w:hideMark/>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Nuevo León</w:t>
            </w:r>
          </w:p>
        </w:tc>
        <w:tc>
          <w:tcPr>
            <w:tcW w:w="1605" w:type="dxa"/>
            <w:vAlign w:val="center"/>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Guadalupe</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r>
      <w:tr w:rsidR="00250347" w:rsidRPr="007D02A7" w:rsidTr="00953945">
        <w:trPr>
          <w:trHeight w:val="60"/>
          <w:jc w:val="center"/>
        </w:trPr>
        <w:tc>
          <w:tcPr>
            <w:tcW w:w="1696" w:type="dxa"/>
            <w:vAlign w:val="center"/>
            <w:hideMark/>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Nuevo León</w:t>
            </w:r>
          </w:p>
        </w:tc>
        <w:tc>
          <w:tcPr>
            <w:tcW w:w="1605" w:type="dxa"/>
            <w:vAlign w:val="center"/>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Monterrey</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r>
      <w:tr w:rsidR="00250347" w:rsidRPr="007D02A7" w:rsidTr="00953945">
        <w:trPr>
          <w:trHeight w:val="60"/>
          <w:jc w:val="center"/>
        </w:trPr>
        <w:tc>
          <w:tcPr>
            <w:tcW w:w="1696" w:type="dxa"/>
            <w:vAlign w:val="center"/>
            <w:hideMark/>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Nuevo León</w:t>
            </w:r>
          </w:p>
        </w:tc>
        <w:tc>
          <w:tcPr>
            <w:tcW w:w="1605" w:type="dxa"/>
            <w:vAlign w:val="center"/>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San Nicolás de los Garza</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r>
      <w:tr w:rsidR="00250347" w:rsidRPr="007D02A7" w:rsidTr="00953945">
        <w:trPr>
          <w:trHeight w:val="60"/>
          <w:jc w:val="center"/>
        </w:trPr>
        <w:tc>
          <w:tcPr>
            <w:tcW w:w="1696" w:type="dxa"/>
            <w:vAlign w:val="center"/>
            <w:hideMark/>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Nuevo León</w:t>
            </w:r>
          </w:p>
        </w:tc>
        <w:tc>
          <w:tcPr>
            <w:tcW w:w="1605" w:type="dxa"/>
            <w:vAlign w:val="center"/>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San Pedro Garza García</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r>
      <w:tr w:rsidR="00250347" w:rsidRPr="007D02A7" w:rsidTr="00953945">
        <w:trPr>
          <w:trHeight w:val="56"/>
          <w:jc w:val="center"/>
        </w:trPr>
        <w:tc>
          <w:tcPr>
            <w:tcW w:w="1696" w:type="dxa"/>
            <w:vAlign w:val="center"/>
            <w:hideMark/>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Nuevo León</w:t>
            </w:r>
          </w:p>
        </w:tc>
        <w:tc>
          <w:tcPr>
            <w:tcW w:w="1605" w:type="dxa"/>
            <w:vAlign w:val="center"/>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Santa Catarina</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r>
      <w:tr w:rsidR="00250347" w:rsidRPr="007D02A7" w:rsidTr="00953945">
        <w:trPr>
          <w:trHeight w:val="56"/>
          <w:jc w:val="center"/>
        </w:trPr>
        <w:tc>
          <w:tcPr>
            <w:tcW w:w="1696" w:type="dxa"/>
            <w:vAlign w:val="center"/>
            <w:hideMark/>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Puebla</w:t>
            </w:r>
          </w:p>
        </w:tc>
        <w:tc>
          <w:tcPr>
            <w:tcW w:w="1605" w:type="dxa"/>
            <w:vAlign w:val="center"/>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Puebla</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r>
      <w:tr w:rsidR="00250347" w:rsidRPr="007D02A7" w:rsidTr="00953945">
        <w:trPr>
          <w:trHeight w:val="60"/>
          <w:jc w:val="center"/>
        </w:trPr>
        <w:tc>
          <w:tcPr>
            <w:tcW w:w="1696" w:type="dxa"/>
            <w:vAlign w:val="center"/>
            <w:hideMark/>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Puebla</w:t>
            </w:r>
          </w:p>
        </w:tc>
        <w:tc>
          <w:tcPr>
            <w:tcW w:w="1605" w:type="dxa"/>
            <w:vAlign w:val="center"/>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San Andrés Cholula</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r>
      <w:tr w:rsidR="00250347" w:rsidRPr="007D02A7" w:rsidTr="00953945">
        <w:trPr>
          <w:trHeight w:val="60"/>
          <w:jc w:val="center"/>
        </w:trPr>
        <w:tc>
          <w:tcPr>
            <w:tcW w:w="1696" w:type="dxa"/>
            <w:vAlign w:val="center"/>
            <w:hideMark/>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Querétaro</w:t>
            </w:r>
          </w:p>
        </w:tc>
        <w:tc>
          <w:tcPr>
            <w:tcW w:w="1605" w:type="dxa"/>
            <w:vAlign w:val="center"/>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El Marqués</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r>
      <w:tr w:rsidR="00250347" w:rsidRPr="007D02A7" w:rsidTr="00953945">
        <w:trPr>
          <w:trHeight w:val="196"/>
          <w:jc w:val="center"/>
        </w:trPr>
        <w:tc>
          <w:tcPr>
            <w:tcW w:w="1696" w:type="dxa"/>
            <w:vAlign w:val="center"/>
            <w:hideMark/>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Querétaro</w:t>
            </w:r>
          </w:p>
        </w:tc>
        <w:tc>
          <w:tcPr>
            <w:tcW w:w="1605" w:type="dxa"/>
            <w:vAlign w:val="center"/>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Querétaro</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r>
      <w:tr w:rsidR="00250347" w:rsidRPr="007D02A7" w:rsidTr="00953945">
        <w:trPr>
          <w:trHeight w:val="60"/>
          <w:jc w:val="center"/>
        </w:trPr>
        <w:tc>
          <w:tcPr>
            <w:tcW w:w="1696" w:type="dxa"/>
            <w:vAlign w:val="center"/>
            <w:hideMark/>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lastRenderedPageBreak/>
              <w:t>Quintana Roo</w:t>
            </w:r>
          </w:p>
        </w:tc>
        <w:tc>
          <w:tcPr>
            <w:tcW w:w="1605" w:type="dxa"/>
            <w:vAlign w:val="center"/>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Benito Juárez</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r>
      <w:tr w:rsidR="00250347" w:rsidRPr="007D02A7" w:rsidTr="00953945">
        <w:trPr>
          <w:trHeight w:val="76"/>
          <w:jc w:val="center"/>
        </w:trPr>
        <w:tc>
          <w:tcPr>
            <w:tcW w:w="1696" w:type="dxa"/>
            <w:vAlign w:val="center"/>
            <w:hideMark/>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Quintana Roo</w:t>
            </w:r>
          </w:p>
        </w:tc>
        <w:tc>
          <w:tcPr>
            <w:tcW w:w="1605" w:type="dxa"/>
            <w:vAlign w:val="center"/>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Solidaridad</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r>
      <w:tr w:rsidR="00250347" w:rsidRPr="007D02A7" w:rsidTr="00953945">
        <w:trPr>
          <w:trHeight w:val="56"/>
          <w:jc w:val="center"/>
        </w:trPr>
        <w:tc>
          <w:tcPr>
            <w:tcW w:w="1696" w:type="dxa"/>
            <w:vAlign w:val="center"/>
            <w:hideMark/>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Quintana Roo</w:t>
            </w:r>
          </w:p>
        </w:tc>
        <w:tc>
          <w:tcPr>
            <w:tcW w:w="1605" w:type="dxa"/>
            <w:vAlign w:val="center"/>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Tulum</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r>
      <w:tr w:rsidR="00250347" w:rsidRPr="007D02A7" w:rsidTr="00953945">
        <w:trPr>
          <w:trHeight w:val="124"/>
          <w:jc w:val="center"/>
        </w:trPr>
        <w:tc>
          <w:tcPr>
            <w:tcW w:w="1696" w:type="dxa"/>
            <w:vAlign w:val="center"/>
            <w:hideMark/>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San Luis Potosí</w:t>
            </w:r>
          </w:p>
        </w:tc>
        <w:tc>
          <w:tcPr>
            <w:tcW w:w="1605" w:type="dxa"/>
            <w:vAlign w:val="center"/>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Ciudad Valles</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r>
      <w:tr w:rsidR="00250347" w:rsidRPr="007D02A7" w:rsidTr="00953945">
        <w:trPr>
          <w:trHeight w:val="60"/>
          <w:jc w:val="center"/>
        </w:trPr>
        <w:tc>
          <w:tcPr>
            <w:tcW w:w="1696" w:type="dxa"/>
            <w:vAlign w:val="center"/>
            <w:hideMark/>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San Luis Potosí</w:t>
            </w:r>
          </w:p>
        </w:tc>
        <w:tc>
          <w:tcPr>
            <w:tcW w:w="1605" w:type="dxa"/>
            <w:vAlign w:val="center"/>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San Luis Potosí</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r>
      <w:tr w:rsidR="00250347" w:rsidRPr="007D02A7" w:rsidTr="00953945">
        <w:trPr>
          <w:trHeight w:val="216"/>
          <w:jc w:val="center"/>
        </w:trPr>
        <w:tc>
          <w:tcPr>
            <w:tcW w:w="1696" w:type="dxa"/>
            <w:vAlign w:val="center"/>
            <w:hideMark/>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San Luis Potosí</w:t>
            </w:r>
          </w:p>
        </w:tc>
        <w:tc>
          <w:tcPr>
            <w:tcW w:w="1605" w:type="dxa"/>
            <w:vAlign w:val="center"/>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Soledad de Graciano Sánchez</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r>
      <w:tr w:rsidR="00250347" w:rsidRPr="007D02A7" w:rsidTr="00953945">
        <w:trPr>
          <w:trHeight w:val="60"/>
          <w:jc w:val="center"/>
        </w:trPr>
        <w:tc>
          <w:tcPr>
            <w:tcW w:w="1696" w:type="dxa"/>
            <w:vAlign w:val="center"/>
            <w:hideMark/>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Sinaloa</w:t>
            </w:r>
          </w:p>
        </w:tc>
        <w:tc>
          <w:tcPr>
            <w:tcW w:w="1605" w:type="dxa"/>
            <w:vAlign w:val="center"/>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Ahome</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r>
      <w:tr w:rsidR="00250347" w:rsidRPr="007D02A7" w:rsidTr="00953945">
        <w:trPr>
          <w:trHeight w:val="60"/>
          <w:jc w:val="center"/>
        </w:trPr>
        <w:tc>
          <w:tcPr>
            <w:tcW w:w="1696" w:type="dxa"/>
            <w:vAlign w:val="center"/>
            <w:hideMark/>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Tabasco</w:t>
            </w:r>
          </w:p>
        </w:tc>
        <w:tc>
          <w:tcPr>
            <w:tcW w:w="1605" w:type="dxa"/>
            <w:vAlign w:val="center"/>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Centro</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r>
      <w:tr w:rsidR="00250347" w:rsidRPr="007D02A7" w:rsidTr="00953945">
        <w:trPr>
          <w:trHeight w:val="60"/>
          <w:jc w:val="center"/>
        </w:trPr>
        <w:tc>
          <w:tcPr>
            <w:tcW w:w="1696" w:type="dxa"/>
            <w:vAlign w:val="center"/>
            <w:hideMark/>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Tamaulipas</w:t>
            </w:r>
          </w:p>
        </w:tc>
        <w:tc>
          <w:tcPr>
            <w:tcW w:w="1605" w:type="dxa"/>
            <w:vAlign w:val="center"/>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Matamoros</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r>
      <w:tr w:rsidR="00250347" w:rsidRPr="007D02A7" w:rsidTr="00953945">
        <w:trPr>
          <w:trHeight w:val="60"/>
          <w:jc w:val="center"/>
        </w:trPr>
        <w:tc>
          <w:tcPr>
            <w:tcW w:w="1696" w:type="dxa"/>
            <w:vAlign w:val="center"/>
            <w:hideMark/>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Tamaulipas</w:t>
            </w:r>
          </w:p>
        </w:tc>
        <w:tc>
          <w:tcPr>
            <w:tcW w:w="1605" w:type="dxa"/>
            <w:vAlign w:val="center"/>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Nuevo Laredo</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r>
      <w:tr w:rsidR="00250347" w:rsidRPr="007D02A7" w:rsidTr="00953945">
        <w:trPr>
          <w:trHeight w:val="60"/>
          <w:jc w:val="center"/>
        </w:trPr>
        <w:tc>
          <w:tcPr>
            <w:tcW w:w="1696" w:type="dxa"/>
            <w:vAlign w:val="center"/>
            <w:hideMark/>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Tamaulipas</w:t>
            </w:r>
          </w:p>
        </w:tc>
        <w:tc>
          <w:tcPr>
            <w:tcW w:w="1605" w:type="dxa"/>
            <w:vAlign w:val="center"/>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Reynosa</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r>
      <w:tr w:rsidR="00250347" w:rsidRPr="007D02A7" w:rsidTr="00953945">
        <w:trPr>
          <w:trHeight w:val="60"/>
          <w:jc w:val="center"/>
        </w:trPr>
        <w:tc>
          <w:tcPr>
            <w:tcW w:w="1696" w:type="dxa"/>
            <w:vAlign w:val="center"/>
            <w:hideMark/>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Tamaulipas</w:t>
            </w:r>
          </w:p>
        </w:tc>
        <w:tc>
          <w:tcPr>
            <w:tcW w:w="1605" w:type="dxa"/>
            <w:vAlign w:val="center"/>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Tampico</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r>
      <w:tr w:rsidR="00250347" w:rsidRPr="007D02A7" w:rsidTr="00953945">
        <w:trPr>
          <w:trHeight w:val="60"/>
          <w:jc w:val="center"/>
        </w:trPr>
        <w:tc>
          <w:tcPr>
            <w:tcW w:w="1696" w:type="dxa"/>
            <w:vAlign w:val="center"/>
            <w:hideMark/>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Tamaulipas</w:t>
            </w:r>
          </w:p>
        </w:tc>
        <w:tc>
          <w:tcPr>
            <w:tcW w:w="1605" w:type="dxa"/>
            <w:vAlign w:val="center"/>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Victoria</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r>
      <w:tr w:rsidR="00250347" w:rsidRPr="007D02A7" w:rsidTr="00953945">
        <w:trPr>
          <w:trHeight w:val="260"/>
          <w:jc w:val="center"/>
        </w:trPr>
        <w:tc>
          <w:tcPr>
            <w:tcW w:w="1696" w:type="dxa"/>
            <w:vAlign w:val="center"/>
            <w:hideMark/>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Veracruz de Ignacio de la Llave</w:t>
            </w:r>
          </w:p>
        </w:tc>
        <w:tc>
          <w:tcPr>
            <w:tcW w:w="1605" w:type="dxa"/>
            <w:vAlign w:val="center"/>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Coatzacoalcos</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r>
      <w:tr w:rsidR="00250347" w:rsidRPr="007D02A7" w:rsidTr="00953945">
        <w:trPr>
          <w:trHeight w:val="224"/>
          <w:jc w:val="center"/>
        </w:trPr>
        <w:tc>
          <w:tcPr>
            <w:tcW w:w="1696" w:type="dxa"/>
            <w:vAlign w:val="center"/>
            <w:hideMark/>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Veracruz de Ignacio de la Llave</w:t>
            </w:r>
          </w:p>
        </w:tc>
        <w:tc>
          <w:tcPr>
            <w:tcW w:w="1605" w:type="dxa"/>
            <w:vAlign w:val="center"/>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Veracruz</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r>
      <w:tr w:rsidR="00250347" w:rsidRPr="007D02A7" w:rsidTr="00953945">
        <w:trPr>
          <w:trHeight w:val="132"/>
          <w:jc w:val="center"/>
        </w:trPr>
        <w:tc>
          <w:tcPr>
            <w:tcW w:w="1696" w:type="dxa"/>
            <w:vAlign w:val="center"/>
            <w:hideMark/>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Yucatán</w:t>
            </w:r>
          </w:p>
        </w:tc>
        <w:tc>
          <w:tcPr>
            <w:tcW w:w="1605" w:type="dxa"/>
            <w:vAlign w:val="center"/>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Mérida</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r>
      <w:tr w:rsidR="00250347" w:rsidRPr="007D02A7" w:rsidTr="00953945">
        <w:trPr>
          <w:trHeight w:val="56"/>
          <w:jc w:val="center"/>
        </w:trPr>
        <w:tc>
          <w:tcPr>
            <w:tcW w:w="1696" w:type="dxa"/>
            <w:vAlign w:val="center"/>
            <w:hideMark/>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Zacatecas</w:t>
            </w:r>
          </w:p>
        </w:tc>
        <w:tc>
          <w:tcPr>
            <w:tcW w:w="1605" w:type="dxa"/>
            <w:vAlign w:val="center"/>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Guadalupe</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c>
          <w:tcPr>
            <w:tcW w:w="1513" w:type="dxa"/>
            <w:shd w:val="clear" w:color="auto" w:fill="auto"/>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bCs/>
                <w:color w:val="0000CC"/>
                <w:sz w:val="13"/>
                <w:szCs w:val="13"/>
              </w:rPr>
              <w:t>“CONFIDENCIAL POR LEY (10) y (11)”</w:t>
            </w:r>
          </w:p>
        </w:tc>
      </w:tr>
    </w:tbl>
    <w:p w:rsidR="00953945" w:rsidRPr="007D02A7" w:rsidRDefault="00953945" w:rsidP="009B0248">
      <w:pPr>
        <w:pStyle w:val="Prraforproyecto"/>
        <w:keepNext w:val="0"/>
        <w:spacing w:after="0" w:line="240" w:lineRule="auto"/>
        <w:rPr>
          <w:sz w:val="16"/>
          <w:szCs w:val="16"/>
        </w:rPr>
      </w:pPr>
    </w:p>
    <w:tbl>
      <w:tblPr>
        <w:tblStyle w:val="Tablaconcuadrcula1"/>
        <w:tblW w:w="9353" w:type="dxa"/>
        <w:jc w:val="center"/>
        <w:tblLayout w:type="fixed"/>
        <w:tblLook w:val="04A0" w:firstRow="1" w:lastRow="0" w:firstColumn="1" w:lastColumn="0" w:noHBand="0" w:noVBand="1"/>
        <w:tblCaption w:val="Torres de telecomunicaciones por cada cierre de la Operación a nivel Municipio"/>
        <w:tblDescription w:val="En este cuadro se describe la ubicación de las 142 (ciento cuarenta y dos) torres de telecomunicaciones a nivel municipio/delegación, involucradas en cada uno de los cierres de la Operación."/>
      </w:tblPr>
      <w:tblGrid>
        <w:gridCol w:w="3301"/>
        <w:gridCol w:w="1513"/>
        <w:gridCol w:w="1513"/>
        <w:gridCol w:w="1513"/>
        <w:gridCol w:w="1513"/>
      </w:tblGrid>
      <w:tr w:rsidR="00953945" w:rsidRPr="007D02A7" w:rsidTr="00953945">
        <w:trPr>
          <w:trHeight w:val="60"/>
          <w:tblHeader/>
          <w:jc w:val="center"/>
        </w:trPr>
        <w:tc>
          <w:tcPr>
            <w:tcW w:w="3301" w:type="dxa"/>
            <w:vAlign w:val="center"/>
            <w:hideMark/>
          </w:tcPr>
          <w:p w:rsidR="00953945" w:rsidRPr="007D02A7" w:rsidRDefault="00953945" w:rsidP="00953945">
            <w:pPr>
              <w:spacing w:after="0" w:line="240" w:lineRule="auto"/>
              <w:jc w:val="center"/>
              <w:rPr>
                <w:rFonts w:ascii="ITC Avant Garde" w:eastAsia="Times New Roman" w:hAnsi="ITC Avant Garde"/>
                <w:b/>
                <w:bCs/>
                <w:color w:val="000000"/>
                <w:sz w:val="18"/>
                <w:szCs w:val="18"/>
              </w:rPr>
            </w:pPr>
            <w:r w:rsidRPr="007D02A7">
              <w:rPr>
                <w:rFonts w:ascii="ITC Avant Garde" w:eastAsia="Times New Roman" w:hAnsi="ITC Avant Garde"/>
                <w:b/>
                <w:bCs/>
                <w:color w:val="000000"/>
                <w:sz w:val="18"/>
                <w:szCs w:val="18"/>
              </w:rPr>
              <w:t>Total</w:t>
            </w:r>
          </w:p>
        </w:tc>
        <w:tc>
          <w:tcPr>
            <w:tcW w:w="1513" w:type="dxa"/>
            <w:vAlign w:val="center"/>
            <w:hideMark/>
          </w:tcPr>
          <w:p w:rsidR="00953945" w:rsidRPr="007D02A7" w:rsidRDefault="00953945" w:rsidP="00953945">
            <w:pPr>
              <w:spacing w:after="0" w:line="240" w:lineRule="auto"/>
              <w:jc w:val="center"/>
              <w:rPr>
                <w:rFonts w:ascii="ITC Avant Garde" w:eastAsia="Times New Roman" w:hAnsi="ITC Avant Garde"/>
                <w:b/>
                <w:bCs/>
                <w:color w:val="000000"/>
                <w:sz w:val="18"/>
                <w:szCs w:val="18"/>
              </w:rPr>
            </w:pPr>
            <w:r w:rsidRPr="007D02A7">
              <w:rPr>
                <w:rFonts w:ascii="ITC Avant Garde" w:eastAsia="Times New Roman" w:hAnsi="ITC Avant Garde"/>
                <w:b/>
                <w:bCs/>
                <w:color w:val="000000"/>
                <w:sz w:val="18"/>
                <w:szCs w:val="18"/>
              </w:rPr>
              <w:t>142</w:t>
            </w:r>
          </w:p>
        </w:tc>
        <w:tc>
          <w:tcPr>
            <w:tcW w:w="1513" w:type="dxa"/>
            <w:vAlign w:val="center"/>
            <w:hideMark/>
          </w:tcPr>
          <w:p w:rsidR="00953945" w:rsidRPr="007D02A7" w:rsidRDefault="00953945" w:rsidP="00953945">
            <w:pPr>
              <w:spacing w:after="0" w:line="240" w:lineRule="auto"/>
              <w:jc w:val="center"/>
              <w:rPr>
                <w:rFonts w:ascii="ITC Avant Garde" w:eastAsia="Times New Roman" w:hAnsi="ITC Avant Garde"/>
                <w:b/>
                <w:bCs/>
                <w:color w:val="000000"/>
                <w:sz w:val="18"/>
                <w:szCs w:val="18"/>
              </w:rPr>
            </w:pPr>
            <w:r w:rsidRPr="007D02A7">
              <w:rPr>
                <w:rFonts w:ascii="ITC Avant Garde" w:eastAsia="Times New Roman" w:hAnsi="ITC Avant Garde"/>
                <w:b/>
                <w:bCs/>
                <w:color w:val="000000"/>
                <w:sz w:val="18"/>
                <w:szCs w:val="18"/>
              </w:rPr>
              <w:t>50</w:t>
            </w:r>
          </w:p>
        </w:tc>
        <w:tc>
          <w:tcPr>
            <w:tcW w:w="1513" w:type="dxa"/>
            <w:vAlign w:val="center"/>
            <w:hideMark/>
          </w:tcPr>
          <w:p w:rsidR="00953945" w:rsidRPr="007D02A7" w:rsidRDefault="00953945" w:rsidP="00953945">
            <w:pPr>
              <w:spacing w:after="0" w:line="240" w:lineRule="auto"/>
              <w:jc w:val="center"/>
              <w:rPr>
                <w:rFonts w:ascii="ITC Avant Garde" w:eastAsia="Times New Roman" w:hAnsi="ITC Avant Garde"/>
                <w:b/>
                <w:bCs/>
                <w:color w:val="000000"/>
                <w:sz w:val="18"/>
                <w:szCs w:val="18"/>
              </w:rPr>
            </w:pPr>
            <w:r w:rsidRPr="007D02A7">
              <w:rPr>
                <w:rFonts w:ascii="ITC Avant Garde" w:eastAsia="Times New Roman" w:hAnsi="ITC Avant Garde"/>
                <w:b/>
                <w:bCs/>
                <w:color w:val="000000"/>
                <w:sz w:val="18"/>
                <w:szCs w:val="18"/>
              </w:rPr>
              <w:t>27</w:t>
            </w:r>
          </w:p>
        </w:tc>
        <w:tc>
          <w:tcPr>
            <w:tcW w:w="1513" w:type="dxa"/>
            <w:vAlign w:val="center"/>
            <w:hideMark/>
          </w:tcPr>
          <w:p w:rsidR="00953945" w:rsidRPr="007D02A7" w:rsidRDefault="00953945" w:rsidP="00953945">
            <w:pPr>
              <w:spacing w:after="0" w:line="240" w:lineRule="auto"/>
              <w:jc w:val="center"/>
              <w:rPr>
                <w:rFonts w:ascii="ITC Avant Garde" w:eastAsia="Times New Roman" w:hAnsi="ITC Avant Garde"/>
                <w:b/>
                <w:bCs/>
                <w:color w:val="000000"/>
                <w:sz w:val="18"/>
                <w:szCs w:val="18"/>
              </w:rPr>
            </w:pPr>
            <w:r w:rsidRPr="007D02A7">
              <w:rPr>
                <w:rFonts w:ascii="ITC Avant Garde" w:eastAsia="Times New Roman" w:hAnsi="ITC Avant Garde"/>
                <w:b/>
                <w:bCs/>
                <w:color w:val="000000"/>
                <w:sz w:val="18"/>
                <w:szCs w:val="18"/>
              </w:rPr>
              <w:t>65</w:t>
            </w:r>
          </w:p>
        </w:tc>
      </w:tr>
    </w:tbl>
    <w:p w:rsidR="007177DE" w:rsidRPr="007D02A7" w:rsidRDefault="004861BA" w:rsidP="009B0248">
      <w:pPr>
        <w:pStyle w:val="Prraforproyecto"/>
        <w:keepNext w:val="0"/>
        <w:spacing w:after="0" w:line="240" w:lineRule="auto"/>
        <w:rPr>
          <w:sz w:val="16"/>
          <w:szCs w:val="16"/>
        </w:rPr>
      </w:pPr>
      <w:r w:rsidRPr="007D02A7">
        <w:rPr>
          <w:sz w:val="16"/>
          <w:szCs w:val="16"/>
        </w:rPr>
        <w:t>Fuente: Elaboración propia con información contenida en Foja</w:t>
      </w:r>
      <w:r w:rsidR="000C20F7" w:rsidRPr="007D02A7">
        <w:rPr>
          <w:sz w:val="16"/>
          <w:szCs w:val="16"/>
        </w:rPr>
        <w:t xml:space="preserve">s </w:t>
      </w:r>
      <w:r w:rsidR="00F55E2F" w:rsidRPr="007D02A7">
        <w:rPr>
          <w:sz w:val="16"/>
          <w:szCs w:val="16"/>
        </w:rPr>
        <w:t xml:space="preserve">15, </w:t>
      </w:r>
      <w:r w:rsidR="000C20F7" w:rsidRPr="007D02A7">
        <w:rPr>
          <w:sz w:val="16"/>
          <w:szCs w:val="16"/>
        </w:rPr>
        <w:t>85 y 111-1</w:t>
      </w:r>
      <w:r w:rsidR="00F55E2F" w:rsidRPr="007D02A7">
        <w:rPr>
          <w:sz w:val="16"/>
          <w:szCs w:val="16"/>
        </w:rPr>
        <w:t>3</w:t>
      </w:r>
      <w:r w:rsidR="000C20F7" w:rsidRPr="007D02A7">
        <w:rPr>
          <w:sz w:val="16"/>
          <w:szCs w:val="16"/>
        </w:rPr>
        <w:t>2</w:t>
      </w:r>
      <w:r w:rsidRPr="007D02A7">
        <w:rPr>
          <w:sz w:val="16"/>
          <w:szCs w:val="16"/>
        </w:rPr>
        <w:t xml:space="preserve"> del Expediente.</w:t>
      </w:r>
    </w:p>
    <w:p w:rsidR="007E36C5" w:rsidRPr="007D02A7" w:rsidRDefault="007E36C5" w:rsidP="00637B96">
      <w:pPr>
        <w:spacing w:before="120" w:after="120"/>
        <w:rPr>
          <w:rFonts w:ascii="ITC Avant Garde" w:hAnsi="ITC Avant Garde"/>
          <w:b/>
        </w:rPr>
      </w:pPr>
      <w:r w:rsidRPr="007D02A7">
        <w:rPr>
          <w:rFonts w:ascii="ITC Avant Garde" w:hAnsi="ITC Avant Garde"/>
          <w:b/>
        </w:rPr>
        <w:t>No incluye cláusulas de no competir o exclusividad</w:t>
      </w:r>
    </w:p>
    <w:p w:rsidR="00286D5A" w:rsidRPr="007D02A7" w:rsidRDefault="00286D5A" w:rsidP="00637B96">
      <w:pPr>
        <w:pStyle w:val="Prraforproyecto"/>
        <w:keepNext w:val="0"/>
        <w:spacing w:before="120"/>
      </w:pPr>
      <w:r w:rsidRPr="007D02A7">
        <w:t xml:space="preserve">Las Partes indican que el Contrato de Compraventa </w:t>
      </w:r>
      <w:r w:rsidR="007E36C5" w:rsidRPr="007D02A7">
        <w:t xml:space="preserve">y </w:t>
      </w:r>
      <w:r w:rsidRPr="007D02A7">
        <w:t>los contratos accesorios que serán celebrados como resultado de la Operación, no contemplan cláusulas de no competir o exclusividad, por lo que MATC Digital y sus subsidiarias no tendrán limitaciones para brindar el servicio de arrendamiento de sitios a otros proveedores de servicios de telecomunicaciones móviles en las 142 (ciento cuarenta y dos) torres de telecomunicaciones objeto de la Operación.</w:t>
      </w:r>
    </w:p>
    <w:p w:rsidR="006F6723" w:rsidRPr="007D02A7" w:rsidRDefault="00CF0AFC" w:rsidP="00637B96">
      <w:pPr>
        <w:spacing w:before="120" w:after="120"/>
        <w:ind w:firstLine="708"/>
        <w:rPr>
          <w:rFonts w:ascii="ITC Avant Garde" w:hAnsi="ITC Avant Garde"/>
          <w:b/>
          <w:i/>
        </w:rPr>
      </w:pPr>
      <w:bookmarkStart w:id="11" w:name="_Toc435697306"/>
      <w:bookmarkStart w:id="12" w:name="_Toc435697382"/>
      <w:r w:rsidRPr="007D02A7">
        <w:rPr>
          <w:rFonts w:ascii="ITC Avant Garde" w:hAnsi="ITC Avant Garde"/>
          <w:b/>
          <w:i/>
        </w:rPr>
        <w:t xml:space="preserve">2.2 </w:t>
      </w:r>
      <w:r w:rsidR="006F6723" w:rsidRPr="007D02A7">
        <w:rPr>
          <w:rFonts w:ascii="ITC Avant Garde" w:hAnsi="ITC Avant Garde"/>
          <w:b/>
          <w:i/>
        </w:rPr>
        <w:t>Objetivos de la Operación</w:t>
      </w:r>
      <w:bookmarkEnd w:id="11"/>
      <w:bookmarkEnd w:id="12"/>
    </w:p>
    <w:p w:rsidR="00D06B70" w:rsidRPr="007D02A7" w:rsidRDefault="007E36C5" w:rsidP="00637B96">
      <w:pPr>
        <w:pStyle w:val="Prraforproyecto"/>
        <w:keepNext w:val="0"/>
        <w:spacing w:before="120"/>
      </w:pPr>
      <w:r w:rsidRPr="007D02A7">
        <w:t>L</w:t>
      </w:r>
      <w:r w:rsidR="00AB7DEE" w:rsidRPr="007D02A7">
        <w:t>a</w:t>
      </w:r>
      <w:r w:rsidRPr="007D02A7">
        <w:t>s</w:t>
      </w:r>
      <w:r w:rsidR="00AB7DEE" w:rsidRPr="007D02A7">
        <w:t xml:space="preserve"> </w:t>
      </w:r>
      <w:r w:rsidR="00795633" w:rsidRPr="007D02A7">
        <w:t>Partes</w:t>
      </w:r>
      <w:r w:rsidRPr="007D02A7">
        <w:t xml:space="preserve"> expresan </w:t>
      </w:r>
      <w:r w:rsidR="006238C6" w:rsidRPr="007D02A7">
        <w:t xml:space="preserve">el objetivo y </w:t>
      </w:r>
      <w:r w:rsidRPr="007D02A7">
        <w:t xml:space="preserve">los </w:t>
      </w:r>
      <w:r w:rsidR="006238C6" w:rsidRPr="007D02A7">
        <w:t>motivos de la</w:t>
      </w:r>
      <w:r w:rsidR="00294D10" w:rsidRPr="007D02A7">
        <w:t xml:space="preserve"> </w:t>
      </w:r>
      <w:r w:rsidR="00A52400" w:rsidRPr="007D02A7">
        <w:t>Operación</w:t>
      </w:r>
      <w:r w:rsidR="00A70215" w:rsidRPr="007D02A7">
        <w:t xml:space="preserve"> </w:t>
      </w:r>
      <w:r w:rsidR="006238C6" w:rsidRPr="007D02A7">
        <w:t>e</w:t>
      </w:r>
      <w:r w:rsidR="00294D10" w:rsidRPr="007D02A7">
        <w:t xml:space="preserve">n los siguientes </w:t>
      </w:r>
      <w:r w:rsidRPr="007D02A7">
        <w:t>términos</w:t>
      </w:r>
      <w:r w:rsidR="00294D10" w:rsidRPr="007D02A7">
        <w:t>:</w:t>
      </w:r>
      <w:r w:rsidR="00294D10" w:rsidRPr="007D02A7">
        <w:rPr>
          <w:rStyle w:val="Refdenotaalpie"/>
        </w:rPr>
        <w:footnoteReference w:id="7"/>
      </w:r>
    </w:p>
    <w:p w:rsidR="007E36C5" w:rsidRPr="007D02A7" w:rsidRDefault="005406DC" w:rsidP="00637B96">
      <w:pPr>
        <w:pStyle w:val="Prrafodelista"/>
        <w:numPr>
          <w:ilvl w:val="0"/>
          <w:numId w:val="4"/>
        </w:numPr>
        <w:autoSpaceDE w:val="0"/>
        <w:autoSpaceDN w:val="0"/>
        <w:adjustRightInd w:val="0"/>
        <w:ind w:left="714" w:hanging="357"/>
        <w:jc w:val="both"/>
      </w:pPr>
      <w:r w:rsidRPr="007D02A7">
        <w:lastRenderedPageBreak/>
        <w:t>La Operación</w:t>
      </w:r>
      <w:r w:rsidRPr="007D02A7">
        <w:rPr>
          <w:i/>
        </w:rPr>
        <w:t xml:space="preserve"> </w:t>
      </w:r>
      <w:r w:rsidR="00AF7A0C" w:rsidRPr="007D02A7">
        <w:rPr>
          <w:i/>
        </w:rPr>
        <w:t>“</w:t>
      </w:r>
      <w:r w:rsidR="008C01C0" w:rsidRPr="007D02A7">
        <w:rPr>
          <w:i/>
        </w:rPr>
        <w:t>tiene como objetivo crear valor para los accionistas de ambas empresas a través de los beneficios proyectados de la operación.</w:t>
      </w:r>
      <w:r w:rsidR="00AF7A0C" w:rsidRPr="007D02A7">
        <w:rPr>
          <w:i/>
        </w:rPr>
        <w:t>”</w:t>
      </w:r>
      <w:r w:rsidR="007E36C5" w:rsidRPr="007D02A7">
        <w:rPr>
          <w:i/>
        </w:rPr>
        <w:t xml:space="preserve"> </w:t>
      </w:r>
      <w:r w:rsidR="007E36C5" w:rsidRPr="007D02A7">
        <w:t>Además,</w:t>
      </w:r>
      <w:r w:rsidR="007177DE" w:rsidRPr="007D02A7">
        <w:t xml:space="preserve"> </w:t>
      </w:r>
      <w:r w:rsidR="007E36C5" w:rsidRPr="007D02A7">
        <w:t>permitirá:</w:t>
      </w:r>
    </w:p>
    <w:p w:rsidR="007E36C5" w:rsidRPr="007D02A7" w:rsidRDefault="000C20F7" w:rsidP="00637B96">
      <w:pPr>
        <w:pStyle w:val="Prraforproyecto"/>
        <w:keepNext w:val="0"/>
        <w:numPr>
          <w:ilvl w:val="0"/>
          <w:numId w:val="21"/>
        </w:numPr>
        <w:spacing w:before="120"/>
        <w:ind w:left="1276"/>
      </w:pPr>
      <w:r w:rsidRPr="007D02A7">
        <w:rPr>
          <w:i/>
        </w:rPr>
        <w:t>“U</w:t>
      </w:r>
      <w:r w:rsidR="007E36C5" w:rsidRPr="007D02A7">
        <w:rPr>
          <w:i/>
        </w:rPr>
        <w:t>na explotación más eficiente de la infraestructura considerando el nivel de especialización de MATC Digital en materia de arrendamiento de torres. Esto es, la adquisición de infraestructura adicional que proviene de un prestador actual de servicios de telecomunicaciones, el cual utiliza dicha infraestructura únicamente para consumo interno de sus operaciones, permitirá y facilitará una mayor oferta de dichos servicios con mejor calidad considerando la neutralidad que motiva a MATC Digital a prestar los servicios de arrendamiento a todos los oferentes del mercado, lo cual no es comercialmente viable si AXTEL retuviera la posesión de las torres materia de la Operación”</w:t>
      </w:r>
      <w:r w:rsidR="00003B4B" w:rsidRPr="007D02A7">
        <w:t>;</w:t>
      </w:r>
      <w:r w:rsidR="007177DE" w:rsidRPr="007D02A7">
        <w:t xml:space="preserve"> </w:t>
      </w:r>
      <w:r w:rsidR="007E36C5" w:rsidRPr="007D02A7">
        <w:t xml:space="preserve"> </w:t>
      </w:r>
    </w:p>
    <w:p w:rsidR="007E36C5" w:rsidRPr="007D02A7" w:rsidRDefault="000C20F7" w:rsidP="00637B96">
      <w:pPr>
        <w:pStyle w:val="Prraforproyecto"/>
        <w:keepNext w:val="0"/>
        <w:numPr>
          <w:ilvl w:val="0"/>
          <w:numId w:val="21"/>
        </w:numPr>
        <w:spacing w:before="120"/>
        <w:ind w:left="1276"/>
      </w:pPr>
      <w:r w:rsidRPr="007D02A7">
        <w:t>G</w:t>
      </w:r>
      <w:r w:rsidR="007E36C5" w:rsidRPr="007D02A7">
        <w:t xml:space="preserve">enerar economías de escala </w:t>
      </w:r>
      <w:r w:rsidR="00835414" w:rsidRPr="007D02A7">
        <w:t xml:space="preserve">y fortalecer las </w:t>
      </w:r>
      <w:r w:rsidR="007E36C5" w:rsidRPr="007D02A7">
        <w:t xml:space="preserve">existentes, </w:t>
      </w:r>
      <w:r w:rsidR="007E36C5" w:rsidRPr="007D02A7">
        <w:rPr>
          <w:i/>
        </w:rPr>
        <w:t>“así como eficiencias considerables respecto a la integración de las torres, lo que en última instancia tendrá como consecuencia y se verá reflejado en una mayor capacidad de oferta y de mejores condiciones en el sector de las telecomunicaciones en México”</w:t>
      </w:r>
      <w:r w:rsidR="00003B4B" w:rsidRPr="007D02A7">
        <w:t xml:space="preserve">; y </w:t>
      </w:r>
    </w:p>
    <w:p w:rsidR="00003B4B" w:rsidRPr="007D02A7" w:rsidRDefault="00003B4B" w:rsidP="00637B96">
      <w:pPr>
        <w:pStyle w:val="Prraforproyecto"/>
        <w:keepNext w:val="0"/>
        <w:numPr>
          <w:ilvl w:val="0"/>
          <w:numId w:val="21"/>
        </w:numPr>
        <w:spacing w:before="120"/>
        <w:ind w:left="1276"/>
      </w:pPr>
      <w:r w:rsidRPr="007D02A7">
        <w:t xml:space="preserve">Desde el punto de vista de AXTEL, la Operación </w:t>
      </w:r>
      <w:r w:rsidRPr="007D02A7">
        <w:rPr>
          <w:i/>
        </w:rPr>
        <w:t>“</w:t>
      </w:r>
      <w:r w:rsidR="001319D5" w:rsidRPr="007D02A7">
        <w:rPr>
          <w:i/>
        </w:rPr>
        <w:t xml:space="preserve">(…) </w:t>
      </w:r>
      <w:r w:rsidRPr="007D02A7">
        <w:rPr>
          <w:i/>
        </w:rPr>
        <w:t>tiene el potencial de incrementar la oferta de infraestructura en el mercado nacional</w:t>
      </w:r>
      <w:r w:rsidR="001319D5" w:rsidRPr="007D02A7">
        <w:rPr>
          <w:i/>
        </w:rPr>
        <w:t xml:space="preserve"> </w:t>
      </w:r>
      <w:r w:rsidR="00795E8A" w:rsidRPr="007D02A7">
        <w:rPr>
          <w:i/>
        </w:rPr>
        <w:t>(…)”</w:t>
      </w:r>
      <w:r w:rsidR="00795E8A" w:rsidRPr="007D02A7">
        <w:t>a terceros concesionarios,</w:t>
      </w:r>
      <w:r w:rsidRPr="007D02A7">
        <w:t xml:space="preserve"> lo cual facilitará </w:t>
      </w:r>
      <w:r w:rsidR="00795E8A" w:rsidRPr="007D02A7">
        <w:t>“</w:t>
      </w:r>
      <w:r w:rsidR="00795E8A" w:rsidRPr="007D02A7">
        <w:rPr>
          <w:i/>
        </w:rPr>
        <w:t xml:space="preserve">(…) </w:t>
      </w:r>
      <w:r w:rsidRPr="007D02A7">
        <w:rPr>
          <w:i/>
        </w:rPr>
        <w:t>la transmisión de señales para la integración de servicios integrados de tecnologías de información y comunicación.”</w:t>
      </w:r>
    </w:p>
    <w:p w:rsidR="00003B4B" w:rsidRPr="007D02A7" w:rsidRDefault="0029381D" w:rsidP="00637B96">
      <w:pPr>
        <w:pStyle w:val="Prrafodelista"/>
        <w:numPr>
          <w:ilvl w:val="0"/>
          <w:numId w:val="4"/>
        </w:numPr>
        <w:autoSpaceDE w:val="0"/>
        <w:autoSpaceDN w:val="0"/>
        <w:adjustRightInd w:val="0"/>
        <w:ind w:left="714" w:hanging="357"/>
        <w:jc w:val="both"/>
        <w:rPr>
          <w:i/>
        </w:rPr>
      </w:pPr>
      <w:r w:rsidRPr="007D02A7">
        <w:rPr>
          <w:rFonts w:cs="Times New Roman"/>
          <w:b/>
          <w:bCs/>
          <w:color w:val="0000CC"/>
          <w:sz w:val="19"/>
          <w:szCs w:val="19"/>
          <w:lang w:eastAsia="es-MX"/>
        </w:rPr>
        <w:t>“CONFIDENCIAL POR LEY</w:t>
      </w:r>
      <w:r w:rsidR="00481CDD" w:rsidRPr="007D02A7">
        <w:rPr>
          <w:rFonts w:cs="Times New Roman"/>
          <w:b/>
          <w:bCs/>
          <w:color w:val="0000CC"/>
          <w:sz w:val="19"/>
          <w:szCs w:val="19"/>
          <w:lang w:eastAsia="es-MX"/>
        </w:rPr>
        <w:t xml:space="preserve"> </w:t>
      </w:r>
      <w:r w:rsidR="00250347">
        <w:rPr>
          <w:rFonts w:cs="Times New Roman"/>
          <w:b/>
          <w:bCs/>
          <w:color w:val="0000CC"/>
          <w:sz w:val="19"/>
          <w:szCs w:val="19"/>
          <w:lang w:eastAsia="es-MX"/>
        </w:rPr>
        <w:t>(</w:t>
      </w:r>
      <w:r w:rsidR="00481CDD" w:rsidRPr="007D02A7">
        <w:rPr>
          <w:rFonts w:cs="Times New Roman"/>
          <w:b/>
          <w:bCs/>
          <w:color w:val="0000CC"/>
          <w:sz w:val="19"/>
          <w:szCs w:val="19"/>
          <w:lang w:eastAsia="es-MX"/>
        </w:rPr>
        <w:t>12</w:t>
      </w:r>
      <w:r w:rsidR="00250347">
        <w:rPr>
          <w:rFonts w:cs="Times New Roman"/>
          <w:b/>
          <w:bCs/>
          <w:color w:val="0000CC"/>
          <w:sz w:val="19"/>
          <w:szCs w:val="19"/>
          <w:lang w:eastAsia="es-MX"/>
        </w:rPr>
        <w:t>)</w:t>
      </w:r>
      <w:r w:rsidRPr="007D02A7">
        <w:rPr>
          <w:rFonts w:cs="Times New Roman"/>
          <w:b/>
          <w:bCs/>
          <w:color w:val="0000CC"/>
          <w:sz w:val="19"/>
          <w:szCs w:val="19"/>
          <w:lang w:eastAsia="es-MX"/>
        </w:rPr>
        <w:t>”</w:t>
      </w:r>
      <w:r w:rsidR="00003B4B" w:rsidRPr="007D02A7">
        <w:rPr>
          <w:i/>
        </w:rPr>
        <w:t xml:space="preserve"> </w:t>
      </w:r>
    </w:p>
    <w:p w:rsidR="0054496D" w:rsidRPr="007D02A7" w:rsidRDefault="00AF7A0C" w:rsidP="00637B96">
      <w:pPr>
        <w:pStyle w:val="Prrafodelista"/>
        <w:numPr>
          <w:ilvl w:val="0"/>
          <w:numId w:val="4"/>
        </w:numPr>
        <w:autoSpaceDE w:val="0"/>
        <w:autoSpaceDN w:val="0"/>
        <w:adjustRightInd w:val="0"/>
        <w:ind w:left="714" w:hanging="357"/>
        <w:jc w:val="both"/>
        <w:rPr>
          <w:i/>
        </w:rPr>
      </w:pPr>
      <w:r w:rsidRPr="007D02A7">
        <w:t>P</w:t>
      </w:r>
      <w:r w:rsidR="005406DC" w:rsidRPr="007D02A7">
        <w:t xml:space="preserve">ara </w:t>
      </w:r>
      <w:r w:rsidRPr="007D02A7">
        <w:t>MATC Digital</w:t>
      </w:r>
      <w:r w:rsidR="005406DC" w:rsidRPr="007D02A7">
        <w:t>,”</w:t>
      </w:r>
      <w:r w:rsidR="005406DC" w:rsidRPr="007D02A7">
        <w:rPr>
          <w:i/>
        </w:rPr>
        <w:t xml:space="preserve"> </w:t>
      </w:r>
      <w:r w:rsidRPr="007D02A7">
        <w:rPr>
          <w:i/>
        </w:rPr>
        <w:t>la adquisición de dicha infraestructura permitirá fortalecer su oferta a nivel nacional fortaleciendo su posición competitiva ante otros jugadores de dicho mercado que actualmente se encuentran mejor posicionados.</w:t>
      </w:r>
      <w:r w:rsidR="005406DC" w:rsidRPr="007D02A7">
        <w:rPr>
          <w:i/>
        </w:rPr>
        <w:t>”</w:t>
      </w:r>
      <w:r w:rsidR="007E36C5" w:rsidRPr="007D02A7">
        <w:t xml:space="preserve"> </w:t>
      </w:r>
    </w:p>
    <w:p w:rsidR="00241B54" w:rsidRPr="007D02A7" w:rsidRDefault="007E36C5" w:rsidP="00637B96">
      <w:pPr>
        <w:pStyle w:val="Prrafodelista"/>
        <w:autoSpaceDE w:val="0"/>
        <w:autoSpaceDN w:val="0"/>
        <w:adjustRightInd w:val="0"/>
        <w:ind w:left="714"/>
        <w:jc w:val="both"/>
        <w:rPr>
          <w:i/>
        </w:rPr>
      </w:pPr>
      <w:r w:rsidRPr="007D02A7">
        <w:t>Además</w:t>
      </w:r>
      <w:r w:rsidR="005406DC" w:rsidRPr="007D02A7">
        <w:rPr>
          <w:i/>
        </w:rPr>
        <w:t>,</w:t>
      </w:r>
      <w:r w:rsidRPr="007D02A7">
        <w:t xml:space="preserve"> le permitirá</w:t>
      </w:r>
      <w:r w:rsidR="005406DC" w:rsidRPr="007D02A7">
        <w:rPr>
          <w:i/>
        </w:rPr>
        <w:t xml:space="preserve"> “ampliar sus oportunidades de negocio genera</w:t>
      </w:r>
      <w:r w:rsidR="003A0A2E" w:rsidRPr="007D02A7">
        <w:rPr>
          <w:i/>
        </w:rPr>
        <w:t>n</w:t>
      </w:r>
      <w:r w:rsidR="005406DC" w:rsidRPr="007D02A7">
        <w:rPr>
          <w:i/>
        </w:rPr>
        <w:t>do mayores beneficios en materia de compartición neutral en favor de los distintos clientes del mercado, ampliando la oferta de su infraestructura a diversos proveedores de servicios de telecomunicaciones favoreciendo a los distintos oferentes actuales, lo que repercutirá en beneficios indirectos para los consumidores finales</w:t>
      </w:r>
      <w:r w:rsidR="009B5CBD" w:rsidRPr="007D02A7">
        <w:rPr>
          <w:i/>
        </w:rPr>
        <w:t>.</w:t>
      </w:r>
      <w:r w:rsidR="005406DC" w:rsidRPr="007D02A7">
        <w:rPr>
          <w:i/>
        </w:rPr>
        <w:t>”</w:t>
      </w:r>
    </w:p>
    <w:p w:rsidR="005A7899" w:rsidRPr="007D02A7" w:rsidRDefault="00D9223F" w:rsidP="00637B96">
      <w:pPr>
        <w:spacing w:before="120" w:after="120"/>
        <w:rPr>
          <w:rFonts w:ascii="ITC Avant Garde" w:hAnsi="ITC Avant Garde"/>
          <w:b/>
        </w:rPr>
      </w:pPr>
      <w:bookmarkStart w:id="13" w:name="_Toc435697308"/>
      <w:bookmarkStart w:id="14" w:name="_Toc435697384"/>
      <w:r w:rsidRPr="007D02A7">
        <w:rPr>
          <w:rFonts w:ascii="ITC Avant Garde" w:hAnsi="ITC Avant Garde"/>
          <w:b/>
        </w:rPr>
        <w:t xml:space="preserve">Tercero.- </w:t>
      </w:r>
      <w:r w:rsidR="00C728C8" w:rsidRPr="007D02A7">
        <w:rPr>
          <w:rFonts w:ascii="ITC Avant Garde" w:hAnsi="ITC Avant Garde"/>
          <w:b/>
        </w:rPr>
        <w:t>Actualización de los umbrales de notificación establecidos en la LFCE</w:t>
      </w:r>
      <w:bookmarkEnd w:id="13"/>
      <w:bookmarkEnd w:id="14"/>
    </w:p>
    <w:p w:rsidR="005A7899" w:rsidRPr="007D02A7" w:rsidRDefault="008A39CF" w:rsidP="00637B96">
      <w:pPr>
        <w:pStyle w:val="Prraforproyecto"/>
        <w:keepNext w:val="0"/>
        <w:spacing w:before="120"/>
      </w:pPr>
      <w:r w:rsidRPr="007D02A7">
        <w:t xml:space="preserve">El artículo 86 de la LFCE establece umbrales específicos para las concentraciones a partir de los cuales los Agentes Económicos están obligados a notificarlas y obtener autorización antes de </w:t>
      </w:r>
      <w:r w:rsidR="00420284" w:rsidRPr="007D02A7">
        <w:t xml:space="preserve">llevarlas </w:t>
      </w:r>
      <w:r w:rsidRPr="007D02A7">
        <w:t>a cabo.</w:t>
      </w:r>
    </w:p>
    <w:p w:rsidR="008A39CF" w:rsidRPr="007D02A7" w:rsidRDefault="008A39CF" w:rsidP="00637B96">
      <w:pPr>
        <w:pStyle w:val="Cita"/>
      </w:pPr>
      <w:r w:rsidRPr="007D02A7">
        <w:lastRenderedPageBreak/>
        <w:t>“Artículo 86. Las siguientes concentraciones deben ser autorizadas por la Comisión antes de que se lleven a cabo:</w:t>
      </w:r>
    </w:p>
    <w:p w:rsidR="00DA1BDA" w:rsidRPr="007D02A7" w:rsidRDefault="00DA1BDA" w:rsidP="00637B96">
      <w:pPr>
        <w:pStyle w:val="Cita"/>
      </w:pPr>
      <w:r w:rsidRPr="007D02A7">
        <w:t>(…)</w:t>
      </w:r>
    </w:p>
    <w:p w:rsidR="008A39CF" w:rsidRPr="007D02A7" w:rsidRDefault="00DA1BDA" w:rsidP="00637B96">
      <w:pPr>
        <w:pStyle w:val="Cita"/>
      </w:pPr>
      <w:r w:rsidRPr="007D02A7">
        <w:t xml:space="preserve">III. </w:t>
      </w:r>
      <w:r w:rsidR="008A39CF" w:rsidRPr="007D02A7">
        <w:t>Cuando el acto o sucesión de actos que les den origen impliquen una acumulación en el territorio nacional de activos o capital social superior al equivalente a ocho millones cuatrocientas mil veces el salario mínimo general diario vigente para el Distrito Federal y en la concentración participen dos o más Agentes Económicos cuyas ventas anuales originadas en el territorio nacional o activos en el territorio nacional conjunta o separadamente, importen más de cuarenta y ocho millones de veces el salario mínimo general diario vigente para el Distrito Federal.</w:t>
      </w:r>
    </w:p>
    <w:p w:rsidR="005A7899" w:rsidRPr="007D02A7" w:rsidRDefault="008A39CF" w:rsidP="00637B96">
      <w:pPr>
        <w:pStyle w:val="Cita"/>
        <w:rPr>
          <w:sz w:val="22"/>
        </w:rPr>
      </w:pPr>
      <w:r w:rsidRPr="007D02A7">
        <w:rPr>
          <w:sz w:val="22"/>
        </w:rPr>
        <w:t>(…</w:t>
      </w:r>
      <w:r w:rsidR="001F7962" w:rsidRPr="007D02A7">
        <w:rPr>
          <w:sz w:val="22"/>
        </w:rPr>
        <w:t>).”</w:t>
      </w:r>
    </w:p>
    <w:p w:rsidR="00537B5C" w:rsidRPr="007D02A7" w:rsidRDefault="001C3950" w:rsidP="00637B96">
      <w:pPr>
        <w:pStyle w:val="Prraforproyecto"/>
        <w:keepNext w:val="0"/>
        <w:spacing w:before="120"/>
      </w:pPr>
      <w:r w:rsidRPr="007D02A7">
        <w:t xml:space="preserve">De acuerdo con el Contrato de Compraventa </w:t>
      </w:r>
      <w:r w:rsidR="00537B5C" w:rsidRPr="007D02A7">
        <w:t xml:space="preserve">y la información </w:t>
      </w:r>
      <w:r w:rsidRPr="007D02A7">
        <w:t>proporcionad</w:t>
      </w:r>
      <w:r w:rsidR="00472DD3" w:rsidRPr="007D02A7">
        <w:t>a</w:t>
      </w:r>
      <w:r w:rsidRPr="007D02A7">
        <w:t xml:space="preserve"> por las Partes, la Operación actualiza el supuesto de la fracción I</w:t>
      </w:r>
      <w:r w:rsidR="00537B5C" w:rsidRPr="007D02A7">
        <w:t>II</w:t>
      </w:r>
      <w:r w:rsidRPr="007D02A7">
        <w:t xml:space="preserve"> del artículo 8</w:t>
      </w:r>
      <w:r w:rsidR="00472DD3" w:rsidRPr="007D02A7">
        <w:t>6 de la LFCE, por lo siguiente:</w:t>
      </w:r>
    </w:p>
    <w:p w:rsidR="006A704E" w:rsidRPr="007D02A7" w:rsidRDefault="00D512F5" w:rsidP="00637B96">
      <w:pPr>
        <w:pStyle w:val="Prraforproyecto"/>
        <w:keepNext w:val="0"/>
        <w:numPr>
          <w:ilvl w:val="0"/>
          <w:numId w:val="16"/>
        </w:numPr>
        <w:spacing w:before="120"/>
      </w:pPr>
      <w:r w:rsidRPr="007D02A7">
        <w:t>L</w:t>
      </w:r>
      <w:r w:rsidR="00F06CD9" w:rsidRPr="007D02A7">
        <w:t xml:space="preserve">a sucesión de actos que le dan origen a la Operación implican una acumulación en el territorio nacional de activos </w:t>
      </w:r>
      <w:r w:rsidR="00003B4B" w:rsidRPr="007D02A7">
        <w:t xml:space="preserve">cuyo valor corresponde </w:t>
      </w:r>
      <w:r w:rsidR="002E4D1F" w:rsidRPr="007D02A7">
        <w:t xml:space="preserve">al </w:t>
      </w:r>
      <w:r w:rsidR="006A704E" w:rsidRPr="007D02A7">
        <w:t xml:space="preserve">monto </w:t>
      </w:r>
      <w:r w:rsidR="00CC793C" w:rsidRPr="007D02A7">
        <w:t xml:space="preserve">total </w:t>
      </w:r>
      <w:r w:rsidR="006A704E" w:rsidRPr="007D02A7">
        <w:t>de la transacción</w:t>
      </w:r>
      <w:r w:rsidR="002E4D1F" w:rsidRPr="007D02A7">
        <w:t>, que</w:t>
      </w:r>
      <w:r w:rsidR="00F06CD9" w:rsidRPr="007D02A7">
        <w:t xml:space="preserve"> </w:t>
      </w:r>
      <w:r w:rsidR="006A704E" w:rsidRPr="007D02A7">
        <w:t>en el territorio naci</w:t>
      </w:r>
      <w:r w:rsidR="0084537C" w:rsidRPr="007D02A7">
        <w:t>onal</w:t>
      </w:r>
      <w:r w:rsidR="006017D7" w:rsidRPr="007D02A7">
        <w:t xml:space="preserve"> asciende a la cantidad de </w:t>
      </w:r>
      <w:r w:rsidR="0029381D" w:rsidRPr="007D02A7">
        <w:rPr>
          <w:b/>
          <w:color w:val="0000CC"/>
          <w:sz w:val="19"/>
          <w:szCs w:val="19"/>
        </w:rPr>
        <w:t>“CONFIDENCIAL POR LEY</w:t>
      </w:r>
      <w:r w:rsidR="00481CDD" w:rsidRPr="007D02A7">
        <w:rPr>
          <w:b/>
          <w:color w:val="0000CC"/>
          <w:sz w:val="19"/>
          <w:szCs w:val="19"/>
        </w:rPr>
        <w:t xml:space="preserve"> </w:t>
      </w:r>
      <w:r w:rsidR="00250347">
        <w:rPr>
          <w:b/>
          <w:color w:val="0000CC"/>
          <w:sz w:val="19"/>
          <w:szCs w:val="19"/>
        </w:rPr>
        <w:t>(</w:t>
      </w:r>
      <w:r w:rsidR="00481CDD" w:rsidRPr="007D02A7">
        <w:rPr>
          <w:b/>
          <w:color w:val="0000CC"/>
          <w:sz w:val="19"/>
          <w:szCs w:val="19"/>
        </w:rPr>
        <w:t>13</w:t>
      </w:r>
      <w:r w:rsidR="00250347">
        <w:rPr>
          <w:b/>
          <w:color w:val="0000CC"/>
          <w:sz w:val="19"/>
          <w:szCs w:val="19"/>
        </w:rPr>
        <w:t>)</w:t>
      </w:r>
      <w:r w:rsidR="0029381D" w:rsidRPr="007D02A7">
        <w:rPr>
          <w:b/>
          <w:color w:val="0000CC"/>
          <w:sz w:val="19"/>
          <w:szCs w:val="19"/>
        </w:rPr>
        <w:t>”</w:t>
      </w:r>
      <w:r w:rsidR="006A704E" w:rsidRPr="007D02A7">
        <w:t xml:space="preserve"> USD</w:t>
      </w:r>
      <w:r w:rsidR="00003B4B" w:rsidRPr="007D02A7">
        <w:t>,</w:t>
      </w:r>
      <w:r w:rsidR="006A704E" w:rsidRPr="007D02A7">
        <w:rPr>
          <w:rStyle w:val="Refdenotaalpie"/>
        </w:rPr>
        <w:footnoteReference w:id="8"/>
      </w:r>
      <w:r w:rsidR="006A704E" w:rsidRPr="007D02A7">
        <w:t xml:space="preserve"> </w:t>
      </w:r>
      <w:r w:rsidR="002E4D1F" w:rsidRPr="007D02A7">
        <w:t>es decir</w:t>
      </w:r>
      <w:r w:rsidR="006A704E" w:rsidRPr="007D02A7">
        <w:t xml:space="preserve"> </w:t>
      </w:r>
      <w:r w:rsidR="0029381D" w:rsidRPr="007D02A7">
        <w:rPr>
          <w:b/>
          <w:color w:val="0000CC"/>
          <w:sz w:val="19"/>
          <w:szCs w:val="19"/>
        </w:rPr>
        <w:t>“CONFIDENCIAL POR LEY</w:t>
      </w:r>
      <w:r w:rsidR="00481CDD" w:rsidRPr="007D02A7">
        <w:rPr>
          <w:b/>
          <w:color w:val="0000CC"/>
          <w:sz w:val="19"/>
          <w:szCs w:val="19"/>
        </w:rPr>
        <w:t xml:space="preserve"> </w:t>
      </w:r>
      <w:r w:rsidR="00250347">
        <w:rPr>
          <w:b/>
          <w:color w:val="0000CC"/>
          <w:sz w:val="19"/>
          <w:szCs w:val="19"/>
        </w:rPr>
        <w:t>(</w:t>
      </w:r>
      <w:r w:rsidR="00481CDD" w:rsidRPr="007D02A7">
        <w:rPr>
          <w:b/>
          <w:color w:val="0000CC"/>
          <w:sz w:val="19"/>
          <w:szCs w:val="19"/>
        </w:rPr>
        <w:t>14</w:t>
      </w:r>
      <w:r w:rsidR="00250347">
        <w:rPr>
          <w:b/>
          <w:color w:val="0000CC"/>
          <w:sz w:val="19"/>
          <w:szCs w:val="19"/>
        </w:rPr>
        <w:t>)</w:t>
      </w:r>
      <w:r w:rsidR="0029381D" w:rsidRPr="007D02A7">
        <w:rPr>
          <w:b/>
          <w:color w:val="0000CC"/>
          <w:sz w:val="19"/>
          <w:szCs w:val="19"/>
        </w:rPr>
        <w:t>”</w:t>
      </w:r>
      <w:r w:rsidR="006A704E" w:rsidRPr="007D02A7">
        <w:t xml:space="preserve"> pesos</w:t>
      </w:r>
      <w:r w:rsidR="002E4D1F" w:rsidRPr="007D02A7">
        <w:t>.</w:t>
      </w:r>
      <w:r w:rsidR="006A704E" w:rsidRPr="007D02A7">
        <w:rPr>
          <w:rStyle w:val="Refdenotaalpie"/>
        </w:rPr>
        <w:footnoteReference w:id="9"/>
      </w:r>
      <w:r w:rsidR="006A704E" w:rsidRPr="007D02A7">
        <w:t xml:space="preserve"> </w:t>
      </w:r>
      <w:r w:rsidR="002E4D1F" w:rsidRPr="007D02A7">
        <w:t>Est</w:t>
      </w:r>
      <w:r w:rsidR="00742DB4" w:rsidRPr="007D02A7">
        <w:t>a</w:t>
      </w:r>
      <w:r w:rsidR="002E4D1F" w:rsidRPr="007D02A7">
        <w:t xml:space="preserve"> </w:t>
      </w:r>
      <w:r w:rsidR="006A704E" w:rsidRPr="007D02A7">
        <w:t xml:space="preserve">cifra </w:t>
      </w:r>
      <w:r w:rsidR="002E4D1F" w:rsidRPr="007D02A7">
        <w:t xml:space="preserve">es </w:t>
      </w:r>
      <w:r w:rsidR="006A704E" w:rsidRPr="007D02A7">
        <w:t>superior a ocho millones cuatrocientas mil veces el valor diario de la Unidad de Medida y Actualización,</w:t>
      </w:r>
      <w:r w:rsidR="006A704E" w:rsidRPr="007D02A7">
        <w:rPr>
          <w:rStyle w:val="Refdenotaalpie"/>
        </w:rPr>
        <w:footnoteReference w:id="10"/>
      </w:r>
      <w:r w:rsidR="006A704E" w:rsidRPr="007D02A7">
        <w:t xml:space="preserve"> equivalentes a 634,116,000 (seiscientos treinta y cuatro millones ciento dieciséis mil) pesos,</w:t>
      </w:r>
      <w:r w:rsidR="003017DD" w:rsidRPr="007D02A7">
        <w:rPr>
          <w:rStyle w:val="Refdenotaalpie"/>
        </w:rPr>
        <w:footnoteReference w:id="11"/>
      </w:r>
      <w:r w:rsidR="006A704E" w:rsidRPr="007D02A7">
        <w:t xml:space="preserve"> y</w:t>
      </w:r>
    </w:p>
    <w:p w:rsidR="00537B5C" w:rsidRPr="007D02A7" w:rsidRDefault="006A704E" w:rsidP="00637B96">
      <w:pPr>
        <w:pStyle w:val="Prraforproyecto"/>
        <w:keepNext w:val="0"/>
        <w:numPr>
          <w:ilvl w:val="0"/>
          <w:numId w:val="16"/>
        </w:numPr>
        <w:spacing w:before="120"/>
      </w:pPr>
      <w:r w:rsidRPr="007D02A7">
        <w:t xml:space="preserve">En la Operación participa MATC Digital, cuyos activos al </w:t>
      </w:r>
      <w:r w:rsidR="00003B4B" w:rsidRPr="007D02A7">
        <w:t xml:space="preserve">treinta y uno </w:t>
      </w:r>
      <w:r w:rsidRPr="007D02A7">
        <w:t xml:space="preserve">de diciembre de </w:t>
      </w:r>
      <w:r w:rsidR="00003B4B" w:rsidRPr="007D02A7">
        <w:t>dos mil dieciséis</w:t>
      </w:r>
      <w:r w:rsidRPr="007D02A7">
        <w:t xml:space="preserve"> en el territorio nacional importan </w:t>
      </w:r>
      <w:r w:rsidR="0029381D" w:rsidRPr="007D02A7">
        <w:rPr>
          <w:b/>
          <w:color w:val="0000CC"/>
          <w:sz w:val="19"/>
          <w:szCs w:val="19"/>
        </w:rPr>
        <w:t>“CONFIDENCIAL POR LEY</w:t>
      </w:r>
      <w:r w:rsidR="00481CDD" w:rsidRPr="007D02A7">
        <w:rPr>
          <w:b/>
          <w:color w:val="0000CC"/>
          <w:sz w:val="19"/>
          <w:szCs w:val="19"/>
        </w:rPr>
        <w:t xml:space="preserve"> </w:t>
      </w:r>
      <w:r w:rsidR="00250347">
        <w:rPr>
          <w:b/>
          <w:color w:val="0000CC"/>
          <w:sz w:val="19"/>
          <w:szCs w:val="19"/>
        </w:rPr>
        <w:t>(</w:t>
      </w:r>
      <w:r w:rsidR="00481CDD" w:rsidRPr="007D02A7">
        <w:rPr>
          <w:b/>
          <w:color w:val="0000CC"/>
          <w:sz w:val="19"/>
          <w:szCs w:val="19"/>
        </w:rPr>
        <w:t>15</w:t>
      </w:r>
      <w:r w:rsidR="00250347">
        <w:rPr>
          <w:b/>
          <w:color w:val="0000CC"/>
          <w:sz w:val="19"/>
          <w:szCs w:val="19"/>
        </w:rPr>
        <w:t>)</w:t>
      </w:r>
      <w:r w:rsidR="0029381D" w:rsidRPr="007D02A7">
        <w:rPr>
          <w:b/>
          <w:color w:val="0000CC"/>
          <w:sz w:val="19"/>
          <w:szCs w:val="19"/>
        </w:rPr>
        <w:t>”</w:t>
      </w:r>
      <w:r w:rsidRPr="007D02A7">
        <w:t xml:space="preserve"> pesos</w:t>
      </w:r>
      <w:r w:rsidR="00003B4B" w:rsidRPr="007D02A7">
        <w:t>,</w:t>
      </w:r>
      <w:r w:rsidR="002E4D1F" w:rsidRPr="007D02A7">
        <w:t xml:space="preserve"> </w:t>
      </w:r>
      <w:r w:rsidRPr="007D02A7">
        <w:t>cifra que representa más de cuarenta y ocho millones de veces el valor diario de la Unidad de Medida y Actualización, que equivalen a 3</w:t>
      </w:r>
      <w:proofErr w:type="gramStart"/>
      <w:r w:rsidRPr="007D02A7">
        <w:t>,623,520,000</w:t>
      </w:r>
      <w:proofErr w:type="gramEnd"/>
      <w:r w:rsidRPr="007D02A7">
        <w:t xml:space="preserve"> (tres mil seiscientos veintitrés millones quinientos veinte mil) pesos.</w:t>
      </w:r>
    </w:p>
    <w:p w:rsidR="005A7899" w:rsidRPr="007D02A7" w:rsidRDefault="00D9223F" w:rsidP="00637B96">
      <w:pPr>
        <w:spacing w:before="120" w:after="120"/>
        <w:rPr>
          <w:rFonts w:ascii="ITC Avant Garde" w:hAnsi="ITC Avant Garde"/>
          <w:b/>
        </w:rPr>
      </w:pPr>
      <w:bookmarkStart w:id="15" w:name="_Toc435697309"/>
      <w:bookmarkStart w:id="16" w:name="_Toc435697385"/>
      <w:r w:rsidRPr="007D02A7">
        <w:rPr>
          <w:rFonts w:ascii="ITC Avant Garde" w:hAnsi="ITC Avant Garde"/>
          <w:b/>
        </w:rPr>
        <w:lastRenderedPageBreak/>
        <w:t xml:space="preserve">Cuarto.- </w:t>
      </w:r>
      <w:r w:rsidR="00B02448" w:rsidRPr="007D02A7">
        <w:rPr>
          <w:rFonts w:ascii="ITC Avant Garde" w:hAnsi="ITC Avant Garde"/>
          <w:b/>
        </w:rPr>
        <w:t>Evaluación de la o</w:t>
      </w:r>
      <w:r w:rsidR="00C80EC4" w:rsidRPr="007D02A7">
        <w:rPr>
          <w:rFonts w:ascii="ITC Avant Garde" w:hAnsi="ITC Avant Garde"/>
          <w:b/>
        </w:rPr>
        <w:t>portunidad de</w:t>
      </w:r>
      <w:r w:rsidR="00EB3BAA" w:rsidRPr="007D02A7">
        <w:rPr>
          <w:rFonts w:ascii="ITC Avant Garde" w:hAnsi="ITC Avant Garde"/>
          <w:b/>
        </w:rPr>
        <w:t xml:space="preserve"> notificación</w:t>
      </w:r>
      <w:r w:rsidR="0025349E" w:rsidRPr="007D02A7">
        <w:rPr>
          <w:rFonts w:ascii="ITC Avant Garde" w:hAnsi="ITC Avant Garde"/>
          <w:b/>
        </w:rPr>
        <w:t xml:space="preserve"> de la Operación</w:t>
      </w:r>
      <w:bookmarkEnd w:id="15"/>
      <w:bookmarkEnd w:id="16"/>
    </w:p>
    <w:p w:rsidR="005A7899" w:rsidRPr="007D02A7" w:rsidRDefault="008A39CF" w:rsidP="00637B96">
      <w:pPr>
        <w:pStyle w:val="Prraforproyecto"/>
        <w:keepNext w:val="0"/>
        <w:spacing w:before="120"/>
      </w:pPr>
      <w:r w:rsidRPr="007D02A7">
        <w:t>El artículo 87 de la LFCE establece lo siguiente:</w:t>
      </w:r>
    </w:p>
    <w:p w:rsidR="008A39CF" w:rsidRPr="007D02A7" w:rsidRDefault="008A39CF" w:rsidP="00637B96">
      <w:pPr>
        <w:pStyle w:val="Cita"/>
      </w:pPr>
      <w:r w:rsidRPr="007D02A7">
        <w:t>“</w:t>
      </w:r>
      <w:r w:rsidRPr="007D02A7">
        <w:rPr>
          <w:b/>
        </w:rPr>
        <w:t>ARTÍCULO 87</w:t>
      </w:r>
      <w:r w:rsidRPr="007D02A7">
        <w:t>.- Los Agentes Económicos deben obtener la autorización para realizar la concentración a que se refiere el artículo anterior antes de que suceda cualquiera de los siguientes supuestos:</w:t>
      </w:r>
    </w:p>
    <w:p w:rsidR="008A39CF" w:rsidRPr="007D02A7" w:rsidRDefault="008A39CF" w:rsidP="00637B96">
      <w:pPr>
        <w:pStyle w:val="Cita"/>
      </w:pPr>
      <w:r w:rsidRPr="007D02A7">
        <w:t>El acto jurídico se perfeccione de conformidad con la legislación aplicable o, en su caso, se cumpla la condición suspensiva a la que esté sujeto dicho acto;</w:t>
      </w:r>
    </w:p>
    <w:p w:rsidR="008A39CF" w:rsidRPr="007D02A7" w:rsidRDefault="008A39CF" w:rsidP="00637B96">
      <w:pPr>
        <w:pStyle w:val="Cita"/>
      </w:pPr>
      <w:r w:rsidRPr="007D02A7">
        <w:t>Se adquiera o se ejerza directa o indirectamente el control de hecho o de derecho sobre otro Agente Económico, o se adquieran de hecho o de derecho activos, participación en fideicomisos, partes sociales o acciones de otro Agente Económico;</w:t>
      </w:r>
    </w:p>
    <w:p w:rsidR="008A39CF" w:rsidRPr="007D02A7" w:rsidRDefault="008A39CF" w:rsidP="00637B96">
      <w:pPr>
        <w:pStyle w:val="Cita"/>
      </w:pPr>
      <w:r w:rsidRPr="007D02A7">
        <w:t>Se lleve al cabo la firma de un convenio de fusión entre los Agentes Económicos involucrados, o</w:t>
      </w:r>
    </w:p>
    <w:p w:rsidR="008A39CF" w:rsidRPr="007D02A7" w:rsidRDefault="008A39CF" w:rsidP="00637B96">
      <w:pPr>
        <w:pStyle w:val="Cita"/>
      </w:pPr>
      <w:r w:rsidRPr="007D02A7">
        <w:t>Tratándose de una sucesión de actos, se perfeccione el último de ellos, por virtud del cual se rebasen los montos establecidos en el artículo anterior.</w:t>
      </w:r>
    </w:p>
    <w:p w:rsidR="005A7899" w:rsidRPr="007D02A7" w:rsidRDefault="00EF4D98" w:rsidP="00637B96">
      <w:pPr>
        <w:pStyle w:val="Cita"/>
        <w:rPr>
          <w:sz w:val="22"/>
        </w:rPr>
      </w:pPr>
      <w:r w:rsidRPr="007D02A7">
        <w:rPr>
          <w:sz w:val="22"/>
        </w:rPr>
        <w:t>(…</w:t>
      </w:r>
      <w:r w:rsidR="001F7962" w:rsidRPr="007D02A7">
        <w:rPr>
          <w:sz w:val="22"/>
        </w:rPr>
        <w:t>).”</w:t>
      </w:r>
    </w:p>
    <w:p w:rsidR="00B02448" w:rsidRPr="007D02A7" w:rsidRDefault="009B5CBD" w:rsidP="00637B96">
      <w:pPr>
        <w:spacing w:before="120" w:after="120"/>
        <w:jc w:val="both"/>
        <w:rPr>
          <w:rFonts w:ascii="ITC Avant Garde" w:hAnsi="ITC Avant Garde"/>
        </w:rPr>
      </w:pPr>
      <w:r w:rsidRPr="007D02A7">
        <w:rPr>
          <w:rFonts w:ascii="ITC Avant Garde" w:hAnsi="ITC Avant Garde"/>
        </w:rPr>
        <w:t>Adicionalmente</w:t>
      </w:r>
      <w:r w:rsidR="00B02448" w:rsidRPr="007D02A7">
        <w:rPr>
          <w:rFonts w:ascii="ITC Avant Garde" w:hAnsi="ITC Avant Garde"/>
        </w:rPr>
        <w:t>, el párrafo primero del artículo 16 de las Disposiciones Regulatorias establece lo siguiente:</w:t>
      </w:r>
    </w:p>
    <w:p w:rsidR="00B02448" w:rsidRPr="007D02A7" w:rsidRDefault="00B02448" w:rsidP="00637B96">
      <w:pPr>
        <w:pStyle w:val="Cita"/>
      </w:pPr>
      <w:r w:rsidRPr="007D02A7">
        <w:t>“Artículo 16. Para efectos de los artículos 86 y 87, fracción I, de la Ley, los Agentes Económicos pueden acordar sujetar la realización de una transacción a la condición suspensiva de obtener la autorización del Instituto y deben hacer constar que los actos relativos a la transacción no producirán efecto alguno hasta que se obtenga una autorización por parte del Instituto o, en su caso, se entienda que no tiene objeción en términos de la Ley y se emita la constancia respectiva. (…)”</w:t>
      </w:r>
    </w:p>
    <w:p w:rsidR="004B01AD" w:rsidRPr="007D02A7" w:rsidRDefault="004B01AD" w:rsidP="00637B96">
      <w:pPr>
        <w:pStyle w:val="Prraforproyecto"/>
        <w:keepNext w:val="0"/>
        <w:spacing w:before="120"/>
      </w:pPr>
      <w:r w:rsidRPr="007D02A7">
        <w:t>A efecto de llevar a cabo la Operación, las Partes celebraron el treinta de junio de dos mil diecisiete un Contrato de Compraventa sujeto a condiciones suspensivas, a través del cual</w:t>
      </w:r>
      <w:r w:rsidR="004649DC" w:rsidRPr="007D02A7">
        <w:t xml:space="preserve"> se especifica que</w:t>
      </w:r>
      <w:r w:rsidRPr="007D02A7">
        <w:t xml:space="preserve"> la Operación se llevará a cabo en </w:t>
      </w:r>
      <w:r w:rsidR="004649DC" w:rsidRPr="007D02A7">
        <w:t>cuatro</w:t>
      </w:r>
      <w:r w:rsidR="00003B4B" w:rsidRPr="007D02A7">
        <w:t xml:space="preserve"> actos a los que denomina </w:t>
      </w:r>
      <w:r w:rsidR="004649DC" w:rsidRPr="007D02A7">
        <w:t>cierres</w:t>
      </w:r>
      <w:r w:rsidR="00003B4B" w:rsidRPr="007D02A7">
        <w:t>, como se describe en la sección 2.1 de esta resolución.</w:t>
      </w:r>
      <w:r w:rsidR="003017DD" w:rsidRPr="007D02A7">
        <w:t xml:space="preserve"> </w:t>
      </w:r>
    </w:p>
    <w:p w:rsidR="00CB3F89" w:rsidRPr="007D02A7" w:rsidRDefault="002B473F" w:rsidP="00637B96">
      <w:pPr>
        <w:pStyle w:val="Prraforproyecto"/>
        <w:keepNext w:val="0"/>
        <w:spacing w:before="120"/>
      </w:pPr>
      <w:r w:rsidRPr="007D02A7">
        <w:t>E</w:t>
      </w:r>
      <w:r w:rsidR="00CB3F89" w:rsidRPr="007D02A7">
        <w:t xml:space="preserve">l primer </w:t>
      </w:r>
      <w:r w:rsidRPr="007D02A7">
        <w:t xml:space="preserve">y segundo </w:t>
      </w:r>
      <w:r w:rsidR="00CB3F89" w:rsidRPr="007D02A7">
        <w:t xml:space="preserve">cierre </w:t>
      </w:r>
      <w:proofErr w:type="gramStart"/>
      <w:r w:rsidR="00CB3F89" w:rsidRPr="007D02A7">
        <w:t>fue</w:t>
      </w:r>
      <w:r w:rsidRPr="007D02A7">
        <w:t>ron</w:t>
      </w:r>
      <w:proofErr w:type="gramEnd"/>
      <w:r w:rsidR="00CB3F89" w:rsidRPr="007D02A7">
        <w:t xml:space="preserve"> celebrado</w:t>
      </w:r>
      <w:r w:rsidRPr="007D02A7">
        <w:t>s</w:t>
      </w:r>
      <w:r w:rsidR="00CB3F89" w:rsidRPr="007D02A7">
        <w:t xml:space="preserve"> el treinta de junio </w:t>
      </w:r>
      <w:r w:rsidRPr="007D02A7">
        <w:t xml:space="preserve">y el </w:t>
      </w:r>
      <w:r w:rsidR="00890EAD" w:rsidRPr="007D02A7">
        <w:t>tres</w:t>
      </w:r>
      <w:r w:rsidRPr="007D02A7">
        <w:t xml:space="preserve"> de </w:t>
      </w:r>
      <w:r w:rsidR="00890EAD" w:rsidRPr="007D02A7">
        <w:t>agosto</w:t>
      </w:r>
      <w:r w:rsidRPr="007D02A7">
        <w:t xml:space="preserve"> </w:t>
      </w:r>
      <w:r w:rsidR="00CB3F89" w:rsidRPr="007D02A7">
        <w:t>de dos mil diecisiete</w:t>
      </w:r>
      <w:r w:rsidRPr="007D02A7">
        <w:t>, respectivamente</w:t>
      </w:r>
      <w:r w:rsidR="00CB3F89" w:rsidRPr="007D02A7">
        <w:t xml:space="preserve">, sin que </w:t>
      </w:r>
      <w:r w:rsidRPr="007D02A7">
        <w:t>ambos actos</w:t>
      </w:r>
      <w:r w:rsidR="00CB3F89" w:rsidRPr="007D02A7">
        <w:t xml:space="preserve"> requiera</w:t>
      </w:r>
      <w:r w:rsidRPr="007D02A7">
        <w:t>n</w:t>
      </w:r>
      <w:r w:rsidR="00CB3F89" w:rsidRPr="007D02A7">
        <w:t xml:space="preserve"> ser notificado</w:t>
      </w:r>
      <w:r w:rsidRPr="007D02A7">
        <w:t>s</w:t>
      </w:r>
      <w:r w:rsidR="00CB3F89" w:rsidRPr="007D02A7">
        <w:t xml:space="preserve"> al no superar los umbrales</w:t>
      </w:r>
      <w:r w:rsidR="00AE72BD" w:rsidRPr="007D02A7">
        <w:t xml:space="preserve"> de notificación</w:t>
      </w:r>
      <w:r w:rsidR="00CB3F89" w:rsidRPr="007D02A7">
        <w:t xml:space="preserve"> relativos al artículo 86 de la LFCE.</w:t>
      </w:r>
    </w:p>
    <w:p w:rsidR="004649DC" w:rsidRPr="007D02A7" w:rsidRDefault="00CB3F89" w:rsidP="00637B96">
      <w:pPr>
        <w:pStyle w:val="Prraforproyecto"/>
        <w:keepNext w:val="0"/>
        <w:spacing w:before="120"/>
      </w:pPr>
      <w:r w:rsidRPr="007D02A7">
        <w:t xml:space="preserve">Al respecto, </w:t>
      </w:r>
      <w:r w:rsidR="00170454" w:rsidRPr="007D02A7">
        <w:t xml:space="preserve">los </w:t>
      </w:r>
      <w:r w:rsidRPr="007D02A7">
        <w:t>umbral</w:t>
      </w:r>
      <w:r w:rsidR="00170454" w:rsidRPr="007D02A7">
        <w:t>es</w:t>
      </w:r>
      <w:r w:rsidRPr="007D02A7">
        <w:t xml:space="preserve"> de notificación relativo</w:t>
      </w:r>
      <w:r w:rsidR="00170454" w:rsidRPr="007D02A7">
        <w:t>s</w:t>
      </w:r>
      <w:r w:rsidRPr="007D02A7">
        <w:t xml:space="preserve"> al artículo 86</w:t>
      </w:r>
      <w:r w:rsidR="00170454" w:rsidRPr="007D02A7">
        <w:t>, fracción III,</w:t>
      </w:r>
      <w:r w:rsidRPr="007D02A7">
        <w:t xml:space="preserve"> de la LFCE</w:t>
      </w:r>
      <w:r w:rsidR="00170454" w:rsidRPr="007D02A7">
        <w:t xml:space="preserve"> se actualizaron hasta </w:t>
      </w:r>
      <w:r w:rsidRPr="007D02A7">
        <w:t>el tercer cierre. En este sentido, el Contrato de Compraventa establece que ningún cierre se llevará a cabo cuando el monto agregado exceda la cantidad de 634</w:t>
      </w:r>
      <w:proofErr w:type="gramStart"/>
      <w:r w:rsidRPr="007D02A7">
        <w:t>,116,000</w:t>
      </w:r>
      <w:proofErr w:type="gramEnd"/>
      <w:r w:rsidRPr="007D02A7">
        <w:t xml:space="preserve"> (seiscientos treinta y cuatro millones ciento dieciséis mil) pesos,</w:t>
      </w:r>
      <w:r w:rsidR="002053C1" w:rsidRPr="007D02A7">
        <w:rPr>
          <w:rStyle w:val="Refdenotaalpie"/>
        </w:rPr>
        <w:footnoteReference w:id="12"/>
      </w:r>
      <w:r w:rsidRPr="007D02A7">
        <w:t xml:space="preserve"> </w:t>
      </w:r>
      <w:r w:rsidRPr="007D02A7">
        <w:lastRenderedPageBreak/>
        <w:t>a menos de que dichas transacciones sean autorizadas por el In</w:t>
      </w:r>
      <w:r w:rsidR="004649DC" w:rsidRPr="007D02A7">
        <w:t>stituto, en términos de la LFCE.</w:t>
      </w:r>
    </w:p>
    <w:p w:rsidR="00170454" w:rsidRPr="007D02A7" w:rsidRDefault="004649DC" w:rsidP="00637B96">
      <w:pPr>
        <w:pStyle w:val="Prraforproyecto"/>
        <w:keepNext w:val="0"/>
        <w:spacing w:before="120"/>
      </w:pPr>
      <w:r w:rsidRPr="007D02A7">
        <w:rPr>
          <w:rFonts w:eastAsiaTheme="minorHAnsi"/>
        </w:rPr>
        <w:t xml:space="preserve">Conforme con lo anterior, </w:t>
      </w:r>
      <w:r w:rsidRPr="007D02A7">
        <w:t>el tercer y cuarto cierre relativos a la Operación están sujetos, entre otras</w:t>
      </w:r>
      <w:r w:rsidR="00003B4B" w:rsidRPr="007D02A7">
        <w:t xml:space="preserve"> condiciones suspensivas</w:t>
      </w:r>
      <w:r w:rsidRPr="007D02A7">
        <w:t xml:space="preserve">, </w:t>
      </w:r>
      <w:r w:rsidR="00003B4B" w:rsidRPr="007D02A7">
        <w:t xml:space="preserve">a </w:t>
      </w:r>
      <w:r w:rsidRPr="007D02A7">
        <w:t>la obtención de la autorización del Instituto en términos de la LFCE.</w:t>
      </w:r>
      <w:r w:rsidR="00210735" w:rsidRPr="007D02A7">
        <w:t xml:space="preserve"> </w:t>
      </w:r>
    </w:p>
    <w:p w:rsidR="005A7899" w:rsidRPr="007D02A7" w:rsidRDefault="00170454" w:rsidP="00637B96">
      <w:pPr>
        <w:pStyle w:val="Prraforproyecto"/>
        <w:keepNext w:val="0"/>
        <w:spacing w:before="120"/>
        <w:rPr>
          <w:rFonts w:eastAsia="Calibri"/>
        </w:rPr>
      </w:pPr>
      <w:r w:rsidRPr="007D02A7">
        <w:rPr>
          <w:rFonts w:eastAsia="Calibri"/>
        </w:rPr>
        <w:t>Por lo anterior</w:t>
      </w:r>
      <w:r w:rsidR="00F03798" w:rsidRPr="007D02A7">
        <w:rPr>
          <w:rFonts w:eastAsia="Calibri"/>
        </w:rPr>
        <w:t>, l</w:t>
      </w:r>
      <w:r w:rsidR="00232109" w:rsidRPr="007D02A7">
        <w:rPr>
          <w:rFonts w:eastAsia="Calibri"/>
        </w:rPr>
        <w:t>a</w:t>
      </w:r>
      <w:r w:rsidR="00716B3E" w:rsidRPr="007D02A7">
        <w:rPr>
          <w:rFonts w:eastAsia="Calibri"/>
        </w:rPr>
        <w:t xml:space="preserve"> Operación</w:t>
      </w:r>
      <w:r w:rsidR="00004BA6" w:rsidRPr="007D02A7">
        <w:rPr>
          <w:rFonts w:eastAsia="Calibri"/>
        </w:rPr>
        <w:t xml:space="preserve"> fue notificada oportunamente de conformida</w:t>
      </w:r>
      <w:r w:rsidR="00232109" w:rsidRPr="007D02A7">
        <w:rPr>
          <w:rFonts w:eastAsia="Calibri"/>
        </w:rPr>
        <w:t>d con el artículo 87</w:t>
      </w:r>
      <w:r w:rsidR="000E7717" w:rsidRPr="007D02A7">
        <w:rPr>
          <w:rFonts w:eastAsia="Calibri"/>
        </w:rPr>
        <w:t xml:space="preserve">, primer párrafo y fracción IV, </w:t>
      </w:r>
      <w:r w:rsidR="00232109" w:rsidRPr="007D02A7">
        <w:rPr>
          <w:rFonts w:eastAsia="Calibri"/>
        </w:rPr>
        <w:t>de la LFCE</w:t>
      </w:r>
      <w:r w:rsidR="00003B4B" w:rsidRPr="007D02A7">
        <w:rPr>
          <w:rFonts w:eastAsia="Calibri"/>
        </w:rPr>
        <w:t xml:space="preserve">, el cual establece que tratándose de una </w:t>
      </w:r>
      <w:r w:rsidR="00003B4B" w:rsidRPr="007D02A7">
        <w:t>sucesión de actos, las Partes deben obtener la autorización para realizar la concentración antes de que se perfeccione el acto por virtud del cual se rebasen los montos establecidos en el artículo 86 de la LFCE.</w:t>
      </w:r>
      <w:r w:rsidR="007177DE" w:rsidRPr="007D02A7">
        <w:t xml:space="preserve"> </w:t>
      </w:r>
    </w:p>
    <w:p w:rsidR="005A7899" w:rsidRPr="007D02A7" w:rsidRDefault="00D9223F" w:rsidP="00637B96">
      <w:pPr>
        <w:spacing w:before="120" w:after="120"/>
        <w:rPr>
          <w:rFonts w:ascii="ITC Avant Garde" w:hAnsi="ITC Avant Garde"/>
          <w:b/>
        </w:rPr>
      </w:pPr>
      <w:bookmarkStart w:id="17" w:name="_Toc435697310"/>
      <w:bookmarkStart w:id="18" w:name="_Toc435697386"/>
      <w:bookmarkStart w:id="19" w:name="_Ref472956291"/>
      <w:bookmarkStart w:id="20" w:name="_Ref472959191"/>
      <w:r w:rsidRPr="007D02A7">
        <w:rPr>
          <w:rFonts w:ascii="ITC Avant Garde" w:hAnsi="ITC Avant Garde"/>
          <w:b/>
        </w:rPr>
        <w:t xml:space="preserve">Quinto.- </w:t>
      </w:r>
      <w:r w:rsidR="00426C4D" w:rsidRPr="007D02A7">
        <w:rPr>
          <w:rFonts w:ascii="ITC Avant Garde" w:hAnsi="ITC Avant Garde"/>
          <w:b/>
        </w:rPr>
        <w:t xml:space="preserve">Descripción </w:t>
      </w:r>
      <w:r w:rsidR="008A39CF" w:rsidRPr="007D02A7">
        <w:rPr>
          <w:rFonts w:ascii="ITC Avant Garde" w:hAnsi="ITC Avant Garde"/>
          <w:b/>
        </w:rPr>
        <w:t>de las Partes</w:t>
      </w:r>
      <w:bookmarkEnd w:id="17"/>
      <w:bookmarkEnd w:id="18"/>
      <w:bookmarkEnd w:id="19"/>
      <w:bookmarkEnd w:id="20"/>
    </w:p>
    <w:p w:rsidR="005A7899" w:rsidRPr="007D02A7" w:rsidRDefault="008A39CF" w:rsidP="00637B96">
      <w:pPr>
        <w:pStyle w:val="Prraforproyecto"/>
        <w:keepNext w:val="0"/>
        <w:spacing w:before="120"/>
        <w:rPr>
          <w:rFonts w:eastAsia="Calibri"/>
        </w:rPr>
      </w:pPr>
      <w:r w:rsidRPr="007D02A7">
        <w:rPr>
          <w:rFonts w:eastAsia="Calibri"/>
        </w:rPr>
        <w:t xml:space="preserve">En las siguientes secciones se presentan las estructuras corporativas y </w:t>
      </w:r>
      <w:r w:rsidR="0025349E" w:rsidRPr="007D02A7">
        <w:rPr>
          <w:rFonts w:eastAsia="Calibri"/>
        </w:rPr>
        <w:t>las actividades económicas que realizan</w:t>
      </w:r>
      <w:r w:rsidRPr="007D02A7">
        <w:rPr>
          <w:rFonts w:eastAsia="Calibri"/>
        </w:rPr>
        <w:t xml:space="preserve"> </w:t>
      </w:r>
      <w:r w:rsidR="002B02D3" w:rsidRPr="007D02A7">
        <w:rPr>
          <w:rFonts w:eastAsia="Calibri"/>
        </w:rPr>
        <w:t>e</w:t>
      </w:r>
      <w:r w:rsidR="00F03798" w:rsidRPr="007D02A7">
        <w:rPr>
          <w:rFonts w:eastAsia="Calibri"/>
        </w:rPr>
        <w:t xml:space="preserve">l Comprador y </w:t>
      </w:r>
      <w:r w:rsidR="002B02D3" w:rsidRPr="007D02A7">
        <w:rPr>
          <w:rFonts w:eastAsia="Calibri"/>
        </w:rPr>
        <w:t>e</w:t>
      </w:r>
      <w:r w:rsidR="00F03798" w:rsidRPr="007D02A7">
        <w:rPr>
          <w:rFonts w:eastAsia="Calibri"/>
        </w:rPr>
        <w:t>l Vendedor, así como las personas relacionadas con éstos</w:t>
      </w:r>
      <w:r w:rsidR="00EB1516" w:rsidRPr="007D02A7">
        <w:rPr>
          <w:rFonts w:eastAsia="Calibri"/>
        </w:rPr>
        <w:t>.</w:t>
      </w:r>
    </w:p>
    <w:p w:rsidR="005A7899" w:rsidRPr="007D02A7" w:rsidRDefault="00D9223F" w:rsidP="00637B96">
      <w:pPr>
        <w:spacing w:before="120" w:after="120"/>
        <w:ind w:firstLine="426"/>
        <w:rPr>
          <w:rFonts w:ascii="ITC Avant Garde" w:hAnsi="ITC Avant Garde"/>
          <w:b/>
          <w:i/>
        </w:rPr>
      </w:pPr>
      <w:r w:rsidRPr="007D02A7">
        <w:rPr>
          <w:rFonts w:ascii="ITC Avant Garde" w:hAnsi="ITC Avant Garde"/>
          <w:b/>
          <w:i/>
        </w:rPr>
        <w:t xml:space="preserve">5.1 </w:t>
      </w:r>
      <w:r w:rsidR="00D301A8" w:rsidRPr="007D02A7">
        <w:rPr>
          <w:rFonts w:ascii="ITC Avant Garde" w:hAnsi="ITC Avant Garde"/>
          <w:b/>
          <w:i/>
        </w:rPr>
        <w:t xml:space="preserve">Comprador: </w:t>
      </w:r>
      <w:r w:rsidR="002B02D3" w:rsidRPr="007D02A7">
        <w:rPr>
          <w:rFonts w:ascii="ITC Avant Garde" w:hAnsi="ITC Avant Garde"/>
          <w:b/>
          <w:i/>
        </w:rPr>
        <w:t>MATC Digital</w:t>
      </w:r>
    </w:p>
    <w:p w:rsidR="00AA0F72" w:rsidRPr="007D02A7" w:rsidRDefault="002B02D3" w:rsidP="00637B96">
      <w:pPr>
        <w:pStyle w:val="Prraforproyecto"/>
        <w:keepNext w:val="0"/>
        <w:spacing w:before="120"/>
      </w:pPr>
      <w:r w:rsidRPr="007D02A7">
        <w:t>MATC Digital</w:t>
      </w:r>
      <w:r w:rsidR="00A34B34" w:rsidRPr="007D02A7">
        <w:t xml:space="preserve"> es una sociedad constituida conforme a las leyes mexicanas según consta en la escritura pública de fecha </w:t>
      </w:r>
      <w:r w:rsidRPr="007D02A7">
        <w:t xml:space="preserve">cinco </w:t>
      </w:r>
      <w:r w:rsidR="006829FA" w:rsidRPr="007D02A7">
        <w:t>de octubre de mil</w:t>
      </w:r>
      <w:r w:rsidR="004F47CE" w:rsidRPr="007D02A7">
        <w:t xml:space="preserve"> novecientos noventa y nueve</w:t>
      </w:r>
      <w:r w:rsidR="00FC1488" w:rsidRPr="007D02A7">
        <w:t>.</w:t>
      </w:r>
      <w:r w:rsidR="00A34B34" w:rsidRPr="007D02A7">
        <w:rPr>
          <w:rStyle w:val="Refdenotaalpie"/>
        </w:rPr>
        <w:footnoteReference w:id="13"/>
      </w:r>
      <w:r w:rsidR="004F47CE" w:rsidRPr="007D02A7">
        <w:t xml:space="preserve"> </w:t>
      </w:r>
      <w:r w:rsidR="00FC1488" w:rsidRPr="007D02A7">
        <w:t>T</w:t>
      </w:r>
      <w:r w:rsidR="008C6117" w:rsidRPr="007D02A7">
        <w:t xml:space="preserve">iene como </w:t>
      </w:r>
      <w:r w:rsidR="00C8443A" w:rsidRPr="007D02A7">
        <w:t>actividad</w:t>
      </w:r>
      <w:r w:rsidR="008C6117" w:rsidRPr="007D02A7">
        <w:t xml:space="preserve"> la</w:t>
      </w:r>
      <w:r w:rsidR="008C6117" w:rsidRPr="007D02A7">
        <w:rPr>
          <w:rFonts w:eastAsia="Calibri"/>
        </w:rPr>
        <w:t xml:space="preserve"> provisión del servicio de arrendamiento de sitios en torres de telecomunicaciones</w:t>
      </w:r>
      <w:r w:rsidR="004F47CE" w:rsidRPr="007D02A7">
        <w:t>.</w:t>
      </w:r>
    </w:p>
    <w:p w:rsidR="006B7D6B" w:rsidRPr="007D02A7" w:rsidRDefault="006B7D6B" w:rsidP="00637B96">
      <w:pPr>
        <w:pStyle w:val="Prraforproyecto"/>
        <w:keepNext w:val="0"/>
        <w:spacing w:before="120"/>
      </w:pPr>
      <w:r w:rsidRPr="007D02A7">
        <w:t xml:space="preserve">Con base en la información proporcionada por las Partes, en el </w:t>
      </w:r>
      <w:r w:rsidR="00FC1488" w:rsidRPr="007D02A7">
        <w:fldChar w:fldCharType="begin"/>
      </w:r>
      <w:r w:rsidR="00FC1488" w:rsidRPr="007D02A7">
        <w:instrText xml:space="preserve"> REF _Ref495410155 \r \h </w:instrText>
      </w:r>
      <w:r w:rsidR="0004481D" w:rsidRPr="007D02A7">
        <w:instrText xml:space="preserve"> \* MERGEFORMAT </w:instrText>
      </w:r>
      <w:r w:rsidR="00FC1488" w:rsidRPr="007D02A7">
        <w:fldChar w:fldCharType="separate"/>
      </w:r>
      <w:r w:rsidR="0017207B" w:rsidRPr="007D02A7">
        <w:t>Cuadro 3</w:t>
      </w:r>
      <w:r w:rsidR="00FC1488" w:rsidRPr="007D02A7">
        <w:fldChar w:fldCharType="end"/>
      </w:r>
      <w:r w:rsidRPr="007D02A7">
        <w:t xml:space="preserve"> se presenta la información financiera consolidada de MATC Digital.</w:t>
      </w:r>
    </w:p>
    <w:p w:rsidR="006B7D6B" w:rsidRPr="007D02A7" w:rsidRDefault="006B7D6B" w:rsidP="00637B96">
      <w:pPr>
        <w:pStyle w:val="Sinespaciado"/>
        <w:numPr>
          <w:ilvl w:val="0"/>
          <w:numId w:val="13"/>
        </w:numPr>
        <w:spacing w:before="120" w:after="120" w:line="276" w:lineRule="auto"/>
        <w:ind w:left="1985"/>
        <w:jc w:val="both"/>
        <w:rPr>
          <w:rFonts w:ascii="ITC Avant Garde" w:hAnsi="ITC Avant Garde"/>
          <w:b/>
        </w:rPr>
      </w:pPr>
      <w:bookmarkStart w:id="21" w:name="_Ref495410155"/>
      <w:r w:rsidRPr="007D02A7">
        <w:rPr>
          <w:rFonts w:ascii="ITC Avant Garde" w:hAnsi="ITC Avant Garde"/>
          <w:b/>
        </w:rPr>
        <w:t>Cifras financieras consolidadas de MATC Digital</w:t>
      </w:r>
      <w:bookmarkEnd w:id="21"/>
    </w:p>
    <w:tbl>
      <w:tblPr>
        <w:tblStyle w:val="Tablaconcuadrcula1"/>
        <w:tblW w:w="7253" w:type="dxa"/>
        <w:jc w:val="center"/>
        <w:tblLook w:val="04A0" w:firstRow="1" w:lastRow="0" w:firstColumn="1" w:lastColumn="0" w:noHBand="0" w:noVBand="1"/>
        <w:tblCaption w:val="Cifras financieras consolidadas de MATC Digital"/>
        <w:tblDescription w:val="En este cuadro se presentan los montos en pesos nominales de ingresos, utilidad (pérdida) neta y activos de MATC Digital al 31 de diciembre de 2015 y 2016, respectivamente."/>
      </w:tblPr>
      <w:tblGrid>
        <w:gridCol w:w="2263"/>
        <w:gridCol w:w="2495"/>
        <w:gridCol w:w="2495"/>
      </w:tblGrid>
      <w:tr w:rsidR="00EE12FA" w:rsidRPr="00EE12FA" w:rsidTr="00BB3A3C">
        <w:trPr>
          <w:trHeight w:val="20"/>
          <w:tblHeader/>
          <w:jc w:val="center"/>
        </w:trPr>
        <w:tc>
          <w:tcPr>
            <w:tcW w:w="2263" w:type="dxa"/>
            <w:shd w:val="clear" w:color="auto" w:fill="538135" w:themeFill="accent6" w:themeFillShade="BF"/>
            <w:vAlign w:val="center"/>
            <w:hideMark/>
          </w:tcPr>
          <w:p w:rsidR="006B7D6B" w:rsidRPr="00EE12FA" w:rsidRDefault="006B7D6B" w:rsidP="00F0777B">
            <w:pPr>
              <w:spacing w:after="0" w:line="240" w:lineRule="auto"/>
              <w:jc w:val="center"/>
              <w:rPr>
                <w:rFonts w:ascii="ITC Avant Garde" w:eastAsia="Times New Roman" w:hAnsi="ITC Avant Garde"/>
                <w:b/>
                <w:bCs/>
                <w:color w:val="000000" w:themeColor="text1"/>
                <w:sz w:val="18"/>
                <w:szCs w:val="18"/>
              </w:rPr>
            </w:pPr>
            <w:r w:rsidRPr="00EE12FA">
              <w:rPr>
                <w:rFonts w:ascii="ITC Avant Garde" w:eastAsia="Times New Roman" w:hAnsi="ITC Avant Garde"/>
                <w:b/>
                <w:bCs/>
                <w:color w:val="000000" w:themeColor="text1"/>
                <w:sz w:val="18"/>
                <w:szCs w:val="18"/>
              </w:rPr>
              <w:t>Concepto (pesos nominales)</w:t>
            </w:r>
          </w:p>
        </w:tc>
        <w:tc>
          <w:tcPr>
            <w:tcW w:w="2495" w:type="dxa"/>
            <w:shd w:val="clear" w:color="auto" w:fill="538135" w:themeFill="accent6" w:themeFillShade="BF"/>
            <w:vAlign w:val="center"/>
            <w:hideMark/>
          </w:tcPr>
          <w:p w:rsidR="006B7D6B" w:rsidRPr="00EE12FA" w:rsidRDefault="006B7D6B" w:rsidP="00F0777B">
            <w:pPr>
              <w:spacing w:after="0" w:line="240" w:lineRule="auto"/>
              <w:jc w:val="center"/>
              <w:rPr>
                <w:rFonts w:ascii="ITC Avant Garde" w:eastAsia="Times New Roman" w:hAnsi="ITC Avant Garde"/>
                <w:b/>
                <w:bCs/>
                <w:color w:val="000000" w:themeColor="text1"/>
                <w:sz w:val="18"/>
                <w:szCs w:val="18"/>
              </w:rPr>
            </w:pPr>
            <w:r w:rsidRPr="00EE12FA">
              <w:rPr>
                <w:rFonts w:ascii="ITC Avant Garde" w:hAnsi="ITC Avant Garde"/>
                <w:b/>
                <w:color w:val="000000" w:themeColor="text1"/>
                <w:sz w:val="18"/>
                <w:szCs w:val="18"/>
              </w:rPr>
              <w:t xml:space="preserve">31 de diciembre de </w:t>
            </w:r>
            <w:r w:rsidRPr="00EE12FA">
              <w:rPr>
                <w:rFonts w:ascii="ITC Avant Garde" w:eastAsia="Times New Roman" w:hAnsi="ITC Avant Garde"/>
                <w:b/>
                <w:bCs/>
                <w:color w:val="000000" w:themeColor="text1"/>
                <w:sz w:val="18"/>
                <w:szCs w:val="18"/>
              </w:rPr>
              <w:t>2016</w:t>
            </w:r>
          </w:p>
        </w:tc>
        <w:tc>
          <w:tcPr>
            <w:tcW w:w="2495" w:type="dxa"/>
            <w:shd w:val="clear" w:color="auto" w:fill="538135" w:themeFill="accent6" w:themeFillShade="BF"/>
            <w:vAlign w:val="center"/>
          </w:tcPr>
          <w:p w:rsidR="006B7D6B" w:rsidRPr="00EE12FA" w:rsidRDefault="006B7D6B" w:rsidP="00F0777B">
            <w:pPr>
              <w:spacing w:after="0" w:line="240" w:lineRule="auto"/>
              <w:jc w:val="center"/>
              <w:rPr>
                <w:rFonts w:ascii="ITC Avant Garde" w:eastAsia="Times New Roman" w:hAnsi="ITC Avant Garde"/>
                <w:b/>
                <w:bCs/>
                <w:color w:val="000000" w:themeColor="text1"/>
                <w:sz w:val="18"/>
                <w:szCs w:val="18"/>
              </w:rPr>
            </w:pPr>
            <w:r w:rsidRPr="00EE12FA">
              <w:rPr>
                <w:rFonts w:ascii="ITC Avant Garde" w:hAnsi="ITC Avant Garde"/>
                <w:b/>
                <w:color w:val="000000" w:themeColor="text1"/>
                <w:sz w:val="18"/>
                <w:szCs w:val="18"/>
              </w:rPr>
              <w:t xml:space="preserve">31 de diciembre de </w:t>
            </w:r>
            <w:r w:rsidRPr="00EE12FA">
              <w:rPr>
                <w:rFonts w:ascii="ITC Avant Garde" w:eastAsia="Times New Roman" w:hAnsi="ITC Avant Garde"/>
                <w:b/>
                <w:bCs/>
                <w:color w:val="000000" w:themeColor="text1"/>
                <w:sz w:val="18"/>
                <w:szCs w:val="18"/>
              </w:rPr>
              <w:t>2015</w:t>
            </w:r>
          </w:p>
        </w:tc>
      </w:tr>
      <w:tr w:rsidR="00250347" w:rsidRPr="007D02A7" w:rsidTr="00BB3A3C">
        <w:trPr>
          <w:trHeight w:val="20"/>
          <w:jc w:val="center"/>
        </w:trPr>
        <w:tc>
          <w:tcPr>
            <w:tcW w:w="2263" w:type="dxa"/>
            <w:vAlign w:val="center"/>
            <w:hideMark/>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Ingresos</w:t>
            </w:r>
          </w:p>
        </w:tc>
        <w:tc>
          <w:tcPr>
            <w:tcW w:w="2495" w:type="dxa"/>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(17)”</w:t>
            </w:r>
          </w:p>
        </w:tc>
        <w:tc>
          <w:tcPr>
            <w:tcW w:w="2495" w:type="dxa"/>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(17)”</w:t>
            </w:r>
          </w:p>
        </w:tc>
      </w:tr>
      <w:tr w:rsidR="00250347" w:rsidRPr="007D02A7" w:rsidTr="00BB3A3C">
        <w:trPr>
          <w:trHeight w:val="20"/>
          <w:jc w:val="center"/>
        </w:trPr>
        <w:tc>
          <w:tcPr>
            <w:tcW w:w="2263" w:type="dxa"/>
            <w:vAlign w:val="center"/>
            <w:hideMark/>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Utilidad (pérdida) neta</w:t>
            </w:r>
          </w:p>
        </w:tc>
        <w:tc>
          <w:tcPr>
            <w:tcW w:w="2495" w:type="dxa"/>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(17)”</w:t>
            </w:r>
          </w:p>
        </w:tc>
        <w:tc>
          <w:tcPr>
            <w:tcW w:w="2495" w:type="dxa"/>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(17)”</w:t>
            </w:r>
          </w:p>
        </w:tc>
      </w:tr>
      <w:tr w:rsidR="00250347" w:rsidRPr="007D02A7" w:rsidTr="00BB3A3C">
        <w:trPr>
          <w:trHeight w:val="20"/>
          <w:jc w:val="center"/>
        </w:trPr>
        <w:tc>
          <w:tcPr>
            <w:tcW w:w="2263" w:type="dxa"/>
            <w:vAlign w:val="center"/>
            <w:hideMark/>
          </w:tcPr>
          <w:p w:rsidR="00250347" w:rsidRPr="007D02A7" w:rsidRDefault="00250347" w:rsidP="0025034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Activos</w:t>
            </w:r>
          </w:p>
        </w:tc>
        <w:tc>
          <w:tcPr>
            <w:tcW w:w="2495" w:type="dxa"/>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(17)”</w:t>
            </w:r>
          </w:p>
        </w:tc>
        <w:tc>
          <w:tcPr>
            <w:tcW w:w="2495" w:type="dxa"/>
            <w:vAlign w:val="center"/>
          </w:tcPr>
          <w:p w:rsidR="00250347" w:rsidRPr="00BB3A3C" w:rsidRDefault="00250347" w:rsidP="0025034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(17)”</w:t>
            </w:r>
          </w:p>
        </w:tc>
      </w:tr>
    </w:tbl>
    <w:p w:rsidR="006B7D6B" w:rsidRPr="007D02A7" w:rsidRDefault="006B7D6B" w:rsidP="00FA2D69">
      <w:pPr>
        <w:spacing w:after="0" w:line="240" w:lineRule="auto"/>
        <w:ind w:left="1276" w:right="567"/>
        <w:jc w:val="both"/>
        <w:rPr>
          <w:rFonts w:ascii="ITC Avant Garde" w:hAnsi="ITC Avant Garde"/>
          <w:sz w:val="16"/>
        </w:rPr>
      </w:pPr>
      <w:r w:rsidRPr="007D02A7">
        <w:rPr>
          <w:rFonts w:ascii="ITC Avant Garde" w:hAnsi="ITC Avant Garde"/>
          <w:sz w:val="16"/>
        </w:rPr>
        <w:t>Fuente: Elaboración propia con información</w:t>
      </w:r>
      <w:r w:rsidR="008147FC" w:rsidRPr="007D02A7">
        <w:rPr>
          <w:rFonts w:ascii="ITC Avant Garde" w:hAnsi="ITC Avant Garde"/>
          <w:sz w:val="16"/>
        </w:rPr>
        <w:t xml:space="preserve"> del anexo d.1.g contenido en</w:t>
      </w:r>
      <w:r w:rsidRPr="007D02A7">
        <w:rPr>
          <w:rFonts w:ascii="ITC Avant Garde" w:hAnsi="ITC Avant Garde"/>
          <w:sz w:val="16"/>
        </w:rPr>
        <w:t xml:space="preserve"> </w:t>
      </w:r>
      <w:r w:rsidR="000C20F7" w:rsidRPr="007D02A7">
        <w:rPr>
          <w:rFonts w:ascii="ITC Avant Garde" w:hAnsi="ITC Avant Garde"/>
          <w:sz w:val="16"/>
        </w:rPr>
        <w:t>Foja</w:t>
      </w:r>
      <w:r w:rsidRPr="007D02A7">
        <w:rPr>
          <w:rFonts w:ascii="ITC Avant Garde" w:hAnsi="ITC Avant Garde"/>
          <w:sz w:val="16"/>
        </w:rPr>
        <w:t xml:space="preserve"> </w:t>
      </w:r>
      <w:r w:rsidR="000C20F7" w:rsidRPr="007D02A7">
        <w:rPr>
          <w:rFonts w:ascii="ITC Avant Garde" w:hAnsi="ITC Avant Garde"/>
          <w:sz w:val="16"/>
        </w:rPr>
        <w:t>15</w:t>
      </w:r>
      <w:r w:rsidRPr="007D02A7">
        <w:rPr>
          <w:rFonts w:ascii="ITC Avant Garde" w:hAnsi="ITC Avant Garde"/>
          <w:sz w:val="16"/>
        </w:rPr>
        <w:t xml:space="preserve"> del Expediente.</w:t>
      </w:r>
    </w:p>
    <w:p w:rsidR="002C6429" w:rsidRPr="007D02A7" w:rsidRDefault="002C6429" w:rsidP="00637B96">
      <w:pPr>
        <w:spacing w:before="120" w:after="120"/>
        <w:rPr>
          <w:rFonts w:ascii="ITC Avant Garde" w:hAnsi="ITC Avant Garde"/>
          <w:b/>
        </w:rPr>
      </w:pPr>
      <w:r w:rsidRPr="007D02A7">
        <w:rPr>
          <w:rFonts w:ascii="ITC Avant Garde" w:hAnsi="ITC Avant Garde"/>
          <w:b/>
        </w:rPr>
        <w:t>Accionistas</w:t>
      </w:r>
    </w:p>
    <w:p w:rsidR="00C8443A" w:rsidRPr="007D02A7" w:rsidRDefault="00C8443A" w:rsidP="00637B96">
      <w:pPr>
        <w:pStyle w:val="Prraforproyecto"/>
        <w:keepNext w:val="0"/>
        <w:spacing w:before="120"/>
      </w:pPr>
      <w:r w:rsidRPr="007D02A7">
        <w:t xml:space="preserve">Los accionistas de MATC Digital son American Tower </w:t>
      </w:r>
      <w:proofErr w:type="spellStart"/>
      <w:r w:rsidRPr="007D02A7">
        <w:t>Corporation</w:t>
      </w:r>
      <w:proofErr w:type="spellEnd"/>
      <w:r w:rsidRPr="007D02A7">
        <w:t xml:space="preserve"> de México, S. de R.L. de C.V. (ATC de México) y ATC Tower </w:t>
      </w:r>
      <w:proofErr w:type="spellStart"/>
      <w:r w:rsidRPr="007D02A7">
        <w:t>Services</w:t>
      </w:r>
      <w:proofErr w:type="spellEnd"/>
      <w:r w:rsidRPr="007D02A7">
        <w:t xml:space="preserve">, LLC (ATC Tower </w:t>
      </w:r>
      <w:proofErr w:type="spellStart"/>
      <w:r w:rsidRPr="007D02A7">
        <w:t>Services</w:t>
      </w:r>
      <w:proofErr w:type="spellEnd"/>
      <w:r w:rsidRPr="007D02A7">
        <w:t xml:space="preserve">). La estructura accionaria se presenta en el </w:t>
      </w:r>
      <w:r w:rsidR="004D2221" w:rsidRPr="007D02A7">
        <w:fldChar w:fldCharType="begin"/>
      </w:r>
      <w:r w:rsidR="004D2221" w:rsidRPr="007D02A7">
        <w:instrText xml:space="preserve"> REF _Ref495410238 \r \h </w:instrText>
      </w:r>
      <w:r w:rsidR="00AE382D" w:rsidRPr="007D02A7">
        <w:instrText xml:space="preserve"> \* MERGEFORMAT </w:instrText>
      </w:r>
      <w:r w:rsidR="004D2221" w:rsidRPr="007D02A7">
        <w:fldChar w:fldCharType="separate"/>
      </w:r>
      <w:r w:rsidR="0017207B" w:rsidRPr="007D02A7">
        <w:t>Cuadro 4</w:t>
      </w:r>
      <w:r w:rsidR="004D2221" w:rsidRPr="007D02A7">
        <w:fldChar w:fldCharType="end"/>
      </w:r>
      <w:r w:rsidR="004D2221" w:rsidRPr="007D02A7">
        <w:t xml:space="preserve">, la cual </w:t>
      </w:r>
      <w:r w:rsidRPr="007D02A7">
        <w:t>no se modificará en virtud de la Operación.</w:t>
      </w:r>
    </w:p>
    <w:p w:rsidR="00C8443A" w:rsidRPr="007D02A7" w:rsidRDefault="00C8443A" w:rsidP="00637B96">
      <w:pPr>
        <w:pStyle w:val="Sinespaciado"/>
        <w:numPr>
          <w:ilvl w:val="0"/>
          <w:numId w:val="13"/>
        </w:numPr>
        <w:spacing w:before="120" w:after="120" w:line="276" w:lineRule="auto"/>
        <w:ind w:left="851"/>
        <w:jc w:val="center"/>
        <w:rPr>
          <w:rFonts w:ascii="ITC Avant Garde" w:hAnsi="ITC Avant Garde"/>
          <w:b/>
        </w:rPr>
      </w:pPr>
      <w:bookmarkStart w:id="22" w:name="_Ref495410238"/>
      <w:r w:rsidRPr="007D02A7">
        <w:rPr>
          <w:rFonts w:ascii="ITC Avant Garde" w:hAnsi="ITC Avant Garde"/>
          <w:b/>
        </w:rPr>
        <w:lastRenderedPageBreak/>
        <w:t>Accionistas de MATC Digital</w:t>
      </w:r>
      <w:bookmarkEnd w:id="22"/>
    </w:p>
    <w:tbl>
      <w:tblPr>
        <w:tblStyle w:val="Tablaconcuadrcula1"/>
        <w:tblW w:w="6293" w:type="dxa"/>
        <w:jc w:val="center"/>
        <w:tblLook w:val="04A0" w:firstRow="1" w:lastRow="0" w:firstColumn="1" w:lastColumn="0" w:noHBand="0" w:noVBand="1"/>
        <w:tblCaption w:val="Accionistas de MATC Digital"/>
        <w:tblDescription w:val="En este cuadro se presentan a los accionistas y su respectivas participaciones en el capital social de MATC Digital."/>
      </w:tblPr>
      <w:tblGrid>
        <w:gridCol w:w="4106"/>
        <w:gridCol w:w="2187"/>
      </w:tblGrid>
      <w:tr w:rsidR="00C8443A" w:rsidRPr="000F7E62" w:rsidTr="00BB3A3C">
        <w:trPr>
          <w:trHeight w:val="20"/>
          <w:tblHeader/>
          <w:jc w:val="center"/>
        </w:trPr>
        <w:tc>
          <w:tcPr>
            <w:tcW w:w="4106" w:type="dxa"/>
            <w:shd w:val="clear" w:color="auto" w:fill="538135" w:themeFill="accent6" w:themeFillShade="BF"/>
            <w:noWrap/>
            <w:vAlign w:val="center"/>
          </w:tcPr>
          <w:p w:rsidR="00C8443A" w:rsidRPr="000F7E62" w:rsidRDefault="00C8443A" w:rsidP="00E22AA2">
            <w:pPr>
              <w:spacing w:after="0" w:line="240" w:lineRule="auto"/>
              <w:rPr>
                <w:rFonts w:ascii="ITC Avant Garde" w:eastAsia="Times New Roman" w:hAnsi="ITC Avant Garde"/>
                <w:b/>
                <w:color w:val="000000" w:themeColor="text1"/>
                <w:sz w:val="18"/>
                <w:szCs w:val="18"/>
              </w:rPr>
            </w:pPr>
            <w:r w:rsidRPr="000F7E62">
              <w:rPr>
                <w:rFonts w:ascii="ITC Avant Garde" w:eastAsia="Times New Roman" w:hAnsi="ITC Avant Garde"/>
                <w:b/>
                <w:color w:val="000000" w:themeColor="text1"/>
                <w:sz w:val="18"/>
                <w:szCs w:val="18"/>
              </w:rPr>
              <w:t>Accionistas</w:t>
            </w:r>
          </w:p>
        </w:tc>
        <w:tc>
          <w:tcPr>
            <w:tcW w:w="2187" w:type="dxa"/>
            <w:shd w:val="clear" w:color="auto" w:fill="538135" w:themeFill="accent6" w:themeFillShade="BF"/>
            <w:noWrap/>
            <w:vAlign w:val="center"/>
          </w:tcPr>
          <w:p w:rsidR="00C8443A" w:rsidRPr="000F7E62" w:rsidRDefault="00C8443A" w:rsidP="00E22AA2">
            <w:pPr>
              <w:spacing w:after="0" w:line="240" w:lineRule="auto"/>
              <w:jc w:val="right"/>
              <w:rPr>
                <w:rFonts w:ascii="ITC Avant Garde" w:eastAsia="Times New Roman" w:hAnsi="ITC Avant Garde"/>
                <w:b/>
                <w:color w:val="000000" w:themeColor="text1"/>
                <w:sz w:val="18"/>
                <w:szCs w:val="18"/>
              </w:rPr>
            </w:pPr>
            <w:r w:rsidRPr="000F7E62">
              <w:rPr>
                <w:rFonts w:ascii="ITC Avant Garde" w:eastAsia="Times New Roman" w:hAnsi="ITC Avant Garde"/>
                <w:b/>
                <w:color w:val="000000" w:themeColor="text1"/>
                <w:sz w:val="18"/>
                <w:szCs w:val="18"/>
              </w:rPr>
              <w:t>Participación (%)</w:t>
            </w:r>
          </w:p>
        </w:tc>
      </w:tr>
      <w:tr w:rsidR="00C8443A" w:rsidRPr="007D02A7" w:rsidTr="00BB3A3C">
        <w:trPr>
          <w:trHeight w:val="20"/>
          <w:jc w:val="center"/>
        </w:trPr>
        <w:tc>
          <w:tcPr>
            <w:tcW w:w="4106" w:type="dxa"/>
            <w:noWrap/>
            <w:vAlign w:val="center"/>
            <w:hideMark/>
          </w:tcPr>
          <w:p w:rsidR="00C8443A" w:rsidRPr="007D02A7" w:rsidRDefault="00C8443A" w:rsidP="00E22AA2">
            <w:pPr>
              <w:spacing w:after="0" w:line="240" w:lineRule="auto"/>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ATC de México</w:t>
            </w:r>
          </w:p>
        </w:tc>
        <w:tc>
          <w:tcPr>
            <w:tcW w:w="2187" w:type="dxa"/>
            <w:noWrap/>
            <w:vAlign w:val="center"/>
          </w:tcPr>
          <w:p w:rsidR="00C8443A" w:rsidRPr="00BB3A3C" w:rsidRDefault="001509D8" w:rsidP="001509D8">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 xml:space="preserve">“CONFIDENCIAL POR LEY </w:t>
            </w:r>
            <w:r w:rsidR="00250347" w:rsidRPr="00BB3A3C">
              <w:rPr>
                <w:rFonts w:ascii="ITC Avant Garde" w:hAnsi="ITC Avant Garde"/>
                <w:b/>
                <w:color w:val="0000CC"/>
                <w:sz w:val="13"/>
                <w:szCs w:val="13"/>
              </w:rPr>
              <w:t>(</w:t>
            </w:r>
            <w:r w:rsidRPr="00BB3A3C">
              <w:rPr>
                <w:rFonts w:ascii="ITC Avant Garde" w:hAnsi="ITC Avant Garde"/>
                <w:b/>
                <w:color w:val="0000CC"/>
                <w:sz w:val="13"/>
                <w:szCs w:val="13"/>
              </w:rPr>
              <w:t>18</w:t>
            </w:r>
            <w:r w:rsidR="00250347" w:rsidRPr="00BB3A3C">
              <w:rPr>
                <w:rFonts w:ascii="ITC Avant Garde" w:hAnsi="ITC Avant Garde"/>
                <w:b/>
                <w:color w:val="0000CC"/>
                <w:sz w:val="13"/>
                <w:szCs w:val="13"/>
              </w:rPr>
              <w:t>)</w:t>
            </w:r>
            <w:r w:rsidRPr="00BB3A3C">
              <w:rPr>
                <w:rFonts w:ascii="ITC Avant Garde" w:hAnsi="ITC Avant Garde"/>
                <w:b/>
                <w:color w:val="0000CC"/>
                <w:sz w:val="13"/>
                <w:szCs w:val="13"/>
              </w:rPr>
              <w:t>”</w:t>
            </w:r>
          </w:p>
        </w:tc>
      </w:tr>
      <w:tr w:rsidR="00C8443A" w:rsidRPr="007D02A7" w:rsidTr="00BB3A3C">
        <w:trPr>
          <w:trHeight w:val="20"/>
          <w:jc w:val="center"/>
        </w:trPr>
        <w:tc>
          <w:tcPr>
            <w:tcW w:w="4106" w:type="dxa"/>
            <w:noWrap/>
            <w:vAlign w:val="center"/>
          </w:tcPr>
          <w:p w:rsidR="00C8443A" w:rsidRPr="007D02A7" w:rsidRDefault="00C8443A" w:rsidP="00E22AA2">
            <w:pPr>
              <w:spacing w:after="0" w:line="240" w:lineRule="auto"/>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 xml:space="preserve">ATC Tower </w:t>
            </w:r>
            <w:proofErr w:type="spellStart"/>
            <w:r w:rsidRPr="007D02A7">
              <w:rPr>
                <w:rFonts w:ascii="ITC Avant Garde" w:eastAsia="Times New Roman" w:hAnsi="ITC Avant Garde"/>
                <w:color w:val="000000"/>
                <w:sz w:val="18"/>
                <w:szCs w:val="18"/>
              </w:rPr>
              <w:t>Services</w:t>
            </w:r>
            <w:proofErr w:type="spellEnd"/>
            <w:r w:rsidRPr="007D02A7">
              <w:rPr>
                <w:rFonts w:ascii="ITC Avant Garde" w:eastAsia="Times New Roman" w:hAnsi="ITC Avant Garde"/>
                <w:color w:val="000000"/>
                <w:sz w:val="18"/>
                <w:szCs w:val="18"/>
              </w:rPr>
              <w:t xml:space="preserve"> </w:t>
            </w:r>
            <w:r w:rsidRPr="007D02A7">
              <w:rPr>
                <w:rStyle w:val="Refdenotaalpie"/>
                <w:rFonts w:ascii="ITC Avant Garde" w:hAnsi="ITC Avant Garde"/>
                <w:sz w:val="18"/>
                <w:szCs w:val="18"/>
              </w:rPr>
              <w:footnoteReference w:id="14"/>
            </w:r>
          </w:p>
        </w:tc>
        <w:tc>
          <w:tcPr>
            <w:tcW w:w="2187" w:type="dxa"/>
            <w:noWrap/>
            <w:vAlign w:val="center"/>
          </w:tcPr>
          <w:p w:rsidR="00C8443A" w:rsidRPr="00BB3A3C" w:rsidRDefault="00250347" w:rsidP="001509D8">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(18)”</w:t>
            </w:r>
          </w:p>
        </w:tc>
      </w:tr>
      <w:tr w:rsidR="00C8443A" w:rsidRPr="007D02A7" w:rsidTr="00BB3A3C">
        <w:trPr>
          <w:trHeight w:val="20"/>
          <w:jc w:val="center"/>
        </w:trPr>
        <w:tc>
          <w:tcPr>
            <w:tcW w:w="4106" w:type="dxa"/>
            <w:noWrap/>
            <w:vAlign w:val="center"/>
          </w:tcPr>
          <w:p w:rsidR="00C8443A" w:rsidRPr="007D02A7" w:rsidRDefault="00C8443A" w:rsidP="001509D8">
            <w:pPr>
              <w:spacing w:after="0" w:line="240" w:lineRule="auto"/>
              <w:jc w:val="right"/>
              <w:rPr>
                <w:rFonts w:ascii="ITC Avant Garde" w:eastAsia="Times New Roman" w:hAnsi="ITC Avant Garde"/>
                <w:b/>
                <w:color w:val="000000"/>
                <w:sz w:val="18"/>
                <w:szCs w:val="18"/>
              </w:rPr>
            </w:pPr>
            <w:r w:rsidRPr="007D02A7">
              <w:rPr>
                <w:rFonts w:ascii="ITC Avant Garde" w:eastAsia="Times New Roman" w:hAnsi="ITC Avant Garde"/>
                <w:b/>
                <w:color w:val="000000"/>
                <w:sz w:val="18"/>
                <w:szCs w:val="18"/>
              </w:rPr>
              <w:t>Total</w:t>
            </w:r>
          </w:p>
        </w:tc>
        <w:tc>
          <w:tcPr>
            <w:tcW w:w="2187" w:type="dxa"/>
            <w:noWrap/>
            <w:vAlign w:val="center"/>
          </w:tcPr>
          <w:p w:rsidR="00C8443A" w:rsidRPr="00BB3A3C" w:rsidRDefault="00250347" w:rsidP="001509D8">
            <w:pPr>
              <w:spacing w:after="0" w:line="240" w:lineRule="auto"/>
              <w:jc w:val="center"/>
              <w:rPr>
                <w:rFonts w:ascii="ITC Avant Garde" w:eastAsia="Times New Roman" w:hAnsi="ITC Avant Garde"/>
                <w:b/>
                <w:color w:val="000000"/>
                <w:sz w:val="13"/>
                <w:szCs w:val="13"/>
                <w:highlight w:val="magenta"/>
              </w:rPr>
            </w:pPr>
            <w:r w:rsidRPr="00BB3A3C">
              <w:rPr>
                <w:rFonts w:ascii="ITC Avant Garde" w:hAnsi="ITC Avant Garde"/>
                <w:b/>
                <w:color w:val="0000CC"/>
                <w:sz w:val="13"/>
                <w:szCs w:val="13"/>
              </w:rPr>
              <w:t>“CONFIDENCIAL POR LEY (18)”</w:t>
            </w:r>
          </w:p>
        </w:tc>
      </w:tr>
    </w:tbl>
    <w:p w:rsidR="00C8443A" w:rsidRPr="007D02A7" w:rsidRDefault="00C8443A" w:rsidP="00FA2D69">
      <w:pPr>
        <w:spacing w:after="0" w:line="240" w:lineRule="auto"/>
        <w:ind w:left="1276" w:right="567"/>
        <w:jc w:val="both"/>
        <w:rPr>
          <w:rFonts w:ascii="ITC Avant Garde" w:hAnsi="ITC Avant Garde"/>
          <w:sz w:val="16"/>
        </w:rPr>
      </w:pPr>
      <w:r w:rsidRPr="007D02A7">
        <w:rPr>
          <w:rFonts w:ascii="ITC Avant Garde" w:hAnsi="ITC Avant Garde"/>
          <w:sz w:val="16"/>
        </w:rPr>
        <w:t xml:space="preserve">Fuente: Elaboración propia con información contenida en Foja </w:t>
      </w:r>
      <w:r w:rsidR="000C20F7" w:rsidRPr="007D02A7">
        <w:rPr>
          <w:rFonts w:ascii="ITC Avant Garde" w:hAnsi="ITC Avant Garde"/>
          <w:sz w:val="16"/>
        </w:rPr>
        <w:t>5</w:t>
      </w:r>
      <w:r w:rsidRPr="007D02A7">
        <w:rPr>
          <w:rFonts w:ascii="ITC Avant Garde" w:hAnsi="ITC Avant Garde"/>
          <w:sz w:val="16"/>
        </w:rPr>
        <w:t xml:space="preserve"> del Expediente.</w:t>
      </w:r>
    </w:p>
    <w:p w:rsidR="00C8443A" w:rsidRPr="007D02A7" w:rsidRDefault="00C8443A" w:rsidP="00637B96">
      <w:pPr>
        <w:pStyle w:val="Prraforproyecto"/>
        <w:keepNext w:val="0"/>
        <w:spacing w:before="120"/>
      </w:pPr>
      <w:r w:rsidRPr="007D02A7">
        <w:t xml:space="preserve">A su vez, ATC de México es controlada por American Tower </w:t>
      </w:r>
      <w:proofErr w:type="spellStart"/>
      <w:r w:rsidRPr="007D02A7">
        <w:t>Corporation</w:t>
      </w:r>
      <w:proofErr w:type="spellEnd"/>
      <w:r w:rsidRPr="007D02A7">
        <w:t xml:space="preserve"> (ATC), por lo que MATC Digital es indirectamente controlada por ATC.</w:t>
      </w:r>
    </w:p>
    <w:p w:rsidR="00C8443A" w:rsidRPr="007D02A7" w:rsidRDefault="00C8443A" w:rsidP="00637B96">
      <w:pPr>
        <w:pStyle w:val="Sinespaciado"/>
        <w:numPr>
          <w:ilvl w:val="0"/>
          <w:numId w:val="13"/>
        </w:numPr>
        <w:spacing w:before="120" w:after="120" w:line="276" w:lineRule="auto"/>
        <w:ind w:left="2694" w:right="-1"/>
        <w:jc w:val="both"/>
        <w:rPr>
          <w:rFonts w:ascii="ITC Avant Garde" w:hAnsi="ITC Avant Garde"/>
          <w:b/>
        </w:rPr>
      </w:pPr>
      <w:r w:rsidRPr="007D02A7">
        <w:rPr>
          <w:rFonts w:ascii="ITC Avant Garde" w:hAnsi="ITC Avant Garde"/>
          <w:b/>
        </w:rPr>
        <w:t>Accionistas de ATC de México</w:t>
      </w:r>
    </w:p>
    <w:tbl>
      <w:tblPr>
        <w:tblStyle w:val="Tablaconcuadrcula1"/>
        <w:tblW w:w="6860" w:type="dxa"/>
        <w:jc w:val="center"/>
        <w:tblLook w:val="04A0" w:firstRow="1" w:lastRow="0" w:firstColumn="1" w:lastColumn="0" w:noHBand="0" w:noVBand="1"/>
        <w:tblCaption w:val="Cuadro 5. Accionistas de ATC de México"/>
        <w:tblDescription w:val="En este cuadro se presentan a los accionistas y su respectivas participaciones en el capital social de ATC de México."/>
      </w:tblPr>
      <w:tblGrid>
        <w:gridCol w:w="4673"/>
        <w:gridCol w:w="2187"/>
      </w:tblGrid>
      <w:tr w:rsidR="00C8443A" w:rsidRPr="000F7E62" w:rsidTr="00BB3A3C">
        <w:trPr>
          <w:trHeight w:val="20"/>
          <w:tblHeader/>
          <w:jc w:val="center"/>
        </w:trPr>
        <w:tc>
          <w:tcPr>
            <w:tcW w:w="4673" w:type="dxa"/>
            <w:shd w:val="clear" w:color="auto" w:fill="538135" w:themeFill="accent6" w:themeFillShade="BF"/>
            <w:noWrap/>
          </w:tcPr>
          <w:p w:rsidR="00C8443A" w:rsidRPr="000F7E62" w:rsidRDefault="00C8443A" w:rsidP="00FA2D69">
            <w:pPr>
              <w:spacing w:after="0" w:line="240" w:lineRule="auto"/>
              <w:jc w:val="center"/>
              <w:rPr>
                <w:rFonts w:ascii="ITC Avant Garde" w:eastAsia="Times New Roman" w:hAnsi="ITC Avant Garde"/>
                <w:b/>
                <w:color w:val="000000" w:themeColor="text1"/>
                <w:sz w:val="18"/>
                <w:szCs w:val="18"/>
              </w:rPr>
            </w:pPr>
            <w:r w:rsidRPr="000F7E62">
              <w:rPr>
                <w:rFonts w:ascii="ITC Avant Garde" w:eastAsia="Times New Roman" w:hAnsi="ITC Avant Garde"/>
                <w:b/>
                <w:color w:val="000000" w:themeColor="text1"/>
                <w:sz w:val="18"/>
                <w:szCs w:val="18"/>
              </w:rPr>
              <w:t>Accionistas</w:t>
            </w:r>
          </w:p>
        </w:tc>
        <w:tc>
          <w:tcPr>
            <w:tcW w:w="2187" w:type="dxa"/>
            <w:shd w:val="clear" w:color="auto" w:fill="538135" w:themeFill="accent6" w:themeFillShade="BF"/>
            <w:noWrap/>
          </w:tcPr>
          <w:p w:rsidR="00C8443A" w:rsidRPr="000F7E62" w:rsidRDefault="00C8443A" w:rsidP="00FA2D69">
            <w:pPr>
              <w:spacing w:after="0" w:line="240" w:lineRule="auto"/>
              <w:jc w:val="right"/>
              <w:rPr>
                <w:rFonts w:ascii="ITC Avant Garde" w:eastAsia="Times New Roman" w:hAnsi="ITC Avant Garde"/>
                <w:b/>
                <w:color w:val="000000" w:themeColor="text1"/>
                <w:sz w:val="18"/>
                <w:szCs w:val="18"/>
              </w:rPr>
            </w:pPr>
            <w:r w:rsidRPr="000F7E62">
              <w:rPr>
                <w:rFonts w:ascii="ITC Avant Garde" w:eastAsia="Times New Roman" w:hAnsi="ITC Avant Garde"/>
                <w:b/>
                <w:color w:val="000000" w:themeColor="text1"/>
                <w:sz w:val="18"/>
                <w:szCs w:val="18"/>
              </w:rPr>
              <w:t>Participación (%)</w:t>
            </w:r>
          </w:p>
        </w:tc>
      </w:tr>
      <w:tr w:rsidR="00C8443A" w:rsidRPr="007D02A7" w:rsidTr="00BB3A3C">
        <w:trPr>
          <w:trHeight w:val="20"/>
          <w:jc w:val="center"/>
        </w:trPr>
        <w:tc>
          <w:tcPr>
            <w:tcW w:w="4673" w:type="dxa"/>
            <w:noWrap/>
            <w:hideMark/>
          </w:tcPr>
          <w:p w:rsidR="00C8443A" w:rsidRPr="007D02A7" w:rsidRDefault="00C8443A" w:rsidP="00FA2D69">
            <w:pPr>
              <w:spacing w:after="0" w:line="240" w:lineRule="auto"/>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ATC</w:t>
            </w:r>
          </w:p>
        </w:tc>
        <w:tc>
          <w:tcPr>
            <w:tcW w:w="2187" w:type="dxa"/>
            <w:noWrap/>
            <w:vAlign w:val="center"/>
          </w:tcPr>
          <w:p w:rsidR="00C8443A" w:rsidRPr="00BB3A3C" w:rsidRDefault="001509D8" w:rsidP="001509D8">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 xml:space="preserve">“CONFIDENCIAL POR LEY </w:t>
            </w:r>
            <w:r w:rsidR="00250347" w:rsidRPr="00BB3A3C">
              <w:rPr>
                <w:rFonts w:ascii="ITC Avant Garde" w:hAnsi="ITC Avant Garde"/>
                <w:b/>
                <w:color w:val="0000CC"/>
                <w:sz w:val="13"/>
                <w:szCs w:val="13"/>
              </w:rPr>
              <w:t>(</w:t>
            </w:r>
            <w:r w:rsidRPr="00BB3A3C">
              <w:rPr>
                <w:rFonts w:ascii="ITC Avant Garde" w:hAnsi="ITC Avant Garde"/>
                <w:b/>
                <w:color w:val="0000CC"/>
                <w:sz w:val="13"/>
                <w:szCs w:val="13"/>
              </w:rPr>
              <w:t>20</w:t>
            </w:r>
            <w:r w:rsidR="00250347" w:rsidRPr="00BB3A3C">
              <w:rPr>
                <w:rFonts w:ascii="ITC Avant Garde" w:hAnsi="ITC Avant Garde"/>
                <w:b/>
                <w:color w:val="0000CC"/>
                <w:sz w:val="13"/>
                <w:szCs w:val="13"/>
              </w:rPr>
              <w:t>)</w:t>
            </w:r>
            <w:r w:rsidRPr="00BB3A3C">
              <w:rPr>
                <w:rFonts w:ascii="ITC Avant Garde" w:hAnsi="ITC Avant Garde"/>
                <w:b/>
                <w:color w:val="0000CC"/>
                <w:sz w:val="13"/>
                <w:szCs w:val="13"/>
              </w:rPr>
              <w:t>”</w:t>
            </w:r>
          </w:p>
        </w:tc>
      </w:tr>
      <w:tr w:rsidR="00C8443A" w:rsidRPr="007D02A7" w:rsidTr="00BB3A3C">
        <w:trPr>
          <w:trHeight w:val="20"/>
          <w:jc w:val="center"/>
        </w:trPr>
        <w:tc>
          <w:tcPr>
            <w:tcW w:w="4673" w:type="dxa"/>
            <w:noWrap/>
          </w:tcPr>
          <w:p w:rsidR="00C8443A" w:rsidRPr="007D02A7" w:rsidRDefault="00C8443A" w:rsidP="00FA2D69">
            <w:pPr>
              <w:spacing w:after="0" w:line="240" w:lineRule="auto"/>
              <w:rPr>
                <w:rFonts w:ascii="ITC Avant Garde" w:eastAsia="Times New Roman" w:hAnsi="ITC Avant Garde"/>
                <w:color w:val="000000"/>
                <w:sz w:val="18"/>
                <w:szCs w:val="18"/>
                <w:lang w:val="en-US"/>
              </w:rPr>
            </w:pPr>
            <w:r w:rsidRPr="007D02A7">
              <w:rPr>
                <w:rFonts w:ascii="ITC Avant Garde" w:eastAsia="Times New Roman" w:hAnsi="ITC Avant Garde"/>
                <w:color w:val="000000"/>
                <w:sz w:val="18"/>
                <w:szCs w:val="18"/>
                <w:lang w:val="en-US"/>
              </w:rPr>
              <w:t xml:space="preserve">ATC </w:t>
            </w:r>
            <w:proofErr w:type="spellStart"/>
            <w:r w:rsidRPr="007D02A7">
              <w:rPr>
                <w:rFonts w:ascii="ITC Avant Garde" w:eastAsia="Times New Roman" w:hAnsi="ITC Avant Garde"/>
                <w:color w:val="000000"/>
                <w:sz w:val="18"/>
                <w:szCs w:val="18"/>
                <w:lang w:val="en-US"/>
              </w:rPr>
              <w:t>Mexhold</w:t>
            </w:r>
            <w:proofErr w:type="spellEnd"/>
            <w:r w:rsidRPr="007D02A7">
              <w:rPr>
                <w:rFonts w:ascii="ITC Avant Garde" w:eastAsia="Times New Roman" w:hAnsi="ITC Avant Garde"/>
                <w:color w:val="000000"/>
                <w:sz w:val="18"/>
                <w:szCs w:val="18"/>
                <w:lang w:val="en-US"/>
              </w:rPr>
              <w:t>, LLC</w:t>
            </w:r>
            <w:r w:rsidR="00AF43DC" w:rsidRPr="007D02A7">
              <w:rPr>
                <w:rFonts w:ascii="ITC Avant Garde" w:eastAsia="Times New Roman" w:hAnsi="ITC Avant Garde"/>
                <w:color w:val="000000"/>
                <w:sz w:val="18"/>
                <w:szCs w:val="18"/>
                <w:lang w:val="en-US"/>
              </w:rPr>
              <w:t xml:space="preserve"> (ATC </w:t>
            </w:r>
            <w:proofErr w:type="spellStart"/>
            <w:r w:rsidR="00AF43DC" w:rsidRPr="007D02A7">
              <w:rPr>
                <w:rFonts w:ascii="ITC Avant Garde" w:eastAsia="Times New Roman" w:hAnsi="ITC Avant Garde"/>
                <w:color w:val="000000"/>
                <w:sz w:val="18"/>
                <w:szCs w:val="18"/>
                <w:lang w:val="en-US"/>
              </w:rPr>
              <w:t>Mexhold</w:t>
            </w:r>
            <w:proofErr w:type="spellEnd"/>
            <w:r w:rsidR="00AF43DC" w:rsidRPr="007D02A7">
              <w:rPr>
                <w:rStyle w:val="Refdenotaalpie"/>
                <w:rFonts w:ascii="ITC Avant Garde" w:hAnsi="ITC Avant Garde"/>
                <w:sz w:val="18"/>
                <w:szCs w:val="18"/>
                <w:lang w:val="en-US"/>
              </w:rPr>
              <w:t xml:space="preserve"> </w:t>
            </w:r>
            <w:r w:rsidR="00AF43DC" w:rsidRPr="007D02A7">
              <w:rPr>
                <w:rFonts w:ascii="ITC Avant Garde" w:hAnsi="ITC Avant Garde"/>
                <w:sz w:val="18"/>
                <w:szCs w:val="18"/>
                <w:lang w:val="en-US"/>
              </w:rPr>
              <w:t>)</w:t>
            </w:r>
            <w:r w:rsidRPr="007D02A7">
              <w:rPr>
                <w:rStyle w:val="Refdenotaalpie"/>
                <w:rFonts w:ascii="ITC Avant Garde" w:hAnsi="ITC Avant Garde"/>
                <w:sz w:val="18"/>
                <w:szCs w:val="18"/>
              </w:rPr>
              <w:footnoteReference w:id="15"/>
            </w:r>
          </w:p>
        </w:tc>
        <w:tc>
          <w:tcPr>
            <w:tcW w:w="2187" w:type="dxa"/>
            <w:noWrap/>
            <w:vAlign w:val="center"/>
          </w:tcPr>
          <w:p w:rsidR="00C8443A" w:rsidRPr="00BB3A3C" w:rsidRDefault="00250347" w:rsidP="001509D8">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(20)”</w:t>
            </w:r>
          </w:p>
        </w:tc>
      </w:tr>
      <w:tr w:rsidR="00C8443A" w:rsidRPr="007D02A7" w:rsidTr="00BB3A3C">
        <w:trPr>
          <w:trHeight w:val="20"/>
          <w:jc w:val="center"/>
        </w:trPr>
        <w:tc>
          <w:tcPr>
            <w:tcW w:w="4673" w:type="dxa"/>
            <w:noWrap/>
          </w:tcPr>
          <w:p w:rsidR="00C8443A" w:rsidRPr="007D02A7" w:rsidRDefault="00C8443A" w:rsidP="00FA2D69">
            <w:pPr>
              <w:spacing w:after="0" w:line="240" w:lineRule="auto"/>
              <w:jc w:val="right"/>
              <w:rPr>
                <w:rFonts w:ascii="ITC Avant Garde" w:eastAsia="Times New Roman" w:hAnsi="ITC Avant Garde"/>
                <w:b/>
                <w:color w:val="000000"/>
                <w:sz w:val="18"/>
                <w:szCs w:val="18"/>
              </w:rPr>
            </w:pPr>
            <w:r w:rsidRPr="007D02A7">
              <w:rPr>
                <w:rFonts w:ascii="ITC Avant Garde" w:eastAsia="Times New Roman" w:hAnsi="ITC Avant Garde"/>
                <w:b/>
                <w:color w:val="000000"/>
                <w:sz w:val="18"/>
                <w:szCs w:val="18"/>
              </w:rPr>
              <w:t>Total</w:t>
            </w:r>
          </w:p>
        </w:tc>
        <w:tc>
          <w:tcPr>
            <w:tcW w:w="2187" w:type="dxa"/>
            <w:noWrap/>
            <w:vAlign w:val="center"/>
          </w:tcPr>
          <w:p w:rsidR="00C8443A" w:rsidRPr="00BB3A3C" w:rsidRDefault="00250347" w:rsidP="001509D8">
            <w:pPr>
              <w:spacing w:after="0" w:line="240" w:lineRule="auto"/>
              <w:jc w:val="center"/>
              <w:rPr>
                <w:rFonts w:ascii="ITC Avant Garde" w:eastAsia="Times New Roman" w:hAnsi="ITC Avant Garde"/>
                <w:b/>
                <w:color w:val="000000"/>
                <w:sz w:val="13"/>
                <w:szCs w:val="13"/>
                <w:highlight w:val="magenta"/>
              </w:rPr>
            </w:pPr>
            <w:r w:rsidRPr="00BB3A3C">
              <w:rPr>
                <w:rFonts w:ascii="ITC Avant Garde" w:hAnsi="ITC Avant Garde"/>
                <w:b/>
                <w:color w:val="0000CC"/>
                <w:sz w:val="13"/>
                <w:szCs w:val="13"/>
              </w:rPr>
              <w:t>“CONFIDENCIAL POR LEY (20)”</w:t>
            </w:r>
          </w:p>
        </w:tc>
      </w:tr>
    </w:tbl>
    <w:p w:rsidR="00C8443A" w:rsidRPr="007D02A7" w:rsidRDefault="00C8443A" w:rsidP="00FA2D69">
      <w:pPr>
        <w:spacing w:after="0" w:line="240" w:lineRule="auto"/>
        <w:ind w:left="1276" w:right="567"/>
        <w:jc w:val="both"/>
        <w:rPr>
          <w:rFonts w:ascii="ITC Avant Garde" w:hAnsi="ITC Avant Garde"/>
          <w:sz w:val="16"/>
        </w:rPr>
      </w:pPr>
      <w:r w:rsidRPr="007D02A7">
        <w:rPr>
          <w:rFonts w:ascii="ITC Avant Garde" w:hAnsi="ITC Avant Garde"/>
          <w:sz w:val="16"/>
        </w:rPr>
        <w:t xml:space="preserve">Fuente: Elaboración propia con información contenida en Foja </w:t>
      </w:r>
      <w:r w:rsidR="008147FC" w:rsidRPr="007D02A7">
        <w:rPr>
          <w:rFonts w:ascii="ITC Avant Garde" w:hAnsi="ITC Avant Garde"/>
          <w:sz w:val="16"/>
        </w:rPr>
        <w:t>5</w:t>
      </w:r>
      <w:r w:rsidRPr="007D02A7">
        <w:rPr>
          <w:rFonts w:ascii="ITC Avant Garde" w:hAnsi="ITC Avant Garde"/>
          <w:sz w:val="16"/>
        </w:rPr>
        <w:t xml:space="preserve"> del Expediente.</w:t>
      </w:r>
    </w:p>
    <w:p w:rsidR="00B457CF" w:rsidRPr="007D02A7" w:rsidRDefault="005E2859" w:rsidP="00637B96">
      <w:pPr>
        <w:pStyle w:val="Prraforproyecto"/>
        <w:keepNext w:val="0"/>
        <w:spacing w:before="120"/>
      </w:pPr>
      <w:r w:rsidRPr="007D02A7">
        <w:t xml:space="preserve">Conforme a lo presentado por las Partes, MATC Digital pertenece al grupo de interés económico </w:t>
      </w:r>
      <w:r w:rsidR="00687333" w:rsidRPr="007D02A7">
        <w:t xml:space="preserve">(GIE) </w:t>
      </w:r>
      <w:r w:rsidRPr="007D02A7">
        <w:t>denominado American Tower, controlado en última instancia por ATC</w:t>
      </w:r>
      <w:r w:rsidR="00B457CF" w:rsidRPr="007D02A7">
        <w:t xml:space="preserve">. </w:t>
      </w:r>
    </w:p>
    <w:p w:rsidR="005E2859" w:rsidRPr="007D02A7" w:rsidRDefault="005E2859" w:rsidP="00637B96">
      <w:pPr>
        <w:pStyle w:val="Prraforproyecto"/>
        <w:keepNext w:val="0"/>
        <w:spacing w:before="120"/>
      </w:pPr>
      <w:r w:rsidRPr="007D02A7">
        <w:t>ATC es una compañía propietaria y operadora de infraestructura de comunicaciones inalámbricas y de radiodifusión a nivel global</w:t>
      </w:r>
      <w:r w:rsidR="00B457CF" w:rsidRPr="007D02A7">
        <w:t xml:space="preserve">, constituida como empresa pública estadounidense cuyas acciones se listan en la Bolsa de Valores de Nueva York. </w:t>
      </w:r>
    </w:p>
    <w:p w:rsidR="008A5122" w:rsidRPr="007D02A7" w:rsidRDefault="00B457CF" w:rsidP="00637B96">
      <w:pPr>
        <w:pStyle w:val="Prraforproyecto"/>
        <w:keepNext w:val="0"/>
        <w:spacing w:before="120"/>
      </w:pPr>
      <w:r w:rsidRPr="007D02A7">
        <w:t>E</w:t>
      </w:r>
      <w:r w:rsidR="008A5122" w:rsidRPr="007D02A7">
        <w:t>l capital social de ATC se presenta en el</w:t>
      </w:r>
      <w:r w:rsidRPr="007D02A7">
        <w:t xml:space="preserve"> </w:t>
      </w:r>
      <w:r w:rsidRPr="007D02A7">
        <w:fldChar w:fldCharType="begin"/>
      </w:r>
      <w:r w:rsidRPr="007D02A7">
        <w:instrText xml:space="preserve"> REF _Ref495410834 \r \h </w:instrText>
      </w:r>
      <w:r w:rsidR="00AE382D" w:rsidRPr="007D02A7">
        <w:instrText xml:space="preserve"> \* MERGEFORMAT </w:instrText>
      </w:r>
      <w:r w:rsidRPr="007D02A7">
        <w:fldChar w:fldCharType="separate"/>
      </w:r>
      <w:r w:rsidR="0017207B" w:rsidRPr="007D02A7">
        <w:t>Cuadro 6</w:t>
      </w:r>
      <w:r w:rsidRPr="007D02A7">
        <w:fldChar w:fldCharType="end"/>
      </w:r>
      <w:r w:rsidRPr="007D02A7">
        <w:t xml:space="preserve"> y, por tratarse de una empresa </w:t>
      </w:r>
      <w:r w:rsidR="008A5122" w:rsidRPr="007D02A7">
        <w:t xml:space="preserve">pública, </w:t>
      </w:r>
      <w:r w:rsidR="00C80EC4" w:rsidRPr="007D02A7">
        <w:t xml:space="preserve">las Partes </w:t>
      </w:r>
      <w:r w:rsidR="008A5122" w:rsidRPr="007D02A7">
        <w:t>únicamente identificaron a los accionistas que</w:t>
      </w:r>
      <w:r w:rsidR="003A0A1E" w:rsidRPr="007D02A7">
        <w:t xml:space="preserve"> cuentan</w:t>
      </w:r>
      <w:r w:rsidR="008A5122" w:rsidRPr="007D02A7">
        <w:t xml:space="preserve"> con 5%</w:t>
      </w:r>
      <w:r w:rsidR="006A3218" w:rsidRPr="007D02A7">
        <w:t xml:space="preserve"> (cinco por ciento)</w:t>
      </w:r>
      <w:r w:rsidR="008A5122" w:rsidRPr="007D02A7">
        <w:t xml:space="preserve"> </w:t>
      </w:r>
      <w:r w:rsidRPr="007D02A7">
        <w:t xml:space="preserve">o más </w:t>
      </w:r>
      <w:r w:rsidR="008A5122" w:rsidRPr="007D02A7">
        <w:t xml:space="preserve">de </w:t>
      </w:r>
      <w:r w:rsidR="006A3218" w:rsidRPr="007D02A7">
        <w:t xml:space="preserve">las </w:t>
      </w:r>
      <w:r w:rsidR="008A5122" w:rsidRPr="007D02A7">
        <w:t>acciones.</w:t>
      </w:r>
    </w:p>
    <w:p w:rsidR="008A5122" w:rsidRPr="007D02A7" w:rsidRDefault="008A5122" w:rsidP="00637B96">
      <w:pPr>
        <w:pStyle w:val="Sinespaciado"/>
        <w:numPr>
          <w:ilvl w:val="0"/>
          <w:numId w:val="13"/>
        </w:numPr>
        <w:spacing w:before="120" w:after="120" w:line="276" w:lineRule="auto"/>
        <w:ind w:left="3261"/>
        <w:jc w:val="both"/>
        <w:rPr>
          <w:rFonts w:ascii="ITC Avant Garde" w:hAnsi="ITC Avant Garde"/>
          <w:b/>
        </w:rPr>
      </w:pPr>
      <w:bookmarkStart w:id="23" w:name="_Ref495410834"/>
      <w:r w:rsidRPr="007D02A7">
        <w:rPr>
          <w:rFonts w:ascii="ITC Avant Garde" w:hAnsi="ITC Avant Garde"/>
          <w:b/>
        </w:rPr>
        <w:t>Accionistas de ATC</w:t>
      </w:r>
      <w:bookmarkEnd w:id="23"/>
    </w:p>
    <w:tbl>
      <w:tblPr>
        <w:tblStyle w:val="Tablaconcuadrcula1"/>
        <w:tblW w:w="6718" w:type="dxa"/>
        <w:jc w:val="center"/>
        <w:tblLook w:val="04A0" w:firstRow="1" w:lastRow="0" w:firstColumn="1" w:lastColumn="0" w:noHBand="0" w:noVBand="1"/>
        <w:tblCaption w:val="Cuadro 6. Accionistas de ATC"/>
        <w:tblDescription w:val="En este cuadro se presentan a los accionistas y su respectivas participaciones en el capital social de ATC."/>
      </w:tblPr>
      <w:tblGrid>
        <w:gridCol w:w="4531"/>
        <w:gridCol w:w="2187"/>
      </w:tblGrid>
      <w:tr w:rsidR="008A5122" w:rsidRPr="000F7E62" w:rsidTr="00BB3A3C">
        <w:trPr>
          <w:trHeight w:val="20"/>
          <w:tblHeader/>
          <w:jc w:val="center"/>
        </w:trPr>
        <w:tc>
          <w:tcPr>
            <w:tcW w:w="4531" w:type="dxa"/>
            <w:shd w:val="clear" w:color="auto" w:fill="538135" w:themeFill="accent6" w:themeFillShade="BF"/>
            <w:noWrap/>
          </w:tcPr>
          <w:p w:rsidR="008A5122" w:rsidRPr="000F7E62" w:rsidRDefault="008A5122" w:rsidP="00FA2D69">
            <w:pPr>
              <w:spacing w:after="0" w:line="240" w:lineRule="auto"/>
              <w:jc w:val="center"/>
              <w:rPr>
                <w:rFonts w:ascii="ITC Avant Garde" w:eastAsia="Times New Roman" w:hAnsi="ITC Avant Garde"/>
                <w:b/>
                <w:color w:val="000000" w:themeColor="text1"/>
                <w:sz w:val="18"/>
                <w:szCs w:val="18"/>
              </w:rPr>
            </w:pPr>
            <w:r w:rsidRPr="000F7E62">
              <w:rPr>
                <w:rFonts w:ascii="ITC Avant Garde" w:eastAsia="Times New Roman" w:hAnsi="ITC Avant Garde"/>
                <w:b/>
                <w:color w:val="000000" w:themeColor="text1"/>
                <w:sz w:val="18"/>
                <w:szCs w:val="18"/>
              </w:rPr>
              <w:t>Accionista</w:t>
            </w:r>
            <w:r w:rsidR="00D068AD" w:rsidRPr="000F7E62">
              <w:rPr>
                <w:rFonts w:ascii="ITC Avant Garde" w:eastAsia="Times New Roman" w:hAnsi="ITC Avant Garde"/>
                <w:b/>
                <w:color w:val="000000" w:themeColor="text1"/>
                <w:sz w:val="18"/>
                <w:szCs w:val="18"/>
              </w:rPr>
              <w:t>s</w:t>
            </w:r>
          </w:p>
        </w:tc>
        <w:tc>
          <w:tcPr>
            <w:tcW w:w="2187" w:type="dxa"/>
            <w:shd w:val="clear" w:color="auto" w:fill="538135" w:themeFill="accent6" w:themeFillShade="BF"/>
            <w:noWrap/>
          </w:tcPr>
          <w:p w:rsidR="008A5122" w:rsidRPr="000F7E62" w:rsidRDefault="008A5122" w:rsidP="00FA2D69">
            <w:pPr>
              <w:spacing w:after="0" w:line="240" w:lineRule="auto"/>
              <w:jc w:val="right"/>
              <w:rPr>
                <w:rFonts w:ascii="ITC Avant Garde" w:eastAsia="Times New Roman" w:hAnsi="ITC Avant Garde"/>
                <w:b/>
                <w:color w:val="000000" w:themeColor="text1"/>
                <w:sz w:val="18"/>
                <w:szCs w:val="18"/>
              </w:rPr>
            </w:pPr>
            <w:r w:rsidRPr="000F7E62">
              <w:rPr>
                <w:rFonts w:ascii="ITC Avant Garde" w:eastAsia="Times New Roman" w:hAnsi="ITC Avant Garde"/>
                <w:b/>
                <w:color w:val="000000" w:themeColor="text1"/>
                <w:sz w:val="18"/>
                <w:szCs w:val="18"/>
              </w:rPr>
              <w:t>Participación (%)</w:t>
            </w:r>
          </w:p>
        </w:tc>
      </w:tr>
      <w:tr w:rsidR="008A5122" w:rsidRPr="007D02A7" w:rsidTr="00BB3A3C">
        <w:trPr>
          <w:trHeight w:val="20"/>
          <w:jc w:val="center"/>
        </w:trPr>
        <w:tc>
          <w:tcPr>
            <w:tcW w:w="4531" w:type="dxa"/>
            <w:noWrap/>
            <w:hideMark/>
          </w:tcPr>
          <w:p w:rsidR="008A5122" w:rsidRPr="007D02A7" w:rsidRDefault="003A0A1E" w:rsidP="00FA2D69">
            <w:pPr>
              <w:spacing w:after="0" w:line="240" w:lineRule="auto"/>
              <w:rPr>
                <w:rFonts w:ascii="ITC Avant Garde" w:eastAsia="Times New Roman" w:hAnsi="ITC Avant Garde"/>
                <w:color w:val="000000"/>
                <w:sz w:val="18"/>
                <w:szCs w:val="18"/>
                <w:lang w:val="en-US"/>
              </w:rPr>
            </w:pPr>
            <w:r w:rsidRPr="007D02A7">
              <w:rPr>
                <w:rFonts w:ascii="ITC Avant Garde" w:eastAsia="Times New Roman" w:hAnsi="ITC Avant Garde"/>
                <w:color w:val="000000"/>
                <w:sz w:val="18"/>
                <w:szCs w:val="18"/>
                <w:lang w:val="en-US"/>
              </w:rPr>
              <w:t>T. Rowe Price Associates, Inc.</w:t>
            </w:r>
          </w:p>
        </w:tc>
        <w:tc>
          <w:tcPr>
            <w:tcW w:w="2187" w:type="dxa"/>
            <w:noWrap/>
            <w:vAlign w:val="center"/>
          </w:tcPr>
          <w:p w:rsidR="008A5122" w:rsidRPr="00BB3A3C" w:rsidRDefault="001509D8" w:rsidP="001509D8">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 xml:space="preserve">“CONFIDENCIAL POR LEY </w:t>
            </w:r>
            <w:r w:rsidR="00250347" w:rsidRPr="00BB3A3C">
              <w:rPr>
                <w:rFonts w:ascii="ITC Avant Garde" w:hAnsi="ITC Avant Garde"/>
                <w:b/>
                <w:color w:val="0000CC"/>
                <w:sz w:val="13"/>
                <w:szCs w:val="13"/>
              </w:rPr>
              <w:t>(</w:t>
            </w:r>
            <w:r w:rsidRPr="00BB3A3C">
              <w:rPr>
                <w:rFonts w:ascii="ITC Avant Garde" w:hAnsi="ITC Avant Garde"/>
                <w:b/>
                <w:color w:val="0000CC"/>
                <w:sz w:val="13"/>
                <w:szCs w:val="13"/>
              </w:rPr>
              <w:t>21</w:t>
            </w:r>
            <w:r w:rsidR="00250347" w:rsidRPr="00BB3A3C">
              <w:rPr>
                <w:rFonts w:ascii="ITC Avant Garde" w:hAnsi="ITC Avant Garde"/>
                <w:b/>
                <w:color w:val="0000CC"/>
                <w:sz w:val="13"/>
                <w:szCs w:val="13"/>
              </w:rPr>
              <w:t>)</w:t>
            </w:r>
            <w:r w:rsidRPr="00BB3A3C">
              <w:rPr>
                <w:rFonts w:ascii="ITC Avant Garde" w:hAnsi="ITC Avant Garde"/>
                <w:b/>
                <w:color w:val="0000CC"/>
                <w:sz w:val="13"/>
                <w:szCs w:val="13"/>
              </w:rPr>
              <w:t>”</w:t>
            </w:r>
          </w:p>
        </w:tc>
      </w:tr>
      <w:tr w:rsidR="008A5122" w:rsidRPr="007D02A7" w:rsidTr="00BB3A3C">
        <w:trPr>
          <w:trHeight w:val="20"/>
          <w:jc w:val="center"/>
        </w:trPr>
        <w:tc>
          <w:tcPr>
            <w:tcW w:w="4531" w:type="dxa"/>
            <w:noWrap/>
          </w:tcPr>
          <w:p w:rsidR="008A5122" w:rsidRPr="007D02A7" w:rsidRDefault="003A0A1E" w:rsidP="00FA2D69">
            <w:pPr>
              <w:spacing w:after="0" w:line="240" w:lineRule="auto"/>
              <w:rPr>
                <w:rFonts w:ascii="ITC Avant Garde" w:eastAsia="Times New Roman" w:hAnsi="ITC Avant Garde"/>
                <w:color w:val="000000"/>
                <w:sz w:val="18"/>
                <w:szCs w:val="18"/>
              </w:rPr>
            </w:pPr>
            <w:proofErr w:type="spellStart"/>
            <w:r w:rsidRPr="007D02A7">
              <w:rPr>
                <w:rFonts w:ascii="ITC Avant Garde" w:eastAsia="Times New Roman" w:hAnsi="ITC Avant Garde"/>
                <w:color w:val="000000"/>
                <w:sz w:val="18"/>
                <w:szCs w:val="18"/>
              </w:rPr>
              <w:t>BlackRock</w:t>
            </w:r>
            <w:proofErr w:type="spellEnd"/>
            <w:r w:rsidRPr="007D02A7">
              <w:rPr>
                <w:rFonts w:ascii="ITC Avant Garde" w:eastAsia="Times New Roman" w:hAnsi="ITC Avant Garde"/>
                <w:color w:val="000000"/>
                <w:sz w:val="18"/>
                <w:szCs w:val="18"/>
              </w:rPr>
              <w:t>, Inc.</w:t>
            </w:r>
          </w:p>
        </w:tc>
        <w:tc>
          <w:tcPr>
            <w:tcW w:w="2187" w:type="dxa"/>
            <w:noWrap/>
            <w:vAlign w:val="center"/>
          </w:tcPr>
          <w:p w:rsidR="008A5122" w:rsidRPr="00BB3A3C" w:rsidRDefault="00250347" w:rsidP="001509D8">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(21)”</w:t>
            </w:r>
          </w:p>
        </w:tc>
      </w:tr>
      <w:tr w:rsidR="003A0A1E" w:rsidRPr="007D02A7" w:rsidTr="00BB3A3C">
        <w:trPr>
          <w:trHeight w:val="20"/>
          <w:jc w:val="center"/>
        </w:trPr>
        <w:tc>
          <w:tcPr>
            <w:tcW w:w="4531" w:type="dxa"/>
            <w:noWrap/>
          </w:tcPr>
          <w:p w:rsidR="003A0A1E" w:rsidRPr="007D02A7" w:rsidRDefault="003A0A1E" w:rsidP="00FA2D69">
            <w:pPr>
              <w:spacing w:after="0" w:line="240" w:lineRule="auto"/>
              <w:rPr>
                <w:rFonts w:ascii="ITC Avant Garde" w:eastAsia="Times New Roman" w:hAnsi="ITC Avant Garde"/>
                <w:color w:val="000000"/>
                <w:sz w:val="18"/>
                <w:szCs w:val="18"/>
              </w:rPr>
            </w:pPr>
            <w:proofErr w:type="spellStart"/>
            <w:r w:rsidRPr="007D02A7">
              <w:rPr>
                <w:rFonts w:ascii="ITC Avant Garde" w:eastAsia="Times New Roman" w:hAnsi="ITC Avant Garde"/>
                <w:color w:val="000000"/>
                <w:sz w:val="18"/>
                <w:szCs w:val="18"/>
              </w:rPr>
              <w:t>The</w:t>
            </w:r>
            <w:proofErr w:type="spellEnd"/>
            <w:r w:rsidRPr="007D02A7">
              <w:rPr>
                <w:rFonts w:ascii="ITC Avant Garde" w:eastAsia="Times New Roman" w:hAnsi="ITC Avant Garde"/>
                <w:color w:val="000000"/>
                <w:sz w:val="18"/>
                <w:szCs w:val="18"/>
              </w:rPr>
              <w:t xml:space="preserve"> </w:t>
            </w:r>
            <w:proofErr w:type="spellStart"/>
            <w:r w:rsidRPr="007D02A7">
              <w:rPr>
                <w:rFonts w:ascii="ITC Avant Garde" w:eastAsia="Times New Roman" w:hAnsi="ITC Avant Garde"/>
                <w:color w:val="000000"/>
                <w:sz w:val="18"/>
                <w:szCs w:val="18"/>
              </w:rPr>
              <w:t>Vanguard</w:t>
            </w:r>
            <w:proofErr w:type="spellEnd"/>
            <w:r w:rsidRPr="007D02A7">
              <w:rPr>
                <w:rFonts w:ascii="ITC Avant Garde" w:eastAsia="Times New Roman" w:hAnsi="ITC Avant Garde"/>
                <w:color w:val="000000"/>
                <w:sz w:val="18"/>
                <w:szCs w:val="18"/>
              </w:rPr>
              <w:t xml:space="preserve"> </w:t>
            </w:r>
            <w:proofErr w:type="spellStart"/>
            <w:r w:rsidRPr="007D02A7">
              <w:rPr>
                <w:rFonts w:ascii="ITC Avant Garde" w:eastAsia="Times New Roman" w:hAnsi="ITC Avant Garde"/>
                <w:color w:val="000000"/>
                <w:sz w:val="18"/>
                <w:szCs w:val="18"/>
              </w:rPr>
              <w:t>Group</w:t>
            </w:r>
            <w:proofErr w:type="spellEnd"/>
          </w:p>
        </w:tc>
        <w:tc>
          <w:tcPr>
            <w:tcW w:w="2187" w:type="dxa"/>
            <w:noWrap/>
            <w:vAlign w:val="center"/>
          </w:tcPr>
          <w:p w:rsidR="003A0A1E" w:rsidRPr="00BB3A3C" w:rsidRDefault="00250347" w:rsidP="001509D8">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(21)”</w:t>
            </w:r>
          </w:p>
        </w:tc>
      </w:tr>
      <w:tr w:rsidR="008E30C2" w:rsidRPr="007D02A7" w:rsidTr="00BB3A3C">
        <w:trPr>
          <w:trHeight w:val="20"/>
          <w:jc w:val="center"/>
        </w:trPr>
        <w:tc>
          <w:tcPr>
            <w:tcW w:w="4531" w:type="dxa"/>
            <w:noWrap/>
          </w:tcPr>
          <w:p w:rsidR="008E30C2" w:rsidRPr="007D02A7" w:rsidRDefault="008E30C2" w:rsidP="00FA2D69">
            <w:pPr>
              <w:spacing w:after="0" w:line="240" w:lineRule="auto"/>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Otros accionistas con menos del 5% de su capital social</w:t>
            </w:r>
          </w:p>
        </w:tc>
        <w:tc>
          <w:tcPr>
            <w:tcW w:w="2187" w:type="dxa"/>
            <w:noWrap/>
            <w:vAlign w:val="center"/>
          </w:tcPr>
          <w:p w:rsidR="008E30C2" w:rsidRPr="00BB3A3C" w:rsidRDefault="00250347" w:rsidP="001509D8">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(21)”</w:t>
            </w:r>
          </w:p>
        </w:tc>
      </w:tr>
      <w:tr w:rsidR="008E30C2" w:rsidRPr="007D02A7" w:rsidTr="00BB3A3C">
        <w:trPr>
          <w:trHeight w:val="20"/>
          <w:jc w:val="center"/>
        </w:trPr>
        <w:tc>
          <w:tcPr>
            <w:tcW w:w="4531" w:type="dxa"/>
            <w:noWrap/>
          </w:tcPr>
          <w:p w:rsidR="008E30C2" w:rsidRPr="007D02A7" w:rsidRDefault="008E30C2" w:rsidP="00FA2D69">
            <w:pPr>
              <w:spacing w:after="0" w:line="240" w:lineRule="auto"/>
              <w:jc w:val="right"/>
              <w:rPr>
                <w:rFonts w:ascii="ITC Avant Garde" w:eastAsia="Times New Roman" w:hAnsi="ITC Avant Garde"/>
                <w:b/>
                <w:color w:val="000000"/>
                <w:sz w:val="18"/>
                <w:szCs w:val="18"/>
              </w:rPr>
            </w:pPr>
            <w:r w:rsidRPr="007D02A7">
              <w:rPr>
                <w:rFonts w:ascii="ITC Avant Garde" w:eastAsia="Times New Roman" w:hAnsi="ITC Avant Garde"/>
                <w:b/>
                <w:color w:val="000000"/>
                <w:sz w:val="18"/>
                <w:szCs w:val="18"/>
              </w:rPr>
              <w:t>Total</w:t>
            </w:r>
          </w:p>
        </w:tc>
        <w:tc>
          <w:tcPr>
            <w:tcW w:w="2187" w:type="dxa"/>
            <w:noWrap/>
            <w:vAlign w:val="center"/>
          </w:tcPr>
          <w:p w:rsidR="008E30C2" w:rsidRPr="00BB3A3C" w:rsidRDefault="00250347" w:rsidP="001509D8">
            <w:pPr>
              <w:spacing w:after="0" w:line="240" w:lineRule="auto"/>
              <w:jc w:val="center"/>
              <w:rPr>
                <w:rFonts w:ascii="ITC Avant Garde" w:eastAsia="Times New Roman" w:hAnsi="ITC Avant Garde"/>
                <w:b/>
                <w:color w:val="000000"/>
                <w:sz w:val="13"/>
                <w:szCs w:val="13"/>
                <w:highlight w:val="magenta"/>
              </w:rPr>
            </w:pPr>
            <w:r w:rsidRPr="00BB3A3C">
              <w:rPr>
                <w:rFonts w:ascii="ITC Avant Garde" w:hAnsi="ITC Avant Garde"/>
                <w:b/>
                <w:color w:val="0000CC"/>
                <w:sz w:val="13"/>
                <w:szCs w:val="13"/>
              </w:rPr>
              <w:t>“CONFIDENCIAL POR LEY (21)”</w:t>
            </w:r>
          </w:p>
        </w:tc>
      </w:tr>
    </w:tbl>
    <w:p w:rsidR="008A5122" w:rsidRPr="007D02A7" w:rsidRDefault="008A5122" w:rsidP="00FA2D69">
      <w:pPr>
        <w:spacing w:after="0" w:line="240" w:lineRule="auto"/>
        <w:ind w:left="1276" w:right="567"/>
        <w:jc w:val="both"/>
        <w:rPr>
          <w:rFonts w:ascii="ITC Avant Garde" w:hAnsi="ITC Avant Garde"/>
          <w:sz w:val="16"/>
        </w:rPr>
      </w:pPr>
      <w:r w:rsidRPr="007D02A7">
        <w:rPr>
          <w:rFonts w:ascii="ITC Avant Garde" w:hAnsi="ITC Avant Garde"/>
          <w:sz w:val="16"/>
        </w:rPr>
        <w:t>Fuente: Elaboración propia con información contenida en Foja</w:t>
      </w:r>
      <w:r w:rsidR="008147FC" w:rsidRPr="007D02A7">
        <w:rPr>
          <w:rFonts w:ascii="ITC Avant Garde" w:hAnsi="ITC Avant Garde"/>
          <w:sz w:val="16"/>
        </w:rPr>
        <w:t xml:space="preserve"> 5</w:t>
      </w:r>
      <w:r w:rsidRPr="007D02A7">
        <w:rPr>
          <w:rFonts w:ascii="ITC Avant Garde" w:hAnsi="ITC Avant Garde"/>
          <w:sz w:val="16"/>
        </w:rPr>
        <w:t xml:space="preserve"> del Expediente.</w:t>
      </w:r>
    </w:p>
    <w:p w:rsidR="006C3C57" w:rsidRPr="007D02A7" w:rsidRDefault="00AF105E" w:rsidP="00637B96">
      <w:pPr>
        <w:pStyle w:val="Prraforproyecto"/>
        <w:keepNext w:val="0"/>
        <w:spacing w:before="120"/>
      </w:pPr>
      <w:r w:rsidRPr="007D02A7">
        <w:t>De acuerdo con la información presentada por las Partes</w:t>
      </w:r>
      <w:r w:rsidR="006C3C57" w:rsidRPr="007D02A7">
        <w:t>:</w:t>
      </w:r>
    </w:p>
    <w:p w:rsidR="008A5122" w:rsidRPr="007D02A7" w:rsidRDefault="00B457CF" w:rsidP="00637B96">
      <w:pPr>
        <w:pStyle w:val="Prraforproyecto"/>
        <w:keepNext w:val="0"/>
        <w:numPr>
          <w:ilvl w:val="0"/>
          <w:numId w:val="21"/>
        </w:numPr>
        <w:spacing w:before="120"/>
        <w:ind w:left="714" w:hanging="357"/>
      </w:pPr>
      <w:r w:rsidRPr="007D02A7">
        <w:t xml:space="preserve">T. </w:t>
      </w:r>
      <w:proofErr w:type="spellStart"/>
      <w:r w:rsidRPr="007D02A7">
        <w:t>Rowe</w:t>
      </w:r>
      <w:proofErr w:type="spellEnd"/>
      <w:r w:rsidRPr="007D02A7">
        <w:t xml:space="preserve"> Price </w:t>
      </w:r>
      <w:proofErr w:type="spellStart"/>
      <w:r w:rsidRPr="007D02A7">
        <w:t>Associates</w:t>
      </w:r>
      <w:proofErr w:type="spellEnd"/>
      <w:r w:rsidRPr="007D02A7">
        <w:t xml:space="preserve">, Inc., </w:t>
      </w:r>
      <w:proofErr w:type="spellStart"/>
      <w:r w:rsidRPr="007D02A7">
        <w:t>BlackRock</w:t>
      </w:r>
      <w:proofErr w:type="spellEnd"/>
      <w:r w:rsidRPr="007D02A7">
        <w:t xml:space="preserve">, Inc. y </w:t>
      </w:r>
      <w:proofErr w:type="spellStart"/>
      <w:r w:rsidRPr="007D02A7">
        <w:t>The</w:t>
      </w:r>
      <w:proofErr w:type="spellEnd"/>
      <w:r w:rsidRPr="007D02A7">
        <w:t xml:space="preserve"> </w:t>
      </w:r>
      <w:proofErr w:type="spellStart"/>
      <w:r w:rsidRPr="007D02A7">
        <w:t>Vanguard</w:t>
      </w:r>
      <w:proofErr w:type="spellEnd"/>
      <w:r w:rsidRPr="007D02A7">
        <w:t xml:space="preserve"> </w:t>
      </w:r>
      <w:proofErr w:type="spellStart"/>
      <w:r w:rsidRPr="007D02A7">
        <w:t>Group</w:t>
      </w:r>
      <w:proofErr w:type="spellEnd"/>
      <w:r w:rsidRPr="007D02A7">
        <w:t xml:space="preserve"> </w:t>
      </w:r>
      <w:r w:rsidR="007256A0" w:rsidRPr="007D02A7">
        <w:rPr>
          <w:i/>
        </w:rPr>
        <w:t>“</w:t>
      </w:r>
      <w:r w:rsidR="001319D5" w:rsidRPr="007D02A7">
        <w:rPr>
          <w:i/>
        </w:rPr>
        <w:t xml:space="preserve">(…) </w:t>
      </w:r>
      <w:r w:rsidR="007256A0" w:rsidRPr="007D02A7">
        <w:rPr>
          <w:i/>
        </w:rPr>
        <w:t xml:space="preserve">son terceros ajenos al </w:t>
      </w:r>
      <w:r w:rsidR="00AF105E" w:rsidRPr="007D02A7">
        <w:rPr>
          <w:i/>
        </w:rPr>
        <w:t xml:space="preserve">grupo económico </w:t>
      </w:r>
      <w:r w:rsidRPr="007D02A7">
        <w:rPr>
          <w:i/>
        </w:rPr>
        <w:t>de ATC</w:t>
      </w:r>
      <w:r w:rsidR="007256A0" w:rsidRPr="007D02A7">
        <w:rPr>
          <w:i/>
        </w:rPr>
        <w:t xml:space="preserve"> y son firmas de inversión globales cuyas</w:t>
      </w:r>
      <w:r w:rsidRPr="007D02A7">
        <w:rPr>
          <w:i/>
        </w:rPr>
        <w:t xml:space="preserve"> </w:t>
      </w:r>
      <w:r w:rsidR="00AF105E" w:rsidRPr="007D02A7">
        <w:rPr>
          <w:i/>
        </w:rPr>
        <w:t>actividades son desconocidas para MATC Digital</w:t>
      </w:r>
      <w:r w:rsidR="001319D5" w:rsidRPr="007D02A7">
        <w:rPr>
          <w:i/>
        </w:rPr>
        <w:t>.</w:t>
      </w:r>
      <w:r w:rsidR="007256A0" w:rsidRPr="007D02A7">
        <w:rPr>
          <w:i/>
        </w:rPr>
        <w:t>”</w:t>
      </w:r>
      <w:r w:rsidR="006C3C57" w:rsidRPr="007D02A7">
        <w:t>;</w:t>
      </w:r>
      <w:r w:rsidR="007256A0" w:rsidRPr="007D02A7">
        <w:rPr>
          <w:rStyle w:val="Refdenotaalpie"/>
          <w:i/>
        </w:rPr>
        <w:footnoteReference w:id="16"/>
      </w:r>
      <w:r w:rsidR="006C3C57" w:rsidRPr="007D02A7">
        <w:t xml:space="preserve"> </w:t>
      </w:r>
    </w:p>
    <w:p w:rsidR="006C3C57" w:rsidRPr="007D02A7" w:rsidRDefault="006C3C57" w:rsidP="00637B96">
      <w:pPr>
        <w:pStyle w:val="Prraforproyecto"/>
        <w:keepNext w:val="0"/>
        <w:numPr>
          <w:ilvl w:val="0"/>
          <w:numId w:val="21"/>
        </w:numPr>
        <w:spacing w:before="120"/>
        <w:ind w:left="714" w:hanging="357"/>
      </w:pPr>
      <w:r w:rsidRPr="007D02A7">
        <w:lastRenderedPageBreak/>
        <w:t>C</w:t>
      </w:r>
      <w:r w:rsidR="004A7448" w:rsidRPr="007D02A7">
        <w:t>ada una de las acciones</w:t>
      </w:r>
      <w:r w:rsidR="00877E45" w:rsidRPr="007D02A7">
        <w:t xml:space="preserve"> del capital social de ATC otorga </w:t>
      </w:r>
      <w:r w:rsidR="00820584" w:rsidRPr="007D02A7">
        <w:t xml:space="preserve">a su titular </w:t>
      </w:r>
      <w:r w:rsidR="00877E45" w:rsidRPr="007D02A7">
        <w:t xml:space="preserve">un derecho </w:t>
      </w:r>
      <w:r w:rsidR="00820584" w:rsidRPr="007D02A7">
        <w:t>de</w:t>
      </w:r>
      <w:r w:rsidR="00877E45" w:rsidRPr="007D02A7">
        <w:t xml:space="preserve"> voto</w:t>
      </w:r>
      <w:r w:rsidR="00820584" w:rsidRPr="007D02A7">
        <w:t xml:space="preserve"> sobre</w:t>
      </w:r>
      <w:r w:rsidR="00410023" w:rsidRPr="007D02A7">
        <w:t xml:space="preserve"> los asuntos que se discut</w:t>
      </w:r>
      <w:r w:rsidR="00820584" w:rsidRPr="007D02A7">
        <w:t>a</w:t>
      </w:r>
      <w:r w:rsidR="00410023" w:rsidRPr="007D02A7">
        <w:t>n en la</w:t>
      </w:r>
      <w:r w:rsidR="00820584" w:rsidRPr="007D02A7">
        <w:t>s</w:t>
      </w:r>
      <w:r w:rsidR="00410023" w:rsidRPr="007D02A7">
        <w:t xml:space="preserve"> asamblea</w:t>
      </w:r>
      <w:r w:rsidR="00820584" w:rsidRPr="007D02A7">
        <w:t>s</w:t>
      </w:r>
      <w:r w:rsidR="00410023" w:rsidRPr="007D02A7">
        <w:t xml:space="preserve"> de accionistas</w:t>
      </w:r>
      <w:r w:rsidR="00C1479A" w:rsidRPr="007D02A7">
        <w:t>.</w:t>
      </w:r>
      <w:r w:rsidRPr="007D02A7">
        <w:t xml:space="preserve"> Así</w:t>
      </w:r>
      <w:r w:rsidR="00877E45" w:rsidRPr="007D02A7">
        <w:t xml:space="preserve">, los accionistas con 5% </w:t>
      </w:r>
      <w:r w:rsidR="004A7448" w:rsidRPr="007D02A7">
        <w:t xml:space="preserve">(cinco por ciento) </w:t>
      </w:r>
      <w:r w:rsidRPr="007D02A7">
        <w:t xml:space="preserve">o más </w:t>
      </w:r>
      <w:r w:rsidR="00877E45" w:rsidRPr="007D02A7">
        <w:t>de</w:t>
      </w:r>
      <w:r w:rsidR="004A7448" w:rsidRPr="007D02A7">
        <w:t xml:space="preserve"> las acciones</w:t>
      </w:r>
      <w:r w:rsidR="00877E45" w:rsidRPr="007D02A7">
        <w:t xml:space="preserve"> </w:t>
      </w:r>
      <w:r w:rsidR="00E61B48" w:rsidRPr="007D02A7">
        <w:t xml:space="preserve">no </w:t>
      </w:r>
      <w:r w:rsidR="00FE135F" w:rsidRPr="007D02A7">
        <w:t xml:space="preserve">tienen una participación significativa en el capital social de ATC, </w:t>
      </w:r>
      <w:r w:rsidR="00E61B48" w:rsidRPr="007D02A7">
        <w:t xml:space="preserve">por </w:t>
      </w:r>
      <w:r w:rsidR="00FE135F" w:rsidRPr="007D02A7">
        <w:t xml:space="preserve">lo </w:t>
      </w:r>
      <w:r w:rsidR="00E61B48" w:rsidRPr="007D02A7">
        <w:t>cual</w:t>
      </w:r>
      <w:r w:rsidR="00FE135F" w:rsidRPr="007D02A7">
        <w:t xml:space="preserve"> </w:t>
      </w:r>
      <w:r w:rsidR="00877E45" w:rsidRPr="007D02A7">
        <w:t>no tienen la facultad de participar o intervenir en la toma de decisiones de</w:t>
      </w:r>
      <w:r w:rsidRPr="007D02A7">
        <w:t xml:space="preserve"> ATC, y </w:t>
      </w:r>
    </w:p>
    <w:p w:rsidR="00877E45" w:rsidRPr="007D02A7" w:rsidRDefault="006C3C57" w:rsidP="00637B96">
      <w:pPr>
        <w:pStyle w:val="Prraforproyecto"/>
        <w:keepNext w:val="0"/>
        <w:numPr>
          <w:ilvl w:val="0"/>
          <w:numId w:val="21"/>
        </w:numPr>
        <w:spacing w:before="120"/>
        <w:ind w:left="714" w:hanging="357"/>
      </w:pPr>
      <w:r w:rsidRPr="007D02A7">
        <w:t>L</w:t>
      </w:r>
      <w:r w:rsidR="00877E45" w:rsidRPr="007D02A7">
        <w:t xml:space="preserve">as facultades y atribuciones </w:t>
      </w:r>
      <w:r w:rsidRPr="007D02A7">
        <w:t xml:space="preserve">para la toma de decisiones en ATC </w:t>
      </w:r>
      <w:r w:rsidR="00877E45" w:rsidRPr="007D02A7">
        <w:t xml:space="preserve">están reservadas para </w:t>
      </w:r>
      <w:r w:rsidRPr="007D02A7">
        <w:t xml:space="preserve">su consejo de administración </w:t>
      </w:r>
      <w:r w:rsidR="00877E45" w:rsidRPr="007D02A7">
        <w:t xml:space="preserve">y </w:t>
      </w:r>
      <w:r w:rsidRPr="007D02A7">
        <w:t xml:space="preserve">su </w:t>
      </w:r>
      <w:r w:rsidR="00877E45" w:rsidRPr="007D02A7">
        <w:t xml:space="preserve">equipo directivo. </w:t>
      </w:r>
    </w:p>
    <w:p w:rsidR="006C3C57" w:rsidRPr="007D02A7" w:rsidRDefault="006C3C57" w:rsidP="00637B96">
      <w:pPr>
        <w:pStyle w:val="Prraforproyecto"/>
        <w:keepNext w:val="0"/>
        <w:numPr>
          <w:ilvl w:val="0"/>
          <w:numId w:val="21"/>
        </w:numPr>
        <w:spacing w:before="120"/>
        <w:ind w:left="714" w:hanging="357"/>
      </w:pPr>
      <w:r w:rsidRPr="007D02A7">
        <w:t>T</w:t>
      </w:r>
      <w:r w:rsidR="00877E45" w:rsidRPr="007D02A7">
        <w:t xml:space="preserve">odos los accionistas de ATC están en posibilidad de recomendar a una persona para ser </w:t>
      </w:r>
      <w:r w:rsidRPr="007D02A7">
        <w:t xml:space="preserve">considerado </w:t>
      </w:r>
      <w:r w:rsidR="00877E45" w:rsidRPr="007D02A7">
        <w:t xml:space="preserve">candidato para ocupar un puesto en el </w:t>
      </w:r>
      <w:r w:rsidRPr="007D02A7">
        <w:t>consejo de administración</w:t>
      </w:r>
      <w:r w:rsidR="00877E45" w:rsidRPr="007D02A7">
        <w:t xml:space="preserve">, </w:t>
      </w:r>
      <w:r w:rsidRPr="007D02A7">
        <w:t xml:space="preserve">pero no tienen </w:t>
      </w:r>
      <w:r w:rsidR="00877E45" w:rsidRPr="007D02A7">
        <w:t>la facultad de</w:t>
      </w:r>
      <w:r w:rsidR="004A7448" w:rsidRPr="007D02A7">
        <w:t xml:space="preserve"> </w:t>
      </w:r>
      <w:r w:rsidR="00877E45" w:rsidRPr="007D02A7">
        <w:t>designa</w:t>
      </w:r>
      <w:r w:rsidRPr="007D02A7">
        <w:t xml:space="preserve">r ni de vetarlos. </w:t>
      </w:r>
    </w:p>
    <w:p w:rsidR="00877E45" w:rsidRPr="007D02A7" w:rsidRDefault="006C3C57" w:rsidP="00637B96">
      <w:pPr>
        <w:pStyle w:val="Prraforproyecto"/>
        <w:keepNext w:val="0"/>
        <w:numPr>
          <w:ilvl w:val="0"/>
          <w:numId w:val="21"/>
        </w:numPr>
        <w:spacing w:before="120"/>
      </w:pPr>
      <w:r w:rsidRPr="007D02A7">
        <w:t>N</w:t>
      </w:r>
      <w:r w:rsidR="004A7448" w:rsidRPr="007D02A7">
        <w:t>inguno de los actuales miembros del consejo de administración de ATC ha sido propuesto o nominado por los accionistas titulares del 5%</w:t>
      </w:r>
      <w:r w:rsidR="00EB29C3" w:rsidRPr="007D02A7">
        <w:t xml:space="preserve"> (cinco por ciento)</w:t>
      </w:r>
      <w:r w:rsidR="004A7448" w:rsidRPr="007D02A7">
        <w:t xml:space="preserve"> o más</w:t>
      </w:r>
      <w:r w:rsidRPr="007D02A7">
        <w:t>, porque</w:t>
      </w:r>
      <w:r w:rsidR="00E60CB7" w:rsidRPr="007D02A7">
        <w:t xml:space="preserve">: </w:t>
      </w:r>
    </w:p>
    <w:p w:rsidR="009B00DC" w:rsidRPr="007D02A7" w:rsidRDefault="00A47D45" w:rsidP="00637B96">
      <w:pPr>
        <w:pStyle w:val="Prraforproyecto"/>
        <w:keepNext w:val="0"/>
        <w:spacing w:before="120"/>
        <w:ind w:left="709"/>
        <w:rPr>
          <w:i/>
        </w:rPr>
      </w:pPr>
      <w:r w:rsidRPr="007D02A7">
        <w:rPr>
          <w:i/>
        </w:rPr>
        <w:t>“</w:t>
      </w:r>
      <w:r w:rsidR="009B00DC" w:rsidRPr="007D02A7">
        <w:rPr>
          <w:i/>
        </w:rPr>
        <w:t>Los miembros del Consejo de Administración se eligen anualmente por mayoría de votos</w:t>
      </w:r>
      <w:r w:rsidRPr="007D02A7">
        <w:rPr>
          <w:i/>
        </w:rPr>
        <w:t>, por lo que más del 50% de los votos se requieren a efecto de elegir a un miembro del Consejo de Administración que hubiere sido nominado.”</w:t>
      </w:r>
      <w:r w:rsidR="00980827" w:rsidRPr="007D02A7">
        <w:rPr>
          <w:rStyle w:val="Refdenotaalpie"/>
          <w:i/>
        </w:rPr>
        <w:footnoteReference w:id="17"/>
      </w:r>
    </w:p>
    <w:p w:rsidR="006C3C57" w:rsidRPr="007D02A7" w:rsidRDefault="002C6429" w:rsidP="00637B96">
      <w:pPr>
        <w:spacing w:before="120" w:after="120"/>
        <w:jc w:val="both"/>
        <w:rPr>
          <w:rFonts w:ascii="ITC Avant Garde" w:hAnsi="ITC Avant Garde"/>
        </w:rPr>
      </w:pPr>
      <w:r w:rsidRPr="007D02A7">
        <w:rPr>
          <w:rFonts w:ascii="ITC Avant Garde" w:hAnsi="ITC Avant Garde"/>
        </w:rPr>
        <w:t>De acuerdo con hechos notorios para el Instituto</w:t>
      </w:r>
      <w:r w:rsidR="006C3C57" w:rsidRPr="007D02A7">
        <w:rPr>
          <w:rFonts w:ascii="ITC Avant Garde" w:hAnsi="ITC Avant Garde"/>
        </w:rPr>
        <w:t>:</w:t>
      </w:r>
      <w:r w:rsidRPr="007D02A7">
        <w:rPr>
          <w:rFonts w:ascii="ITC Avant Garde" w:eastAsia="Times New Roman" w:hAnsi="ITC Avant Garde"/>
          <w:color w:val="000000"/>
          <w:szCs w:val="24"/>
          <w:vertAlign w:val="superscript"/>
        </w:rPr>
        <w:footnoteReference w:id="18"/>
      </w:r>
      <w:r w:rsidRPr="007D02A7">
        <w:rPr>
          <w:rFonts w:ascii="ITC Avant Garde" w:hAnsi="ITC Avant Garde"/>
        </w:rPr>
        <w:t xml:space="preserve"> </w:t>
      </w:r>
    </w:p>
    <w:p w:rsidR="00F80603" w:rsidRPr="007D02A7" w:rsidRDefault="002C6429" w:rsidP="00637B96">
      <w:pPr>
        <w:numPr>
          <w:ilvl w:val="0"/>
          <w:numId w:val="23"/>
        </w:numPr>
        <w:spacing w:before="120" w:after="120"/>
        <w:jc w:val="both"/>
        <w:rPr>
          <w:rFonts w:ascii="ITC Avant Garde" w:hAnsi="ITC Avant Garde"/>
        </w:rPr>
      </w:pPr>
      <w:proofErr w:type="spellStart"/>
      <w:r w:rsidRPr="007D02A7">
        <w:rPr>
          <w:rFonts w:ascii="ITC Avant Garde" w:eastAsia="Times New Roman" w:hAnsi="ITC Avant Garde"/>
          <w:color w:val="000000"/>
          <w:lang w:eastAsia="es-MX"/>
        </w:rPr>
        <w:t>BlackRock</w:t>
      </w:r>
      <w:proofErr w:type="spellEnd"/>
      <w:r w:rsidRPr="007D02A7">
        <w:rPr>
          <w:rFonts w:ascii="ITC Avant Garde" w:eastAsia="Times New Roman" w:hAnsi="ITC Avant Garde"/>
          <w:color w:val="000000"/>
          <w:lang w:eastAsia="es-MX"/>
        </w:rPr>
        <w:t xml:space="preserve">, Inc. y </w:t>
      </w:r>
      <w:proofErr w:type="spellStart"/>
      <w:r w:rsidR="00CB6259" w:rsidRPr="007D02A7">
        <w:rPr>
          <w:rFonts w:ascii="ITC Avant Garde" w:eastAsia="Times New Roman" w:hAnsi="ITC Avant Garde"/>
          <w:color w:val="000000"/>
          <w:lang w:eastAsia="es-MX"/>
        </w:rPr>
        <w:t>The</w:t>
      </w:r>
      <w:proofErr w:type="spellEnd"/>
      <w:r w:rsidRPr="007D02A7">
        <w:rPr>
          <w:rFonts w:ascii="ITC Avant Garde" w:eastAsia="Times New Roman" w:hAnsi="ITC Avant Garde"/>
          <w:color w:val="000000"/>
          <w:lang w:eastAsia="es-MX"/>
        </w:rPr>
        <w:t xml:space="preserve"> </w:t>
      </w:r>
      <w:proofErr w:type="spellStart"/>
      <w:r w:rsidRPr="007D02A7">
        <w:rPr>
          <w:rFonts w:ascii="ITC Avant Garde" w:hAnsi="ITC Avant Garde"/>
        </w:rPr>
        <w:t>Vanguard</w:t>
      </w:r>
      <w:proofErr w:type="spellEnd"/>
      <w:r w:rsidRPr="007D02A7">
        <w:rPr>
          <w:rFonts w:ascii="ITC Avant Garde" w:hAnsi="ITC Avant Garde"/>
        </w:rPr>
        <w:t xml:space="preserve"> </w:t>
      </w:r>
      <w:proofErr w:type="spellStart"/>
      <w:r w:rsidRPr="007D02A7">
        <w:rPr>
          <w:rFonts w:ascii="ITC Avant Garde" w:hAnsi="ITC Avant Garde"/>
        </w:rPr>
        <w:t>Group</w:t>
      </w:r>
      <w:proofErr w:type="spellEnd"/>
      <w:r w:rsidRPr="007D02A7">
        <w:rPr>
          <w:rFonts w:ascii="ITC Avant Garde" w:hAnsi="ITC Avant Garde"/>
        </w:rPr>
        <w:t xml:space="preserve"> </w:t>
      </w:r>
      <w:r w:rsidR="00F80603" w:rsidRPr="007D02A7">
        <w:rPr>
          <w:rFonts w:ascii="ITC Avant Garde" w:hAnsi="ITC Avant Garde"/>
        </w:rPr>
        <w:t>son</w:t>
      </w:r>
      <w:r w:rsidRPr="007D02A7">
        <w:rPr>
          <w:rFonts w:ascii="ITC Avant Garde" w:hAnsi="ITC Avant Garde"/>
        </w:rPr>
        <w:t xml:space="preserve"> fondo</w:t>
      </w:r>
      <w:r w:rsidR="00F80603" w:rsidRPr="007D02A7">
        <w:rPr>
          <w:rFonts w:ascii="ITC Avant Garde" w:hAnsi="ITC Avant Garde"/>
        </w:rPr>
        <w:t>s</w:t>
      </w:r>
      <w:r w:rsidRPr="007D02A7">
        <w:rPr>
          <w:rFonts w:ascii="ITC Avant Garde" w:hAnsi="ITC Avant Garde"/>
        </w:rPr>
        <w:t xml:space="preserve"> de inversión que </w:t>
      </w:r>
      <w:r w:rsidR="00F80603" w:rsidRPr="007D02A7">
        <w:rPr>
          <w:rFonts w:ascii="ITC Avant Garde" w:hAnsi="ITC Avant Garde"/>
        </w:rPr>
        <w:t>son</w:t>
      </w:r>
      <w:r w:rsidRPr="007D02A7">
        <w:rPr>
          <w:rFonts w:ascii="ITC Avant Garde" w:hAnsi="ITC Avant Garde"/>
        </w:rPr>
        <w:t xml:space="preserve"> accionista</w:t>
      </w:r>
      <w:r w:rsidR="00F80603" w:rsidRPr="007D02A7">
        <w:rPr>
          <w:rFonts w:ascii="ITC Avant Garde" w:hAnsi="ITC Avant Garde"/>
        </w:rPr>
        <w:t>s</w:t>
      </w:r>
      <w:r w:rsidRPr="007D02A7">
        <w:rPr>
          <w:rFonts w:ascii="ITC Avant Garde" w:hAnsi="ITC Avant Garde"/>
        </w:rPr>
        <w:t xml:space="preserve"> minoritario</w:t>
      </w:r>
      <w:r w:rsidR="00F80603" w:rsidRPr="007D02A7">
        <w:rPr>
          <w:rFonts w:ascii="ITC Avant Garde" w:hAnsi="ITC Avant Garde"/>
        </w:rPr>
        <w:t>s</w:t>
      </w:r>
      <w:r w:rsidRPr="007D02A7">
        <w:rPr>
          <w:rFonts w:ascii="ITC Avant Garde" w:hAnsi="ITC Avant Garde"/>
        </w:rPr>
        <w:t xml:space="preserve"> en sociedades que participan directa o indirectamente en la provisión de servicios de telecomunicaciones y/o radiodifusión en México.</w:t>
      </w:r>
      <w:r w:rsidRPr="007D02A7">
        <w:rPr>
          <w:rFonts w:ascii="ITC Avant Garde" w:hAnsi="ITC Avant Garde"/>
          <w:vertAlign w:val="superscript"/>
        </w:rPr>
        <w:footnoteReference w:id="19"/>
      </w:r>
      <w:r w:rsidRPr="007D02A7">
        <w:rPr>
          <w:rFonts w:ascii="ITC Avant Garde" w:hAnsi="ITC Avant Garde"/>
        </w:rPr>
        <w:t xml:space="preserve"> </w:t>
      </w:r>
    </w:p>
    <w:p w:rsidR="00F80603" w:rsidRPr="007D02A7" w:rsidRDefault="00F80603" w:rsidP="00637B96">
      <w:pPr>
        <w:numPr>
          <w:ilvl w:val="0"/>
          <w:numId w:val="23"/>
        </w:numPr>
        <w:spacing w:before="120" w:after="120"/>
        <w:jc w:val="both"/>
        <w:rPr>
          <w:rFonts w:ascii="ITC Avant Garde" w:hAnsi="ITC Avant Garde"/>
        </w:rPr>
      </w:pPr>
      <w:r w:rsidRPr="007D02A7">
        <w:rPr>
          <w:rFonts w:ascii="ITC Avant Garde" w:hAnsi="ITC Avant Garde"/>
        </w:rPr>
        <w:lastRenderedPageBreak/>
        <w:t>De acuerdo con</w:t>
      </w:r>
      <w:r w:rsidR="00552698" w:rsidRPr="007D02A7">
        <w:rPr>
          <w:rFonts w:ascii="ITC Avant Garde" w:hAnsi="ITC Avant Garde"/>
        </w:rPr>
        <w:t xml:space="preserve"> información contenida en las resoluciones emitidas por el Pleno del Instituto en los expedientes UCE/CNC-003-2014, UCE/CNC-006-2014, UCE/CNC-001-2015 y UCE/OLC-001-2016,</w:t>
      </w:r>
      <w:r w:rsidRPr="007D02A7">
        <w:rPr>
          <w:rFonts w:ascii="ITC Avant Garde" w:hAnsi="ITC Avant Garde"/>
        </w:rPr>
        <w:t xml:space="preserve"> </w:t>
      </w:r>
      <w:proofErr w:type="spellStart"/>
      <w:r w:rsidRPr="007D02A7">
        <w:rPr>
          <w:rFonts w:ascii="ITC Avant Garde" w:eastAsia="Times New Roman" w:hAnsi="ITC Avant Garde"/>
          <w:color w:val="000000"/>
          <w:lang w:eastAsia="es-MX"/>
        </w:rPr>
        <w:t>BlackRock</w:t>
      </w:r>
      <w:proofErr w:type="spellEnd"/>
      <w:r w:rsidRPr="007D02A7">
        <w:rPr>
          <w:rFonts w:ascii="ITC Avant Garde" w:eastAsia="Times New Roman" w:hAnsi="ITC Avant Garde"/>
          <w:color w:val="000000"/>
          <w:lang w:eastAsia="es-MX"/>
        </w:rPr>
        <w:t>, Inc.</w:t>
      </w:r>
      <w:r w:rsidR="009326BB" w:rsidRPr="007D02A7">
        <w:rPr>
          <w:rFonts w:ascii="ITC Avant Garde" w:eastAsia="Times New Roman" w:hAnsi="ITC Avant Garde"/>
          <w:color w:val="000000"/>
          <w:lang w:eastAsia="es-MX"/>
        </w:rPr>
        <w:t>,</w:t>
      </w:r>
      <w:r w:rsidRPr="007D02A7">
        <w:rPr>
          <w:rFonts w:ascii="ITC Avant Garde" w:hAnsi="ITC Avant Garde"/>
        </w:rPr>
        <w:t xml:space="preserve"> respecto al sector de Telecomunicaciones, tiene participaciones accionarias en las sociedades </w:t>
      </w:r>
      <w:r w:rsidR="00552698" w:rsidRPr="007D02A7">
        <w:rPr>
          <w:rFonts w:ascii="ITC Avant Garde" w:hAnsi="ITC Avant Garde"/>
        </w:rPr>
        <w:t>EchoStar</w:t>
      </w:r>
      <w:r w:rsidR="00980827" w:rsidRPr="007D02A7">
        <w:rPr>
          <w:rFonts w:ascii="ITC Avant Garde" w:hAnsi="ITC Avant Garde"/>
        </w:rPr>
        <w:t xml:space="preserve"> </w:t>
      </w:r>
      <w:proofErr w:type="spellStart"/>
      <w:r w:rsidR="00980827" w:rsidRPr="007D02A7">
        <w:rPr>
          <w:rFonts w:ascii="ITC Avant Garde" w:hAnsi="ITC Avant Garde"/>
        </w:rPr>
        <w:t>Corporation</w:t>
      </w:r>
      <w:proofErr w:type="spellEnd"/>
      <w:r w:rsidR="00552698" w:rsidRPr="007D02A7">
        <w:rPr>
          <w:rFonts w:ascii="ITC Avant Garde" w:hAnsi="ITC Avant Garde"/>
        </w:rPr>
        <w:t>, AT&amp;T</w:t>
      </w:r>
      <w:r w:rsidR="00980827" w:rsidRPr="007D02A7">
        <w:rPr>
          <w:rFonts w:ascii="ITC Avant Garde" w:hAnsi="ITC Avant Garde"/>
        </w:rPr>
        <w:t>, Inc.</w:t>
      </w:r>
      <w:r w:rsidR="00552698" w:rsidRPr="007D02A7">
        <w:rPr>
          <w:rFonts w:ascii="ITC Avant Garde" w:hAnsi="ITC Avant Garde"/>
        </w:rPr>
        <w:t xml:space="preserve">, </w:t>
      </w:r>
      <w:r w:rsidR="00980827" w:rsidRPr="007D02A7">
        <w:rPr>
          <w:rFonts w:ascii="ITC Avant Garde" w:hAnsi="ITC Avant Garde"/>
        </w:rPr>
        <w:t>América Móvil, S.A.B. de C.V. (</w:t>
      </w:r>
      <w:r w:rsidR="00552698" w:rsidRPr="007D02A7">
        <w:rPr>
          <w:rFonts w:ascii="ITC Avant Garde" w:hAnsi="ITC Avant Garde"/>
        </w:rPr>
        <w:t>AMX</w:t>
      </w:r>
      <w:r w:rsidR="00980827" w:rsidRPr="007D02A7">
        <w:rPr>
          <w:rFonts w:ascii="ITC Avant Garde" w:hAnsi="ITC Avant Garde"/>
        </w:rPr>
        <w:t>)</w:t>
      </w:r>
      <w:r w:rsidR="00552698" w:rsidRPr="007D02A7">
        <w:rPr>
          <w:rFonts w:ascii="ITC Avant Garde" w:hAnsi="ITC Avant Garde"/>
        </w:rPr>
        <w:t xml:space="preserve"> y </w:t>
      </w:r>
      <w:r w:rsidR="00980827" w:rsidRPr="007D02A7">
        <w:rPr>
          <w:rFonts w:ascii="ITC Avant Garde" w:hAnsi="ITC Avant Garde"/>
        </w:rPr>
        <w:t>Grupo Televisa, S.A.B. de C.V. (</w:t>
      </w:r>
      <w:r w:rsidR="00552698" w:rsidRPr="007D02A7">
        <w:rPr>
          <w:rFonts w:ascii="ITC Avant Garde" w:hAnsi="ITC Avant Garde"/>
        </w:rPr>
        <w:t>GTV</w:t>
      </w:r>
      <w:r w:rsidR="00980827" w:rsidRPr="007D02A7">
        <w:rPr>
          <w:rFonts w:ascii="ITC Avant Garde" w:hAnsi="ITC Avant Garde"/>
        </w:rPr>
        <w:t>)</w:t>
      </w:r>
      <w:r w:rsidR="002C6EA6" w:rsidRPr="007D02A7">
        <w:rPr>
          <w:rFonts w:ascii="ITC Avant Garde" w:hAnsi="ITC Avant Garde"/>
        </w:rPr>
        <w:t>,</w:t>
      </w:r>
      <w:r w:rsidR="00AF43DC" w:rsidRPr="007D02A7">
        <w:rPr>
          <w:rFonts w:ascii="ITC Avant Garde" w:hAnsi="ITC Avant Garde"/>
        </w:rPr>
        <w:t xml:space="preserve"> todas</w:t>
      </w:r>
      <w:r w:rsidR="00C119EE" w:rsidRPr="007D02A7">
        <w:rPr>
          <w:rFonts w:ascii="ITC Avant Garde" w:hAnsi="ITC Avant Garde"/>
          <w:vertAlign w:val="superscript"/>
        </w:rPr>
        <w:t xml:space="preserve"> </w:t>
      </w:r>
      <w:r w:rsidR="002C6EA6" w:rsidRPr="007D02A7">
        <w:rPr>
          <w:rFonts w:ascii="ITC Avant Garde" w:hAnsi="ITC Avant Garde"/>
        </w:rPr>
        <w:t>con</w:t>
      </w:r>
      <w:r w:rsidRPr="007D02A7">
        <w:rPr>
          <w:rFonts w:ascii="ITC Avant Garde" w:hAnsi="ITC Avant Garde"/>
        </w:rPr>
        <w:t xml:space="preserve"> presencia en México.</w:t>
      </w:r>
      <w:r w:rsidR="009326BB" w:rsidRPr="007D02A7">
        <w:rPr>
          <w:rFonts w:ascii="ITC Avant Garde" w:hAnsi="ITC Avant Garde"/>
          <w:vertAlign w:val="superscript"/>
        </w:rPr>
        <w:footnoteReference w:id="20"/>
      </w:r>
    </w:p>
    <w:p w:rsidR="002C6429" w:rsidRPr="007D02A7" w:rsidRDefault="002C6429" w:rsidP="00637B96">
      <w:pPr>
        <w:numPr>
          <w:ilvl w:val="0"/>
          <w:numId w:val="23"/>
        </w:numPr>
        <w:spacing w:before="120" w:after="120"/>
        <w:jc w:val="both"/>
        <w:rPr>
          <w:rFonts w:ascii="ITC Avant Garde" w:hAnsi="ITC Avant Garde"/>
        </w:rPr>
      </w:pPr>
      <w:r w:rsidRPr="007D02A7">
        <w:rPr>
          <w:rFonts w:ascii="ITC Avant Garde" w:hAnsi="ITC Avant Garde"/>
        </w:rPr>
        <w:t xml:space="preserve">De acuerdo con el informe anual de </w:t>
      </w:r>
      <w:proofErr w:type="spellStart"/>
      <w:r w:rsidR="00CB6259" w:rsidRPr="007D02A7">
        <w:rPr>
          <w:rFonts w:ascii="ITC Avant Garde" w:hAnsi="ITC Avant Garde"/>
        </w:rPr>
        <w:t>The</w:t>
      </w:r>
      <w:proofErr w:type="spellEnd"/>
      <w:r w:rsidRPr="007D02A7">
        <w:rPr>
          <w:rFonts w:ascii="ITC Avant Garde" w:hAnsi="ITC Avant Garde"/>
        </w:rPr>
        <w:t xml:space="preserve"> </w:t>
      </w:r>
      <w:proofErr w:type="spellStart"/>
      <w:r w:rsidRPr="007D02A7">
        <w:rPr>
          <w:rFonts w:ascii="ITC Avant Garde" w:hAnsi="ITC Avant Garde"/>
        </w:rPr>
        <w:t>Vanguard</w:t>
      </w:r>
      <w:proofErr w:type="spellEnd"/>
      <w:r w:rsidRPr="007D02A7">
        <w:rPr>
          <w:rFonts w:ascii="ITC Avant Garde" w:hAnsi="ITC Avant Garde"/>
        </w:rPr>
        <w:t xml:space="preserve"> </w:t>
      </w:r>
      <w:proofErr w:type="spellStart"/>
      <w:r w:rsidRPr="007D02A7">
        <w:rPr>
          <w:rFonts w:ascii="ITC Avant Garde" w:hAnsi="ITC Avant Garde"/>
        </w:rPr>
        <w:t>Group</w:t>
      </w:r>
      <w:proofErr w:type="spellEnd"/>
      <w:r w:rsidRPr="007D02A7">
        <w:rPr>
          <w:rFonts w:ascii="ITC Avant Garde" w:hAnsi="ITC Avant Garde"/>
        </w:rPr>
        <w:t xml:space="preserve"> para el año dos mil dieciséis, respecto al sector “</w:t>
      </w:r>
      <w:proofErr w:type="spellStart"/>
      <w:r w:rsidRPr="007D02A7">
        <w:rPr>
          <w:rFonts w:ascii="ITC Avant Garde" w:hAnsi="ITC Avant Garde"/>
          <w:i/>
        </w:rPr>
        <w:t>Telecommunication</w:t>
      </w:r>
      <w:proofErr w:type="spellEnd"/>
      <w:r w:rsidRPr="007D02A7">
        <w:rPr>
          <w:rFonts w:ascii="ITC Avant Garde" w:hAnsi="ITC Avant Garde"/>
          <w:i/>
        </w:rPr>
        <w:t xml:space="preserve"> </w:t>
      </w:r>
      <w:proofErr w:type="spellStart"/>
      <w:r w:rsidRPr="007D02A7">
        <w:rPr>
          <w:rFonts w:ascii="ITC Avant Garde" w:hAnsi="ITC Avant Garde"/>
          <w:i/>
        </w:rPr>
        <w:t>Services</w:t>
      </w:r>
      <w:proofErr w:type="spellEnd"/>
      <w:r w:rsidRPr="007D02A7">
        <w:rPr>
          <w:rFonts w:ascii="ITC Avant Garde" w:hAnsi="ITC Avant Garde"/>
        </w:rPr>
        <w:t xml:space="preserve">”, éste tiene participaciones accionarias en las sociedades AT&amp;T, Inc., </w:t>
      </w:r>
      <w:proofErr w:type="spellStart"/>
      <w:r w:rsidRPr="007D02A7">
        <w:rPr>
          <w:rFonts w:ascii="ITC Avant Garde" w:hAnsi="ITC Avant Garde"/>
        </w:rPr>
        <w:t>Verizon</w:t>
      </w:r>
      <w:proofErr w:type="spellEnd"/>
      <w:r w:rsidRPr="007D02A7">
        <w:rPr>
          <w:rFonts w:ascii="ITC Avant Garde" w:hAnsi="ITC Avant Garde"/>
        </w:rPr>
        <w:t xml:space="preserve"> </w:t>
      </w:r>
      <w:proofErr w:type="spellStart"/>
      <w:r w:rsidRPr="007D02A7">
        <w:rPr>
          <w:rFonts w:ascii="ITC Avant Garde" w:hAnsi="ITC Avant Garde"/>
        </w:rPr>
        <w:t>Communications</w:t>
      </w:r>
      <w:proofErr w:type="spellEnd"/>
      <w:r w:rsidRPr="007D02A7">
        <w:rPr>
          <w:rFonts w:ascii="ITC Avant Garde" w:hAnsi="ITC Avant Garde"/>
        </w:rPr>
        <w:t xml:space="preserve"> Inc., </w:t>
      </w:r>
      <w:proofErr w:type="spellStart"/>
      <w:r w:rsidRPr="007D02A7">
        <w:rPr>
          <w:rFonts w:ascii="ITC Avant Garde" w:hAnsi="ITC Avant Garde"/>
        </w:rPr>
        <w:t>Level</w:t>
      </w:r>
      <w:proofErr w:type="spellEnd"/>
      <w:r w:rsidRPr="007D02A7">
        <w:rPr>
          <w:rFonts w:ascii="ITC Avant Garde" w:hAnsi="ITC Avant Garde"/>
        </w:rPr>
        <w:t xml:space="preserve"> 3, </w:t>
      </w:r>
      <w:proofErr w:type="spellStart"/>
      <w:r w:rsidRPr="007D02A7">
        <w:rPr>
          <w:rFonts w:ascii="ITC Avant Garde" w:hAnsi="ITC Avant Garde"/>
        </w:rPr>
        <w:t>CenturyLink</w:t>
      </w:r>
      <w:proofErr w:type="spellEnd"/>
      <w:r w:rsidRPr="007D02A7">
        <w:rPr>
          <w:rFonts w:ascii="ITC Avant Garde" w:hAnsi="ITC Avant Garde"/>
        </w:rPr>
        <w:t xml:space="preserve">, Inc. y </w:t>
      </w:r>
      <w:proofErr w:type="spellStart"/>
      <w:r w:rsidRPr="007D02A7">
        <w:rPr>
          <w:rFonts w:ascii="ITC Avant Garde" w:hAnsi="ITC Avant Garde"/>
        </w:rPr>
        <w:t>Frontier</w:t>
      </w:r>
      <w:proofErr w:type="spellEnd"/>
      <w:r w:rsidRPr="007D02A7">
        <w:rPr>
          <w:rFonts w:ascii="ITC Avant Garde" w:hAnsi="ITC Avant Garde"/>
        </w:rPr>
        <w:t xml:space="preserve"> </w:t>
      </w:r>
      <w:proofErr w:type="spellStart"/>
      <w:r w:rsidRPr="007D02A7">
        <w:rPr>
          <w:rFonts w:ascii="ITC Avant Garde" w:hAnsi="ITC Avant Garde"/>
        </w:rPr>
        <w:t>Communications</w:t>
      </w:r>
      <w:proofErr w:type="spellEnd"/>
      <w:r w:rsidRPr="007D02A7">
        <w:rPr>
          <w:rFonts w:ascii="ITC Avant Garde" w:hAnsi="ITC Avant Garde"/>
        </w:rPr>
        <w:t xml:space="preserve"> Corp.</w:t>
      </w:r>
      <w:r w:rsidRPr="007D02A7">
        <w:rPr>
          <w:rFonts w:ascii="ITC Avant Garde" w:hAnsi="ITC Avant Garde"/>
          <w:vertAlign w:val="superscript"/>
        </w:rPr>
        <w:footnoteReference w:id="21"/>
      </w:r>
      <w:r w:rsidRPr="007D02A7">
        <w:rPr>
          <w:rFonts w:ascii="ITC Avant Garde" w:hAnsi="ITC Avant Garde"/>
        </w:rPr>
        <w:t xml:space="preserve"> Únicamente se tiene conocimiento de la presencia en México de AT&amp;T, Inc. y </w:t>
      </w:r>
      <w:proofErr w:type="spellStart"/>
      <w:r w:rsidRPr="007D02A7">
        <w:rPr>
          <w:rFonts w:ascii="ITC Avant Garde" w:hAnsi="ITC Avant Garde"/>
        </w:rPr>
        <w:t>Level</w:t>
      </w:r>
      <w:proofErr w:type="spellEnd"/>
      <w:r w:rsidRPr="007D02A7">
        <w:rPr>
          <w:rFonts w:ascii="ITC Avant Garde" w:hAnsi="ITC Avant Garde"/>
        </w:rPr>
        <w:t xml:space="preserve"> 3.</w:t>
      </w:r>
    </w:p>
    <w:p w:rsidR="002C6429" w:rsidRPr="007D02A7" w:rsidRDefault="002C6429" w:rsidP="00637B96">
      <w:pPr>
        <w:spacing w:before="120" w:after="120"/>
        <w:ind w:left="708"/>
        <w:jc w:val="both"/>
        <w:rPr>
          <w:rFonts w:ascii="ITC Avant Garde" w:hAnsi="ITC Avant Garde"/>
        </w:rPr>
      </w:pPr>
      <w:r w:rsidRPr="007D02A7">
        <w:rPr>
          <w:rFonts w:ascii="ITC Avant Garde" w:hAnsi="ITC Avant Garde"/>
        </w:rPr>
        <w:t>Las participaciones accionarias de es</w:t>
      </w:r>
      <w:r w:rsidR="006B7D6B" w:rsidRPr="007D02A7">
        <w:rPr>
          <w:rFonts w:ascii="ITC Avant Garde" w:hAnsi="ITC Avant Garde"/>
        </w:rPr>
        <w:t>os</w:t>
      </w:r>
      <w:r w:rsidRPr="007D02A7">
        <w:rPr>
          <w:rFonts w:ascii="ITC Avant Garde" w:hAnsi="ITC Avant Garde"/>
        </w:rPr>
        <w:t xml:space="preserve"> fondo</w:t>
      </w:r>
      <w:r w:rsidR="006B7D6B" w:rsidRPr="007D02A7">
        <w:rPr>
          <w:rFonts w:ascii="ITC Avant Garde" w:hAnsi="ITC Avant Garde"/>
        </w:rPr>
        <w:t>s</w:t>
      </w:r>
      <w:r w:rsidRPr="007D02A7">
        <w:rPr>
          <w:rFonts w:ascii="ITC Avant Garde" w:hAnsi="ITC Avant Garde"/>
        </w:rPr>
        <w:t xml:space="preserve"> de inversión en las sociedades identificadas no le otorgan la capacidad de controlar, ni la facultad para nombrar a miembros de órganos de decisión, o a directivos de esa sociedad.</w:t>
      </w:r>
    </w:p>
    <w:p w:rsidR="002C6429" w:rsidRPr="007D02A7" w:rsidRDefault="002C6429" w:rsidP="00637B96">
      <w:pPr>
        <w:pStyle w:val="Prraforproyecto"/>
        <w:keepNext w:val="0"/>
        <w:spacing w:before="120"/>
      </w:pPr>
      <w:r w:rsidRPr="007D02A7">
        <w:t xml:space="preserve">Por otra parte, no se identifica que </w:t>
      </w:r>
      <w:r w:rsidR="006B7D6B" w:rsidRPr="007D02A7">
        <w:t xml:space="preserve">T. </w:t>
      </w:r>
      <w:proofErr w:type="spellStart"/>
      <w:r w:rsidR="006B7D6B" w:rsidRPr="007D02A7">
        <w:t>Rowe</w:t>
      </w:r>
      <w:proofErr w:type="spellEnd"/>
      <w:r w:rsidR="006B7D6B" w:rsidRPr="007D02A7">
        <w:t xml:space="preserve"> Price </w:t>
      </w:r>
      <w:proofErr w:type="spellStart"/>
      <w:r w:rsidR="006B7D6B" w:rsidRPr="007D02A7">
        <w:t>Associates</w:t>
      </w:r>
      <w:proofErr w:type="spellEnd"/>
      <w:r w:rsidR="006B7D6B" w:rsidRPr="007D02A7">
        <w:t>, Inc.</w:t>
      </w:r>
      <w:r w:rsidRPr="007D02A7">
        <w:t xml:space="preserve"> sea accionista en sociedades que participan directa o indirectamente en la provisión de servicios de telecomunicaciones y/o radiodifusión en México.</w:t>
      </w:r>
    </w:p>
    <w:p w:rsidR="006B7D6B" w:rsidRPr="007D02A7" w:rsidRDefault="006B7D6B" w:rsidP="00637B96">
      <w:pPr>
        <w:spacing w:before="120" w:after="120"/>
        <w:rPr>
          <w:rFonts w:ascii="ITC Avant Garde" w:hAnsi="ITC Avant Garde"/>
          <w:b/>
        </w:rPr>
      </w:pPr>
      <w:r w:rsidRPr="007D02A7">
        <w:rPr>
          <w:rFonts w:ascii="ITC Avant Garde" w:hAnsi="ITC Avant Garde"/>
          <w:b/>
        </w:rPr>
        <w:t>Otras sociedades donde participa ATC</w:t>
      </w:r>
      <w:r w:rsidR="00AF43DC" w:rsidRPr="007D02A7">
        <w:rPr>
          <w:rFonts w:ascii="ITC Avant Garde" w:hAnsi="ITC Avant Garde"/>
          <w:b/>
        </w:rPr>
        <w:t xml:space="preserve"> en México</w:t>
      </w:r>
    </w:p>
    <w:p w:rsidR="006C3C57" w:rsidRPr="007D02A7" w:rsidRDefault="0091572C" w:rsidP="00637B96">
      <w:pPr>
        <w:spacing w:before="120" w:after="120"/>
        <w:ind w:right="-1"/>
        <w:jc w:val="both"/>
        <w:rPr>
          <w:rFonts w:ascii="ITC Avant Garde" w:hAnsi="ITC Avant Garde"/>
        </w:rPr>
      </w:pPr>
      <w:r w:rsidRPr="007D02A7">
        <w:rPr>
          <w:rFonts w:ascii="ITC Avant Garde" w:hAnsi="ITC Avant Garde"/>
        </w:rPr>
        <w:t>Además de MATC Digital</w:t>
      </w:r>
      <w:r w:rsidR="00D068AD" w:rsidRPr="007D02A7">
        <w:rPr>
          <w:rFonts w:ascii="ITC Avant Garde" w:hAnsi="ITC Avant Garde"/>
        </w:rPr>
        <w:t>, A</w:t>
      </w:r>
      <w:r w:rsidRPr="007D02A7">
        <w:rPr>
          <w:rFonts w:ascii="ITC Avant Garde" w:hAnsi="ITC Avant Garde"/>
        </w:rPr>
        <w:t>T</w:t>
      </w:r>
      <w:r w:rsidR="00D068AD" w:rsidRPr="007D02A7">
        <w:rPr>
          <w:rFonts w:ascii="ITC Avant Garde" w:hAnsi="ITC Avant Garde"/>
        </w:rPr>
        <w:t>C</w:t>
      </w:r>
      <w:r w:rsidRPr="007D02A7">
        <w:rPr>
          <w:rFonts w:ascii="ITC Avant Garde" w:hAnsi="ITC Avant Garde"/>
        </w:rPr>
        <w:t xml:space="preserve"> cuenta con </w:t>
      </w:r>
      <w:r w:rsidR="006C3C57" w:rsidRPr="007D02A7">
        <w:rPr>
          <w:rFonts w:ascii="ITC Avant Garde" w:hAnsi="ITC Avant Garde"/>
        </w:rPr>
        <w:t xml:space="preserve">cinco </w:t>
      </w:r>
      <w:r w:rsidRPr="007D02A7">
        <w:rPr>
          <w:rFonts w:ascii="ITC Avant Garde" w:hAnsi="ITC Avant Garde"/>
        </w:rPr>
        <w:t xml:space="preserve">subsidiarias mexicanas: </w:t>
      </w:r>
      <w:r w:rsidR="006C3C57" w:rsidRPr="007D02A7">
        <w:rPr>
          <w:rFonts w:ascii="ITC Avant Garde" w:hAnsi="ITC Avant Garde"/>
        </w:rPr>
        <w:t xml:space="preserve">(1) </w:t>
      </w:r>
      <w:r w:rsidRPr="007D02A7">
        <w:rPr>
          <w:rFonts w:ascii="ITC Avant Garde" w:hAnsi="ITC Avant Garde"/>
        </w:rPr>
        <w:t xml:space="preserve">MATC </w:t>
      </w:r>
      <w:proofErr w:type="spellStart"/>
      <w:r w:rsidRPr="007D02A7">
        <w:rPr>
          <w:rFonts w:ascii="ITC Avant Garde" w:hAnsi="ITC Avant Garde"/>
        </w:rPr>
        <w:t>Fibraóptica</w:t>
      </w:r>
      <w:proofErr w:type="spellEnd"/>
      <w:r w:rsidRPr="007D02A7">
        <w:rPr>
          <w:rFonts w:ascii="ITC Avant Garde" w:hAnsi="ITC Avant Garde"/>
        </w:rPr>
        <w:t xml:space="preserve">, S. de R.L. de C.V. (MATC </w:t>
      </w:r>
      <w:proofErr w:type="spellStart"/>
      <w:r w:rsidRPr="007D02A7">
        <w:rPr>
          <w:rFonts w:ascii="ITC Avant Garde" w:hAnsi="ITC Avant Garde"/>
        </w:rPr>
        <w:t>Fibraóptica</w:t>
      </w:r>
      <w:proofErr w:type="spellEnd"/>
      <w:r w:rsidRPr="007D02A7">
        <w:rPr>
          <w:rFonts w:ascii="ITC Avant Garde" w:hAnsi="ITC Avant Garde"/>
        </w:rPr>
        <w:t>)</w:t>
      </w:r>
      <w:r w:rsidR="00E6333F" w:rsidRPr="007D02A7">
        <w:rPr>
          <w:rFonts w:ascii="ITC Avant Garde" w:hAnsi="ITC Avant Garde"/>
        </w:rPr>
        <w:t>;</w:t>
      </w:r>
      <w:r w:rsidRPr="007D02A7">
        <w:rPr>
          <w:rFonts w:ascii="ITC Avant Garde" w:hAnsi="ITC Avant Garde"/>
        </w:rPr>
        <w:t xml:space="preserve"> </w:t>
      </w:r>
      <w:r w:rsidR="006C3C57" w:rsidRPr="007D02A7">
        <w:rPr>
          <w:rFonts w:ascii="ITC Avant Garde" w:hAnsi="ITC Avant Garde"/>
        </w:rPr>
        <w:t xml:space="preserve">(2) </w:t>
      </w:r>
      <w:r w:rsidRPr="007D02A7">
        <w:rPr>
          <w:rFonts w:ascii="ITC Avant Garde" w:hAnsi="ITC Avant Garde"/>
        </w:rPr>
        <w:t>MATC Servicios</w:t>
      </w:r>
      <w:r w:rsidR="00E6333F" w:rsidRPr="007D02A7">
        <w:rPr>
          <w:rFonts w:ascii="ITC Avant Garde" w:hAnsi="ITC Avant Garde"/>
        </w:rPr>
        <w:t xml:space="preserve">, S. de R.L. de C.V. (MATC Servicios); </w:t>
      </w:r>
      <w:r w:rsidR="006C3C57" w:rsidRPr="007D02A7">
        <w:rPr>
          <w:rFonts w:ascii="ITC Avant Garde" w:hAnsi="ITC Avant Garde"/>
        </w:rPr>
        <w:t xml:space="preserve">(3) </w:t>
      </w:r>
      <w:r w:rsidR="00E6333F" w:rsidRPr="007D02A7">
        <w:rPr>
          <w:rFonts w:ascii="ITC Avant Garde" w:hAnsi="ITC Avant Garde"/>
        </w:rPr>
        <w:t xml:space="preserve">MATC Infraestructura, S. de R.L. de C.V. (MATC Infraestructura); </w:t>
      </w:r>
      <w:r w:rsidR="006C3C57" w:rsidRPr="007D02A7">
        <w:rPr>
          <w:rFonts w:ascii="ITC Avant Garde" w:hAnsi="ITC Avant Garde"/>
        </w:rPr>
        <w:t xml:space="preserve">(4) </w:t>
      </w:r>
      <w:r w:rsidR="00E6333F" w:rsidRPr="007D02A7">
        <w:rPr>
          <w:rFonts w:ascii="ITC Avant Garde" w:hAnsi="ITC Avant Garde"/>
        </w:rPr>
        <w:t>Adquisiciones y Proyectos Inalámbricos</w:t>
      </w:r>
      <w:r w:rsidR="008331E3" w:rsidRPr="007D02A7">
        <w:rPr>
          <w:rFonts w:ascii="ITC Avant Garde" w:hAnsi="ITC Avant Garde"/>
        </w:rPr>
        <w:t xml:space="preserve">, S. de R.L. de C.V. (Adquisiciones y Proyectos Inalámbricos), y </w:t>
      </w:r>
      <w:r w:rsidR="006C3C57" w:rsidRPr="007D02A7">
        <w:rPr>
          <w:rFonts w:ascii="ITC Avant Garde" w:hAnsi="ITC Avant Garde"/>
        </w:rPr>
        <w:t xml:space="preserve">(5) </w:t>
      </w:r>
      <w:r w:rsidR="008331E3" w:rsidRPr="007D02A7">
        <w:rPr>
          <w:rFonts w:ascii="ITC Avant Garde" w:hAnsi="ITC Avant Garde"/>
        </w:rPr>
        <w:t xml:space="preserve">ATC </w:t>
      </w:r>
      <w:proofErr w:type="spellStart"/>
      <w:r w:rsidR="008331E3" w:rsidRPr="007D02A7">
        <w:rPr>
          <w:rFonts w:ascii="ITC Avant Garde" w:hAnsi="ITC Avant Garde"/>
        </w:rPr>
        <w:t>Latin</w:t>
      </w:r>
      <w:proofErr w:type="spellEnd"/>
      <w:r w:rsidR="008331E3" w:rsidRPr="007D02A7">
        <w:rPr>
          <w:rFonts w:ascii="ITC Avant Garde" w:hAnsi="ITC Avant Garde"/>
        </w:rPr>
        <w:t xml:space="preserve"> </w:t>
      </w:r>
      <w:proofErr w:type="spellStart"/>
      <w:r w:rsidR="008331E3" w:rsidRPr="007D02A7">
        <w:rPr>
          <w:rFonts w:ascii="ITC Avant Garde" w:hAnsi="ITC Avant Garde"/>
        </w:rPr>
        <w:t>America</w:t>
      </w:r>
      <w:proofErr w:type="spellEnd"/>
      <w:r w:rsidR="008331E3" w:rsidRPr="007D02A7">
        <w:rPr>
          <w:rFonts w:ascii="ITC Avant Garde" w:hAnsi="ITC Avant Garde"/>
        </w:rPr>
        <w:t xml:space="preserve">, S.A. de C.V. SOFOM, E.N.R. (ATC </w:t>
      </w:r>
      <w:proofErr w:type="spellStart"/>
      <w:r w:rsidR="008331E3" w:rsidRPr="007D02A7">
        <w:rPr>
          <w:rFonts w:ascii="ITC Avant Garde" w:hAnsi="ITC Avant Garde"/>
        </w:rPr>
        <w:t>Latin</w:t>
      </w:r>
      <w:proofErr w:type="spellEnd"/>
      <w:r w:rsidR="008331E3" w:rsidRPr="007D02A7">
        <w:rPr>
          <w:rFonts w:ascii="ITC Avant Garde" w:hAnsi="ITC Avant Garde"/>
        </w:rPr>
        <w:t xml:space="preserve"> </w:t>
      </w:r>
      <w:proofErr w:type="spellStart"/>
      <w:r w:rsidR="008331E3" w:rsidRPr="007D02A7">
        <w:rPr>
          <w:rFonts w:ascii="ITC Avant Garde" w:hAnsi="ITC Avant Garde"/>
        </w:rPr>
        <w:t>America</w:t>
      </w:r>
      <w:proofErr w:type="spellEnd"/>
      <w:r w:rsidR="008331E3" w:rsidRPr="007D02A7">
        <w:rPr>
          <w:rFonts w:ascii="ITC Avant Garde" w:hAnsi="ITC Avant Garde"/>
        </w:rPr>
        <w:t>)</w:t>
      </w:r>
      <w:r w:rsidRPr="007D02A7">
        <w:rPr>
          <w:rFonts w:ascii="ITC Avant Garde" w:hAnsi="ITC Avant Garde"/>
        </w:rPr>
        <w:t>.</w:t>
      </w:r>
      <w:r w:rsidR="008331E3" w:rsidRPr="007D02A7">
        <w:rPr>
          <w:rFonts w:ascii="ITC Avant Garde" w:hAnsi="ITC Avant Garde"/>
        </w:rPr>
        <w:t xml:space="preserve"> </w:t>
      </w:r>
    </w:p>
    <w:p w:rsidR="005E405B" w:rsidRPr="007D02A7" w:rsidRDefault="006C3C57" w:rsidP="00637B96">
      <w:pPr>
        <w:spacing w:before="120" w:after="120"/>
        <w:ind w:right="-1"/>
        <w:jc w:val="both"/>
        <w:rPr>
          <w:rFonts w:ascii="ITC Avant Garde" w:hAnsi="ITC Avant Garde"/>
        </w:rPr>
      </w:pPr>
      <w:r w:rsidRPr="007D02A7">
        <w:rPr>
          <w:rFonts w:ascii="ITC Avant Garde" w:hAnsi="ITC Avant Garde"/>
        </w:rPr>
        <w:t xml:space="preserve">El </w:t>
      </w:r>
      <w:r w:rsidRPr="007D02A7">
        <w:rPr>
          <w:rFonts w:ascii="ITC Avant Garde" w:hAnsi="ITC Avant Garde"/>
        </w:rPr>
        <w:fldChar w:fldCharType="begin"/>
      </w:r>
      <w:r w:rsidRPr="007D02A7">
        <w:rPr>
          <w:rFonts w:ascii="ITC Avant Garde" w:hAnsi="ITC Avant Garde"/>
        </w:rPr>
        <w:instrText xml:space="preserve"> REF _Ref495411674 \r \h </w:instrText>
      </w:r>
      <w:r w:rsidR="00665178" w:rsidRPr="007D02A7">
        <w:rPr>
          <w:rFonts w:ascii="ITC Avant Garde" w:hAnsi="ITC Avant Garde"/>
        </w:rPr>
        <w:instrText xml:space="preserve"> \* MERGEFORMAT </w:instrText>
      </w:r>
      <w:r w:rsidRPr="007D02A7">
        <w:rPr>
          <w:rFonts w:ascii="ITC Avant Garde" w:hAnsi="ITC Avant Garde"/>
        </w:rPr>
      </w:r>
      <w:r w:rsidRPr="007D02A7">
        <w:rPr>
          <w:rFonts w:ascii="ITC Avant Garde" w:hAnsi="ITC Avant Garde"/>
        </w:rPr>
        <w:fldChar w:fldCharType="separate"/>
      </w:r>
      <w:r w:rsidR="0017207B" w:rsidRPr="007D02A7">
        <w:rPr>
          <w:rFonts w:ascii="ITC Avant Garde" w:hAnsi="ITC Avant Garde"/>
        </w:rPr>
        <w:t>Cuadro 7</w:t>
      </w:r>
      <w:r w:rsidRPr="007D02A7">
        <w:rPr>
          <w:rFonts w:ascii="ITC Avant Garde" w:hAnsi="ITC Avant Garde"/>
        </w:rPr>
        <w:fldChar w:fldCharType="end"/>
      </w:r>
      <w:r w:rsidR="008331E3" w:rsidRPr="007D02A7">
        <w:rPr>
          <w:rFonts w:ascii="ITC Avant Garde" w:hAnsi="ITC Avant Garde"/>
        </w:rPr>
        <w:t xml:space="preserve"> presenta las estructuras accionarias de las subsidiarias mexicanas de ATC</w:t>
      </w:r>
      <w:r w:rsidR="00592764" w:rsidRPr="007D02A7">
        <w:rPr>
          <w:rFonts w:ascii="ITC Avant Garde" w:hAnsi="ITC Avant Garde"/>
        </w:rPr>
        <w:t xml:space="preserve">, las cuales </w:t>
      </w:r>
      <w:r w:rsidR="005A5E95" w:rsidRPr="007D02A7">
        <w:rPr>
          <w:rFonts w:ascii="ITC Avant Garde" w:hAnsi="ITC Avant Garde"/>
        </w:rPr>
        <w:t>no se modificará</w:t>
      </w:r>
      <w:r w:rsidR="00592764" w:rsidRPr="007D02A7">
        <w:rPr>
          <w:rFonts w:ascii="ITC Avant Garde" w:hAnsi="ITC Avant Garde"/>
        </w:rPr>
        <w:t>n</w:t>
      </w:r>
      <w:r w:rsidR="005A5E95" w:rsidRPr="007D02A7">
        <w:rPr>
          <w:rFonts w:ascii="ITC Avant Garde" w:hAnsi="ITC Avant Garde"/>
        </w:rPr>
        <w:t xml:space="preserve"> en virtud de la Operación.</w:t>
      </w:r>
    </w:p>
    <w:p w:rsidR="004B1EA5" w:rsidRPr="007D02A7" w:rsidRDefault="004B1EA5">
      <w:pPr>
        <w:spacing w:after="160" w:line="259" w:lineRule="auto"/>
        <w:rPr>
          <w:rFonts w:ascii="ITC Avant Garde" w:hAnsi="ITC Avant Garde"/>
          <w:b/>
        </w:rPr>
      </w:pPr>
      <w:bookmarkStart w:id="24" w:name="_Ref495411674"/>
      <w:r w:rsidRPr="007D02A7">
        <w:rPr>
          <w:rFonts w:ascii="ITC Avant Garde" w:hAnsi="ITC Avant Garde"/>
          <w:b/>
        </w:rPr>
        <w:br w:type="page"/>
      </w:r>
    </w:p>
    <w:p w:rsidR="005E405B" w:rsidRPr="007D02A7" w:rsidRDefault="00E9560A" w:rsidP="00637B96">
      <w:pPr>
        <w:pStyle w:val="Sinespaciado"/>
        <w:numPr>
          <w:ilvl w:val="0"/>
          <w:numId w:val="13"/>
        </w:numPr>
        <w:spacing w:before="120" w:after="120" w:line="276" w:lineRule="auto"/>
        <w:ind w:left="1276" w:right="-1"/>
        <w:jc w:val="both"/>
        <w:rPr>
          <w:rFonts w:ascii="ITC Avant Garde" w:hAnsi="ITC Avant Garde"/>
          <w:b/>
        </w:rPr>
      </w:pPr>
      <w:r w:rsidRPr="007D02A7">
        <w:rPr>
          <w:rFonts w:ascii="ITC Avant Garde" w:hAnsi="ITC Avant Garde"/>
          <w:b/>
        </w:rPr>
        <w:lastRenderedPageBreak/>
        <w:t xml:space="preserve">Estructura accionaria de las </w:t>
      </w:r>
      <w:r w:rsidR="0076057A" w:rsidRPr="007D02A7">
        <w:rPr>
          <w:rFonts w:ascii="ITC Avant Garde" w:hAnsi="ITC Avant Garde"/>
          <w:b/>
        </w:rPr>
        <w:t xml:space="preserve">Subsidiarias de </w:t>
      </w:r>
      <w:r w:rsidR="005E405B" w:rsidRPr="007D02A7">
        <w:rPr>
          <w:rFonts w:ascii="ITC Avant Garde" w:hAnsi="ITC Avant Garde"/>
          <w:b/>
        </w:rPr>
        <w:t xml:space="preserve">ATC </w:t>
      </w:r>
      <w:r w:rsidR="0076057A" w:rsidRPr="007D02A7">
        <w:rPr>
          <w:rFonts w:ascii="ITC Avant Garde" w:hAnsi="ITC Avant Garde"/>
          <w:b/>
        </w:rPr>
        <w:t>en México</w:t>
      </w:r>
      <w:bookmarkEnd w:id="24"/>
      <w:r w:rsidR="005E405B" w:rsidRPr="007D02A7">
        <w:rPr>
          <w:rFonts w:ascii="ITC Avant Garde" w:hAnsi="ITC Avant Garde"/>
          <w:b/>
        </w:rPr>
        <w:t xml:space="preserve"> </w:t>
      </w:r>
    </w:p>
    <w:tbl>
      <w:tblPr>
        <w:tblStyle w:val="Tablaconcuadrcula1"/>
        <w:tblW w:w="7833" w:type="dxa"/>
        <w:jc w:val="center"/>
        <w:tblLook w:val="04A0" w:firstRow="1" w:lastRow="0" w:firstColumn="1" w:lastColumn="0" w:noHBand="0" w:noVBand="1"/>
        <w:tblCaption w:val="Cuadro 7. Estructura accionaria de las Subsidiarias de ATC en México"/>
        <w:tblDescription w:val="En este cuadro se presentan a los accionistas y su respectivas participaciones en el capital social de las subsidiarias de ATC en México, que incluyen a: i) MATC Fibraóptica, ii) MATC Servicios, iii) MATC Infraestructura, iv) Adquisiciones y Proyectos Inalámbricos, y v) ATC Latin America."/>
      </w:tblPr>
      <w:tblGrid>
        <w:gridCol w:w="2836"/>
        <w:gridCol w:w="2810"/>
        <w:gridCol w:w="2187"/>
      </w:tblGrid>
      <w:tr w:rsidR="00B77198" w:rsidRPr="00B77198" w:rsidTr="00BB3A3C">
        <w:trPr>
          <w:trHeight w:val="20"/>
          <w:tblHeader/>
          <w:jc w:val="center"/>
        </w:trPr>
        <w:tc>
          <w:tcPr>
            <w:tcW w:w="2836" w:type="dxa"/>
            <w:shd w:val="clear" w:color="auto" w:fill="538135" w:themeFill="accent6" w:themeFillShade="BF"/>
          </w:tcPr>
          <w:p w:rsidR="00D068AD" w:rsidRPr="00B77198" w:rsidRDefault="00E9560A" w:rsidP="00FA2D69">
            <w:pPr>
              <w:spacing w:after="0" w:line="240" w:lineRule="auto"/>
              <w:jc w:val="center"/>
              <w:rPr>
                <w:rFonts w:ascii="ITC Avant Garde" w:eastAsia="Times New Roman" w:hAnsi="ITC Avant Garde"/>
                <w:b/>
                <w:sz w:val="18"/>
                <w:szCs w:val="18"/>
              </w:rPr>
            </w:pPr>
            <w:r w:rsidRPr="00B77198">
              <w:rPr>
                <w:rFonts w:ascii="ITC Avant Garde" w:eastAsia="Times New Roman" w:hAnsi="ITC Avant Garde"/>
                <w:b/>
                <w:sz w:val="18"/>
                <w:szCs w:val="18"/>
              </w:rPr>
              <w:t>Denominación o razón social</w:t>
            </w:r>
          </w:p>
        </w:tc>
        <w:tc>
          <w:tcPr>
            <w:tcW w:w="2810" w:type="dxa"/>
            <w:shd w:val="clear" w:color="auto" w:fill="538135" w:themeFill="accent6" w:themeFillShade="BF"/>
            <w:noWrap/>
          </w:tcPr>
          <w:p w:rsidR="00D068AD" w:rsidRPr="00B77198" w:rsidRDefault="00D068AD" w:rsidP="00FA2D69">
            <w:pPr>
              <w:spacing w:after="0" w:line="240" w:lineRule="auto"/>
              <w:jc w:val="center"/>
              <w:rPr>
                <w:rFonts w:ascii="ITC Avant Garde" w:eastAsia="Times New Roman" w:hAnsi="ITC Avant Garde"/>
                <w:b/>
                <w:sz w:val="18"/>
                <w:szCs w:val="18"/>
              </w:rPr>
            </w:pPr>
            <w:r w:rsidRPr="00B77198">
              <w:rPr>
                <w:rFonts w:ascii="ITC Avant Garde" w:eastAsia="Times New Roman" w:hAnsi="ITC Avant Garde"/>
                <w:b/>
                <w:sz w:val="18"/>
                <w:szCs w:val="18"/>
              </w:rPr>
              <w:t>Accionista</w:t>
            </w:r>
            <w:r w:rsidR="003059DE" w:rsidRPr="00B77198">
              <w:rPr>
                <w:rFonts w:ascii="ITC Avant Garde" w:eastAsia="Times New Roman" w:hAnsi="ITC Avant Garde"/>
                <w:b/>
                <w:sz w:val="18"/>
                <w:szCs w:val="18"/>
              </w:rPr>
              <w:t>s</w:t>
            </w:r>
          </w:p>
        </w:tc>
        <w:tc>
          <w:tcPr>
            <w:tcW w:w="2187" w:type="dxa"/>
            <w:shd w:val="clear" w:color="auto" w:fill="538135" w:themeFill="accent6" w:themeFillShade="BF"/>
            <w:noWrap/>
          </w:tcPr>
          <w:p w:rsidR="00D068AD" w:rsidRPr="00B77198" w:rsidRDefault="00D068AD" w:rsidP="00FA2D69">
            <w:pPr>
              <w:spacing w:after="0" w:line="240" w:lineRule="auto"/>
              <w:jc w:val="center"/>
              <w:rPr>
                <w:rFonts w:ascii="ITC Avant Garde" w:eastAsia="Times New Roman" w:hAnsi="ITC Avant Garde"/>
                <w:b/>
                <w:sz w:val="18"/>
                <w:szCs w:val="18"/>
              </w:rPr>
            </w:pPr>
            <w:r w:rsidRPr="00B77198">
              <w:rPr>
                <w:rFonts w:ascii="ITC Avant Garde" w:eastAsia="Times New Roman" w:hAnsi="ITC Avant Garde"/>
                <w:b/>
                <w:sz w:val="18"/>
                <w:szCs w:val="18"/>
              </w:rPr>
              <w:t>Participación (%)</w:t>
            </w:r>
          </w:p>
        </w:tc>
      </w:tr>
      <w:tr w:rsidR="00D068AD" w:rsidRPr="00BB3A3C" w:rsidTr="00BB3A3C">
        <w:trPr>
          <w:trHeight w:val="20"/>
          <w:jc w:val="center"/>
        </w:trPr>
        <w:tc>
          <w:tcPr>
            <w:tcW w:w="2836" w:type="dxa"/>
            <w:vMerge w:val="restart"/>
          </w:tcPr>
          <w:p w:rsidR="00D068AD" w:rsidRPr="007D02A7" w:rsidRDefault="00D068AD" w:rsidP="00FA2D69">
            <w:pPr>
              <w:spacing w:after="0" w:line="240" w:lineRule="auto"/>
              <w:rPr>
                <w:rFonts w:ascii="ITC Avant Garde" w:eastAsia="Times New Roman" w:hAnsi="ITC Avant Garde"/>
                <w:color w:val="000000"/>
                <w:sz w:val="18"/>
                <w:szCs w:val="18"/>
              </w:rPr>
            </w:pPr>
            <w:bookmarkStart w:id="25" w:name="_GoBack" w:colFirst="0" w:colLast="0"/>
            <w:r w:rsidRPr="007D02A7">
              <w:rPr>
                <w:rFonts w:ascii="ITC Avant Garde" w:eastAsia="Times New Roman" w:hAnsi="ITC Avant Garde"/>
                <w:color w:val="000000"/>
                <w:sz w:val="18"/>
                <w:szCs w:val="18"/>
              </w:rPr>
              <w:t xml:space="preserve">MATC </w:t>
            </w:r>
            <w:proofErr w:type="spellStart"/>
            <w:r w:rsidRPr="007D02A7">
              <w:rPr>
                <w:rFonts w:ascii="ITC Avant Garde" w:eastAsia="Times New Roman" w:hAnsi="ITC Avant Garde"/>
                <w:color w:val="000000"/>
                <w:sz w:val="18"/>
                <w:szCs w:val="18"/>
              </w:rPr>
              <w:t>Fibraóptica</w:t>
            </w:r>
            <w:proofErr w:type="spellEnd"/>
          </w:p>
        </w:tc>
        <w:tc>
          <w:tcPr>
            <w:tcW w:w="2810" w:type="dxa"/>
            <w:noWrap/>
            <w:hideMark/>
          </w:tcPr>
          <w:p w:rsidR="00D068AD" w:rsidRPr="007D02A7" w:rsidRDefault="00D068AD" w:rsidP="00FA2D69">
            <w:pPr>
              <w:spacing w:after="0" w:line="240" w:lineRule="auto"/>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ATC de México</w:t>
            </w:r>
          </w:p>
        </w:tc>
        <w:tc>
          <w:tcPr>
            <w:tcW w:w="2187" w:type="dxa"/>
            <w:noWrap/>
            <w:vAlign w:val="center"/>
          </w:tcPr>
          <w:p w:rsidR="00D068AD" w:rsidRPr="00BB3A3C" w:rsidRDefault="004B1EA5" w:rsidP="004B1EA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 xml:space="preserve">“CONFIDENCIAL POR LEY </w:t>
            </w:r>
            <w:r w:rsidR="00250347" w:rsidRPr="00BB3A3C">
              <w:rPr>
                <w:rFonts w:ascii="ITC Avant Garde" w:hAnsi="ITC Avant Garde"/>
                <w:b/>
                <w:color w:val="0000CC"/>
                <w:sz w:val="13"/>
                <w:szCs w:val="13"/>
              </w:rPr>
              <w:t>(</w:t>
            </w:r>
            <w:r w:rsidRPr="00BB3A3C">
              <w:rPr>
                <w:rFonts w:ascii="ITC Avant Garde" w:hAnsi="ITC Avant Garde"/>
                <w:b/>
                <w:color w:val="0000CC"/>
                <w:sz w:val="13"/>
                <w:szCs w:val="13"/>
              </w:rPr>
              <w:t>23</w:t>
            </w:r>
            <w:r w:rsidR="00250347" w:rsidRPr="00BB3A3C">
              <w:rPr>
                <w:rFonts w:ascii="ITC Avant Garde" w:hAnsi="ITC Avant Garde"/>
                <w:b/>
                <w:color w:val="0000CC"/>
                <w:sz w:val="13"/>
                <w:szCs w:val="13"/>
              </w:rPr>
              <w:t>)</w:t>
            </w:r>
            <w:r w:rsidRPr="00BB3A3C">
              <w:rPr>
                <w:rFonts w:ascii="ITC Avant Garde" w:hAnsi="ITC Avant Garde"/>
                <w:b/>
                <w:color w:val="0000CC"/>
                <w:sz w:val="13"/>
                <w:szCs w:val="13"/>
              </w:rPr>
              <w:t>”</w:t>
            </w:r>
          </w:p>
        </w:tc>
      </w:tr>
      <w:bookmarkEnd w:id="25"/>
      <w:tr w:rsidR="00D068AD" w:rsidRPr="00BB3A3C" w:rsidTr="00BB3A3C">
        <w:trPr>
          <w:trHeight w:val="20"/>
          <w:jc w:val="center"/>
        </w:trPr>
        <w:tc>
          <w:tcPr>
            <w:tcW w:w="2836" w:type="dxa"/>
            <w:vMerge/>
          </w:tcPr>
          <w:p w:rsidR="00D068AD" w:rsidRPr="007D02A7" w:rsidRDefault="00D068AD" w:rsidP="00FA2D69">
            <w:pPr>
              <w:spacing w:after="0" w:line="240" w:lineRule="auto"/>
              <w:rPr>
                <w:rFonts w:ascii="ITC Avant Garde" w:eastAsia="Times New Roman" w:hAnsi="ITC Avant Garde"/>
                <w:color w:val="000000"/>
                <w:sz w:val="18"/>
                <w:szCs w:val="18"/>
              </w:rPr>
            </w:pPr>
          </w:p>
        </w:tc>
        <w:tc>
          <w:tcPr>
            <w:tcW w:w="2810" w:type="dxa"/>
            <w:noWrap/>
          </w:tcPr>
          <w:p w:rsidR="00D068AD" w:rsidRPr="007D02A7" w:rsidRDefault="00D068AD" w:rsidP="00FA2D69">
            <w:pPr>
              <w:spacing w:after="0" w:line="240" w:lineRule="auto"/>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 xml:space="preserve">ATC Tower </w:t>
            </w:r>
            <w:proofErr w:type="spellStart"/>
            <w:r w:rsidRPr="007D02A7">
              <w:rPr>
                <w:rFonts w:ascii="ITC Avant Garde" w:eastAsia="Times New Roman" w:hAnsi="ITC Avant Garde"/>
                <w:color w:val="000000"/>
                <w:sz w:val="18"/>
                <w:szCs w:val="18"/>
              </w:rPr>
              <w:t>Services</w:t>
            </w:r>
            <w:proofErr w:type="spellEnd"/>
          </w:p>
        </w:tc>
        <w:tc>
          <w:tcPr>
            <w:tcW w:w="2187" w:type="dxa"/>
            <w:noWrap/>
            <w:vAlign w:val="center"/>
          </w:tcPr>
          <w:p w:rsidR="00D068AD" w:rsidRPr="00BB3A3C" w:rsidRDefault="00250347" w:rsidP="004B1EA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(23)”</w:t>
            </w:r>
          </w:p>
        </w:tc>
      </w:tr>
      <w:tr w:rsidR="0076057A" w:rsidRPr="00BB3A3C" w:rsidTr="00BB3A3C">
        <w:trPr>
          <w:trHeight w:val="20"/>
          <w:jc w:val="center"/>
        </w:trPr>
        <w:tc>
          <w:tcPr>
            <w:tcW w:w="5646" w:type="dxa"/>
            <w:gridSpan w:val="2"/>
          </w:tcPr>
          <w:p w:rsidR="0076057A" w:rsidRPr="007D02A7" w:rsidRDefault="0076057A" w:rsidP="00FA2D69">
            <w:pPr>
              <w:spacing w:after="0" w:line="240" w:lineRule="auto"/>
              <w:jc w:val="right"/>
              <w:rPr>
                <w:rFonts w:ascii="ITC Avant Garde" w:eastAsia="Times New Roman" w:hAnsi="ITC Avant Garde"/>
                <w:b/>
                <w:color w:val="000000"/>
                <w:sz w:val="18"/>
                <w:szCs w:val="18"/>
              </w:rPr>
            </w:pPr>
            <w:r w:rsidRPr="007D02A7">
              <w:rPr>
                <w:rFonts w:ascii="ITC Avant Garde" w:eastAsia="Times New Roman" w:hAnsi="ITC Avant Garde"/>
                <w:b/>
                <w:color w:val="000000"/>
                <w:sz w:val="18"/>
                <w:szCs w:val="18"/>
              </w:rPr>
              <w:t>Total</w:t>
            </w:r>
          </w:p>
        </w:tc>
        <w:tc>
          <w:tcPr>
            <w:tcW w:w="2187" w:type="dxa"/>
            <w:noWrap/>
            <w:vAlign w:val="center"/>
          </w:tcPr>
          <w:p w:rsidR="0076057A" w:rsidRPr="00BB3A3C" w:rsidRDefault="00250347" w:rsidP="004B1EA5">
            <w:pPr>
              <w:spacing w:after="0" w:line="240" w:lineRule="auto"/>
              <w:jc w:val="center"/>
              <w:rPr>
                <w:rFonts w:ascii="ITC Avant Garde" w:eastAsia="Times New Roman" w:hAnsi="ITC Avant Garde"/>
                <w:b/>
                <w:color w:val="000000"/>
                <w:sz w:val="13"/>
                <w:szCs w:val="13"/>
                <w:highlight w:val="magenta"/>
              </w:rPr>
            </w:pPr>
            <w:r w:rsidRPr="00BB3A3C">
              <w:rPr>
                <w:rFonts w:ascii="ITC Avant Garde" w:hAnsi="ITC Avant Garde"/>
                <w:b/>
                <w:color w:val="0000CC"/>
                <w:sz w:val="13"/>
                <w:szCs w:val="13"/>
              </w:rPr>
              <w:t>“CONFIDENCIAL POR LEY (23)”</w:t>
            </w:r>
          </w:p>
        </w:tc>
      </w:tr>
      <w:tr w:rsidR="00D068AD" w:rsidRPr="00BB3A3C" w:rsidTr="00BB3A3C">
        <w:trPr>
          <w:trHeight w:val="20"/>
          <w:jc w:val="center"/>
        </w:trPr>
        <w:tc>
          <w:tcPr>
            <w:tcW w:w="2836" w:type="dxa"/>
            <w:vMerge w:val="restart"/>
          </w:tcPr>
          <w:p w:rsidR="00D068AD" w:rsidRPr="007D02A7" w:rsidRDefault="00D068AD" w:rsidP="00FA2D69">
            <w:pPr>
              <w:spacing w:after="0" w:line="240" w:lineRule="auto"/>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MATC Servicios</w:t>
            </w:r>
          </w:p>
        </w:tc>
        <w:tc>
          <w:tcPr>
            <w:tcW w:w="2810" w:type="dxa"/>
            <w:noWrap/>
          </w:tcPr>
          <w:p w:rsidR="00D068AD" w:rsidRPr="007D02A7" w:rsidRDefault="00D068AD" w:rsidP="00FA2D69">
            <w:pPr>
              <w:spacing w:after="0" w:line="240" w:lineRule="auto"/>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MATC Digital</w:t>
            </w:r>
          </w:p>
        </w:tc>
        <w:tc>
          <w:tcPr>
            <w:tcW w:w="2187" w:type="dxa"/>
            <w:noWrap/>
            <w:vAlign w:val="center"/>
          </w:tcPr>
          <w:p w:rsidR="00D068AD" w:rsidRPr="00BB3A3C" w:rsidRDefault="004B1EA5" w:rsidP="004B1EA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 xml:space="preserve">“CONFIDENCIAL POR LEY </w:t>
            </w:r>
            <w:r w:rsidR="00250347" w:rsidRPr="00BB3A3C">
              <w:rPr>
                <w:rFonts w:ascii="ITC Avant Garde" w:hAnsi="ITC Avant Garde"/>
                <w:b/>
                <w:color w:val="0000CC"/>
                <w:sz w:val="13"/>
                <w:szCs w:val="13"/>
              </w:rPr>
              <w:t>(</w:t>
            </w:r>
            <w:r w:rsidRPr="00BB3A3C">
              <w:rPr>
                <w:rFonts w:ascii="ITC Avant Garde" w:hAnsi="ITC Avant Garde"/>
                <w:b/>
                <w:color w:val="0000CC"/>
                <w:sz w:val="13"/>
                <w:szCs w:val="13"/>
              </w:rPr>
              <w:t>24</w:t>
            </w:r>
            <w:r w:rsidR="00250347" w:rsidRPr="00BB3A3C">
              <w:rPr>
                <w:rFonts w:ascii="ITC Avant Garde" w:hAnsi="ITC Avant Garde"/>
                <w:b/>
                <w:color w:val="0000CC"/>
                <w:sz w:val="13"/>
                <w:szCs w:val="13"/>
              </w:rPr>
              <w:t>)</w:t>
            </w:r>
            <w:r w:rsidRPr="00BB3A3C">
              <w:rPr>
                <w:rFonts w:ascii="ITC Avant Garde" w:hAnsi="ITC Avant Garde"/>
                <w:b/>
                <w:color w:val="0000CC"/>
                <w:sz w:val="13"/>
                <w:szCs w:val="13"/>
              </w:rPr>
              <w:t>”</w:t>
            </w:r>
          </w:p>
        </w:tc>
      </w:tr>
      <w:tr w:rsidR="00D068AD" w:rsidRPr="00BB3A3C" w:rsidTr="00BB3A3C">
        <w:trPr>
          <w:trHeight w:val="20"/>
          <w:jc w:val="center"/>
        </w:trPr>
        <w:tc>
          <w:tcPr>
            <w:tcW w:w="2836" w:type="dxa"/>
            <w:vMerge/>
          </w:tcPr>
          <w:p w:rsidR="00D068AD" w:rsidRPr="007D02A7" w:rsidRDefault="00D068AD" w:rsidP="00FA2D69">
            <w:pPr>
              <w:spacing w:after="0" w:line="240" w:lineRule="auto"/>
              <w:rPr>
                <w:rFonts w:ascii="ITC Avant Garde" w:eastAsia="Times New Roman" w:hAnsi="ITC Avant Garde"/>
                <w:color w:val="000000"/>
                <w:sz w:val="18"/>
                <w:szCs w:val="18"/>
              </w:rPr>
            </w:pPr>
          </w:p>
        </w:tc>
        <w:tc>
          <w:tcPr>
            <w:tcW w:w="2810" w:type="dxa"/>
            <w:noWrap/>
          </w:tcPr>
          <w:p w:rsidR="00D068AD" w:rsidRPr="007D02A7" w:rsidRDefault="00D068AD" w:rsidP="00FA2D69">
            <w:pPr>
              <w:spacing w:after="0" w:line="240" w:lineRule="auto"/>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 xml:space="preserve">ATC Tower </w:t>
            </w:r>
            <w:proofErr w:type="spellStart"/>
            <w:r w:rsidRPr="007D02A7">
              <w:rPr>
                <w:rFonts w:ascii="ITC Avant Garde" w:eastAsia="Times New Roman" w:hAnsi="ITC Avant Garde"/>
                <w:color w:val="000000"/>
                <w:sz w:val="18"/>
                <w:szCs w:val="18"/>
              </w:rPr>
              <w:t>Services</w:t>
            </w:r>
            <w:proofErr w:type="spellEnd"/>
          </w:p>
        </w:tc>
        <w:tc>
          <w:tcPr>
            <w:tcW w:w="2187" w:type="dxa"/>
            <w:noWrap/>
            <w:vAlign w:val="center"/>
          </w:tcPr>
          <w:p w:rsidR="00D068AD" w:rsidRPr="00BB3A3C" w:rsidRDefault="00250347" w:rsidP="004B1EA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(24)”</w:t>
            </w:r>
          </w:p>
        </w:tc>
      </w:tr>
      <w:tr w:rsidR="0076057A" w:rsidRPr="00BB3A3C" w:rsidTr="00BB3A3C">
        <w:trPr>
          <w:trHeight w:val="20"/>
          <w:jc w:val="center"/>
        </w:trPr>
        <w:tc>
          <w:tcPr>
            <w:tcW w:w="5646" w:type="dxa"/>
            <w:gridSpan w:val="2"/>
          </w:tcPr>
          <w:p w:rsidR="0076057A" w:rsidRPr="007D02A7" w:rsidRDefault="0076057A" w:rsidP="00FA2D69">
            <w:pPr>
              <w:spacing w:after="0" w:line="240" w:lineRule="auto"/>
              <w:jc w:val="right"/>
              <w:rPr>
                <w:rFonts w:ascii="ITC Avant Garde" w:eastAsia="Times New Roman" w:hAnsi="ITC Avant Garde"/>
                <w:color w:val="000000"/>
                <w:sz w:val="18"/>
                <w:szCs w:val="18"/>
              </w:rPr>
            </w:pPr>
            <w:r w:rsidRPr="007D02A7">
              <w:rPr>
                <w:rFonts w:ascii="ITC Avant Garde" w:eastAsia="Times New Roman" w:hAnsi="ITC Avant Garde"/>
                <w:b/>
                <w:color w:val="000000"/>
                <w:sz w:val="18"/>
                <w:szCs w:val="18"/>
              </w:rPr>
              <w:t>Total</w:t>
            </w:r>
          </w:p>
        </w:tc>
        <w:tc>
          <w:tcPr>
            <w:tcW w:w="2187" w:type="dxa"/>
            <w:noWrap/>
            <w:vAlign w:val="center"/>
          </w:tcPr>
          <w:p w:rsidR="0076057A" w:rsidRPr="00BB3A3C" w:rsidRDefault="00250347" w:rsidP="004B1EA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(24)”</w:t>
            </w:r>
          </w:p>
        </w:tc>
      </w:tr>
      <w:tr w:rsidR="00D068AD" w:rsidRPr="00BB3A3C" w:rsidTr="00BB3A3C">
        <w:trPr>
          <w:trHeight w:val="20"/>
          <w:jc w:val="center"/>
        </w:trPr>
        <w:tc>
          <w:tcPr>
            <w:tcW w:w="2836" w:type="dxa"/>
            <w:vMerge w:val="restart"/>
          </w:tcPr>
          <w:p w:rsidR="00D068AD" w:rsidRPr="007D02A7" w:rsidRDefault="00D068AD" w:rsidP="00FA2D69">
            <w:pPr>
              <w:spacing w:after="0" w:line="240" w:lineRule="auto"/>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MATC Infraestructura</w:t>
            </w:r>
          </w:p>
        </w:tc>
        <w:tc>
          <w:tcPr>
            <w:tcW w:w="2810" w:type="dxa"/>
            <w:noWrap/>
          </w:tcPr>
          <w:p w:rsidR="00D068AD" w:rsidRPr="007D02A7" w:rsidRDefault="00D068AD" w:rsidP="00FA2D69">
            <w:pPr>
              <w:spacing w:after="0" w:line="240" w:lineRule="auto"/>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ATC de México</w:t>
            </w:r>
          </w:p>
        </w:tc>
        <w:tc>
          <w:tcPr>
            <w:tcW w:w="2187" w:type="dxa"/>
            <w:noWrap/>
            <w:vAlign w:val="center"/>
          </w:tcPr>
          <w:p w:rsidR="00D068AD" w:rsidRPr="00BB3A3C" w:rsidRDefault="004B1EA5" w:rsidP="004B1EA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 xml:space="preserve">“CONFIDENCIAL POR LEY </w:t>
            </w:r>
            <w:r w:rsidR="00250347" w:rsidRPr="00BB3A3C">
              <w:rPr>
                <w:rFonts w:ascii="ITC Avant Garde" w:hAnsi="ITC Avant Garde"/>
                <w:b/>
                <w:color w:val="0000CC"/>
                <w:sz w:val="13"/>
                <w:szCs w:val="13"/>
              </w:rPr>
              <w:t>(</w:t>
            </w:r>
            <w:r w:rsidRPr="00BB3A3C">
              <w:rPr>
                <w:rFonts w:ascii="ITC Avant Garde" w:hAnsi="ITC Avant Garde"/>
                <w:b/>
                <w:color w:val="0000CC"/>
                <w:sz w:val="13"/>
                <w:szCs w:val="13"/>
              </w:rPr>
              <w:t>25</w:t>
            </w:r>
            <w:r w:rsidR="00250347" w:rsidRPr="00BB3A3C">
              <w:rPr>
                <w:rFonts w:ascii="ITC Avant Garde" w:hAnsi="ITC Avant Garde"/>
                <w:b/>
                <w:color w:val="0000CC"/>
                <w:sz w:val="13"/>
                <w:szCs w:val="13"/>
              </w:rPr>
              <w:t>)</w:t>
            </w:r>
            <w:r w:rsidRPr="00BB3A3C">
              <w:rPr>
                <w:rFonts w:ascii="ITC Avant Garde" w:hAnsi="ITC Avant Garde"/>
                <w:b/>
                <w:color w:val="0000CC"/>
                <w:sz w:val="13"/>
                <w:szCs w:val="13"/>
              </w:rPr>
              <w:t>”</w:t>
            </w:r>
          </w:p>
        </w:tc>
      </w:tr>
      <w:tr w:rsidR="00D068AD" w:rsidRPr="00BB3A3C" w:rsidTr="00BB3A3C">
        <w:trPr>
          <w:trHeight w:val="20"/>
          <w:jc w:val="center"/>
        </w:trPr>
        <w:tc>
          <w:tcPr>
            <w:tcW w:w="2836" w:type="dxa"/>
            <w:vMerge/>
          </w:tcPr>
          <w:p w:rsidR="00D068AD" w:rsidRPr="007D02A7" w:rsidRDefault="00D068AD" w:rsidP="00FA2D69">
            <w:pPr>
              <w:spacing w:after="0" w:line="240" w:lineRule="auto"/>
              <w:rPr>
                <w:rFonts w:ascii="ITC Avant Garde" w:eastAsia="Times New Roman" w:hAnsi="ITC Avant Garde"/>
                <w:color w:val="000000"/>
                <w:sz w:val="18"/>
                <w:szCs w:val="18"/>
              </w:rPr>
            </w:pPr>
          </w:p>
        </w:tc>
        <w:tc>
          <w:tcPr>
            <w:tcW w:w="2810" w:type="dxa"/>
            <w:noWrap/>
          </w:tcPr>
          <w:p w:rsidR="00D068AD" w:rsidRPr="007D02A7" w:rsidRDefault="00D068AD" w:rsidP="00FA2D69">
            <w:pPr>
              <w:spacing w:after="0" w:line="240" w:lineRule="auto"/>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 xml:space="preserve">ATC Tower </w:t>
            </w:r>
            <w:proofErr w:type="spellStart"/>
            <w:r w:rsidRPr="007D02A7">
              <w:rPr>
                <w:rFonts w:ascii="ITC Avant Garde" w:eastAsia="Times New Roman" w:hAnsi="ITC Avant Garde"/>
                <w:color w:val="000000"/>
                <w:sz w:val="18"/>
                <w:szCs w:val="18"/>
              </w:rPr>
              <w:t>Services</w:t>
            </w:r>
            <w:proofErr w:type="spellEnd"/>
          </w:p>
        </w:tc>
        <w:tc>
          <w:tcPr>
            <w:tcW w:w="2187" w:type="dxa"/>
            <w:noWrap/>
            <w:vAlign w:val="center"/>
          </w:tcPr>
          <w:p w:rsidR="00D068AD" w:rsidRPr="00BB3A3C" w:rsidRDefault="00250347" w:rsidP="004B1EA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(25)”</w:t>
            </w:r>
          </w:p>
        </w:tc>
      </w:tr>
      <w:tr w:rsidR="0076057A" w:rsidRPr="00BB3A3C" w:rsidTr="00BB3A3C">
        <w:trPr>
          <w:trHeight w:val="20"/>
          <w:jc w:val="center"/>
        </w:trPr>
        <w:tc>
          <w:tcPr>
            <w:tcW w:w="5646" w:type="dxa"/>
            <w:gridSpan w:val="2"/>
          </w:tcPr>
          <w:p w:rsidR="0076057A" w:rsidRPr="007D02A7" w:rsidRDefault="0076057A" w:rsidP="00FA2D69">
            <w:pPr>
              <w:spacing w:after="0" w:line="240" w:lineRule="auto"/>
              <w:jc w:val="right"/>
              <w:rPr>
                <w:rFonts w:ascii="ITC Avant Garde" w:eastAsia="Times New Roman" w:hAnsi="ITC Avant Garde"/>
                <w:color w:val="000000"/>
                <w:sz w:val="18"/>
                <w:szCs w:val="18"/>
              </w:rPr>
            </w:pPr>
            <w:r w:rsidRPr="007D02A7">
              <w:rPr>
                <w:rFonts w:ascii="ITC Avant Garde" w:eastAsia="Times New Roman" w:hAnsi="ITC Avant Garde"/>
                <w:b/>
                <w:color w:val="000000"/>
                <w:sz w:val="18"/>
                <w:szCs w:val="18"/>
              </w:rPr>
              <w:t>Total</w:t>
            </w:r>
          </w:p>
        </w:tc>
        <w:tc>
          <w:tcPr>
            <w:tcW w:w="2187" w:type="dxa"/>
            <w:noWrap/>
            <w:vAlign w:val="center"/>
          </w:tcPr>
          <w:p w:rsidR="0076057A" w:rsidRPr="00BB3A3C" w:rsidRDefault="00250347" w:rsidP="004B1EA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(25)”</w:t>
            </w:r>
          </w:p>
        </w:tc>
      </w:tr>
      <w:tr w:rsidR="0076057A" w:rsidRPr="00BB3A3C" w:rsidTr="00BB3A3C">
        <w:trPr>
          <w:trHeight w:val="20"/>
          <w:jc w:val="center"/>
        </w:trPr>
        <w:tc>
          <w:tcPr>
            <w:tcW w:w="2836" w:type="dxa"/>
            <w:vMerge w:val="restart"/>
          </w:tcPr>
          <w:p w:rsidR="0076057A" w:rsidRPr="007D02A7" w:rsidRDefault="0076057A" w:rsidP="00FA2D69">
            <w:pPr>
              <w:spacing w:after="0" w:line="240" w:lineRule="auto"/>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Adquisiciones y Proyectos Inalámbricos</w:t>
            </w:r>
          </w:p>
        </w:tc>
        <w:tc>
          <w:tcPr>
            <w:tcW w:w="2810" w:type="dxa"/>
            <w:noWrap/>
          </w:tcPr>
          <w:p w:rsidR="0076057A" w:rsidRPr="007D02A7" w:rsidRDefault="0076057A" w:rsidP="00FA2D69">
            <w:pPr>
              <w:spacing w:after="0" w:line="240" w:lineRule="auto"/>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ATC de México</w:t>
            </w:r>
          </w:p>
        </w:tc>
        <w:tc>
          <w:tcPr>
            <w:tcW w:w="2187" w:type="dxa"/>
            <w:noWrap/>
            <w:vAlign w:val="center"/>
          </w:tcPr>
          <w:p w:rsidR="0076057A" w:rsidRPr="00BB3A3C" w:rsidRDefault="004B1EA5" w:rsidP="004B1EA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 xml:space="preserve">“CONFIDENCIAL POR LEY </w:t>
            </w:r>
            <w:r w:rsidR="00250347" w:rsidRPr="00BB3A3C">
              <w:rPr>
                <w:rFonts w:ascii="ITC Avant Garde" w:hAnsi="ITC Avant Garde"/>
                <w:b/>
                <w:color w:val="0000CC"/>
                <w:sz w:val="13"/>
                <w:szCs w:val="13"/>
              </w:rPr>
              <w:t>(</w:t>
            </w:r>
            <w:r w:rsidRPr="00BB3A3C">
              <w:rPr>
                <w:rFonts w:ascii="ITC Avant Garde" w:hAnsi="ITC Avant Garde"/>
                <w:b/>
                <w:color w:val="0000CC"/>
                <w:sz w:val="13"/>
                <w:szCs w:val="13"/>
              </w:rPr>
              <w:t>26</w:t>
            </w:r>
            <w:r w:rsidR="00250347" w:rsidRPr="00BB3A3C">
              <w:rPr>
                <w:rFonts w:ascii="ITC Avant Garde" w:hAnsi="ITC Avant Garde"/>
                <w:b/>
                <w:color w:val="0000CC"/>
                <w:sz w:val="13"/>
                <w:szCs w:val="13"/>
              </w:rPr>
              <w:t>)</w:t>
            </w:r>
            <w:r w:rsidRPr="00BB3A3C">
              <w:rPr>
                <w:rFonts w:ascii="ITC Avant Garde" w:hAnsi="ITC Avant Garde"/>
                <w:b/>
                <w:color w:val="0000CC"/>
                <w:sz w:val="13"/>
                <w:szCs w:val="13"/>
              </w:rPr>
              <w:t>”</w:t>
            </w:r>
          </w:p>
        </w:tc>
      </w:tr>
      <w:tr w:rsidR="0076057A" w:rsidRPr="00BB3A3C" w:rsidTr="00BB3A3C">
        <w:trPr>
          <w:trHeight w:val="20"/>
          <w:jc w:val="center"/>
        </w:trPr>
        <w:tc>
          <w:tcPr>
            <w:tcW w:w="2836" w:type="dxa"/>
            <w:vMerge/>
          </w:tcPr>
          <w:p w:rsidR="0076057A" w:rsidRPr="007D02A7" w:rsidRDefault="0076057A" w:rsidP="00FA2D69">
            <w:pPr>
              <w:spacing w:after="0" w:line="240" w:lineRule="auto"/>
              <w:rPr>
                <w:rFonts w:ascii="ITC Avant Garde" w:eastAsia="Times New Roman" w:hAnsi="ITC Avant Garde"/>
                <w:color w:val="000000"/>
                <w:sz w:val="18"/>
                <w:szCs w:val="18"/>
              </w:rPr>
            </w:pPr>
          </w:p>
        </w:tc>
        <w:tc>
          <w:tcPr>
            <w:tcW w:w="2810" w:type="dxa"/>
            <w:noWrap/>
          </w:tcPr>
          <w:p w:rsidR="0076057A" w:rsidRPr="007D02A7" w:rsidRDefault="0076057A" w:rsidP="00FA2D69">
            <w:pPr>
              <w:spacing w:after="0" w:line="240" w:lineRule="auto"/>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 xml:space="preserve">ATC </w:t>
            </w:r>
            <w:proofErr w:type="spellStart"/>
            <w:r w:rsidRPr="007D02A7">
              <w:rPr>
                <w:rFonts w:ascii="ITC Avant Garde" w:eastAsia="Times New Roman" w:hAnsi="ITC Avant Garde"/>
                <w:color w:val="000000"/>
                <w:sz w:val="18"/>
                <w:szCs w:val="18"/>
              </w:rPr>
              <w:t>Mexico</w:t>
            </w:r>
            <w:proofErr w:type="spellEnd"/>
            <w:r w:rsidRPr="007D02A7">
              <w:rPr>
                <w:rFonts w:ascii="ITC Avant Garde" w:eastAsia="Times New Roman" w:hAnsi="ITC Avant Garde"/>
                <w:color w:val="000000"/>
                <w:sz w:val="18"/>
                <w:szCs w:val="18"/>
              </w:rPr>
              <w:t xml:space="preserve"> Holding, LLC</w:t>
            </w:r>
            <w:r w:rsidRPr="007D02A7">
              <w:rPr>
                <w:rStyle w:val="Refdenotaalpie"/>
                <w:rFonts w:ascii="ITC Avant Garde" w:hAnsi="ITC Avant Garde"/>
                <w:sz w:val="18"/>
                <w:szCs w:val="18"/>
              </w:rPr>
              <w:footnoteReference w:id="22"/>
            </w:r>
          </w:p>
        </w:tc>
        <w:tc>
          <w:tcPr>
            <w:tcW w:w="2187" w:type="dxa"/>
            <w:noWrap/>
            <w:vAlign w:val="center"/>
          </w:tcPr>
          <w:p w:rsidR="0076057A" w:rsidRPr="00BB3A3C" w:rsidRDefault="00250347" w:rsidP="004B1EA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(26)”</w:t>
            </w:r>
          </w:p>
        </w:tc>
      </w:tr>
      <w:tr w:rsidR="0076057A" w:rsidRPr="00BB3A3C" w:rsidTr="00BB3A3C">
        <w:trPr>
          <w:trHeight w:val="20"/>
          <w:jc w:val="center"/>
        </w:trPr>
        <w:tc>
          <w:tcPr>
            <w:tcW w:w="5646" w:type="dxa"/>
            <w:gridSpan w:val="2"/>
          </w:tcPr>
          <w:p w:rsidR="0076057A" w:rsidRPr="007D02A7" w:rsidRDefault="0076057A" w:rsidP="00FA2D69">
            <w:pPr>
              <w:spacing w:after="0" w:line="240" w:lineRule="auto"/>
              <w:jc w:val="right"/>
              <w:rPr>
                <w:rFonts w:ascii="ITC Avant Garde" w:eastAsia="Times New Roman" w:hAnsi="ITC Avant Garde"/>
                <w:color w:val="000000"/>
                <w:sz w:val="18"/>
                <w:szCs w:val="18"/>
              </w:rPr>
            </w:pPr>
            <w:r w:rsidRPr="007D02A7">
              <w:rPr>
                <w:rFonts w:ascii="ITC Avant Garde" w:eastAsia="Times New Roman" w:hAnsi="ITC Avant Garde"/>
                <w:b/>
                <w:color w:val="000000"/>
                <w:sz w:val="18"/>
                <w:szCs w:val="18"/>
              </w:rPr>
              <w:t>Total</w:t>
            </w:r>
          </w:p>
        </w:tc>
        <w:tc>
          <w:tcPr>
            <w:tcW w:w="2187" w:type="dxa"/>
            <w:noWrap/>
            <w:vAlign w:val="center"/>
          </w:tcPr>
          <w:p w:rsidR="0076057A" w:rsidRPr="00BB3A3C" w:rsidRDefault="00250347" w:rsidP="004B1EA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(26)”</w:t>
            </w:r>
          </w:p>
        </w:tc>
      </w:tr>
      <w:tr w:rsidR="0076057A" w:rsidRPr="00BB3A3C" w:rsidTr="00BB3A3C">
        <w:trPr>
          <w:trHeight w:val="20"/>
          <w:jc w:val="center"/>
        </w:trPr>
        <w:tc>
          <w:tcPr>
            <w:tcW w:w="2836" w:type="dxa"/>
            <w:vMerge w:val="restart"/>
          </w:tcPr>
          <w:p w:rsidR="0076057A" w:rsidRPr="007D02A7" w:rsidRDefault="0076057A" w:rsidP="00FA2D69">
            <w:pPr>
              <w:spacing w:after="0" w:line="240" w:lineRule="auto"/>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 xml:space="preserve">ATC </w:t>
            </w:r>
            <w:proofErr w:type="spellStart"/>
            <w:r w:rsidRPr="007D02A7">
              <w:rPr>
                <w:rFonts w:ascii="ITC Avant Garde" w:eastAsia="Times New Roman" w:hAnsi="ITC Avant Garde"/>
                <w:color w:val="000000"/>
                <w:sz w:val="18"/>
                <w:szCs w:val="18"/>
              </w:rPr>
              <w:t>Latin</w:t>
            </w:r>
            <w:proofErr w:type="spellEnd"/>
            <w:r w:rsidRPr="007D02A7">
              <w:rPr>
                <w:rFonts w:ascii="ITC Avant Garde" w:eastAsia="Times New Roman" w:hAnsi="ITC Avant Garde"/>
                <w:color w:val="000000"/>
                <w:sz w:val="18"/>
                <w:szCs w:val="18"/>
              </w:rPr>
              <w:t xml:space="preserve"> </w:t>
            </w:r>
            <w:proofErr w:type="spellStart"/>
            <w:r w:rsidRPr="007D02A7">
              <w:rPr>
                <w:rFonts w:ascii="ITC Avant Garde" w:eastAsia="Times New Roman" w:hAnsi="ITC Avant Garde"/>
                <w:color w:val="000000"/>
                <w:sz w:val="18"/>
                <w:szCs w:val="18"/>
              </w:rPr>
              <w:t>America</w:t>
            </w:r>
            <w:proofErr w:type="spellEnd"/>
          </w:p>
        </w:tc>
        <w:tc>
          <w:tcPr>
            <w:tcW w:w="2810" w:type="dxa"/>
            <w:noWrap/>
          </w:tcPr>
          <w:p w:rsidR="0076057A" w:rsidRPr="007D02A7" w:rsidRDefault="0076057A" w:rsidP="00FA2D69">
            <w:pPr>
              <w:spacing w:after="0" w:line="240" w:lineRule="auto"/>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 xml:space="preserve">ATC </w:t>
            </w:r>
            <w:proofErr w:type="spellStart"/>
            <w:r w:rsidRPr="007D02A7">
              <w:rPr>
                <w:rFonts w:ascii="ITC Avant Garde" w:eastAsia="Times New Roman" w:hAnsi="ITC Avant Garde"/>
                <w:color w:val="000000"/>
                <w:sz w:val="18"/>
                <w:szCs w:val="18"/>
              </w:rPr>
              <w:t>Mexhold</w:t>
            </w:r>
            <w:proofErr w:type="spellEnd"/>
            <w:r w:rsidRPr="007D02A7">
              <w:rPr>
                <w:rFonts w:ascii="ITC Avant Garde" w:eastAsia="Times New Roman" w:hAnsi="ITC Avant Garde"/>
                <w:color w:val="000000"/>
                <w:sz w:val="18"/>
                <w:szCs w:val="18"/>
              </w:rPr>
              <w:t>, LLC</w:t>
            </w:r>
          </w:p>
        </w:tc>
        <w:tc>
          <w:tcPr>
            <w:tcW w:w="2187" w:type="dxa"/>
            <w:noWrap/>
            <w:vAlign w:val="center"/>
          </w:tcPr>
          <w:p w:rsidR="0076057A" w:rsidRPr="00BB3A3C" w:rsidRDefault="004B1EA5" w:rsidP="004B1EA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 xml:space="preserve">“CONFIDENCIAL POR LEY </w:t>
            </w:r>
            <w:r w:rsidR="00250347" w:rsidRPr="00BB3A3C">
              <w:rPr>
                <w:rFonts w:ascii="ITC Avant Garde" w:hAnsi="ITC Avant Garde"/>
                <w:b/>
                <w:color w:val="0000CC"/>
                <w:sz w:val="13"/>
                <w:szCs w:val="13"/>
              </w:rPr>
              <w:t>(</w:t>
            </w:r>
            <w:r w:rsidRPr="00BB3A3C">
              <w:rPr>
                <w:rFonts w:ascii="ITC Avant Garde" w:hAnsi="ITC Avant Garde"/>
                <w:b/>
                <w:color w:val="0000CC"/>
                <w:sz w:val="13"/>
                <w:szCs w:val="13"/>
              </w:rPr>
              <w:t>27</w:t>
            </w:r>
            <w:r w:rsidR="00250347" w:rsidRPr="00BB3A3C">
              <w:rPr>
                <w:rFonts w:ascii="ITC Avant Garde" w:hAnsi="ITC Avant Garde"/>
                <w:b/>
                <w:color w:val="0000CC"/>
                <w:sz w:val="13"/>
                <w:szCs w:val="13"/>
              </w:rPr>
              <w:t>)</w:t>
            </w:r>
            <w:r w:rsidRPr="00BB3A3C">
              <w:rPr>
                <w:rFonts w:ascii="ITC Avant Garde" w:hAnsi="ITC Avant Garde"/>
                <w:b/>
                <w:color w:val="0000CC"/>
                <w:sz w:val="13"/>
                <w:szCs w:val="13"/>
              </w:rPr>
              <w:t>”</w:t>
            </w:r>
          </w:p>
        </w:tc>
      </w:tr>
      <w:tr w:rsidR="0076057A" w:rsidRPr="00BB3A3C" w:rsidTr="00BB3A3C">
        <w:trPr>
          <w:trHeight w:val="20"/>
          <w:jc w:val="center"/>
        </w:trPr>
        <w:tc>
          <w:tcPr>
            <w:tcW w:w="2836" w:type="dxa"/>
            <w:vMerge/>
          </w:tcPr>
          <w:p w:rsidR="0076057A" w:rsidRPr="007D02A7" w:rsidRDefault="0076057A" w:rsidP="00FA2D69">
            <w:pPr>
              <w:spacing w:after="0" w:line="240" w:lineRule="auto"/>
              <w:rPr>
                <w:rFonts w:ascii="ITC Avant Garde" w:eastAsia="Times New Roman" w:hAnsi="ITC Avant Garde"/>
                <w:color w:val="000000"/>
                <w:sz w:val="18"/>
                <w:szCs w:val="18"/>
              </w:rPr>
            </w:pPr>
          </w:p>
        </w:tc>
        <w:tc>
          <w:tcPr>
            <w:tcW w:w="2810" w:type="dxa"/>
            <w:noWrap/>
          </w:tcPr>
          <w:p w:rsidR="0076057A" w:rsidRPr="007D02A7" w:rsidRDefault="0076057A" w:rsidP="00FA2D69">
            <w:pPr>
              <w:spacing w:after="0" w:line="240" w:lineRule="auto"/>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 xml:space="preserve">ATC </w:t>
            </w:r>
            <w:proofErr w:type="spellStart"/>
            <w:r w:rsidRPr="007D02A7">
              <w:rPr>
                <w:rFonts w:ascii="ITC Avant Garde" w:eastAsia="Times New Roman" w:hAnsi="ITC Avant Garde"/>
                <w:color w:val="000000"/>
                <w:sz w:val="18"/>
                <w:szCs w:val="18"/>
              </w:rPr>
              <w:t>Mexico</w:t>
            </w:r>
            <w:proofErr w:type="spellEnd"/>
            <w:r w:rsidRPr="007D02A7">
              <w:rPr>
                <w:rFonts w:ascii="ITC Avant Garde" w:eastAsia="Times New Roman" w:hAnsi="ITC Avant Garde"/>
                <w:color w:val="000000"/>
                <w:sz w:val="18"/>
                <w:szCs w:val="18"/>
              </w:rPr>
              <w:t xml:space="preserve"> Holding, LLC</w:t>
            </w:r>
          </w:p>
        </w:tc>
        <w:tc>
          <w:tcPr>
            <w:tcW w:w="2187" w:type="dxa"/>
            <w:noWrap/>
            <w:vAlign w:val="center"/>
          </w:tcPr>
          <w:p w:rsidR="0076057A" w:rsidRPr="00BB3A3C" w:rsidRDefault="00555AB5" w:rsidP="004B1EA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(27)”</w:t>
            </w:r>
          </w:p>
        </w:tc>
      </w:tr>
      <w:tr w:rsidR="00953945" w:rsidRPr="00BB3A3C" w:rsidTr="00BB3A3C">
        <w:trPr>
          <w:trHeight w:val="20"/>
          <w:tblHeader/>
          <w:jc w:val="center"/>
        </w:trPr>
        <w:tc>
          <w:tcPr>
            <w:tcW w:w="5646" w:type="dxa"/>
            <w:gridSpan w:val="2"/>
          </w:tcPr>
          <w:p w:rsidR="00953945" w:rsidRPr="007D02A7" w:rsidRDefault="00953945" w:rsidP="00953945">
            <w:pPr>
              <w:spacing w:after="0" w:line="240" w:lineRule="auto"/>
              <w:jc w:val="right"/>
              <w:rPr>
                <w:rFonts w:ascii="ITC Avant Garde" w:eastAsia="Times New Roman" w:hAnsi="ITC Avant Garde"/>
                <w:color w:val="000000"/>
                <w:sz w:val="18"/>
                <w:szCs w:val="18"/>
              </w:rPr>
            </w:pPr>
            <w:r w:rsidRPr="007D02A7">
              <w:rPr>
                <w:rFonts w:ascii="ITC Avant Garde" w:eastAsia="Times New Roman" w:hAnsi="ITC Avant Garde"/>
                <w:b/>
                <w:color w:val="000000"/>
                <w:sz w:val="18"/>
                <w:szCs w:val="18"/>
              </w:rPr>
              <w:t>Total</w:t>
            </w:r>
          </w:p>
        </w:tc>
        <w:tc>
          <w:tcPr>
            <w:tcW w:w="2187" w:type="dxa"/>
            <w:noWrap/>
            <w:vAlign w:val="center"/>
          </w:tcPr>
          <w:p w:rsidR="00953945" w:rsidRPr="00BB3A3C" w:rsidRDefault="00555AB5" w:rsidP="0095394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(27)”</w:t>
            </w:r>
          </w:p>
        </w:tc>
      </w:tr>
    </w:tbl>
    <w:p w:rsidR="005A5E95" w:rsidRPr="007D02A7" w:rsidRDefault="005E405B" w:rsidP="00ED0631">
      <w:pPr>
        <w:spacing w:after="0" w:line="240" w:lineRule="auto"/>
        <w:ind w:left="1418" w:right="567"/>
        <w:jc w:val="both"/>
        <w:rPr>
          <w:rFonts w:ascii="ITC Avant Garde" w:hAnsi="ITC Avant Garde"/>
          <w:sz w:val="16"/>
        </w:rPr>
      </w:pPr>
      <w:r w:rsidRPr="007D02A7">
        <w:rPr>
          <w:rFonts w:ascii="ITC Avant Garde" w:hAnsi="ITC Avant Garde"/>
          <w:sz w:val="16"/>
        </w:rPr>
        <w:t xml:space="preserve">Fuente: Elaboración propia con información contenida en Foja </w:t>
      </w:r>
      <w:r w:rsidR="007D3233" w:rsidRPr="007D02A7">
        <w:rPr>
          <w:rFonts w:ascii="ITC Avant Garde" w:hAnsi="ITC Avant Garde"/>
          <w:sz w:val="16"/>
        </w:rPr>
        <w:t>5</w:t>
      </w:r>
      <w:r w:rsidRPr="007D02A7">
        <w:rPr>
          <w:rFonts w:ascii="ITC Avant Garde" w:hAnsi="ITC Avant Garde"/>
          <w:sz w:val="16"/>
        </w:rPr>
        <w:t xml:space="preserve"> del Expediente</w:t>
      </w:r>
      <w:r w:rsidR="0076057A" w:rsidRPr="007D02A7">
        <w:rPr>
          <w:rFonts w:ascii="ITC Avant Garde" w:hAnsi="ITC Avant Garde"/>
          <w:sz w:val="16"/>
        </w:rPr>
        <w:t>.</w:t>
      </w:r>
    </w:p>
    <w:p w:rsidR="00C7384C" w:rsidRPr="007D02A7" w:rsidRDefault="00B145BB" w:rsidP="00637B96">
      <w:pPr>
        <w:spacing w:before="120" w:after="120"/>
        <w:jc w:val="both"/>
        <w:rPr>
          <w:rFonts w:ascii="ITC Avant Garde" w:hAnsi="ITC Avant Garde"/>
        </w:rPr>
      </w:pPr>
      <w:r w:rsidRPr="007D02A7">
        <w:rPr>
          <w:rFonts w:ascii="ITC Avant Garde" w:hAnsi="ITC Avant Garde"/>
        </w:rPr>
        <w:t>Con</w:t>
      </w:r>
      <w:r w:rsidR="00592764" w:rsidRPr="007D02A7">
        <w:rPr>
          <w:rFonts w:ascii="ITC Avant Garde" w:hAnsi="ITC Avant Garde"/>
        </w:rPr>
        <w:t xml:space="preserve"> base en </w:t>
      </w:r>
      <w:r w:rsidRPr="007D02A7">
        <w:rPr>
          <w:rFonts w:ascii="ITC Avant Garde" w:hAnsi="ITC Avant Garde"/>
        </w:rPr>
        <w:t xml:space="preserve">la información anterior, </w:t>
      </w:r>
      <w:r w:rsidR="00AD2ABC" w:rsidRPr="007D02A7">
        <w:rPr>
          <w:rFonts w:ascii="ITC Avant Garde" w:hAnsi="ITC Avant Garde"/>
        </w:rPr>
        <w:t xml:space="preserve">el </w:t>
      </w:r>
      <w:r w:rsidR="00592764" w:rsidRPr="007D02A7">
        <w:rPr>
          <w:rFonts w:ascii="ITC Avant Garde" w:hAnsi="ITC Avant Garde"/>
        </w:rPr>
        <w:t xml:space="preserve">siguiente </w:t>
      </w:r>
      <w:r w:rsidR="00AD2ABC" w:rsidRPr="007D02A7">
        <w:rPr>
          <w:rFonts w:ascii="ITC Avant Garde" w:hAnsi="ITC Avant Garde"/>
        </w:rPr>
        <w:t xml:space="preserve">diagrama </w:t>
      </w:r>
      <w:r w:rsidR="00592764" w:rsidRPr="007D02A7">
        <w:rPr>
          <w:rFonts w:ascii="ITC Avant Garde" w:hAnsi="ITC Avant Garde"/>
        </w:rPr>
        <w:t xml:space="preserve">ilustra la estructura </w:t>
      </w:r>
      <w:r w:rsidR="00AD2ABC" w:rsidRPr="007D02A7">
        <w:rPr>
          <w:rFonts w:ascii="ITC Avant Garde" w:hAnsi="ITC Avant Garde"/>
        </w:rPr>
        <w:t>corporativ</w:t>
      </w:r>
      <w:r w:rsidR="00592764" w:rsidRPr="007D02A7">
        <w:rPr>
          <w:rFonts w:ascii="ITC Avant Garde" w:hAnsi="ITC Avant Garde"/>
        </w:rPr>
        <w:t>a</w:t>
      </w:r>
      <w:r w:rsidR="00AD2ABC" w:rsidRPr="007D02A7">
        <w:rPr>
          <w:rFonts w:ascii="ITC Avant Garde" w:hAnsi="ITC Avant Garde"/>
        </w:rPr>
        <w:t xml:space="preserve"> de ATC y sus subsidiarias en México</w:t>
      </w:r>
      <w:r w:rsidR="00592764" w:rsidRPr="007D02A7">
        <w:rPr>
          <w:rFonts w:ascii="ITC Avant Garde" w:hAnsi="ITC Avant Garde"/>
        </w:rPr>
        <w:t>, la cual no cambiará como resultado de la Operación.</w:t>
      </w:r>
    </w:p>
    <w:p w:rsidR="00592764" w:rsidRPr="00250347" w:rsidRDefault="00592764" w:rsidP="00637B96">
      <w:pPr>
        <w:pStyle w:val="Prraforproyecto"/>
        <w:keepNext w:val="0"/>
        <w:numPr>
          <w:ilvl w:val="0"/>
          <w:numId w:val="24"/>
        </w:numPr>
        <w:spacing w:before="120"/>
        <w:ind w:left="1418"/>
        <w:rPr>
          <w:b/>
        </w:rPr>
      </w:pPr>
      <w:r w:rsidRPr="007D02A7">
        <w:rPr>
          <w:b/>
        </w:rPr>
        <w:t>Estructura Corpora</w:t>
      </w:r>
      <w:r w:rsidRPr="00250347">
        <w:rPr>
          <w:b/>
        </w:rPr>
        <w:t>tiva de ATC y sus subsidiarias Mexicanas</w:t>
      </w:r>
    </w:p>
    <w:p w:rsidR="0061026E" w:rsidRPr="00250347" w:rsidRDefault="00DC048F" w:rsidP="00637B96">
      <w:pPr>
        <w:pStyle w:val="Prraforproyecto"/>
        <w:keepNext w:val="0"/>
        <w:spacing w:before="120"/>
        <w:jc w:val="center"/>
      </w:pPr>
      <w:bookmarkStart w:id="26" w:name="_Ref472956577"/>
      <w:r>
        <w:rPr>
          <w:noProof/>
        </w:rPr>
        <w:drawing>
          <wp:inline distT="0" distB="0" distL="0" distR="0" wp14:anchorId="5D4EA5F0" wp14:editId="2D40D955">
            <wp:extent cx="4431228" cy="3587750"/>
            <wp:effectExtent l="0" t="0" r="7620" b="0"/>
            <wp:docPr id="1" name="Imagen 1" descr="Este cuadro representa la estructura Corporativa de ATC y sus subsidiarias Mexicanas" title="Gráfico 1. Estructura Corporativa de ATC y sus subsidiarias Mexic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5953" t="-1" r="20740" b="8871"/>
                    <a:stretch/>
                  </pic:blipFill>
                  <pic:spPr bwMode="auto">
                    <a:xfrm>
                      <a:off x="0" y="0"/>
                      <a:ext cx="4436168" cy="3591750"/>
                    </a:xfrm>
                    <a:prstGeom prst="rect">
                      <a:avLst/>
                    </a:prstGeom>
                    <a:ln>
                      <a:noFill/>
                    </a:ln>
                    <a:extLst>
                      <a:ext uri="{53640926-AAD7-44D8-BBD7-CCE9431645EC}">
                        <a14:shadowObscured xmlns:a14="http://schemas.microsoft.com/office/drawing/2010/main"/>
                      </a:ext>
                    </a:extLst>
                  </pic:spPr>
                </pic:pic>
              </a:graphicData>
            </a:graphic>
          </wp:inline>
        </w:drawing>
      </w:r>
    </w:p>
    <w:p w:rsidR="0061026E" w:rsidRPr="007D02A7" w:rsidRDefault="0061026E" w:rsidP="00ED0631">
      <w:pPr>
        <w:spacing w:after="0" w:line="240" w:lineRule="auto"/>
        <w:ind w:left="284" w:right="567"/>
        <w:jc w:val="center"/>
        <w:rPr>
          <w:rFonts w:ascii="ITC Avant Garde" w:hAnsi="ITC Avant Garde"/>
          <w:sz w:val="16"/>
        </w:rPr>
      </w:pPr>
      <w:r w:rsidRPr="00250347">
        <w:rPr>
          <w:rFonts w:ascii="ITC Avant Garde" w:hAnsi="ITC Avant Garde"/>
          <w:sz w:val="16"/>
        </w:rPr>
        <w:t>Fuente: Elaboración propia.</w:t>
      </w:r>
    </w:p>
    <w:p w:rsidR="00AE509A" w:rsidRPr="007D02A7" w:rsidRDefault="0040062E" w:rsidP="00637B96">
      <w:pPr>
        <w:spacing w:before="120" w:after="120"/>
        <w:rPr>
          <w:rFonts w:ascii="ITC Avant Garde" w:hAnsi="ITC Avant Garde"/>
          <w:b/>
        </w:rPr>
      </w:pPr>
      <w:r w:rsidRPr="007D02A7">
        <w:rPr>
          <w:rFonts w:ascii="ITC Avant Garde" w:hAnsi="ITC Avant Garde"/>
          <w:b/>
        </w:rPr>
        <w:lastRenderedPageBreak/>
        <w:t xml:space="preserve">Actividades del GIE controlado por ATC en México </w:t>
      </w:r>
      <w:bookmarkEnd w:id="26"/>
    </w:p>
    <w:p w:rsidR="00EE69B0" w:rsidRPr="007D02A7" w:rsidRDefault="00EE69B0" w:rsidP="00637B96">
      <w:pPr>
        <w:pStyle w:val="Prraforproyecto"/>
        <w:keepNext w:val="0"/>
        <w:spacing w:before="120"/>
      </w:pPr>
      <w:r w:rsidRPr="007D02A7">
        <w:t xml:space="preserve">En virtud de las relaciones patrimoniales y corporativas </w:t>
      </w:r>
      <w:r w:rsidR="00592764" w:rsidRPr="007D02A7">
        <w:t xml:space="preserve">que se presentan </w:t>
      </w:r>
      <w:r w:rsidRPr="007D02A7">
        <w:t xml:space="preserve">en </w:t>
      </w:r>
      <w:r w:rsidR="0040062E" w:rsidRPr="007D02A7">
        <w:t>e</w:t>
      </w:r>
      <w:r w:rsidRPr="007D02A7">
        <w:t>l numeral</w:t>
      </w:r>
      <w:r w:rsidR="00007DB7" w:rsidRPr="007D02A7">
        <w:t xml:space="preserve"> 5.1</w:t>
      </w:r>
      <w:r w:rsidRPr="007D02A7">
        <w:t xml:space="preserve"> de esta resolución, se identifica que </w:t>
      </w:r>
      <w:r w:rsidR="003A5C3D" w:rsidRPr="007D02A7">
        <w:t>e</w:t>
      </w:r>
      <w:r w:rsidRPr="007D02A7">
        <w:t xml:space="preserve">l Comprador: </w:t>
      </w:r>
      <w:r w:rsidR="003A5C3D" w:rsidRPr="007D02A7">
        <w:t>MATC Digital</w:t>
      </w:r>
      <w:r w:rsidRPr="007D02A7">
        <w:t xml:space="preserve">, forma parte de un conjunto de empresas </w:t>
      </w:r>
      <w:r w:rsidR="003A5C3D" w:rsidRPr="007D02A7">
        <w:t xml:space="preserve">en México </w:t>
      </w:r>
      <w:r w:rsidRPr="007D02A7">
        <w:t xml:space="preserve">que conforman un GIE controlado en última instancia por </w:t>
      </w:r>
      <w:r w:rsidR="003A5C3D" w:rsidRPr="007D02A7">
        <w:t>ATC</w:t>
      </w:r>
      <w:r w:rsidR="00592764" w:rsidRPr="007D02A7">
        <w:t>, el cual:</w:t>
      </w:r>
      <w:r w:rsidRPr="007D02A7">
        <w:t xml:space="preserve"> </w:t>
      </w:r>
    </w:p>
    <w:p w:rsidR="005C2294" w:rsidRPr="007D02A7" w:rsidRDefault="00592764" w:rsidP="00637B96">
      <w:pPr>
        <w:pStyle w:val="estilo30"/>
        <w:widowControl w:val="0"/>
        <w:numPr>
          <w:ilvl w:val="0"/>
          <w:numId w:val="25"/>
        </w:numPr>
        <w:spacing w:before="120" w:beforeAutospacing="0" w:after="120" w:afterAutospacing="0" w:line="276" w:lineRule="auto"/>
        <w:jc w:val="both"/>
        <w:rPr>
          <w:rFonts w:ascii="ITC Avant Garde" w:hAnsi="ITC Avant Garde" w:cs="ITC Avant Garde"/>
          <w:bCs/>
          <w:sz w:val="22"/>
          <w:szCs w:val="22"/>
          <w:lang w:val="es-ES_tradnl"/>
        </w:rPr>
      </w:pPr>
      <w:r w:rsidRPr="007D02A7">
        <w:rPr>
          <w:rFonts w:ascii="ITC Avant Garde" w:hAnsi="ITC Avant Garde" w:cs="ITC Avant Garde"/>
          <w:bCs/>
          <w:sz w:val="22"/>
          <w:szCs w:val="22"/>
          <w:lang w:val="es-ES_tradnl"/>
        </w:rPr>
        <w:t>E</w:t>
      </w:r>
      <w:r w:rsidR="005C2294" w:rsidRPr="007D02A7">
        <w:rPr>
          <w:rFonts w:ascii="ITC Avant Garde" w:hAnsi="ITC Avant Garde" w:cs="ITC Avant Garde"/>
          <w:bCs/>
          <w:sz w:val="22"/>
          <w:szCs w:val="22"/>
          <w:lang w:val="es-ES_tradnl"/>
        </w:rPr>
        <w:t>s un propietario independiente, operador y desarrollador líder de bienes raíces de comunicaciones inalámbricas y de radiodifusión</w:t>
      </w:r>
      <w:r w:rsidR="002714B6" w:rsidRPr="007D02A7">
        <w:rPr>
          <w:rFonts w:ascii="ITC Avant Garde" w:hAnsi="ITC Avant Garde" w:cs="ITC Avant Garde"/>
          <w:bCs/>
          <w:sz w:val="22"/>
          <w:szCs w:val="22"/>
          <w:lang w:val="es-ES_tradnl"/>
        </w:rPr>
        <w:t>, a nivel internacional</w:t>
      </w:r>
      <w:r w:rsidR="005C2294" w:rsidRPr="007D02A7">
        <w:rPr>
          <w:rFonts w:ascii="ITC Avant Garde" w:hAnsi="ITC Avant Garde" w:cs="ITC Avant Garde"/>
          <w:bCs/>
          <w:sz w:val="22"/>
          <w:szCs w:val="22"/>
          <w:lang w:val="es-ES_tradnl"/>
        </w:rPr>
        <w:t>.</w:t>
      </w:r>
      <w:r w:rsidR="009E6F95" w:rsidRPr="007D02A7">
        <w:rPr>
          <w:rStyle w:val="Refdenotaalpie"/>
          <w:rFonts w:ascii="ITC Avant Garde" w:hAnsi="ITC Avant Garde"/>
          <w:sz w:val="18"/>
          <w:szCs w:val="18"/>
        </w:rPr>
        <w:t xml:space="preserve"> </w:t>
      </w:r>
      <w:r w:rsidR="009E6F95" w:rsidRPr="007D02A7">
        <w:rPr>
          <w:rStyle w:val="Refdenotaalpie"/>
          <w:rFonts w:ascii="ITC Avant Garde" w:hAnsi="ITC Avant Garde"/>
          <w:sz w:val="22"/>
          <w:szCs w:val="18"/>
        </w:rPr>
        <w:footnoteReference w:id="23"/>
      </w:r>
    </w:p>
    <w:p w:rsidR="00592764" w:rsidRPr="007D02A7" w:rsidRDefault="00592764" w:rsidP="00637B96">
      <w:pPr>
        <w:pStyle w:val="estilo30"/>
        <w:widowControl w:val="0"/>
        <w:numPr>
          <w:ilvl w:val="0"/>
          <w:numId w:val="25"/>
        </w:numPr>
        <w:spacing w:before="120" w:beforeAutospacing="0" w:after="120" w:afterAutospacing="0" w:line="276" w:lineRule="auto"/>
        <w:jc w:val="both"/>
        <w:rPr>
          <w:rFonts w:ascii="ITC Avant Garde" w:hAnsi="ITC Avant Garde" w:cs="ITC Avant Garde"/>
          <w:bCs/>
          <w:sz w:val="22"/>
          <w:szCs w:val="22"/>
          <w:lang w:val="es-ES_tradnl"/>
        </w:rPr>
      </w:pPr>
      <w:r w:rsidRPr="007D02A7">
        <w:rPr>
          <w:rFonts w:ascii="ITC Avant Garde" w:hAnsi="ITC Avant Garde" w:cs="ITC Avant Garde"/>
          <w:bCs/>
          <w:sz w:val="22"/>
          <w:szCs w:val="22"/>
          <w:lang w:val="es-ES_tradnl"/>
        </w:rPr>
        <w:t xml:space="preserve">Tiene una </w:t>
      </w:r>
      <w:r w:rsidR="005C2294" w:rsidRPr="007D02A7">
        <w:rPr>
          <w:rFonts w:ascii="ITC Avant Garde" w:hAnsi="ITC Avant Garde" w:cs="ITC Avant Garde"/>
          <w:bCs/>
          <w:sz w:val="22"/>
          <w:szCs w:val="22"/>
          <w:lang w:val="es-ES_tradnl"/>
        </w:rPr>
        <w:t xml:space="preserve">cartera global </w:t>
      </w:r>
      <w:r w:rsidRPr="007D02A7">
        <w:rPr>
          <w:rFonts w:ascii="ITC Avant Garde" w:hAnsi="ITC Avant Garde" w:cs="ITC Avant Garde"/>
          <w:bCs/>
          <w:sz w:val="22"/>
          <w:szCs w:val="22"/>
          <w:lang w:val="es-ES_tradnl"/>
        </w:rPr>
        <w:t xml:space="preserve">que </w:t>
      </w:r>
      <w:r w:rsidR="005C2294" w:rsidRPr="007D02A7">
        <w:rPr>
          <w:rFonts w:ascii="ITC Avant Garde" w:hAnsi="ITC Avant Garde" w:cs="ITC Avant Garde"/>
          <w:bCs/>
          <w:sz w:val="22"/>
          <w:szCs w:val="22"/>
          <w:lang w:val="es-ES_tradnl"/>
        </w:rPr>
        <w:t>incluye aproximadamente 148,000 sitios y experimenta</w:t>
      </w:r>
      <w:r w:rsidRPr="007D02A7">
        <w:rPr>
          <w:rFonts w:ascii="ITC Avant Garde" w:hAnsi="ITC Avant Garde" w:cs="ITC Avant Garde"/>
          <w:bCs/>
          <w:sz w:val="22"/>
          <w:szCs w:val="22"/>
          <w:lang w:val="es-ES_tradnl"/>
        </w:rPr>
        <w:t xml:space="preserve"> </w:t>
      </w:r>
      <w:r w:rsidR="005C2294" w:rsidRPr="007D02A7">
        <w:rPr>
          <w:rFonts w:ascii="ITC Avant Garde" w:hAnsi="ITC Avant Garde" w:cs="ITC Avant Garde"/>
          <w:bCs/>
          <w:sz w:val="22"/>
          <w:szCs w:val="22"/>
          <w:lang w:val="es-ES_tradnl"/>
        </w:rPr>
        <w:t xml:space="preserve">un crecimiento constante. </w:t>
      </w:r>
    </w:p>
    <w:p w:rsidR="005C2294" w:rsidRPr="007D02A7" w:rsidRDefault="005C2294" w:rsidP="00637B96">
      <w:pPr>
        <w:pStyle w:val="estilo30"/>
        <w:widowControl w:val="0"/>
        <w:numPr>
          <w:ilvl w:val="0"/>
          <w:numId w:val="25"/>
        </w:numPr>
        <w:spacing w:before="120" w:beforeAutospacing="0" w:after="120" w:afterAutospacing="0" w:line="276" w:lineRule="auto"/>
        <w:jc w:val="both"/>
        <w:rPr>
          <w:rFonts w:ascii="ITC Avant Garde" w:hAnsi="ITC Avant Garde" w:cs="ITC Avant Garde"/>
          <w:bCs/>
          <w:sz w:val="22"/>
          <w:szCs w:val="22"/>
          <w:lang w:val="es-ES_tradnl"/>
        </w:rPr>
      </w:pPr>
      <w:r w:rsidRPr="007D02A7">
        <w:rPr>
          <w:rFonts w:ascii="ITC Avant Garde" w:hAnsi="ITC Avant Garde" w:cs="ITC Avant Garde"/>
          <w:bCs/>
          <w:sz w:val="22"/>
          <w:szCs w:val="22"/>
          <w:lang w:val="es-ES_tradnl"/>
        </w:rPr>
        <w:t>Además de alquilar espacio en torres, ofrece soluciones de colocación personalizadas a través de sistemas de construcción, sistemas de antena distribuidos al aire libre y otras opciones de derechos de paso, tejados gestionados y servicios que aceleran el despliegue de la red.</w:t>
      </w:r>
      <w:r w:rsidR="009E6F95" w:rsidRPr="007D02A7">
        <w:rPr>
          <w:rFonts w:ascii="ITC Avant Garde" w:eastAsia="Calibri" w:hAnsi="ITC Avant Garde"/>
          <w:sz w:val="18"/>
          <w:szCs w:val="18"/>
          <w:vertAlign w:val="superscript"/>
          <w:lang w:eastAsia="en-US"/>
        </w:rPr>
        <w:t xml:space="preserve"> </w:t>
      </w:r>
      <w:r w:rsidR="009E6F95" w:rsidRPr="007D02A7">
        <w:rPr>
          <w:rFonts w:ascii="ITC Avant Garde" w:hAnsi="ITC Avant Garde" w:cs="ITC Avant Garde"/>
          <w:bCs/>
          <w:sz w:val="22"/>
          <w:szCs w:val="22"/>
          <w:vertAlign w:val="superscript"/>
        </w:rPr>
        <w:footnoteReference w:id="24"/>
      </w:r>
    </w:p>
    <w:p w:rsidR="005C2294" w:rsidRPr="007D02A7" w:rsidRDefault="00324A69" w:rsidP="00637B96">
      <w:pPr>
        <w:pStyle w:val="Prraforproyecto"/>
        <w:keepNext w:val="0"/>
        <w:numPr>
          <w:ilvl w:val="0"/>
          <w:numId w:val="25"/>
        </w:numPr>
        <w:spacing w:before="120"/>
      </w:pPr>
      <w:r w:rsidRPr="007D02A7">
        <w:rPr>
          <w:lang w:val="es-ES_tradnl"/>
        </w:rPr>
        <w:t>ATC a través de sus subsidiarias</w:t>
      </w:r>
      <w:r w:rsidR="005C2294" w:rsidRPr="007D02A7">
        <w:rPr>
          <w:lang w:val="es-ES_tradnl"/>
        </w:rPr>
        <w:t xml:space="preserve"> tiene actividades en Estados Unidos, Argentina, Brasil, Chile, Colombia, Costa Rica, Francia, Alemania, Ghana, India, México, Nigeria, Perú, Sudáfrica y Uganda.</w:t>
      </w:r>
      <w:r w:rsidR="009E6F95" w:rsidRPr="007D02A7">
        <w:rPr>
          <w:rStyle w:val="Refdenotaalpie"/>
          <w:sz w:val="18"/>
          <w:szCs w:val="18"/>
        </w:rPr>
        <w:t xml:space="preserve"> </w:t>
      </w:r>
      <w:r w:rsidR="009E6F95" w:rsidRPr="007D02A7">
        <w:rPr>
          <w:rStyle w:val="Refdenotaalpie"/>
          <w:szCs w:val="18"/>
        </w:rPr>
        <w:footnoteReference w:id="25"/>
      </w:r>
    </w:p>
    <w:p w:rsidR="00EE69B0" w:rsidRPr="007D02A7" w:rsidRDefault="00592764" w:rsidP="00637B96">
      <w:pPr>
        <w:numPr>
          <w:ilvl w:val="0"/>
          <w:numId w:val="25"/>
        </w:numPr>
        <w:spacing w:before="120" w:after="120"/>
        <w:jc w:val="both"/>
        <w:rPr>
          <w:rFonts w:ascii="ITC Avant Garde" w:hAnsi="ITC Avant Garde"/>
        </w:rPr>
      </w:pPr>
      <w:r w:rsidRPr="007D02A7">
        <w:rPr>
          <w:rFonts w:ascii="ITC Avant Garde" w:hAnsi="ITC Avant Garde"/>
        </w:rPr>
        <w:t>E</w:t>
      </w:r>
      <w:r w:rsidR="00070046" w:rsidRPr="007D02A7">
        <w:rPr>
          <w:rFonts w:ascii="ITC Avant Garde" w:hAnsi="ITC Avant Garde"/>
        </w:rPr>
        <w:t>n México</w:t>
      </w:r>
      <w:r w:rsidRPr="007D02A7">
        <w:rPr>
          <w:rFonts w:ascii="ITC Avant Garde" w:hAnsi="ITC Avant Garde"/>
        </w:rPr>
        <w:t>,</w:t>
      </w:r>
      <w:r w:rsidR="00EE69B0" w:rsidRPr="007D02A7">
        <w:rPr>
          <w:rFonts w:ascii="ITC Avant Garde" w:hAnsi="ITC Avant Garde"/>
        </w:rPr>
        <w:t xml:space="preserve"> participa en la provisión de servicios en el sector de telecomunicaciones</w:t>
      </w:r>
      <w:r w:rsidR="00193CEE" w:rsidRPr="007D02A7">
        <w:rPr>
          <w:rFonts w:ascii="ITC Avant Garde" w:hAnsi="ITC Avant Garde"/>
        </w:rPr>
        <w:t>,</w:t>
      </w:r>
      <w:r w:rsidR="008F22D7" w:rsidRPr="007D02A7">
        <w:rPr>
          <w:rFonts w:ascii="ITC Avant Garde" w:hAnsi="ITC Avant Garde"/>
        </w:rPr>
        <w:t xml:space="preserve"> en particular en el</w:t>
      </w:r>
      <w:r w:rsidR="00193CEE" w:rsidRPr="007D02A7">
        <w:rPr>
          <w:rFonts w:ascii="ITC Avant Garde" w:hAnsi="ITC Avant Garde"/>
        </w:rPr>
        <w:t xml:space="preserve"> </w:t>
      </w:r>
      <w:r w:rsidR="008F22D7" w:rsidRPr="007D02A7">
        <w:rPr>
          <w:rFonts w:ascii="ITC Avant Garde" w:hAnsi="ITC Avant Garde"/>
        </w:rPr>
        <w:t>arrendamiento de</w:t>
      </w:r>
      <w:r w:rsidR="002C6EA6" w:rsidRPr="007D02A7">
        <w:rPr>
          <w:rFonts w:ascii="ITC Avant Garde" w:hAnsi="ITC Avant Garde"/>
        </w:rPr>
        <w:t xml:space="preserve"> sitios en</w:t>
      </w:r>
      <w:r w:rsidR="008F22D7" w:rsidRPr="007D02A7">
        <w:rPr>
          <w:rFonts w:ascii="ITC Avant Garde" w:hAnsi="ITC Avant Garde"/>
        </w:rPr>
        <w:t xml:space="preserve"> torres </w:t>
      </w:r>
      <w:r w:rsidR="00860B4A" w:rsidRPr="007D02A7">
        <w:rPr>
          <w:rFonts w:ascii="ITC Avant Garde" w:hAnsi="ITC Avant Garde"/>
        </w:rPr>
        <w:t xml:space="preserve">principalmente </w:t>
      </w:r>
      <w:r w:rsidR="008F22D7" w:rsidRPr="007D02A7">
        <w:rPr>
          <w:rFonts w:ascii="ITC Avant Garde" w:hAnsi="ITC Avant Garde"/>
        </w:rPr>
        <w:t>para</w:t>
      </w:r>
      <w:r w:rsidR="00860B4A" w:rsidRPr="007D02A7">
        <w:rPr>
          <w:rFonts w:ascii="ITC Avant Garde" w:hAnsi="ITC Avant Garde"/>
        </w:rPr>
        <w:t xml:space="preserve"> servicios de</w:t>
      </w:r>
      <w:r w:rsidR="008F22D7" w:rsidRPr="007D02A7">
        <w:rPr>
          <w:rFonts w:ascii="ITC Avant Garde" w:hAnsi="ITC Avant Garde"/>
        </w:rPr>
        <w:t xml:space="preserve"> telecomunicaciones móviles. Actualmente, </w:t>
      </w:r>
      <w:r w:rsidR="000E14E0" w:rsidRPr="007D02A7">
        <w:rPr>
          <w:rFonts w:ascii="ITC Avant Garde" w:hAnsi="ITC Avant Garde"/>
        </w:rPr>
        <w:t xml:space="preserve">MATC </w:t>
      </w:r>
      <w:proofErr w:type="spellStart"/>
      <w:r w:rsidR="000E14E0" w:rsidRPr="007D02A7">
        <w:rPr>
          <w:rFonts w:ascii="ITC Avant Garde" w:hAnsi="ITC Avant Garde"/>
        </w:rPr>
        <w:t>Fibraóptica</w:t>
      </w:r>
      <w:proofErr w:type="spellEnd"/>
      <w:r w:rsidR="000E14E0" w:rsidRPr="007D02A7">
        <w:rPr>
          <w:rFonts w:ascii="ITC Avant Garde" w:hAnsi="ITC Avant Garde"/>
        </w:rPr>
        <w:t xml:space="preserve"> es la única sociedad </w:t>
      </w:r>
      <w:r w:rsidR="00EF21A5" w:rsidRPr="007D02A7">
        <w:rPr>
          <w:rFonts w:ascii="ITC Avant Garde" w:hAnsi="ITC Avant Garde"/>
        </w:rPr>
        <w:t xml:space="preserve">que tiene autorizado un título </w:t>
      </w:r>
      <w:r w:rsidR="00EE69B0" w:rsidRPr="007D02A7">
        <w:rPr>
          <w:rFonts w:ascii="ITC Avant Garde" w:hAnsi="ITC Avant Garde"/>
        </w:rPr>
        <w:t xml:space="preserve">de </w:t>
      </w:r>
      <w:r w:rsidR="00295303" w:rsidRPr="007D02A7">
        <w:rPr>
          <w:rFonts w:ascii="ITC Avant Garde" w:hAnsi="ITC Avant Garde"/>
        </w:rPr>
        <w:t xml:space="preserve">concesión </w:t>
      </w:r>
      <w:r w:rsidR="000E14E0" w:rsidRPr="007D02A7">
        <w:rPr>
          <w:rFonts w:ascii="ITC Avant Garde" w:hAnsi="ITC Avant Garde"/>
        </w:rPr>
        <w:t>en este sector</w:t>
      </w:r>
      <w:r w:rsidR="00EE69B0" w:rsidRPr="007D02A7">
        <w:rPr>
          <w:rFonts w:ascii="ITC Avant Garde" w:hAnsi="ITC Avant Garde"/>
        </w:rPr>
        <w:t>,</w:t>
      </w:r>
      <w:r w:rsidR="007177DE" w:rsidRPr="007D02A7">
        <w:rPr>
          <w:rFonts w:ascii="ITC Avant Garde" w:hAnsi="ITC Avant Garde"/>
          <w:vertAlign w:val="superscript"/>
        </w:rPr>
        <w:t xml:space="preserve"> </w:t>
      </w:r>
      <w:r w:rsidR="00EE69B0" w:rsidRPr="007D02A7">
        <w:rPr>
          <w:rFonts w:ascii="ITC Avant Garde" w:hAnsi="ITC Avant Garde"/>
        </w:rPr>
        <w:t xml:space="preserve">como se </w:t>
      </w:r>
      <w:r w:rsidRPr="007D02A7">
        <w:rPr>
          <w:rFonts w:ascii="ITC Avant Garde" w:hAnsi="ITC Avant Garde"/>
        </w:rPr>
        <w:t xml:space="preserve">presenta en el </w:t>
      </w:r>
      <w:r w:rsidRPr="007D02A7">
        <w:rPr>
          <w:rFonts w:ascii="ITC Avant Garde" w:hAnsi="ITC Avant Garde"/>
        </w:rPr>
        <w:fldChar w:fldCharType="begin"/>
      </w:r>
      <w:r w:rsidRPr="007D02A7">
        <w:rPr>
          <w:rFonts w:ascii="ITC Avant Garde" w:hAnsi="ITC Avant Garde"/>
        </w:rPr>
        <w:instrText xml:space="preserve"> REF _Ref495412050 \r \h </w:instrText>
      </w:r>
      <w:r w:rsidR="00665178" w:rsidRPr="007D02A7">
        <w:rPr>
          <w:rFonts w:ascii="ITC Avant Garde" w:hAnsi="ITC Avant Garde"/>
        </w:rPr>
        <w:instrText xml:space="preserve"> \* MERGEFORMAT </w:instrText>
      </w:r>
      <w:r w:rsidRPr="007D02A7">
        <w:rPr>
          <w:rFonts w:ascii="ITC Avant Garde" w:hAnsi="ITC Avant Garde"/>
        </w:rPr>
      </w:r>
      <w:r w:rsidRPr="007D02A7">
        <w:rPr>
          <w:rFonts w:ascii="ITC Avant Garde" w:hAnsi="ITC Avant Garde"/>
        </w:rPr>
        <w:fldChar w:fldCharType="separate"/>
      </w:r>
      <w:r w:rsidR="0017207B" w:rsidRPr="007D02A7">
        <w:rPr>
          <w:rFonts w:ascii="ITC Avant Garde" w:hAnsi="ITC Avant Garde"/>
        </w:rPr>
        <w:t>Cuadro 8</w:t>
      </w:r>
      <w:r w:rsidRPr="007D02A7">
        <w:rPr>
          <w:rFonts w:ascii="ITC Avant Garde" w:hAnsi="ITC Avant Garde"/>
        </w:rPr>
        <w:fldChar w:fldCharType="end"/>
      </w:r>
      <w:r w:rsidR="00EE69B0" w:rsidRPr="007D02A7">
        <w:rPr>
          <w:rFonts w:ascii="ITC Avant Garde" w:hAnsi="ITC Avant Garde"/>
        </w:rPr>
        <w:t>.</w:t>
      </w:r>
    </w:p>
    <w:p w:rsidR="00EE69B0" w:rsidRPr="007D02A7" w:rsidRDefault="00193CEE" w:rsidP="00637B96">
      <w:pPr>
        <w:pStyle w:val="Sinespaciado"/>
        <w:numPr>
          <w:ilvl w:val="0"/>
          <w:numId w:val="13"/>
        </w:numPr>
        <w:spacing w:before="120" w:after="120" w:line="276" w:lineRule="auto"/>
        <w:jc w:val="both"/>
        <w:rPr>
          <w:rFonts w:ascii="ITC Avant Garde" w:hAnsi="ITC Avant Garde"/>
          <w:b/>
        </w:rPr>
      </w:pPr>
      <w:bookmarkStart w:id="27" w:name="_Ref495412050"/>
      <w:r w:rsidRPr="007D02A7">
        <w:rPr>
          <w:rFonts w:ascii="ITC Avant Garde" w:hAnsi="ITC Avant Garde"/>
          <w:b/>
        </w:rPr>
        <w:t>Actividades</w:t>
      </w:r>
      <w:r w:rsidR="00EE69B0" w:rsidRPr="007D02A7">
        <w:rPr>
          <w:rFonts w:ascii="ITC Avant Garde" w:hAnsi="ITC Avant Garde"/>
          <w:b/>
        </w:rPr>
        <w:t xml:space="preserve"> del GIE controlado por </w:t>
      </w:r>
      <w:r w:rsidRPr="007D02A7">
        <w:rPr>
          <w:rFonts w:ascii="ITC Avant Garde" w:hAnsi="ITC Avant Garde"/>
          <w:b/>
        </w:rPr>
        <w:t>ATC en México</w:t>
      </w:r>
      <w:bookmarkEnd w:id="27"/>
    </w:p>
    <w:tbl>
      <w:tblPr>
        <w:tblStyle w:val="Tablaconcuadrcula1"/>
        <w:tblW w:w="9274" w:type="dxa"/>
        <w:jc w:val="center"/>
        <w:tblLayout w:type="fixed"/>
        <w:tblLook w:val="04A0" w:firstRow="1" w:lastRow="0" w:firstColumn="1" w:lastColumn="0" w:noHBand="0" w:noVBand="1"/>
        <w:tblCaption w:val="Cuadro 8. Actividades del GIE controlado por ATC en México"/>
        <w:tblDescription w:val="En este cuadro se desciben los productos y/o servicios ofrecidos por el GIE controlado por ATC en México, que incluyen a: i) MATC Digital, ii) ATC de México, iii) MATC Fibraóptica, iv) MATC Servicios, v) MATC Infraestructura, vi) Adquisiciones y Proyectos Inalámbricos, y vii) ATC Latin America."/>
      </w:tblPr>
      <w:tblGrid>
        <w:gridCol w:w="1711"/>
        <w:gridCol w:w="7563"/>
      </w:tblGrid>
      <w:tr w:rsidR="00193CEE" w:rsidRPr="000F7E62" w:rsidTr="004B1EA5">
        <w:trPr>
          <w:trHeight w:val="20"/>
          <w:tblHeader/>
          <w:jc w:val="center"/>
        </w:trPr>
        <w:tc>
          <w:tcPr>
            <w:tcW w:w="1711" w:type="dxa"/>
            <w:shd w:val="clear" w:color="auto" w:fill="538135" w:themeFill="accent6" w:themeFillShade="BF"/>
            <w:vAlign w:val="center"/>
          </w:tcPr>
          <w:p w:rsidR="00193CEE" w:rsidRPr="000F7E62" w:rsidRDefault="00193CEE" w:rsidP="004B1EA5">
            <w:pPr>
              <w:spacing w:before="120" w:after="120"/>
              <w:jc w:val="center"/>
              <w:rPr>
                <w:rFonts w:ascii="ITC Avant Garde" w:hAnsi="ITC Avant Garde"/>
                <w:b/>
                <w:color w:val="000000" w:themeColor="text1"/>
                <w:sz w:val="18"/>
              </w:rPr>
            </w:pPr>
            <w:r w:rsidRPr="000F7E62">
              <w:rPr>
                <w:rFonts w:ascii="ITC Avant Garde" w:hAnsi="ITC Avant Garde"/>
                <w:b/>
                <w:color w:val="000000" w:themeColor="text1"/>
                <w:sz w:val="18"/>
              </w:rPr>
              <w:t>Denominación o razón social</w:t>
            </w:r>
          </w:p>
        </w:tc>
        <w:tc>
          <w:tcPr>
            <w:tcW w:w="7563" w:type="dxa"/>
            <w:shd w:val="clear" w:color="auto" w:fill="538135" w:themeFill="accent6" w:themeFillShade="BF"/>
            <w:vAlign w:val="center"/>
          </w:tcPr>
          <w:p w:rsidR="00193CEE" w:rsidRPr="000F7E62" w:rsidRDefault="00193CEE" w:rsidP="004B1EA5">
            <w:pPr>
              <w:spacing w:before="120" w:after="120"/>
              <w:jc w:val="center"/>
              <w:rPr>
                <w:rFonts w:ascii="ITC Avant Garde" w:hAnsi="ITC Avant Garde"/>
                <w:b/>
                <w:color w:val="000000" w:themeColor="text1"/>
                <w:sz w:val="18"/>
              </w:rPr>
            </w:pPr>
            <w:r w:rsidRPr="000F7E62">
              <w:rPr>
                <w:rFonts w:ascii="ITC Avant Garde" w:hAnsi="ITC Avant Garde"/>
                <w:b/>
                <w:color w:val="000000" w:themeColor="text1"/>
                <w:sz w:val="18"/>
                <w:szCs w:val="18"/>
              </w:rPr>
              <w:t>Productos y/o servicios ofrecidos</w:t>
            </w:r>
          </w:p>
        </w:tc>
      </w:tr>
      <w:tr w:rsidR="00193CEE" w:rsidRPr="007D02A7" w:rsidTr="004B1EA5">
        <w:trPr>
          <w:trHeight w:val="20"/>
          <w:jc w:val="center"/>
        </w:trPr>
        <w:tc>
          <w:tcPr>
            <w:tcW w:w="1711" w:type="dxa"/>
          </w:tcPr>
          <w:p w:rsidR="00193CEE" w:rsidRPr="007D02A7" w:rsidRDefault="00193CEE" w:rsidP="00637B96">
            <w:pPr>
              <w:spacing w:before="120" w:after="120"/>
              <w:rPr>
                <w:rFonts w:ascii="ITC Avant Garde" w:hAnsi="ITC Avant Garde"/>
                <w:sz w:val="18"/>
              </w:rPr>
            </w:pPr>
            <w:r w:rsidRPr="007D02A7">
              <w:rPr>
                <w:rFonts w:ascii="ITC Avant Garde" w:hAnsi="ITC Avant Garde"/>
                <w:sz w:val="18"/>
              </w:rPr>
              <w:t>MATC Digital</w:t>
            </w:r>
          </w:p>
        </w:tc>
        <w:tc>
          <w:tcPr>
            <w:tcW w:w="7563" w:type="dxa"/>
          </w:tcPr>
          <w:p w:rsidR="00193CEE" w:rsidRPr="007D02A7" w:rsidRDefault="003A3AA7" w:rsidP="00637B96">
            <w:pPr>
              <w:spacing w:before="120" w:after="120"/>
              <w:jc w:val="both"/>
              <w:rPr>
                <w:rFonts w:ascii="ITC Avant Garde" w:hAnsi="ITC Avant Garde"/>
                <w:sz w:val="18"/>
              </w:rPr>
            </w:pPr>
            <w:r w:rsidRPr="007D02A7">
              <w:rPr>
                <w:rFonts w:ascii="ITC Avant Garde" w:hAnsi="ITC Avant Garde"/>
                <w:sz w:val="18"/>
              </w:rPr>
              <w:t>Construcción, operación, administración y dar o tomar en a</w:t>
            </w:r>
            <w:r w:rsidR="00193CEE" w:rsidRPr="007D02A7">
              <w:rPr>
                <w:rFonts w:ascii="ITC Avant Garde" w:hAnsi="ITC Avant Garde"/>
                <w:sz w:val="18"/>
              </w:rPr>
              <w:t xml:space="preserve">rrendamiento </w:t>
            </w:r>
            <w:r w:rsidR="008C6117" w:rsidRPr="007D02A7">
              <w:rPr>
                <w:rFonts w:ascii="ITC Avant Garde" w:hAnsi="ITC Avant Garde"/>
                <w:sz w:val="18"/>
              </w:rPr>
              <w:t xml:space="preserve">sitios en </w:t>
            </w:r>
            <w:r w:rsidR="00193CEE" w:rsidRPr="007D02A7">
              <w:rPr>
                <w:rFonts w:ascii="ITC Avant Garde" w:hAnsi="ITC Avant Garde"/>
                <w:sz w:val="18"/>
              </w:rPr>
              <w:t>torres de telecomunicaciones</w:t>
            </w:r>
            <w:r w:rsidRPr="007D02A7">
              <w:rPr>
                <w:rFonts w:ascii="ITC Avant Garde" w:hAnsi="ITC Avant Garde"/>
                <w:sz w:val="18"/>
              </w:rPr>
              <w:t xml:space="preserve"> y cualquier otro tipo de estructuras de soporte e instalaciones empleadas en la instalación de equipos de telecomunicaciones</w:t>
            </w:r>
            <w:r w:rsidR="00315803" w:rsidRPr="007D02A7">
              <w:rPr>
                <w:rFonts w:ascii="ITC Avant Garde" w:hAnsi="ITC Avant Garde"/>
                <w:sz w:val="18"/>
              </w:rPr>
              <w:t>.</w:t>
            </w:r>
          </w:p>
        </w:tc>
      </w:tr>
      <w:tr w:rsidR="00193CEE" w:rsidRPr="007D02A7" w:rsidTr="004B1EA5">
        <w:trPr>
          <w:trHeight w:val="20"/>
          <w:jc w:val="center"/>
        </w:trPr>
        <w:tc>
          <w:tcPr>
            <w:tcW w:w="1711" w:type="dxa"/>
          </w:tcPr>
          <w:p w:rsidR="00193CEE" w:rsidRPr="007D02A7" w:rsidRDefault="00193CEE" w:rsidP="00637B96">
            <w:pPr>
              <w:spacing w:before="120" w:after="120"/>
              <w:rPr>
                <w:rFonts w:ascii="ITC Avant Garde" w:hAnsi="ITC Avant Garde"/>
                <w:sz w:val="18"/>
              </w:rPr>
            </w:pPr>
            <w:r w:rsidRPr="007D02A7">
              <w:rPr>
                <w:rFonts w:ascii="ITC Avant Garde" w:hAnsi="ITC Avant Garde"/>
                <w:sz w:val="18"/>
              </w:rPr>
              <w:t>ATC de México</w:t>
            </w:r>
          </w:p>
        </w:tc>
        <w:tc>
          <w:tcPr>
            <w:tcW w:w="7563" w:type="dxa"/>
          </w:tcPr>
          <w:p w:rsidR="00193CEE" w:rsidRPr="007D02A7" w:rsidRDefault="00315803" w:rsidP="00637B96">
            <w:pPr>
              <w:spacing w:before="120" w:after="120"/>
              <w:jc w:val="both"/>
              <w:rPr>
                <w:rFonts w:ascii="ITC Avant Garde" w:hAnsi="ITC Avant Garde"/>
                <w:sz w:val="18"/>
              </w:rPr>
            </w:pPr>
            <w:r w:rsidRPr="007D02A7">
              <w:rPr>
                <w:rFonts w:ascii="ITC Avant Garde" w:hAnsi="ITC Avant Garde"/>
                <w:sz w:val="18"/>
              </w:rPr>
              <w:t>Sociedad tenedora de acciones.</w:t>
            </w:r>
          </w:p>
        </w:tc>
      </w:tr>
      <w:tr w:rsidR="00193CEE" w:rsidRPr="007D02A7" w:rsidTr="004B1EA5">
        <w:trPr>
          <w:trHeight w:val="20"/>
          <w:jc w:val="center"/>
        </w:trPr>
        <w:tc>
          <w:tcPr>
            <w:tcW w:w="1711" w:type="dxa"/>
          </w:tcPr>
          <w:p w:rsidR="00193CEE" w:rsidRPr="007D02A7" w:rsidRDefault="00315803" w:rsidP="00637B96">
            <w:pPr>
              <w:spacing w:before="120" w:after="120"/>
              <w:rPr>
                <w:rFonts w:ascii="ITC Avant Garde" w:hAnsi="ITC Avant Garde"/>
                <w:sz w:val="18"/>
              </w:rPr>
            </w:pPr>
            <w:r w:rsidRPr="007D02A7">
              <w:rPr>
                <w:rFonts w:ascii="ITC Avant Garde" w:hAnsi="ITC Avant Garde"/>
                <w:sz w:val="18"/>
              </w:rPr>
              <w:t xml:space="preserve">MATC </w:t>
            </w:r>
            <w:proofErr w:type="spellStart"/>
            <w:r w:rsidRPr="007D02A7">
              <w:rPr>
                <w:rFonts w:ascii="ITC Avant Garde" w:hAnsi="ITC Avant Garde"/>
                <w:sz w:val="18"/>
              </w:rPr>
              <w:t>Fibraóptica</w:t>
            </w:r>
            <w:proofErr w:type="spellEnd"/>
          </w:p>
        </w:tc>
        <w:tc>
          <w:tcPr>
            <w:tcW w:w="7563" w:type="dxa"/>
          </w:tcPr>
          <w:p w:rsidR="00193CEE" w:rsidRPr="007D02A7" w:rsidRDefault="00315803" w:rsidP="00637B96">
            <w:pPr>
              <w:spacing w:before="120" w:after="120"/>
              <w:jc w:val="both"/>
              <w:rPr>
                <w:rFonts w:ascii="ITC Avant Garde" w:hAnsi="ITC Avant Garde"/>
                <w:sz w:val="18"/>
              </w:rPr>
            </w:pPr>
            <w:r w:rsidRPr="007D02A7">
              <w:rPr>
                <w:rFonts w:ascii="ITC Avant Garde" w:hAnsi="ITC Avant Garde"/>
                <w:sz w:val="18"/>
              </w:rPr>
              <w:t xml:space="preserve">Prestación de servicios de telecomunicaciones, en específico, el servicio de provisión de capacidad consistente en la emisión, conducción, transmisión o recepción de signos, señales, escritos, imágenes, voz, datos o información de cualquier naturaleza </w:t>
            </w:r>
            <w:r w:rsidRPr="007D02A7">
              <w:rPr>
                <w:rFonts w:ascii="ITC Avant Garde" w:hAnsi="ITC Avant Garde"/>
                <w:sz w:val="18"/>
              </w:rPr>
              <w:lastRenderedPageBreak/>
              <w:t>a través del uso de fibra óptica.</w:t>
            </w:r>
            <w:r w:rsidR="00E61B48" w:rsidRPr="007D02A7">
              <w:rPr>
                <w:rFonts w:ascii="ITC Avant Garde" w:hAnsi="ITC Avant Garde"/>
                <w:sz w:val="18"/>
              </w:rPr>
              <w:t xml:space="preserve"> El seis de septiembre de dos mil diecisiete, el Pleno del Instituto </w:t>
            </w:r>
            <w:r w:rsidR="00EF21A5" w:rsidRPr="007D02A7">
              <w:rPr>
                <w:rFonts w:ascii="ITC Avant Garde" w:hAnsi="ITC Avant Garde"/>
                <w:sz w:val="18"/>
              </w:rPr>
              <w:t>autorizó</w:t>
            </w:r>
            <w:r w:rsidR="00E61B48" w:rsidRPr="007D02A7">
              <w:rPr>
                <w:rFonts w:ascii="ITC Avant Garde" w:hAnsi="ITC Avant Garde"/>
                <w:sz w:val="18"/>
              </w:rPr>
              <w:t xml:space="preserve"> una concesión única comercial.</w:t>
            </w:r>
            <w:r w:rsidR="005F14DF" w:rsidRPr="007D02A7">
              <w:rPr>
                <w:rFonts w:ascii="ITC Avant Garde" w:hAnsi="ITC Avant Garde"/>
                <w:sz w:val="18"/>
                <w:vertAlign w:val="superscript"/>
              </w:rPr>
              <w:t>1</w:t>
            </w:r>
          </w:p>
        </w:tc>
      </w:tr>
      <w:tr w:rsidR="00315803" w:rsidRPr="007D02A7" w:rsidTr="004B1EA5">
        <w:trPr>
          <w:trHeight w:val="20"/>
          <w:jc w:val="center"/>
        </w:trPr>
        <w:tc>
          <w:tcPr>
            <w:tcW w:w="1711" w:type="dxa"/>
          </w:tcPr>
          <w:p w:rsidR="00315803" w:rsidRPr="007D02A7" w:rsidRDefault="00315803" w:rsidP="00637B96">
            <w:pPr>
              <w:spacing w:before="120" w:after="120"/>
              <w:rPr>
                <w:rFonts w:ascii="ITC Avant Garde" w:hAnsi="ITC Avant Garde"/>
                <w:sz w:val="18"/>
              </w:rPr>
            </w:pPr>
            <w:r w:rsidRPr="007D02A7">
              <w:rPr>
                <w:rFonts w:ascii="ITC Avant Garde" w:hAnsi="ITC Avant Garde"/>
                <w:sz w:val="18"/>
              </w:rPr>
              <w:lastRenderedPageBreak/>
              <w:t>MATC Servicios</w:t>
            </w:r>
          </w:p>
        </w:tc>
        <w:tc>
          <w:tcPr>
            <w:tcW w:w="7563" w:type="dxa"/>
          </w:tcPr>
          <w:p w:rsidR="00315803" w:rsidRPr="007D02A7" w:rsidRDefault="00315803" w:rsidP="00637B96">
            <w:pPr>
              <w:spacing w:before="120" w:after="120"/>
              <w:jc w:val="both"/>
              <w:rPr>
                <w:rFonts w:ascii="ITC Avant Garde" w:hAnsi="ITC Avant Garde"/>
                <w:sz w:val="18"/>
              </w:rPr>
            </w:pPr>
            <w:r w:rsidRPr="007D02A7">
              <w:rPr>
                <w:rFonts w:ascii="ITC Avant Garde" w:hAnsi="ITC Avant Garde"/>
                <w:sz w:val="18"/>
              </w:rPr>
              <w:t xml:space="preserve">Prestación de servicios </w:t>
            </w:r>
            <w:r w:rsidR="006E2FC0" w:rsidRPr="007D02A7">
              <w:rPr>
                <w:rFonts w:ascii="ITC Avant Garde" w:hAnsi="ITC Avant Garde"/>
                <w:sz w:val="18"/>
              </w:rPr>
              <w:t xml:space="preserve">de asistencia técnica, recursos humanos, </w:t>
            </w:r>
            <w:r w:rsidRPr="007D02A7">
              <w:rPr>
                <w:rFonts w:ascii="ITC Avant Garde" w:hAnsi="ITC Avant Garde"/>
                <w:sz w:val="18"/>
              </w:rPr>
              <w:t>administrativos</w:t>
            </w:r>
            <w:r w:rsidR="006E2FC0" w:rsidRPr="007D02A7">
              <w:rPr>
                <w:rFonts w:ascii="ITC Avant Garde" w:hAnsi="ITC Avant Garde"/>
                <w:sz w:val="18"/>
              </w:rPr>
              <w:t>, contables, laborales, de asesoría y consultoría</w:t>
            </w:r>
            <w:r w:rsidRPr="007D02A7">
              <w:rPr>
                <w:rFonts w:ascii="ITC Avant Garde" w:hAnsi="ITC Avant Garde"/>
                <w:sz w:val="18"/>
              </w:rPr>
              <w:t>.</w:t>
            </w:r>
          </w:p>
        </w:tc>
      </w:tr>
      <w:tr w:rsidR="00315803" w:rsidRPr="007D02A7" w:rsidTr="004B1EA5">
        <w:trPr>
          <w:trHeight w:val="20"/>
          <w:jc w:val="center"/>
        </w:trPr>
        <w:tc>
          <w:tcPr>
            <w:tcW w:w="1711" w:type="dxa"/>
          </w:tcPr>
          <w:p w:rsidR="00315803" w:rsidRPr="007D02A7" w:rsidRDefault="00315803" w:rsidP="00637B96">
            <w:pPr>
              <w:spacing w:before="120" w:after="120"/>
              <w:rPr>
                <w:rFonts w:ascii="ITC Avant Garde" w:hAnsi="ITC Avant Garde"/>
                <w:sz w:val="18"/>
              </w:rPr>
            </w:pPr>
            <w:r w:rsidRPr="007D02A7">
              <w:rPr>
                <w:rFonts w:ascii="ITC Avant Garde" w:hAnsi="ITC Avant Garde"/>
                <w:sz w:val="18"/>
              </w:rPr>
              <w:t>MATC Infraestructura</w:t>
            </w:r>
          </w:p>
        </w:tc>
        <w:tc>
          <w:tcPr>
            <w:tcW w:w="7563" w:type="dxa"/>
          </w:tcPr>
          <w:p w:rsidR="00315803" w:rsidRPr="007D02A7" w:rsidRDefault="00315803" w:rsidP="00637B96">
            <w:pPr>
              <w:spacing w:before="120" w:after="120"/>
              <w:jc w:val="both"/>
              <w:rPr>
                <w:rFonts w:ascii="ITC Avant Garde" w:hAnsi="ITC Avant Garde"/>
                <w:sz w:val="18"/>
              </w:rPr>
            </w:pPr>
            <w:r w:rsidRPr="007D02A7">
              <w:rPr>
                <w:rFonts w:ascii="ITC Avant Garde" w:hAnsi="ITC Avant Garde"/>
                <w:sz w:val="18"/>
              </w:rPr>
              <w:t>Prestación de servicios profesionales</w:t>
            </w:r>
            <w:r w:rsidR="006E2FC0" w:rsidRPr="007D02A7">
              <w:rPr>
                <w:rFonts w:ascii="ITC Avant Garde" w:hAnsi="ITC Avant Garde"/>
                <w:sz w:val="18"/>
              </w:rPr>
              <w:t xml:space="preserve"> en relación con la instalación, operación y mantenimiento de redes</w:t>
            </w:r>
            <w:r w:rsidR="005E179E" w:rsidRPr="007D02A7">
              <w:rPr>
                <w:rFonts w:ascii="ITC Avant Garde" w:hAnsi="ITC Avant Garde"/>
                <w:sz w:val="18"/>
              </w:rPr>
              <w:t xml:space="preserve"> y dispositivos</w:t>
            </w:r>
            <w:r w:rsidR="006E2FC0" w:rsidRPr="007D02A7">
              <w:rPr>
                <w:rFonts w:ascii="ITC Avant Garde" w:hAnsi="ITC Avant Garde"/>
                <w:sz w:val="18"/>
              </w:rPr>
              <w:t xml:space="preserve"> </w:t>
            </w:r>
            <w:r w:rsidR="005E179E" w:rsidRPr="007D02A7">
              <w:rPr>
                <w:rFonts w:ascii="ITC Avant Garde" w:hAnsi="ITC Avant Garde"/>
                <w:sz w:val="18"/>
              </w:rPr>
              <w:t>de telecomunicaciones</w:t>
            </w:r>
            <w:r w:rsidRPr="007D02A7">
              <w:rPr>
                <w:rFonts w:ascii="ITC Avant Garde" w:hAnsi="ITC Avant Garde"/>
                <w:sz w:val="18"/>
              </w:rPr>
              <w:t>,</w:t>
            </w:r>
            <w:r w:rsidR="005E179E" w:rsidRPr="007D02A7">
              <w:rPr>
                <w:rFonts w:ascii="ITC Avant Garde" w:hAnsi="ITC Avant Garde"/>
                <w:sz w:val="18"/>
              </w:rPr>
              <w:t xml:space="preserve"> así como servicios de ingeniería, construcción y edificación de obras.</w:t>
            </w:r>
          </w:p>
        </w:tc>
      </w:tr>
      <w:tr w:rsidR="00315803" w:rsidRPr="007D02A7" w:rsidTr="004B1EA5">
        <w:trPr>
          <w:trHeight w:val="20"/>
          <w:jc w:val="center"/>
        </w:trPr>
        <w:tc>
          <w:tcPr>
            <w:tcW w:w="1711" w:type="dxa"/>
          </w:tcPr>
          <w:p w:rsidR="00315803" w:rsidRPr="007D02A7" w:rsidRDefault="00315803" w:rsidP="00637B96">
            <w:pPr>
              <w:spacing w:before="120" w:after="120"/>
              <w:rPr>
                <w:rFonts w:ascii="ITC Avant Garde" w:hAnsi="ITC Avant Garde"/>
                <w:sz w:val="18"/>
              </w:rPr>
            </w:pPr>
            <w:r w:rsidRPr="007D02A7">
              <w:rPr>
                <w:rFonts w:ascii="ITC Avant Garde" w:hAnsi="ITC Avant Garde"/>
                <w:sz w:val="18"/>
              </w:rPr>
              <w:t>Adquisiciones y Proyectos Inalámbricos</w:t>
            </w:r>
          </w:p>
        </w:tc>
        <w:tc>
          <w:tcPr>
            <w:tcW w:w="7563" w:type="dxa"/>
          </w:tcPr>
          <w:p w:rsidR="00315803" w:rsidRPr="007D02A7" w:rsidRDefault="00315803" w:rsidP="00637B96">
            <w:pPr>
              <w:spacing w:before="120" w:after="120"/>
              <w:jc w:val="both"/>
              <w:rPr>
                <w:rFonts w:ascii="ITC Avant Garde" w:hAnsi="ITC Avant Garde"/>
                <w:sz w:val="18"/>
              </w:rPr>
            </w:pPr>
            <w:r w:rsidRPr="007D02A7">
              <w:rPr>
                <w:rFonts w:ascii="ITC Avant Garde" w:hAnsi="ITC Avant Garde"/>
                <w:sz w:val="18"/>
              </w:rPr>
              <w:t>Administración y alquiler de</w:t>
            </w:r>
            <w:r w:rsidR="009A4D91" w:rsidRPr="007D02A7">
              <w:rPr>
                <w:rFonts w:ascii="ITC Avant Garde" w:hAnsi="ITC Avant Garde"/>
                <w:sz w:val="18"/>
              </w:rPr>
              <w:t xml:space="preserve"> bienes muebles e</w:t>
            </w:r>
            <w:r w:rsidRPr="007D02A7">
              <w:rPr>
                <w:rFonts w:ascii="ITC Avant Garde" w:hAnsi="ITC Avant Garde"/>
                <w:sz w:val="18"/>
              </w:rPr>
              <w:t xml:space="preserve"> inmuebles.</w:t>
            </w:r>
          </w:p>
        </w:tc>
      </w:tr>
      <w:tr w:rsidR="00315803" w:rsidRPr="007D02A7" w:rsidTr="004B1EA5">
        <w:trPr>
          <w:trHeight w:val="20"/>
          <w:jc w:val="center"/>
        </w:trPr>
        <w:tc>
          <w:tcPr>
            <w:tcW w:w="1711" w:type="dxa"/>
          </w:tcPr>
          <w:p w:rsidR="00315803" w:rsidRPr="007D02A7" w:rsidRDefault="00315803" w:rsidP="00637B96">
            <w:pPr>
              <w:spacing w:before="120" w:after="120"/>
              <w:rPr>
                <w:rFonts w:ascii="ITC Avant Garde" w:hAnsi="ITC Avant Garde"/>
                <w:sz w:val="18"/>
              </w:rPr>
            </w:pPr>
            <w:r w:rsidRPr="007D02A7">
              <w:rPr>
                <w:rFonts w:ascii="ITC Avant Garde" w:hAnsi="ITC Avant Garde"/>
                <w:sz w:val="18"/>
              </w:rPr>
              <w:t xml:space="preserve">ATC </w:t>
            </w:r>
            <w:proofErr w:type="spellStart"/>
            <w:r w:rsidRPr="007D02A7">
              <w:rPr>
                <w:rFonts w:ascii="ITC Avant Garde" w:hAnsi="ITC Avant Garde"/>
                <w:sz w:val="18"/>
              </w:rPr>
              <w:t>Latin</w:t>
            </w:r>
            <w:proofErr w:type="spellEnd"/>
            <w:r w:rsidRPr="007D02A7">
              <w:rPr>
                <w:rFonts w:ascii="ITC Avant Garde" w:hAnsi="ITC Avant Garde"/>
                <w:sz w:val="18"/>
              </w:rPr>
              <w:t xml:space="preserve"> </w:t>
            </w:r>
            <w:proofErr w:type="spellStart"/>
            <w:r w:rsidRPr="007D02A7">
              <w:rPr>
                <w:rFonts w:ascii="ITC Avant Garde" w:hAnsi="ITC Avant Garde"/>
                <w:sz w:val="18"/>
              </w:rPr>
              <w:t>America</w:t>
            </w:r>
            <w:proofErr w:type="spellEnd"/>
          </w:p>
        </w:tc>
        <w:tc>
          <w:tcPr>
            <w:tcW w:w="7563" w:type="dxa"/>
          </w:tcPr>
          <w:p w:rsidR="00315803" w:rsidRPr="007D02A7" w:rsidRDefault="00315803" w:rsidP="00637B96">
            <w:pPr>
              <w:spacing w:before="120" w:after="120"/>
              <w:jc w:val="both"/>
              <w:rPr>
                <w:rFonts w:ascii="ITC Avant Garde" w:hAnsi="ITC Avant Garde"/>
                <w:sz w:val="18"/>
              </w:rPr>
            </w:pPr>
            <w:r w:rsidRPr="007D02A7">
              <w:rPr>
                <w:rFonts w:ascii="ITC Avant Garde" w:hAnsi="ITC Avant Garde"/>
                <w:sz w:val="18"/>
              </w:rPr>
              <w:t>Sociedad financiera de objeto múltiple.</w:t>
            </w:r>
          </w:p>
        </w:tc>
      </w:tr>
    </w:tbl>
    <w:p w:rsidR="00EE69B0" w:rsidRPr="007D02A7" w:rsidRDefault="00EE69B0" w:rsidP="00ED0631">
      <w:pPr>
        <w:spacing w:after="0" w:line="240" w:lineRule="auto"/>
        <w:ind w:left="142" w:right="142"/>
        <w:jc w:val="both"/>
        <w:rPr>
          <w:rFonts w:ascii="ITC Avant Garde" w:hAnsi="ITC Avant Garde"/>
          <w:sz w:val="16"/>
        </w:rPr>
      </w:pPr>
      <w:r w:rsidRPr="007D02A7">
        <w:rPr>
          <w:rFonts w:ascii="ITC Avant Garde" w:hAnsi="ITC Avant Garde"/>
          <w:sz w:val="16"/>
        </w:rPr>
        <w:t xml:space="preserve">Fuente: Elaboración propia con información proporcionada por las Partes, del Registro Público de Concesiones y Foja </w:t>
      </w:r>
      <w:r w:rsidR="00D4246F" w:rsidRPr="007D02A7">
        <w:rPr>
          <w:rFonts w:ascii="ITC Avant Garde" w:hAnsi="ITC Avant Garde"/>
          <w:sz w:val="16"/>
        </w:rPr>
        <w:t>4</w:t>
      </w:r>
      <w:r w:rsidRPr="007D02A7">
        <w:rPr>
          <w:rFonts w:ascii="ITC Avant Garde" w:hAnsi="ITC Avant Garde"/>
          <w:sz w:val="16"/>
        </w:rPr>
        <w:t xml:space="preserve"> del Expediente.</w:t>
      </w:r>
    </w:p>
    <w:p w:rsidR="00B16D12" w:rsidRPr="007D02A7" w:rsidRDefault="00B16D12" w:rsidP="00ED0631">
      <w:pPr>
        <w:spacing w:after="0" w:line="240" w:lineRule="auto"/>
        <w:ind w:left="142" w:right="142"/>
        <w:jc w:val="both"/>
        <w:rPr>
          <w:rFonts w:ascii="ITC Avant Garde" w:hAnsi="ITC Avant Garde"/>
          <w:sz w:val="16"/>
        </w:rPr>
      </w:pPr>
      <w:r w:rsidRPr="007D02A7">
        <w:rPr>
          <w:rFonts w:ascii="ITC Avant Garde" w:hAnsi="ITC Avant Garde"/>
          <w:sz w:val="16"/>
        </w:rPr>
        <w:t>Nota:</w:t>
      </w:r>
    </w:p>
    <w:p w:rsidR="00B16D12" w:rsidRPr="007D02A7" w:rsidRDefault="005F14DF" w:rsidP="00ED0631">
      <w:pPr>
        <w:spacing w:after="0" w:line="240" w:lineRule="auto"/>
        <w:ind w:left="142" w:right="142"/>
        <w:jc w:val="both"/>
        <w:rPr>
          <w:rFonts w:ascii="ITC Avant Garde" w:hAnsi="ITC Avant Garde"/>
          <w:sz w:val="16"/>
        </w:rPr>
      </w:pPr>
      <w:r w:rsidRPr="007D02A7">
        <w:rPr>
          <w:rFonts w:ascii="ITC Avant Garde" w:hAnsi="ITC Avant Garde"/>
          <w:sz w:val="16"/>
        </w:rPr>
        <w:t>1/</w:t>
      </w:r>
      <w:r w:rsidR="00B16D12" w:rsidRPr="007D02A7">
        <w:rPr>
          <w:rFonts w:ascii="ITC Avant Garde" w:hAnsi="ITC Avant Garde"/>
          <w:sz w:val="16"/>
        </w:rPr>
        <w:t xml:space="preserve"> </w:t>
      </w:r>
      <w:r w:rsidR="00BD06D5" w:rsidRPr="007D02A7">
        <w:rPr>
          <w:rFonts w:ascii="ITC Avant Garde" w:hAnsi="ITC Avant Garde"/>
          <w:sz w:val="16"/>
        </w:rPr>
        <w:t xml:space="preserve">El diecisiete de agosto de 2017, mediante oficio IFT/223/UCS/DG-CTEL/1599/2017, la Dirección General de Concesiones de Telecomunicaciones (DGCT), adscrita a la Unidad de Concesiones y Servicios (UCS) del Instituto, solicitó a la DGCC emitir opinión respecto a 1 (una) solicitud de concesión única para uso comercial a favor de MATC </w:t>
      </w:r>
      <w:proofErr w:type="spellStart"/>
      <w:r w:rsidR="00BD06D5" w:rsidRPr="007D02A7">
        <w:rPr>
          <w:rFonts w:ascii="ITC Avant Garde" w:hAnsi="ITC Avant Garde"/>
          <w:sz w:val="16"/>
        </w:rPr>
        <w:t>Fibraóptica</w:t>
      </w:r>
      <w:proofErr w:type="spellEnd"/>
      <w:r w:rsidR="00BD06D5" w:rsidRPr="007D02A7">
        <w:rPr>
          <w:rFonts w:ascii="ITC Avant Garde" w:hAnsi="ITC Avant Garde"/>
          <w:sz w:val="16"/>
        </w:rPr>
        <w:t>, a fin de implementar una red de fibra óptica para prestar el servicio de provisión de capacidad en León, Municipio de León de los Aldama; Silao de la Victoria, Municipio de Silao de la Victoria, y Guanajuato, Municipio de Guanajuato, en el Estado de Guanajuato</w:t>
      </w:r>
      <w:r w:rsidR="000A5EFF" w:rsidRPr="007D02A7">
        <w:rPr>
          <w:rFonts w:ascii="ITC Avant Garde" w:hAnsi="ITC Avant Garde"/>
          <w:sz w:val="16"/>
        </w:rPr>
        <w:t xml:space="preserve">. </w:t>
      </w:r>
      <w:r w:rsidR="0012032E" w:rsidRPr="007D02A7">
        <w:rPr>
          <w:rFonts w:ascii="ITC Avant Garde" w:hAnsi="ITC Avant Garde"/>
          <w:sz w:val="16"/>
        </w:rPr>
        <w:t>L</w:t>
      </w:r>
      <w:r w:rsidR="008D4D1B" w:rsidRPr="007D02A7">
        <w:rPr>
          <w:rFonts w:ascii="ITC Avant Garde" w:hAnsi="ITC Avant Garde"/>
          <w:sz w:val="16"/>
        </w:rPr>
        <w:t xml:space="preserve">a DGCC emitió opinión </w:t>
      </w:r>
      <w:r w:rsidR="00C17C3B" w:rsidRPr="007D02A7">
        <w:rPr>
          <w:rFonts w:ascii="ITC Avant Garde" w:hAnsi="ITC Avant Garde"/>
          <w:sz w:val="16"/>
        </w:rPr>
        <w:t>en materia de competencia económica</w:t>
      </w:r>
      <w:r w:rsidR="008D4D1B" w:rsidRPr="007D02A7">
        <w:rPr>
          <w:rFonts w:ascii="ITC Avant Garde" w:hAnsi="ITC Avant Garde"/>
          <w:sz w:val="16"/>
        </w:rPr>
        <w:t xml:space="preserve"> de esta solicitud, el 22 de agosto de 2017</w:t>
      </w:r>
      <w:r w:rsidR="00C17C3B" w:rsidRPr="007D02A7">
        <w:rPr>
          <w:rFonts w:ascii="ITC Avant Garde" w:hAnsi="ITC Avant Garde"/>
          <w:sz w:val="16"/>
        </w:rPr>
        <w:t xml:space="preserve"> mediante oficio</w:t>
      </w:r>
      <w:r w:rsidR="008D4D1B" w:rsidRPr="007D02A7">
        <w:rPr>
          <w:rFonts w:ascii="ITC Avant Garde" w:hAnsi="ITC Avant Garde"/>
          <w:sz w:val="16"/>
        </w:rPr>
        <w:t xml:space="preserve"> IFT/226/UCE/DG-CCON/543/2017</w:t>
      </w:r>
      <w:r w:rsidR="003D46F8" w:rsidRPr="007D02A7">
        <w:rPr>
          <w:rFonts w:ascii="ITC Avant Garde" w:hAnsi="ITC Avant Garde"/>
          <w:sz w:val="16"/>
        </w:rPr>
        <w:t>.</w:t>
      </w:r>
      <w:r w:rsidR="0012032E" w:rsidRPr="007D02A7">
        <w:rPr>
          <w:rFonts w:ascii="ITC Avant Garde" w:hAnsi="ITC Avant Garde"/>
          <w:sz w:val="16"/>
        </w:rPr>
        <w:t xml:space="preserve"> </w:t>
      </w:r>
    </w:p>
    <w:p w:rsidR="00B16D12" w:rsidRPr="007D02A7" w:rsidRDefault="0012032E" w:rsidP="00ED0631">
      <w:pPr>
        <w:spacing w:after="0" w:line="240" w:lineRule="auto"/>
        <w:ind w:left="142" w:right="142"/>
        <w:jc w:val="both"/>
        <w:rPr>
          <w:rFonts w:ascii="ITC Avant Garde" w:hAnsi="ITC Avant Garde"/>
          <w:sz w:val="16"/>
        </w:rPr>
      </w:pPr>
      <w:r w:rsidRPr="007D02A7">
        <w:rPr>
          <w:rFonts w:ascii="ITC Avant Garde" w:hAnsi="ITC Avant Garde"/>
          <w:sz w:val="16"/>
        </w:rPr>
        <w:t xml:space="preserve">Al respecto, mediante </w:t>
      </w:r>
      <w:r w:rsidR="00294293" w:rsidRPr="007D02A7">
        <w:rPr>
          <w:rFonts w:ascii="ITC Avant Garde" w:hAnsi="ITC Avant Garde"/>
          <w:sz w:val="16"/>
        </w:rPr>
        <w:t>Acuerdo P/IFT/</w:t>
      </w:r>
      <w:r w:rsidR="000E14E0" w:rsidRPr="007D02A7">
        <w:rPr>
          <w:rFonts w:ascii="ITC Avant Garde" w:hAnsi="ITC Avant Garde"/>
          <w:sz w:val="16"/>
        </w:rPr>
        <w:t>060917/541</w:t>
      </w:r>
      <w:r w:rsidR="00294293" w:rsidRPr="007D02A7">
        <w:rPr>
          <w:rFonts w:ascii="ITC Avant Garde" w:hAnsi="ITC Avant Garde"/>
          <w:sz w:val="16"/>
        </w:rPr>
        <w:t xml:space="preserve">, aprobado por el Pleno del Instituto en su XXXVI Sesión Ordinaria celebrada el </w:t>
      </w:r>
      <w:r w:rsidR="00E61B48" w:rsidRPr="007D02A7">
        <w:rPr>
          <w:rFonts w:ascii="ITC Avant Garde" w:hAnsi="ITC Avant Garde"/>
          <w:sz w:val="16"/>
        </w:rPr>
        <w:t>seis</w:t>
      </w:r>
      <w:r w:rsidR="00294293" w:rsidRPr="007D02A7">
        <w:rPr>
          <w:rFonts w:ascii="ITC Avant Garde" w:hAnsi="ITC Avant Garde"/>
          <w:sz w:val="16"/>
        </w:rPr>
        <w:t xml:space="preserve"> de septiembre de </w:t>
      </w:r>
      <w:r w:rsidR="00E61B48" w:rsidRPr="007D02A7">
        <w:rPr>
          <w:rFonts w:ascii="ITC Avant Garde" w:hAnsi="ITC Avant Garde"/>
          <w:sz w:val="16"/>
        </w:rPr>
        <w:t>dos mil diecisiete</w:t>
      </w:r>
      <w:r w:rsidR="00294293" w:rsidRPr="007D02A7">
        <w:rPr>
          <w:rFonts w:ascii="ITC Avant Garde" w:hAnsi="ITC Avant Garde"/>
          <w:sz w:val="16"/>
        </w:rPr>
        <w:t xml:space="preserve">, </w:t>
      </w:r>
      <w:r w:rsidR="00EF21A5" w:rsidRPr="007D02A7">
        <w:rPr>
          <w:rFonts w:ascii="ITC Avant Garde" w:hAnsi="ITC Avant Garde"/>
          <w:sz w:val="16"/>
        </w:rPr>
        <w:t>autoriza</w:t>
      </w:r>
      <w:r w:rsidR="00294293" w:rsidRPr="007D02A7">
        <w:rPr>
          <w:rFonts w:ascii="ITC Avant Garde" w:hAnsi="ITC Avant Garde"/>
          <w:sz w:val="16"/>
        </w:rPr>
        <w:t xml:space="preserve"> un título de concesión única para uso comercial a favor de MATC </w:t>
      </w:r>
      <w:proofErr w:type="spellStart"/>
      <w:r w:rsidR="00294293" w:rsidRPr="007D02A7">
        <w:rPr>
          <w:rFonts w:ascii="ITC Avant Garde" w:hAnsi="ITC Avant Garde"/>
          <w:sz w:val="16"/>
        </w:rPr>
        <w:t>Fibraóptica</w:t>
      </w:r>
      <w:proofErr w:type="spellEnd"/>
      <w:r w:rsidR="00E61B48" w:rsidRPr="007D02A7">
        <w:rPr>
          <w:rFonts w:ascii="ITC Avant Garde" w:hAnsi="ITC Avant Garde"/>
          <w:sz w:val="16"/>
        </w:rPr>
        <w:t>.</w:t>
      </w:r>
    </w:p>
    <w:p w:rsidR="00EE69B0" w:rsidRPr="007D02A7" w:rsidRDefault="003A3AA7" w:rsidP="00637B96">
      <w:pPr>
        <w:pStyle w:val="Notaalpie"/>
        <w:spacing w:before="120" w:after="120" w:line="276" w:lineRule="auto"/>
        <w:rPr>
          <w:sz w:val="22"/>
        </w:rPr>
      </w:pPr>
      <w:r w:rsidRPr="007D02A7">
        <w:rPr>
          <w:sz w:val="22"/>
        </w:rPr>
        <w:t xml:space="preserve">MATC Digital, Comprador, </w:t>
      </w:r>
      <w:r w:rsidR="0002360A" w:rsidRPr="007D02A7">
        <w:rPr>
          <w:sz w:val="22"/>
        </w:rPr>
        <w:t>se dedica</w:t>
      </w:r>
      <w:r w:rsidRPr="007D02A7">
        <w:rPr>
          <w:sz w:val="22"/>
        </w:rPr>
        <w:t xml:space="preserve"> </w:t>
      </w:r>
      <w:r w:rsidR="008C6117" w:rsidRPr="007D02A7">
        <w:rPr>
          <w:sz w:val="22"/>
        </w:rPr>
        <w:t xml:space="preserve">a la provisión del </w:t>
      </w:r>
      <w:r w:rsidR="008C6117" w:rsidRPr="007D02A7">
        <w:rPr>
          <w:rFonts w:eastAsia="Calibri" w:cs="Times New Roman"/>
          <w:sz w:val="22"/>
        </w:rPr>
        <w:t>servicio de arrendamiento de sitios en torres de telecomunicaciones</w:t>
      </w:r>
      <w:r w:rsidR="0002360A" w:rsidRPr="007D02A7">
        <w:rPr>
          <w:sz w:val="22"/>
        </w:rPr>
        <w:t xml:space="preserve"> (infraestructura pasiva) a</w:t>
      </w:r>
      <w:r w:rsidR="003059DE" w:rsidRPr="007D02A7">
        <w:rPr>
          <w:sz w:val="22"/>
        </w:rPr>
        <w:t xml:space="preserve"> proveedores de servicios de telecomunicaciones</w:t>
      </w:r>
      <w:r w:rsidR="00992D1E" w:rsidRPr="007D02A7">
        <w:rPr>
          <w:sz w:val="22"/>
        </w:rPr>
        <w:t xml:space="preserve">, principalmente, </w:t>
      </w:r>
      <w:r w:rsidR="0088068E" w:rsidRPr="007D02A7">
        <w:rPr>
          <w:sz w:val="22"/>
        </w:rPr>
        <w:t>móviles</w:t>
      </w:r>
      <w:r w:rsidR="0002360A" w:rsidRPr="007D02A7">
        <w:rPr>
          <w:sz w:val="22"/>
        </w:rPr>
        <w:t>.</w:t>
      </w:r>
    </w:p>
    <w:p w:rsidR="00055EFD" w:rsidRPr="007D02A7" w:rsidRDefault="00055EFD" w:rsidP="00637B96">
      <w:pPr>
        <w:spacing w:before="120" w:after="120"/>
        <w:rPr>
          <w:rFonts w:ascii="ITC Avant Garde" w:hAnsi="ITC Avant Garde"/>
          <w:b/>
        </w:rPr>
      </w:pPr>
      <w:r w:rsidRPr="007D02A7">
        <w:rPr>
          <w:rFonts w:ascii="ITC Avant Garde" w:hAnsi="ITC Avant Garde"/>
          <w:b/>
        </w:rPr>
        <w:t xml:space="preserve">Antecedentes relevantes del GIE controlado por ATC en México </w:t>
      </w:r>
    </w:p>
    <w:p w:rsidR="00055EFD" w:rsidRPr="007D02A7" w:rsidRDefault="00055EFD" w:rsidP="00637B96">
      <w:pPr>
        <w:pStyle w:val="Notaalpie"/>
        <w:spacing w:before="120" w:after="120" w:line="276" w:lineRule="auto"/>
        <w:rPr>
          <w:sz w:val="22"/>
        </w:rPr>
      </w:pPr>
      <w:r w:rsidRPr="007D02A7">
        <w:rPr>
          <w:sz w:val="22"/>
        </w:rPr>
        <w:t xml:space="preserve">De acuerdo con información </w:t>
      </w:r>
      <w:r w:rsidR="00992D1E" w:rsidRPr="007D02A7">
        <w:rPr>
          <w:sz w:val="22"/>
        </w:rPr>
        <w:t>contenida en precedentes decisorios de</w:t>
      </w:r>
      <w:r w:rsidR="00416F53" w:rsidRPr="007D02A7">
        <w:rPr>
          <w:sz w:val="22"/>
        </w:rPr>
        <w:t>l Pleno de</w:t>
      </w:r>
      <w:r w:rsidR="00C90D3F" w:rsidRPr="007D02A7">
        <w:rPr>
          <w:sz w:val="22"/>
        </w:rPr>
        <w:t xml:space="preserve"> la</w:t>
      </w:r>
      <w:r w:rsidR="00416F53" w:rsidRPr="007D02A7">
        <w:rPr>
          <w:sz w:val="22"/>
        </w:rPr>
        <w:t xml:space="preserve"> extinta </w:t>
      </w:r>
      <w:r w:rsidR="00C90D3F" w:rsidRPr="007D02A7">
        <w:rPr>
          <w:sz w:val="22"/>
        </w:rPr>
        <w:t>Comisión Federal de Competencia</w:t>
      </w:r>
      <w:r w:rsidR="00416F53" w:rsidRPr="007D02A7">
        <w:rPr>
          <w:sz w:val="22"/>
        </w:rPr>
        <w:t xml:space="preserve"> (CFC)</w:t>
      </w:r>
      <w:r w:rsidRPr="007D02A7">
        <w:rPr>
          <w:sz w:val="22"/>
        </w:rPr>
        <w:t xml:space="preserve">, se </w:t>
      </w:r>
      <w:r w:rsidR="00416F53" w:rsidRPr="007D02A7">
        <w:rPr>
          <w:sz w:val="22"/>
        </w:rPr>
        <w:t>identifican</w:t>
      </w:r>
      <w:r w:rsidR="00992D1E" w:rsidRPr="007D02A7">
        <w:rPr>
          <w:sz w:val="22"/>
        </w:rPr>
        <w:t xml:space="preserve"> tres </w:t>
      </w:r>
      <w:r w:rsidR="00416F53" w:rsidRPr="007D02A7">
        <w:rPr>
          <w:sz w:val="22"/>
        </w:rPr>
        <w:t xml:space="preserve">transacciones a través de las cuales el Grupo de Interés Económico encabezado por ATC adquirió </w:t>
      </w:r>
      <w:r w:rsidRPr="007D02A7">
        <w:rPr>
          <w:sz w:val="22"/>
        </w:rPr>
        <w:t>infraestructura pasiva</w:t>
      </w:r>
      <w:r w:rsidR="00992D1E" w:rsidRPr="007D02A7">
        <w:rPr>
          <w:sz w:val="22"/>
        </w:rPr>
        <w:t xml:space="preserve"> de telecomunicaciones en el territorio nacional</w:t>
      </w:r>
      <w:r w:rsidRPr="007D02A7">
        <w:rPr>
          <w:sz w:val="22"/>
        </w:rPr>
        <w:t>.</w:t>
      </w:r>
    </w:p>
    <w:p w:rsidR="00FC7E82" w:rsidRPr="007D02A7" w:rsidRDefault="00FC7E82" w:rsidP="00637B96">
      <w:pPr>
        <w:pStyle w:val="Notaalpie"/>
        <w:numPr>
          <w:ilvl w:val="0"/>
          <w:numId w:val="17"/>
        </w:numPr>
        <w:spacing w:before="120" w:after="120" w:line="276" w:lineRule="auto"/>
        <w:rPr>
          <w:sz w:val="22"/>
        </w:rPr>
      </w:pPr>
      <w:r w:rsidRPr="007D02A7">
        <w:rPr>
          <w:sz w:val="22"/>
        </w:rPr>
        <w:lastRenderedPageBreak/>
        <w:t>El veintiséis de noviembre de dos mil doce</w:t>
      </w:r>
      <w:r w:rsidR="00416F53" w:rsidRPr="007D02A7">
        <w:rPr>
          <w:sz w:val="22"/>
        </w:rPr>
        <w:t xml:space="preserve">, </w:t>
      </w:r>
      <w:r w:rsidRPr="007D02A7">
        <w:rPr>
          <w:sz w:val="22"/>
        </w:rPr>
        <w:t>autoriz</w:t>
      </w:r>
      <w:r w:rsidR="00416F53" w:rsidRPr="007D02A7">
        <w:rPr>
          <w:sz w:val="22"/>
        </w:rPr>
        <w:t>ó</w:t>
      </w:r>
      <w:r w:rsidRPr="007D02A7">
        <w:rPr>
          <w:sz w:val="22"/>
        </w:rPr>
        <w:t xml:space="preserve"> </w:t>
      </w:r>
      <w:r w:rsidR="00416F53" w:rsidRPr="007D02A7">
        <w:rPr>
          <w:sz w:val="22"/>
        </w:rPr>
        <w:t xml:space="preserve">la concentración por la que MATC Digital adquirió 827 (ochocientas veintisiete) </w:t>
      </w:r>
      <w:r w:rsidRPr="007D02A7">
        <w:rPr>
          <w:sz w:val="22"/>
        </w:rPr>
        <w:t xml:space="preserve">torres de telecomunicaciones </w:t>
      </w:r>
      <w:r w:rsidR="00416F53" w:rsidRPr="007D02A7">
        <w:rPr>
          <w:sz w:val="22"/>
        </w:rPr>
        <w:t>propiedad de</w:t>
      </w:r>
      <w:r w:rsidRPr="007D02A7">
        <w:rPr>
          <w:sz w:val="22"/>
        </w:rPr>
        <w:t xml:space="preserve"> AXTEL</w:t>
      </w:r>
      <w:r w:rsidR="00416F53" w:rsidRPr="007D02A7">
        <w:rPr>
          <w:sz w:val="22"/>
        </w:rPr>
        <w:t xml:space="preserve"> (</w:t>
      </w:r>
      <w:r w:rsidRPr="007D02A7">
        <w:rPr>
          <w:sz w:val="22"/>
        </w:rPr>
        <w:t>expediente CNT-079-2012</w:t>
      </w:r>
      <w:r w:rsidR="00416F53" w:rsidRPr="007D02A7">
        <w:rPr>
          <w:sz w:val="22"/>
        </w:rPr>
        <w:t>)</w:t>
      </w:r>
      <w:r w:rsidRPr="007D02A7">
        <w:rPr>
          <w:sz w:val="22"/>
        </w:rPr>
        <w:t xml:space="preserve">. </w:t>
      </w:r>
      <w:r w:rsidRPr="007D02A7">
        <w:rPr>
          <w:sz w:val="22"/>
          <w:vertAlign w:val="superscript"/>
        </w:rPr>
        <w:footnoteReference w:id="26"/>
      </w:r>
    </w:p>
    <w:p w:rsidR="001122BC" w:rsidRPr="007D02A7" w:rsidRDefault="001122BC" w:rsidP="00637B96">
      <w:pPr>
        <w:pStyle w:val="Notaalpie"/>
        <w:numPr>
          <w:ilvl w:val="0"/>
          <w:numId w:val="17"/>
        </w:numPr>
        <w:spacing w:before="120" w:after="120" w:line="276" w:lineRule="auto"/>
        <w:rPr>
          <w:sz w:val="22"/>
        </w:rPr>
      </w:pPr>
      <w:r w:rsidRPr="007D02A7">
        <w:rPr>
          <w:sz w:val="22"/>
        </w:rPr>
        <w:t>El veintiséis de noviembre de dos mil doce</w:t>
      </w:r>
      <w:r w:rsidR="00416F53" w:rsidRPr="007D02A7">
        <w:rPr>
          <w:sz w:val="22"/>
        </w:rPr>
        <w:t xml:space="preserve">, </w:t>
      </w:r>
      <w:r w:rsidRPr="007D02A7">
        <w:rPr>
          <w:sz w:val="22"/>
        </w:rPr>
        <w:t>autoriz</w:t>
      </w:r>
      <w:r w:rsidR="00416F53" w:rsidRPr="007D02A7">
        <w:rPr>
          <w:sz w:val="22"/>
        </w:rPr>
        <w:t>ó</w:t>
      </w:r>
      <w:r w:rsidRPr="007D02A7">
        <w:rPr>
          <w:sz w:val="22"/>
        </w:rPr>
        <w:t xml:space="preserve"> la concentración</w:t>
      </w:r>
      <w:r w:rsidR="00416F53" w:rsidRPr="007D02A7">
        <w:rPr>
          <w:sz w:val="22"/>
        </w:rPr>
        <w:t xml:space="preserve"> por la que MATC Digital compró</w:t>
      </w:r>
      <w:r w:rsidRPr="007D02A7">
        <w:rPr>
          <w:sz w:val="22"/>
        </w:rPr>
        <w:t xml:space="preserve"> </w:t>
      </w:r>
      <w:r w:rsidR="00416F53" w:rsidRPr="007D02A7">
        <w:rPr>
          <w:sz w:val="22"/>
        </w:rPr>
        <w:t xml:space="preserve">210 (doscientas diez) </w:t>
      </w:r>
      <w:r w:rsidRPr="007D02A7">
        <w:rPr>
          <w:sz w:val="22"/>
        </w:rPr>
        <w:t xml:space="preserve">torres de telecomunicaciones </w:t>
      </w:r>
      <w:r w:rsidR="00416F53" w:rsidRPr="007D02A7">
        <w:rPr>
          <w:sz w:val="22"/>
        </w:rPr>
        <w:t>propiedad de</w:t>
      </w:r>
      <w:r w:rsidRPr="007D02A7">
        <w:rPr>
          <w:sz w:val="22"/>
        </w:rPr>
        <w:t xml:space="preserve"> Pegaso</w:t>
      </w:r>
      <w:r w:rsidR="001517D0" w:rsidRPr="007D02A7">
        <w:rPr>
          <w:sz w:val="22"/>
        </w:rPr>
        <w:t xml:space="preserve"> PCS, S.A. de C.V.</w:t>
      </w:r>
      <w:r w:rsidR="00416F53" w:rsidRPr="007D02A7">
        <w:rPr>
          <w:sz w:val="22"/>
        </w:rPr>
        <w:t xml:space="preserve"> (</w:t>
      </w:r>
      <w:r w:rsidRPr="007D02A7">
        <w:rPr>
          <w:sz w:val="22"/>
        </w:rPr>
        <w:t>expediente CNT-075-2012</w:t>
      </w:r>
      <w:r w:rsidR="00416F53" w:rsidRPr="007D02A7">
        <w:rPr>
          <w:sz w:val="22"/>
        </w:rPr>
        <w:t>)</w:t>
      </w:r>
      <w:r w:rsidRPr="007D02A7">
        <w:rPr>
          <w:sz w:val="22"/>
        </w:rPr>
        <w:t>.</w:t>
      </w:r>
      <w:r w:rsidRPr="007D02A7">
        <w:rPr>
          <w:sz w:val="22"/>
          <w:vertAlign w:val="superscript"/>
        </w:rPr>
        <w:footnoteReference w:id="27"/>
      </w:r>
    </w:p>
    <w:p w:rsidR="00472A33" w:rsidRPr="007D02A7" w:rsidRDefault="00472A33" w:rsidP="00637B96">
      <w:pPr>
        <w:pStyle w:val="Notaalpie"/>
        <w:numPr>
          <w:ilvl w:val="0"/>
          <w:numId w:val="17"/>
        </w:numPr>
        <w:spacing w:before="120" w:after="120" w:line="276" w:lineRule="auto"/>
        <w:rPr>
          <w:sz w:val="22"/>
        </w:rPr>
      </w:pPr>
      <w:r w:rsidRPr="007D02A7">
        <w:rPr>
          <w:sz w:val="22"/>
        </w:rPr>
        <w:t>El cuatro de septiembre de dos mil trece</w:t>
      </w:r>
      <w:r w:rsidR="00416F53" w:rsidRPr="007D02A7">
        <w:rPr>
          <w:sz w:val="22"/>
        </w:rPr>
        <w:t xml:space="preserve">, </w:t>
      </w:r>
      <w:r w:rsidRPr="007D02A7">
        <w:rPr>
          <w:sz w:val="22"/>
        </w:rPr>
        <w:t>autoriz</w:t>
      </w:r>
      <w:r w:rsidR="00416F53" w:rsidRPr="007D02A7">
        <w:rPr>
          <w:sz w:val="22"/>
        </w:rPr>
        <w:t>ó</w:t>
      </w:r>
      <w:r w:rsidRPr="007D02A7">
        <w:rPr>
          <w:sz w:val="22"/>
        </w:rPr>
        <w:t xml:space="preserve"> </w:t>
      </w:r>
      <w:r w:rsidR="00416F53" w:rsidRPr="007D02A7">
        <w:rPr>
          <w:sz w:val="22"/>
        </w:rPr>
        <w:t xml:space="preserve">que MATC Digital comprara 1,666 (mil seiscientos sesenta y seis) </w:t>
      </w:r>
      <w:r w:rsidRPr="007D02A7">
        <w:rPr>
          <w:sz w:val="22"/>
        </w:rPr>
        <w:t xml:space="preserve">sitios de telecomunicaciones </w:t>
      </w:r>
      <w:r w:rsidR="00416F53" w:rsidRPr="007D02A7">
        <w:rPr>
          <w:sz w:val="22"/>
        </w:rPr>
        <w:t>a</w:t>
      </w:r>
      <w:r w:rsidRPr="007D02A7">
        <w:rPr>
          <w:sz w:val="22"/>
        </w:rPr>
        <w:t xml:space="preserve"> NII Digital, S. de R.L. de C.V.</w:t>
      </w:r>
      <w:r w:rsidR="00495ACF" w:rsidRPr="007D02A7">
        <w:rPr>
          <w:sz w:val="22"/>
        </w:rPr>
        <w:t xml:space="preserve"> (</w:t>
      </w:r>
      <w:r w:rsidRPr="007D02A7">
        <w:rPr>
          <w:sz w:val="22"/>
        </w:rPr>
        <w:t>expediente CNT-082-2013</w:t>
      </w:r>
      <w:r w:rsidR="00416F53" w:rsidRPr="007D02A7">
        <w:rPr>
          <w:sz w:val="22"/>
        </w:rPr>
        <w:t>)</w:t>
      </w:r>
      <w:r w:rsidRPr="007D02A7">
        <w:rPr>
          <w:sz w:val="22"/>
        </w:rPr>
        <w:t>.</w:t>
      </w:r>
      <w:r w:rsidRPr="007D02A7">
        <w:rPr>
          <w:sz w:val="22"/>
          <w:vertAlign w:val="superscript"/>
        </w:rPr>
        <w:footnoteReference w:id="28"/>
      </w:r>
    </w:p>
    <w:p w:rsidR="00EF7235" w:rsidRPr="007D02A7" w:rsidRDefault="00112CC2" w:rsidP="00637B96">
      <w:pPr>
        <w:pStyle w:val="Notaalpie"/>
        <w:spacing w:before="120" w:after="120" w:line="276" w:lineRule="auto"/>
        <w:rPr>
          <w:sz w:val="22"/>
        </w:rPr>
      </w:pPr>
      <w:r w:rsidRPr="007D02A7">
        <w:rPr>
          <w:sz w:val="22"/>
        </w:rPr>
        <w:t xml:space="preserve">En </w:t>
      </w:r>
      <w:r w:rsidR="00416F53" w:rsidRPr="007D02A7">
        <w:rPr>
          <w:sz w:val="22"/>
        </w:rPr>
        <w:t>las tres resoluciones referidas</w:t>
      </w:r>
      <w:r w:rsidR="00EF7235" w:rsidRPr="007D02A7">
        <w:rPr>
          <w:sz w:val="22"/>
        </w:rPr>
        <w:t xml:space="preserve">, la CFC </w:t>
      </w:r>
      <w:r w:rsidR="00416F53" w:rsidRPr="007D02A7">
        <w:rPr>
          <w:sz w:val="22"/>
        </w:rPr>
        <w:t xml:space="preserve">determinó </w:t>
      </w:r>
      <w:r w:rsidR="00EF7235" w:rsidRPr="007D02A7">
        <w:rPr>
          <w:sz w:val="22"/>
        </w:rPr>
        <w:t xml:space="preserve">que </w:t>
      </w:r>
      <w:r w:rsidR="00BF0A8F" w:rsidRPr="007D02A7">
        <w:rPr>
          <w:sz w:val="22"/>
        </w:rPr>
        <w:t>se trata</w:t>
      </w:r>
      <w:r w:rsidR="00416F53" w:rsidRPr="007D02A7">
        <w:rPr>
          <w:sz w:val="22"/>
        </w:rPr>
        <w:t>ba</w:t>
      </w:r>
      <w:r w:rsidR="00625AFE" w:rsidRPr="007D02A7">
        <w:rPr>
          <w:sz w:val="22"/>
        </w:rPr>
        <w:t>n</w:t>
      </w:r>
      <w:r w:rsidR="00BF0A8F" w:rsidRPr="007D02A7">
        <w:rPr>
          <w:sz w:val="22"/>
        </w:rPr>
        <w:t xml:space="preserve"> de</w:t>
      </w:r>
      <w:r w:rsidR="00EF7235" w:rsidRPr="007D02A7">
        <w:rPr>
          <w:sz w:val="22"/>
        </w:rPr>
        <w:t xml:space="preserve"> desconcentraci</w:t>
      </w:r>
      <w:r w:rsidR="00625AFE" w:rsidRPr="007D02A7">
        <w:rPr>
          <w:sz w:val="22"/>
        </w:rPr>
        <w:t>o</w:t>
      </w:r>
      <w:r w:rsidR="00EF7235" w:rsidRPr="007D02A7">
        <w:rPr>
          <w:sz w:val="22"/>
        </w:rPr>
        <w:t>n</w:t>
      </w:r>
      <w:r w:rsidR="00625AFE" w:rsidRPr="007D02A7">
        <w:rPr>
          <w:sz w:val="22"/>
        </w:rPr>
        <w:t>es</w:t>
      </w:r>
      <w:r w:rsidR="00BF0A8F" w:rsidRPr="007D02A7">
        <w:rPr>
          <w:sz w:val="22"/>
        </w:rPr>
        <w:t>/desvinculaci</w:t>
      </w:r>
      <w:r w:rsidR="00625AFE" w:rsidRPr="007D02A7">
        <w:rPr>
          <w:sz w:val="22"/>
        </w:rPr>
        <w:t>ones</w:t>
      </w:r>
      <w:r w:rsidR="00EF7235" w:rsidRPr="007D02A7">
        <w:rPr>
          <w:sz w:val="22"/>
        </w:rPr>
        <w:t xml:space="preserve"> de torres de telecomunicaciones</w:t>
      </w:r>
      <w:r w:rsidRPr="007D02A7">
        <w:rPr>
          <w:sz w:val="22"/>
        </w:rPr>
        <w:t xml:space="preserve"> de </w:t>
      </w:r>
      <w:r w:rsidR="00C90D3F" w:rsidRPr="007D02A7">
        <w:rPr>
          <w:sz w:val="22"/>
        </w:rPr>
        <w:t>concesionarios</w:t>
      </w:r>
      <w:r w:rsidR="00416F53" w:rsidRPr="007D02A7">
        <w:rPr>
          <w:sz w:val="22"/>
        </w:rPr>
        <w:t xml:space="preserve"> que antes de las concentraciones se dedicaban a usos propios y</w:t>
      </w:r>
      <w:r w:rsidR="00C97426" w:rsidRPr="007D02A7">
        <w:rPr>
          <w:sz w:val="22"/>
        </w:rPr>
        <w:t>,</w:t>
      </w:r>
      <w:r w:rsidR="00416F53" w:rsidRPr="007D02A7">
        <w:rPr>
          <w:sz w:val="22"/>
        </w:rPr>
        <w:t xml:space="preserve"> después de las concentraciones, </w:t>
      </w:r>
      <w:r w:rsidR="00EF7235" w:rsidRPr="007D02A7">
        <w:rPr>
          <w:sz w:val="22"/>
        </w:rPr>
        <w:t xml:space="preserve">MATC Digital </w:t>
      </w:r>
      <w:r w:rsidR="00416F53" w:rsidRPr="007D02A7">
        <w:rPr>
          <w:sz w:val="22"/>
        </w:rPr>
        <w:t xml:space="preserve">podría </w:t>
      </w:r>
      <w:r w:rsidR="00EF7235" w:rsidRPr="007D02A7">
        <w:rPr>
          <w:sz w:val="22"/>
        </w:rPr>
        <w:t xml:space="preserve">arrendar </w:t>
      </w:r>
      <w:r w:rsidR="00416F53" w:rsidRPr="007D02A7">
        <w:rPr>
          <w:sz w:val="22"/>
        </w:rPr>
        <w:t xml:space="preserve">los </w:t>
      </w:r>
      <w:r w:rsidR="00EF7235" w:rsidRPr="007D02A7">
        <w:rPr>
          <w:sz w:val="22"/>
        </w:rPr>
        <w:t xml:space="preserve">espacios a </w:t>
      </w:r>
      <w:r w:rsidR="00C90D3F" w:rsidRPr="007D02A7">
        <w:rPr>
          <w:sz w:val="22"/>
        </w:rPr>
        <w:t xml:space="preserve">cualquier </w:t>
      </w:r>
      <w:r w:rsidR="00EF7235" w:rsidRPr="007D02A7">
        <w:rPr>
          <w:sz w:val="22"/>
        </w:rPr>
        <w:t>tercero, hac</w:t>
      </w:r>
      <w:r w:rsidRPr="007D02A7">
        <w:rPr>
          <w:sz w:val="22"/>
        </w:rPr>
        <w:t>i</w:t>
      </w:r>
      <w:r w:rsidR="00EF7235" w:rsidRPr="007D02A7">
        <w:rPr>
          <w:sz w:val="22"/>
        </w:rPr>
        <w:t>e</w:t>
      </w:r>
      <w:r w:rsidRPr="007D02A7">
        <w:rPr>
          <w:sz w:val="22"/>
        </w:rPr>
        <w:t>ndo</w:t>
      </w:r>
      <w:r w:rsidR="00EF7235" w:rsidRPr="007D02A7">
        <w:rPr>
          <w:sz w:val="22"/>
        </w:rPr>
        <w:t xml:space="preserve"> más eficiente </w:t>
      </w:r>
      <w:r w:rsidR="008C3C1B" w:rsidRPr="007D02A7">
        <w:rPr>
          <w:sz w:val="22"/>
        </w:rPr>
        <w:t xml:space="preserve">su </w:t>
      </w:r>
      <w:r w:rsidR="00416F53" w:rsidRPr="007D02A7">
        <w:rPr>
          <w:sz w:val="22"/>
        </w:rPr>
        <w:t>uso</w:t>
      </w:r>
      <w:r w:rsidR="00EF7235" w:rsidRPr="007D02A7">
        <w:rPr>
          <w:sz w:val="22"/>
        </w:rPr>
        <w:t>.</w:t>
      </w:r>
    </w:p>
    <w:p w:rsidR="005A7899" w:rsidRPr="007D02A7" w:rsidRDefault="00D9223F" w:rsidP="00637B96">
      <w:pPr>
        <w:spacing w:before="120" w:after="120"/>
        <w:ind w:firstLine="426"/>
        <w:rPr>
          <w:rFonts w:ascii="ITC Avant Garde" w:hAnsi="ITC Avant Garde"/>
          <w:b/>
          <w:i/>
        </w:rPr>
      </w:pPr>
      <w:bookmarkStart w:id="28" w:name="_Ref472956834"/>
      <w:r w:rsidRPr="007D02A7">
        <w:rPr>
          <w:rFonts w:ascii="ITC Avant Garde" w:hAnsi="ITC Avant Garde"/>
          <w:b/>
          <w:i/>
        </w:rPr>
        <w:t xml:space="preserve">5.2 </w:t>
      </w:r>
      <w:r w:rsidR="00D301A8" w:rsidRPr="007D02A7">
        <w:rPr>
          <w:rFonts w:ascii="ITC Avant Garde" w:hAnsi="ITC Avant Garde"/>
          <w:b/>
          <w:i/>
        </w:rPr>
        <w:t>Vendedor</w:t>
      </w:r>
      <w:r w:rsidR="0058667C" w:rsidRPr="007D02A7">
        <w:rPr>
          <w:rFonts w:ascii="ITC Avant Garde" w:hAnsi="ITC Avant Garde"/>
          <w:b/>
          <w:i/>
        </w:rPr>
        <w:t xml:space="preserve">: </w:t>
      </w:r>
      <w:bookmarkEnd w:id="28"/>
      <w:r w:rsidR="00D301A8" w:rsidRPr="007D02A7">
        <w:rPr>
          <w:rFonts w:ascii="ITC Avant Garde" w:hAnsi="ITC Avant Garde"/>
          <w:b/>
          <w:i/>
        </w:rPr>
        <w:t>AXTEL</w:t>
      </w:r>
    </w:p>
    <w:p w:rsidR="00020E07" w:rsidRPr="007D02A7" w:rsidRDefault="00020E07" w:rsidP="00637B96">
      <w:pPr>
        <w:pStyle w:val="Prraforproyecto"/>
        <w:keepNext w:val="0"/>
        <w:spacing w:before="120"/>
      </w:pPr>
      <w:r w:rsidRPr="007D02A7">
        <w:t>AXTEL es una sociedad constituida conforme a las leyes mexicanas, según consta en la escritura pública de fecha veintidós de julio de mil novecientos noventa y cuatro,</w:t>
      </w:r>
      <w:r w:rsidRPr="007D02A7">
        <w:rPr>
          <w:rStyle w:val="Refdenotaalpie"/>
        </w:rPr>
        <w:footnoteReference w:id="29"/>
      </w:r>
      <w:r w:rsidRPr="007D02A7">
        <w:t xml:space="preserve"> </w:t>
      </w:r>
      <w:r w:rsidR="002C3DA2" w:rsidRPr="007D02A7">
        <w:t xml:space="preserve">y desde el </w:t>
      </w:r>
      <w:r w:rsidR="00D772F5" w:rsidRPr="007D02A7">
        <w:t xml:space="preserve">quince de febrero de dos mil dieciséis </w:t>
      </w:r>
      <w:r w:rsidR="002C3DA2" w:rsidRPr="007D02A7">
        <w:t>está sujeta al control de</w:t>
      </w:r>
      <w:r w:rsidRPr="007D02A7">
        <w:t xml:space="preserve"> </w:t>
      </w:r>
      <w:r w:rsidR="00596D47" w:rsidRPr="007D02A7">
        <w:t>Alfa, S.A.B. de C.V. (Alfa)</w:t>
      </w:r>
      <w:r w:rsidRPr="007D02A7">
        <w:t xml:space="preserve"> y s</w:t>
      </w:r>
      <w:r w:rsidR="002C3DA2" w:rsidRPr="007D02A7">
        <w:t xml:space="preserve">us </w:t>
      </w:r>
      <w:r w:rsidRPr="007D02A7">
        <w:t xml:space="preserve">accionistas. </w:t>
      </w:r>
    </w:p>
    <w:p w:rsidR="003C7B26" w:rsidRPr="007D02A7" w:rsidRDefault="003C7B26" w:rsidP="00637B96">
      <w:pPr>
        <w:spacing w:before="120" w:after="120"/>
        <w:rPr>
          <w:rFonts w:ascii="ITC Avant Garde" w:hAnsi="ITC Avant Garde"/>
          <w:b/>
        </w:rPr>
      </w:pPr>
      <w:r w:rsidRPr="007D02A7">
        <w:rPr>
          <w:rFonts w:ascii="ITC Avant Garde" w:hAnsi="ITC Avant Garde"/>
          <w:b/>
        </w:rPr>
        <w:t>Cambios estructurales recientes</w:t>
      </w:r>
    </w:p>
    <w:p w:rsidR="00D772F5" w:rsidRPr="007D02A7" w:rsidRDefault="00D772F5" w:rsidP="00637B96">
      <w:pPr>
        <w:pStyle w:val="Prraforproyecto"/>
        <w:keepNext w:val="0"/>
        <w:spacing w:before="120"/>
      </w:pPr>
      <w:r w:rsidRPr="007D02A7">
        <w:t>El quince de</w:t>
      </w:r>
      <w:r w:rsidR="002C3DA2" w:rsidRPr="007D02A7">
        <w:t xml:space="preserve"> junio de dos mil dieciséis, Alfa, a través de su subsidiaria </w:t>
      </w:r>
      <w:proofErr w:type="spellStart"/>
      <w:r w:rsidR="002C3DA2" w:rsidRPr="007D02A7">
        <w:rPr>
          <w:rFonts w:cs="Arial"/>
          <w:color w:val="000000" w:themeColor="text1"/>
        </w:rPr>
        <w:t>Alestra</w:t>
      </w:r>
      <w:proofErr w:type="spellEnd"/>
      <w:r w:rsidR="002C3DA2" w:rsidRPr="007D02A7">
        <w:rPr>
          <w:rFonts w:cs="Arial"/>
          <w:color w:val="000000" w:themeColor="text1"/>
        </w:rPr>
        <w:t>, S. de R.L. de C.V. (</w:t>
      </w:r>
      <w:proofErr w:type="spellStart"/>
      <w:r w:rsidR="002C3DA2" w:rsidRPr="007D02A7">
        <w:t>Alestra</w:t>
      </w:r>
      <w:proofErr w:type="spellEnd"/>
      <w:r w:rsidR="002C3DA2" w:rsidRPr="007D02A7">
        <w:t xml:space="preserve">), adquirió el control de AXTEL mediante una concentración de la que dieron aviso al Instituto </w:t>
      </w:r>
      <w:r w:rsidRPr="007D02A7">
        <w:t xml:space="preserve">al día siguiente </w:t>
      </w:r>
      <w:r w:rsidR="002C3DA2" w:rsidRPr="007D02A7">
        <w:t>en términos del artículo Noveno Transitorio del Decreto que expidió la LFTR</w:t>
      </w:r>
      <w:r w:rsidRPr="007D02A7">
        <w:t xml:space="preserve">, el cual se </w:t>
      </w:r>
      <w:r w:rsidR="002C3DA2" w:rsidRPr="007D02A7">
        <w:t>tramitó en el expediente AVC-001-2016.</w:t>
      </w:r>
      <w:r w:rsidR="002C3DA2" w:rsidRPr="007D02A7">
        <w:rPr>
          <w:vertAlign w:val="superscript"/>
        </w:rPr>
        <w:footnoteReference w:id="30"/>
      </w:r>
      <w:r w:rsidR="002C3DA2" w:rsidRPr="007D02A7">
        <w:t xml:space="preserve"> El diecisiete de junio de dos mil dieciséis el Pleno del Instituto</w:t>
      </w:r>
      <w:r w:rsidR="002C3DA2" w:rsidRPr="007D02A7">
        <w:rPr>
          <w:rStyle w:val="Refdenotaalpie"/>
        </w:rPr>
        <w:footnoteReference w:id="31"/>
      </w:r>
      <w:r w:rsidR="002C3DA2" w:rsidRPr="007D02A7">
        <w:t xml:space="preserve"> resolvió que </w:t>
      </w:r>
      <w:r w:rsidR="007C0B03" w:rsidRPr="007D02A7">
        <w:t xml:space="preserve">la concentración </w:t>
      </w:r>
      <w:r w:rsidR="00E82D19" w:rsidRPr="007D02A7">
        <w:t>actualizó</w:t>
      </w:r>
      <w:r w:rsidR="007C0B03" w:rsidRPr="007D02A7">
        <w:t xml:space="preserve"> los incisos </w:t>
      </w:r>
      <w:r w:rsidRPr="007D02A7">
        <w:t xml:space="preserve">a. a d. </w:t>
      </w:r>
      <w:r w:rsidR="007C0B03" w:rsidRPr="007D02A7">
        <w:t>establecidos en el primer párrafo del artículo Noveno Transitorio de la LFTR</w:t>
      </w:r>
      <w:r w:rsidRPr="007D02A7">
        <w:t xml:space="preserve"> </w:t>
      </w:r>
      <w:r w:rsidRPr="007D02A7">
        <w:lastRenderedPageBreak/>
        <w:t xml:space="preserve">y, en consecuencia, se encontró en el supuesto de no requerir la autorización del Pleno de este Instituto Federal de Telecomunicaciones. </w:t>
      </w:r>
    </w:p>
    <w:p w:rsidR="007C0B03" w:rsidRPr="007D02A7" w:rsidRDefault="00D772F5" w:rsidP="00637B96">
      <w:pPr>
        <w:pStyle w:val="Prraforproyecto"/>
        <w:keepNext w:val="0"/>
        <w:spacing w:before="120"/>
      </w:pPr>
      <w:r w:rsidRPr="007D02A7">
        <w:t>Posteriormente, en términos del quinto párrafo del artículo Noveno Transitorio del Decreto que expidió la LFTR, esa concentración se sujetó a una</w:t>
      </w:r>
      <w:r w:rsidR="003C7B26" w:rsidRPr="007D02A7">
        <w:t xml:space="preserve"> investigación para determinar si existía poder sustancial en el mercado de redes de telecomunicaciones que presten servicios de voz, datos o video, la cual se </w:t>
      </w:r>
      <w:r w:rsidR="009F3D6A" w:rsidRPr="007D02A7">
        <w:t>radicó</w:t>
      </w:r>
      <w:r w:rsidR="003C7B26" w:rsidRPr="007D02A7">
        <w:t xml:space="preserve"> en el expediente número AI/DC-0</w:t>
      </w:r>
      <w:r w:rsidR="0017207B" w:rsidRPr="007D02A7">
        <w:t xml:space="preserve">02-2016. El </w:t>
      </w:r>
      <w:r w:rsidR="00C170A7" w:rsidRPr="007D02A7">
        <w:t xml:space="preserve">veinticinco de octubre de dos mil dieciséis </w:t>
      </w:r>
      <w:r w:rsidR="00F60540" w:rsidRPr="007D02A7">
        <w:t xml:space="preserve">el Pleno del Instituto </w:t>
      </w:r>
      <w:r w:rsidR="003C7B26" w:rsidRPr="007D02A7">
        <w:t>resolvió</w:t>
      </w:r>
      <w:r w:rsidR="003C7B26" w:rsidRPr="007D02A7">
        <w:rPr>
          <w:rStyle w:val="Refdenotaalpie"/>
        </w:rPr>
        <w:footnoteReference w:id="32"/>
      </w:r>
      <w:r w:rsidR="003C7B26" w:rsidRPr="007D02A7">
        <w:t xml:space="preserve"> que </w:t>
      </w:r>
      <w:r w:rsidR="00F60540" w:rsidRPr="007D02A7">
        <w:t>no exist</w:t>
      </w:r>
      <w:r w:rsidR="00946621" w:rsidRPr="007D02A7">
        <w:t>ía</w:t>
      </w:r>
      <w:r w:rsidR="00F60540" w:rsidRPr="007D02A7">
        <w:t>n elementos suficientes para dete</w:t>
      </w:r>
      <w:r w:rsidR="003C7B26" w:rsidRPr="007D02A7">
        <w:t>rminar que, como resultado de esa</w:t>
      </w:r>
      <w:r w:rsidR="00F60540" w:rsidRPr="007D02A7">
        <w:t xml:space="preserve"> concentración, exist</w:t>
      </w:r>
      <w:r w:rsidR="00946621" w:rsidRPr="007D02A7">
        <w:t>ier</w:t>
      </w:r>
      <w:r w:rsidR="00F60540" w:rsidRPr="007D02A7">
        <w:t>an agentes económicos con poder sustancial en el</w:t>
      </w:r>
      <w:r w:rsidR="007177DE" w:rsidRPr="007D02A7">
        <w:t xml:space="preserve"> </w:t>
      </w:r>
      <w:r w:rsidR="003C7B26" w:rsidRPr="007D02A7">
        <w:t>(</w:t>
      </w:r>
      <w:r w:rsidR="00F60540" w:rsidRPr="007D02A7">
        <w:t>los</w:t>
      </w:r>
      <w:r w:rsidR="003C7B26" w:rsidRPr="007D02A7">
        <w:t xml:space="preserve">) </w:t>
      </w:r>
      <w:r w:rsidR="00F60540" w:rsidRPr="007D02A7">
        <w:t>mercado</w:t>
      </w:r>
      <w:r w:rsidR="003C7B26" w:rsidRPr="007D02A7">
        <w:t>(</w:t>
      </w:r>
      <w:r w:rsidR="00F60540" w:rsidRPr="007D02A7">
        <w:t>s</w:t>
      </w:r>
      <w:r w:rsidR="003C7B26" w:rsidRPr="007D02A7">
        <w:t xml:space="preserve">) </w:t>
      </w:r>
      <w:r w:rsidR="00F60540" w:rsidRPr="007D02A7">
        <w:t>de redes de telecomunicaciones que presten servicios de voz, datos o video, a nivel nacional, estatal, regional y/o local.</w:t>
      </w:r>
      <w:r w:rsidR="009D3787" w:rsidRPr="007D02A7">
        <w:t xml:space="preserve"> </w:t>
      </w:r>
    </w:p>
    <w:p w:rsidR="007C0B03" w:rsidRPr="007D02A7" w:rsidRDefault="003C7B26" w:rsidP="00637B96">
      <w:pPr>
        <w:pStyle w:val="Prraforproyecto"/>
        <w:keepNext w:val="0"/>
        <w:spacing w:before="120"/>
      </w:pPr>
      <w:r w:rsidRPr="007D02A7">
        <w:t>Posteriormente</w:t>
      </w:r>
      <w:r w:rsidR="00E515B0" w:rsidRPr="007D02A7">
        <w:t>,</w:t>
      </w:r>
      <w:r w:rsidRPr="007D02A7">
        <w:t xml:space="preserve"> en actos distintos, AXTEL</w:t>
      </w:r>
      <w:r w:rsidR="00E515B0" w:rsidRPr="007D02A7">
        <w:t xml:space="preserve"> </w:t>
      </w:r>
      <w:r w:rsidRPr="007D02A7">
        <w:t xml:space="preserve">fusionó por incorporación a </w:t>
      </w:r>
      <w:proofErr w:type="spellStart"/>
      <w:r w:rsidRPr="007D02A7">
        <w:t>Alestra</w:t>
      </w:r>
      <w:proofErr w:type="spellEnd"/>
      <w:r w:rsidRPr="007D02A7">
        <w:t xml:space="preserve">, lo que se formalizó </w:t>
      </w:r>
      <w:r w:rsidR="00E515B0" w:rsidRPr="007D02A7">
        <w:t>mediante escritura pública de fecha veintisiete de abril de dos mil diecisiete</w:t>
      </w:r>
      <w:r w:rsidRPr="007D02A7">
        <w:t xml:space="preserve"> y surtió efectos a partir del primero de mayo de dos mil diecisiete. El </w:t>
      </w:r>
      <w:r w:rsidR="00E515B0" w:rsidRPr="007D02A7">
        <w:t>capital social de AXTEL</w:t>
      </w:r>
      <w:r w:rsidRPr="007D02A7">
        <w:t xml:space="preserve"> no se modificó y</w:t>
      </w:r>
      <w:r w:rsidR="007504A3" w:rsidRPr="007D02A7">
        <w:t>,</w:t>
      </w:r>
      <w:r w:rsidRPr="007D02A7">
        <w:t xml:space="preserve"> </w:t>
      </w:r>
      <w:r w:rsidR="00E515B0" w:rsidRPr="007D02A7">
        <w:t>como sociedad subsiste</w:t>
      </w:r>
      <w:r w:rsidR="007504A3" w:rsidRPr="007D02A7">
        <w:t>nte</w:t>
      </w:r>
      <w:r w:rsidR="00B023EA" w:rsidRPr="007D02A7">
        <w:t xml:space="preserve">, </w:t>
      </w:r>
      <w:r w:rsidR="00BC24AB" w:rsidRPr="007D02A7">
        <w:t>adquirió</w:t>
      </w:r>
      <w:r w:rsidR="00FE2699" w:rsidRPr="007D02A7">
        <w:t xml:space="preserve"> </w:t>
      </w:r>
      <w:r w:rsidR="00E515B0" w:rsidRPr="007D02A7">
        <w:t xml:space="preserve">los derechos y obligaciones de </w:t>
      </w:r>
      <w:proofErr w:type="spellStart"/>
      <w:r w:rsidR="00E515B0" w:rsidRPr="007D02A7">
        <w:t>Alestra</w:t>
      </w:r>
      <w:proofErr w:type="spellEnd"/>
      <w:r w:rsidR="00E515B0" w:rsidRPr="007D02A7">
        <w:t>.</w:t>
      </w:r>
      <w:r w:rsidR="00FE2699" w:rsidRPr="007D02A7">
        <w:rPr>
          <w:vertAlign w:val="superscript"/>
        </w:rPr>
        <w:footnoteReference w:id="33"/>
      </w:r>
      <w:r w:rsidR="00BC24AB" w:rsidRPr="007D02A7">
        <w:t xml:space="preserve"> Esa fusión no se notificó al Instituto en términos de la LFCE, pues se trató de una reestructuración corporativa. Las partes sólo informaron al Instituto de la misma el </w:t>
      </w:r>
      <w:r w:rsidR="007504A3" w:rsidRPr="007D02A7">
        <w:t xml:space="preserve">treinta </w:t>
      </w:r>
      <w:r w:rsidR="00355E0A" w:rsidRPr="007D02A7">
        <w:t xml:space="preserve">de mayo y el </w:t>
      </w:r>
      <w:r w:rsidR="007504A3" w:rsidRPr="007D02A7">
        <w:t xml:space="preserve">uno </w:t>
      </w:r>
      <w:r w:rsidR="00355E0A" w:rsidRPr="007D02A7">
        <w:t xml:space="preserve">de junio </w:t>
      </w:r>
      <w:r w:rsidR="00BC24AB" w:rsidRPr="007D02A7">
        <w:t>de dos mil diecisiete, en términos del artículo 112, párrafo quinto, de la LFTR.</w:t>
      </w:r>
    </w:p>
    <w:p w:rsidR="007504A3" w:rsidRPr="007D02A7" w:rsidRDefault="007504A3" w:rsidP="00637B96">
      <w:pPr>
        <w:spacing w:before="120" w:after="120"/>
        <w:rPr>
          <w:rFonts w:ascii="ITC Avant Garde" w:hAnsi="ITC Avant Garde"/>
          <w:b/>
        </w:rPr>
      </w:pPr>
      <w:r w:rsidRPr="007D02A7">
        <w:rPr>
          <w:rFonts w:ascii="ITC Avant Garde" w:hAnsi="ITC Avant Garde"/>
          <w:b/>
        </w:rPr>
        <w:t>Actividades Económicas</w:t>
      </w:r>
    </w:p>
    <w:p w:rsidR="007504A3" w:rsidRPr="007D02A7" w:rsidRDefault="00355E0F" w:rsidP="00637B96">
      <w:pPr>
        <w:pStyle w:val="Prraforproyecto"/>
        <w:keepNext w:val="0"/>
        <w:spacing w:before="120"/>
      </w:pPr>
      <w:r w:rsidRPr="007D02A7">
        <w:t xml:space="preserve">En virtud de los párrafos anteriores, en la actualidad subsisten las sociedades Alfa, </w:t>
      </w:r>
      <w:r w:rsidR="00545D20" w:rsidRPr="007D02A7">
        <w:t xml:space="preserve">AXTEL </w:t>
      </w:r>
      <w:r w:rsidRPr="007D02A7">
        <w:t xml:space="preserve">y sus subsidiarias, mientras que </w:t>
      </w:r>
      <w:proofErr w:type="spellStart"/>
      <w:r w:rsidR="003C7B26" w:rsidRPr="007D02A7">
        <w:t>Alestra</w:t>
      </w:r>
      <w:proofErr w:type="spellEnd"/>
      <w:r w:rsidR="003C7B26" w:rsidRPr="007D02A7">
        <w:t xml:space="preserve"> desapareció</w:t>
      </w:r>
      <w:r w:rsidR="001F35A7" w:rsidRPr="007D02A7">
        <w:t xml:space="preserve"> </w:t>
      </w:r>
      <w:r w:rsidR="00D22C98" w:rsidRPr="007D02A7">
        <w:t>como sociedad fusionada.</w:t>
      </w:r>
    </w:p>
    <w:p w:rsidR="00B21389" w:rsidRPr="007D02A7" w:rsidRDefault="00B21389" w:rsidP="00637B96">
      <w:pPr>
        <w:pStyle w:val="Prraforproyecto"/>
        <w:keepNext w:val="0"/>
        <w:spacing w:before="120"/>
        <w:rPr>
          <w:lang w:val="es-ES_tradnl"/>
        </w:rPr>
      </w:pPr>
      <w:r w:rsidRPr="007D02A7">
        <w:rPr>
          <w:lang w:val="es-ES_tradnl"/>
        </w:rPr>
        <w:t>Alfa, a través de AXTEL y sus subsidiarias, cuenta con títulos de concesión para instalar, operar y explotar redes públicas de telecomunicaciones y de espectro radioeléctrico para prestar los siguientes servicios de telecomunicaciones:</w:t>
      </w:r>
      <w:r w:rsidRPr="007D02A7">
        <w:rPr>
          <w:vertAlign w:val="superscript"/>
          <w:lang w:val="es-ES_tradnl"/>
        </w:rPr>
        <w:t xml:space="preserve"> </w:t>
      </w:r>
      <w:r w:rsidRPr="007D02A7">
        <w:rPr>
          <w:vertAlign w:val="superscript"/>
          <w:lang w:val="es-ES_tradnl"/>
        </w:rPr>
        <w:footnoteReference w:id="34"/>
      </w:r>
    </w:p>
    <w:p w:rsidR="00B21389" w:rsidRPr="007D02A7" w:rsidRDefault="00B21389" w:rsidP="00637B96">
      <w:pPr>
        <w:numPr>
          <w:ilvl w:val="0"/>
          <w:numId w:val="15"/>
        </w:numPr>
        <w:spacing w:before="120" w:after="120"/>
        <w:rPr>
          <w:rFonts w:ascii="ITC Avant Garde" w:eastAsia="Times New Roman" w:hAnsi="ITC Avant Garde"/>
          <w:bCs/>
          <w:color w:val="000000"/>
          <w:lang w:val="es-ES_tradnl" w:eastAsia="es-MX"/>
        </w:rPr>
      </w:pPr>
      <w:r w:rsidRPr="007D02A7">
        <w:rPr>
          <w:rFonts w:ascii="ITC Avant Garde" w:eastAsia="Times New Roman" w:hAnsi="ITC Avant Garde"/>
          <w:bCs/>
          <w:color w:val="000000"/>
          <w:lang w:val="es-ES_tradnl" w:eastAsia="es-MX"/>
        </w:rPr>
        <w:t>Telefonía fija;</w:t>
      </w:r>
    </w:p>
    <w:p w:rsidR="00B21389" w:rsidRPr="007D02A7" w:rsidRDefault="00B21389" w:rsidP="00637B96">
      <w:pPr>
        <w:numPr>
          <w:ilvl w:val="0"/>
          <w:numId w:val="15"/>
        </w:numPr>
        <w:spacing w:before="120" w:after="120"/>
        <w:rPr>
          <w:rFonts w:ascii="ITC Avant Garde" w:eastAsia="Times New Roman" w:hAnsi="ITC Avant Garde"/>
          <w:bCs/>
          <w:color w:val="000000"/>
          <w:lang w:val="es-ES_tradnl" w:eastAsia="es-MX"/>
        </w:rPr>
      </w:pPr>
      <w:r w:rsidRPr="007D02A7">
        <w:rPr>
          <w:rFonts w:ascii="ITC Avant Garde" w:eastAsia="Times New Roman" w:hAnsi="ITC Avant Garde"/>
          <w:bCs/>
          <w:color w:val="000000"/>
          <w:lang w:val="es-ES_tradnl" w:eastAsia="es-MX"/>
        </w:rPr>
        <w:t xml:space="preserve">Acceso a Internet </w:t>
      </w:r>
      <w:r w:rsidR="00367E97" w:rsidRPr="007D02A7">
        <w:rPr>
          <w:rFonts w:ascii="ITC Avant Garde" w:eastAsia="Times New Roman" w:hAnsi="ITC Avant Garde"/>
          <w:bCs/>
          <w:color w:val="000000"/>
          <w:lang w:val="es-ES_tradnl" w:eastAsia="es-MX"/>
        </w:rPr>
        <w:t>f</w:t>
      </w:r>
      <w:r w:rsidRPr="007D02A7">
        <w:rPr>
          <w:rFonts w:ascii="ITC Avant Garde" w:eastAsia="Times New Roman" w:hAnsi="ITC Avant Garde"/>
          <w:bCs/>
          <w:color w:val="000000"/>
          <w:lang w:val="es-ES_tradnl" w:eastAsia="es-MX"/>
        </w:rPr>
        <w:t>ijo;</w:t>
      </w:r>
    </w:p>
    <w:p w:rsidR="00B21389" w:rsidRPr="007D02A7" w:rsidRDefault="00B21389" w:rsidP="00637B96">
      <w:pPr>
        <w:numPr>
          <w:ilvl w:val="0"/>
          <w:numId w:val="15"/>
        </w:numPr>
        <w:spacing w:before="120" w:after="120"/>
        <w:rPr>
          <w:rFonts w:ascii="ITC Avant Garde" w:eastAsia="Times New Roman" w:hAnsi="ITC Avant Garde"/>
          <w:bCs/>
          <w:color w:val="000000"/>
          <w:lang w:val="es-ES_tradnl" w:eastAsia="es-MX"/>
        </w:rPr>
      </w:pPr>
      <w:r w:rsidRPr="007D02A7">
        <w:rPr>
          <w:rFonts w:ascii="ITC Avant Garde" w:eastAsia="Times New Roman" w:hAnsi="ITC Avant Garde"/>
          <w:bCs/>
          <w:color w:val="000000"/>
          <w:lang w:val="es-ES_tradnl" w:eastAsia="es-MX"/>
        </w:rPr>
        <w:t>Interc</w:t>
      </w:r>
      <w:r w:rsidR="00A95B39" w:rsidRPr="007D02A7">
        <w:rPr>
          <w:rFonts w:ascii="ITC Avant Garde" w:eastAsia="Times New Roman" w:hAnsi="ITC Avant Garde"/>
          <w:bCs/>
          <w:color w:val="000000"/>
          <w:lang w:val="es-ES_tradnl" w:eastAsia="es-MX"/>
        </w:rPr>
        <w:t>onexión para terminación fija,</w:t>
      </w:r>
    </w:p>
    <w:p w:rsidR="00B21389" w:rsidRPr="007D02A7" w:rsidRDefault="00B21389" w:rsidP="00637B96">
      <w:pPr>
        <w:pStyle w:val="Prraforproyecto"/>
        <w:keepNext w:val="0"/>
        <w:numPr>
          <w:ilvl w:val="0"/>
          <w:numId w:val="15"/>
        </w:numPr>
        <w:spacing w:before="120"/>
      </w:pPr>
      <w:r w:rsidRPr="007D02A7">
        <w:t>Televisión restringida, y</w:t>
      </w:r>
    </w:p>
    <w:p w:rsidR="00B21389" w:rsidRPr="007D02A7" w:rsidRDefault="00B21389" w:rsidP="00637B96">
      <w:pPr>
        <w:pStyle w:val="Prraforproyecto"/>
        <w:keepNext w:val="0"/>
        <w:numPr>
          <w:ilvl w:val="0"/>
          <w:numId w:val="15"/>
        </w:numPr>
        <w:spacing w:before="120"/>
      </w:pPr>
      <w:r w:rsidRPr="007D02A7">
        <w:t xml:space="preserve">Enlaces dedicados. </w:t>
      </w:r>
    </w:p>
    <w:p w:rsidR="008B4867" w:rsidRPr="007D02A7" w:rsidRDefault="008B4867" w:rsidP="00637B96">
      <w:pPr>
        <w:spacing w:before="120" w:after="120"/>
        <w:jc w:val="both"/>
        <w:rPr>
          <w:rFonts w:ascii="ITC Avant Garde" w:hAnsi="ITC Avant Garde"/>
          <w:lang w:val="es-ES_tradnl"/>
        </w:rPr>
      </w:pPr>
      <w:bookmarkStart w:id="29" w:name="_Toc435697318"/>
      <w:bookmarkStart w:id="30" w:name="_Toc435697394"/>
      <w:bookmarkStart w:id="31" w:name="_Ref472956299"/>
      <w:r w:rsidRPr="007D02A7">
        <w:rPr>
          <w:rFonts w:ascii="ITC Avant Garde" w:eastAsia="Times New Roman" w:hAnsi="ITC Avant Garde"/>
          <w:bCs/>
          <w:color w:val="000000"/>
          <w:lang w:val="es-ES_tradnl" w:eastAsia="es-MX"/>
        </w:rPr>
        <w:lastRenderedPageBreak/>
        <w:t xml:space="preserve">Para brindar los servicios autorizados por los títulos de concesión, el GIE controlado por Alfa cuenta con un total de </w:t>
      </w:r>
      <w:r w:rsidR="0029381D" w:rsidRPr="007D02A7">
        <w:rPr>
          <w:rFonts w:ascii="ITC Avant Garde" w:hAnsi="ITC Avant Garde"/>
          <w:b/>
          <w:bCs/>
          <w:color w:val="0000CC"/>
          <w:sz w:val="19"/>
          <w:szCs w:val="19"/>
          <w:lang w:eastAsia="es-MX"/>
        </w:rPr>
        <w:t>“CONFIDENCIAL POR LEY</w:t>
      </w:r>
      <w:r w:rsidR="00481CDD" w:rsidRPr="007D02A7">
        <w:rPr>
          <w:rFonts w:ascii="ITC Avant Garde" w:hAnsi="ITC Avant Garde"/>
          <w:b/>
          <w:bCs/>
          <w:color w:val="0000CC"/>
          <w:sz w:val="19"/>
          <w:szCs w:val="19"/>
          <w:lang w:eastAsia="es-MX"/>
        </w:rPr>
        <w:t xml:space="preserve"> </w:t>
      </w:r>
      <w:r w:rsidR="00555AB5">
        <w:rPr>
          <w:rFonts w:ascii="ITC Avant Garde" w:hAnsi="ITC Avant Garde"/>
          <w:b/>
          <w:bCs/>
          <w:color w:val="0000CC"/>
          <w:sz w:val="19"/>
          <w:szCs w:val="19"/>
          <w:lang w:eastAsia="es-MX"/>
        </w:rPr>
        <w:t>(</w:t>
      </w:r>
      <w:r w:rsidR="00481CDD" w:rsidRPr="007D02A7">
        <w:rPr>
          <w:rFonts w:ascii="ITC Avant Garde" w:hAnsi="ITC Avant Garde"/>
          <w:b/>
          <w:bCs/>
          <w:color w:val="0000CC"/>
          <w:sz w:val="19"/>
          <w:szCs w:val="19"/>
          <w:lang w:eastAsia="es-MX"/>
        </w:rPr>
        <w:t>46</w:t>
      </w:r>
      <w:r w:rsidR="00555AB5">
        <w:rPr>
          <w:rFonts w:ascii="ITC Avant Garde" w:hAnsi="ITC Avant Garde"/>
          <w:b/>
          <w:bCs/>
          <w:color w:val="0000CC"/>
          <w:sz w:val="19"/>
          <w:szCs w:val="19"/>
          <w:lang w:eastAsia="es-MX"/>
        </w:rPr>
        <w:t>)</w:t>
      </w:r>
      <w:r w:rsidR="0029381D" w:rsidRPr="007D02A7">
        <w:rPr>
          <w:rFonts w:ascii="ITC Avant Garde" w:hAnsi="ITC Avant Garde"/>
          <w:b/>
          <w:bCs/>
          <w:color w:val="0000CC"/>
          <w:sz w:val="19"/>
          <w:szCs w:val="19"/>
          <w:lang w:eastAsia="es-MX"/>
        </w:rPr>
        <w:t>”</w:t>
      </w:r>
      <w:r w:rsidRPr="007D02A7">
        <w:rPr>
          <w:rFonts w:ascii="ITC Avant Garde" w:eastAsia="Times New Roman" w:hAnsi="ITC Avant Garde"/>
          <w:bCs/>
          <w:color w:val="000000"/>
          <w:lang w:val="es-ES_tradnl" w:eastAsia="es-MX"/>
        </w:rPr>
        <w:t xml:space="preserve"> torres de telecomunicaciones</w:t>
      </w:r>
      <w:r w:rsidR="00362499" w:rsidRPr="007D02A7">
        <w:rPr>
          <w:rFonts w:ascii="ITC Avant Garde" w:eastAsia="Times New Roman" w:hAnsi="ITC Avant Garde"/>
          <w:bCs/>
          <w:color w:val="000000"/>
          <w:lang w:val="es-ES_tradnl" w:eastAsia="es-MX"/>
        </w:rPr>
        <w:t>, d</w:t>
      </w:r>
      <w:r w:rsidRPr="007D02A7">
        <w:rPr>
          <w:rFonts w:ascii="ITC Avant Garde" w:eastAsia="Times New Roman" w:hAnsi="ITC Avant Garde"/>
          <w:bCs/>
          <w:color w:val="000000"/>
          <w:lang w:val="es-ES_tradnl" w:eastAsia="es-MX"/>
        </w:rPr>
        <w:t>e las cuales 142 (ciento cuarenta y dos) son objeto de la Operación.</w:t>
      </w:r>
    </w:p>
    <w:p w:rsidR="005A7899" w:rsidRPr="007D02A7" w:rsidRDefault="00D9223F" w:rsidP="00637B96">
      <w:pPr>
        <w:spacing w:before="120" w:after="120"/>
        <w:rPr>
          <w:rFonts w:ascii="ITC Avant Garde" w:hAnsi="ITC Avant Garde"/>
          <w:b/>
        </w:rPr>
      </w:pPr>
      <w:r w:rsidRPr="007D02A7">
        <w:rPr>
          <w:rFonts w:ascii="ITC Avant Garde" w:hAnsi="ITC Avant Garde"/>
          <w:b/>
        </w:rPr>
        <w:t xml:space="preserve">Sexto.- </w:t>
      </w:r>
      <w:r w:rsidR="00104BB9" w:rsidRPr="007D02A7">
        <w:rPr>
          <w:rFonts w:ascii="ITC Avant Garde" w:hAnsi="ITC Avant Garde"/>
          <w:b/>
        </w:rPr>
        <w:t xml:space="preserve">Evaluación de la </w:t>
      </w:r>
      <w:r w:rsidR="0022184B" w:rsidRPr="007D02A7">
        <w:rPr>
          <w:rFonts w:ascii="ITC Avant Garde" w:hAnsi="ITC Avant Garde"/>
          <w:b/>
        </w:rPr>
        <w:t>Operación</w:t>
      </w:r>
      <w:bookmarkEnd w:id="29"/>
      <w:bookmarkEnd w:id="30"/>
      <w:bookmarkEnd w:id="31"/>
    </w:p>
    <w:p w:rsidR="00CC6E9B" w:rsidRPr="007D02A7" w:rsidRDefault="00CF0AFC" w:rsidP="00637B96">
      <w:pPr>
        <w:spacing w:before="120" w:after="120"/>
        <w:ind w:firstLine="426"/>
        <w:rPr>
          <w:rFonts w:ascii="ITC Avant Garde" w:hAnsi="ITC Avant Garde"/>
          <w:b/>
          <w:i/>
        </w:rPr>
      </w:pPr>
      <w:r w:rsidRPr="007D02A7">
        <w:rPr>
          <w:rFonts w:ascii="ITC Avant Garde" w:hAnsi="ITC Avant Garde"/>
          <w:b/>
          <w:i/>
        </w:rPr>
        <w:t xml:space="preserve">6.1 </w:t>
      </w:r>
      <w:r w:rsidR="00CC6E9B" w:rsidRPr="007D02A7">
        <w:rPr>
          <w:rFonts w:ascii="ITC Avant Garde" w:hAnsi="ITC Avant Garde"/>
          <w:b/>
          <w:i/>
        </w:rPr>
        <w:t>Criterios de la LFCE para evaluar la Operación</w:t>
      </w:r>
    </w:p>
    <w:p w:rsidR="00221C44" w:rsidRPr="007D02A7" w:rsidRDefault="00221C44" w:rsidP="00637B96">
      <w:pPr>
        <w:tabs>
          <w:tab w:val="left" w:pos="2410"/>
        </w:tabs>
        <w:spacing w:before="120" w:after="120"/>
        <w:jc w:val="both"/>
        <w:rPr>
          <w:rFonts w:ascii="ITC Avant Garde" w:eastAsia="Times New Roman" w:hAnsi="ITC Avant Garde"/>
          <w:bCs/>
          <w:color w:val="000000"/>
          <w:lang w:eastAsia="es-MX"/>
        </w:rPr>
      </w:pPr>
      <w:r w:rsidRPr="007D02A7">
        <w:rPr>
          <w:rFonts w:ascii="ITC Avant Garde" w:eastAsia="Times New Roman" w:hAnsi="ITC Avant Garde"/>
          <w:bCs/>
          <w:color w:val="000000"/>
          <w:lang w:eastAsia="es-MX"/>
        </w:rPr>
        <w:t>El artículo 63 de la LFCE establece que se considerarán los siguientes elementos para determinar si una concentración debe o no ser autorizada:</w:t>
      </w:r>
    </w:p>
    <w:p w:rsidR="00221C44" w:rsidRPr="007D02A7" w:rsidRDefault="00221C44" w:rsidP="00637B96">
      <w:pPr>
        <w:autoSpaceDE w:val="0"/>
        <w:autoSpaceDN w:val="0"/>
        <w:adjustRightInd w:val="0"/>
        <w:spacing w:before="120" w:after="120"/>
        <w:ind w:left="567"/>
        <w:jc w:val="both"/>
        <w:rPr>
          <w:rFonts w:ascii="ITC Avant Garde" w:hAnsi="ITC Avant Garde"/>
          <w:i/>
          <w:sz w:val="20"/>
        </w:rPr>
      </w:pPr>
      <w:r w:rsidRPr="007D02A7">
        <w:rPr>
          <w:rFonts w:ascii="ITC Avant Garde" w:hAnsi="ITC Avant Garde"/>
          <w:i/>
          <w:sz w:val="20"/>
        </w:rPr>
        <w:t>“(…)</w:t>
      </w:r>
    </w:p>
    <w:p w:rsidR="00221C44" w:rsidRPr="007D02A7" w:rsidRDefault="00221C44" w:rsidP="00637B96">
      <w:pPr>
        <w:autoSpaceDE w:val="0"/>
        <w:autoSpaceDN w:val="0"/>
        <w:adjustRightInd w:val="0"/>
        <w:spacing w:before="120" w:after="120"/>
        <w:ind w:left="567"/>
        <w:jc w:val="both"/>
        <w:rPr>
          <w:rFonts w:ascii="ITC Avant Garde" w:hAnsi="ITC Avant Garde"/>
          <w:i/>
          <w:sz w:val="20"/>
        </w:rPr>
      </w:pPr>
      <w:r w:rsidRPr="007D02A7">
        <w:rPr>
          <w:rFonts w:ascii="ITC Avant Garde" w:hAnsi="ITC Avant Garde"/>
          <w:i/>
          <w:sz w:val="20"/>
        </w:rPr>
        <w:t>I. El mercado relevante, en los términos prescritos en esta Ley;</w:t>
      </w:r>
    </w:p>
    <w:p w:rsidR="00221C44" w:rsidRPr="007D02A7" w:rsidRDefault="00221C44" w:rsidP="00637B96">
      <w:pPr>
        <w:autoSpaceDE w:val="0"/>
        <w:autoSpaceDN w:val="0"/>
        <w:adjustRightInd w:val="0"/>
        <w:spacing w:before="120" w:after="120"/>
        <w:ind w:left="567"/>
        <w:jc w:val="both"/>
        <w:rPr>
          <w:rFonts w:ascii="ITC Avant Garde" w:hAnsi="ITC Avant Garde"/>
          <w:i/>
          <w:sz w:val="20"/>
        </w:rPr>
      </w:pPr>
      <w:r w:rsidRPr="007D02A7">
        <w:rPr>
          <w:rFonts w:ascii="ITC Avant Garde" w:hAnsi="ITC Avant Garde"/>
          <w:i/>
          <w:sz w:val="20"/>
        </w:rPr>
        <w:t>II. La identificación de los principales agentes económicos que abastecen el mercado de que se trate, el análisis de su poder en el mercado relevante, de acuerdo con esta Ley, el grado de concentración en dicho mercado;</w:t>
      </w:r>
    </w:p>
    <w:p w:rsidR="00221C44" w:rsidRPr="007D02A7" w:rsidRDefault="00221C44" w:rsidP="00637B96">
      <w:pPr>
        <w:autoSpaceDE w:val="0"/>
        <w:autoSpaceDN w:val="0"/>
        <w:adjustRightInd w:val="0"/>
        <w:spacing w:before="120" w:after="120"/>
        <w:ind w:left="567"/>
        <w:jc w:val="both"/>
        <w:rPr>
          <w:rFonts w:ascii="ITC Avant Garde" w:hAnsi="ITC Avant Garde"/>
          <w:i/>
          <w:sz w:val="20"/>
        </w:rPr>
      </w:pPr>
      <w:r w:rsidRPr="007D02A7">
        <w:rPr>
          <w:rFonts w:ascii="ITC Avant Garde" w:hAnsi="ITC Avant Garde"/>
          <w:i/>
          <w:sz w:val="20"/>
        </w:rPr>
        <w:t>III. Los efectos de la concentración en el mercado relevante con respecto a los demás competidores y demandantes del bien o servicio, así como en otros mercados y agentes económicos relacionados;</w:t>
      </w:r>
    </w:p>
    <w:p w:rsidR="00221C44" w:rsidRPr="007D02A7" w:rsidRDefault="00221C44" w:rsidP="00637B96">
      <w:pPr>
        <w:autoSpaceDE w:val="0"/>
        <w:autoSpaceDN w:val="0"/>
        <w:adjustRightInd w:val="0"/>
        <w:spacing w:before="120" w:after="120"/>
        <w:ind w:left="567"/>
        <w:jc w:val="both"/>
        <w:rPr>
          <w:rFonts w:ascii="ITC Avant Garde" w:hAnsi="ITC Avant Garde"/>
          <w:i/>
          <w:sz w:val="20"/>
        </w:rPr>
      </w:pPr>
      <w:r w:rsidRPr="007D02A7">
        <w:rPr>
          <w:rFonts w:ascii="ITC Avant Garde" w:hAnsi="ITC Avant Garde"/>
          <w:i/>
          <w:sz w:val="20"/>
        </w:rPr>
        <w:t>IV. La participación de los involucrados en la concentración en otros agentes económicos y la participación de otros agentes económicos en los involucrados en la concentración, siempre que dichos agentes económicos participen directa o indirectamente en el mercado relevante o en mercados relacionados. Cuando no sea posible identificar dicha participación, esta circunstancia deberá quedar plenamente justificada;</w:t>
      </w:r>
    </w:p>
    <w:p w:rsidR="00221C44" w:rsidRPr="007D02A7" w:rsidRDefault="00221C44" w:rsidP="00637B96">
      <w:pPr>
        <w:autoSpaceDE w:val="0"/>
        <w:autoSpaceDN w:val="0"/>
        <w:adjustRightInd w:val="0"/>
        <w:spacing w:before="120" w:after="120"/>
        <w:ind w:left="567"/>
        <w:jc w:val="both"/>
        <w:rPr>
          <w:rFonts w:ascii="ITC Avant Garde" w:hAnsi="ITC Avant Garde"/>
          <w:i/>
          <w:sz w:val="20"/>
        </w:rPr>
      </w:pPr>
      <w:r w:rsidRPr="007D02A7">
        <w:rPr>
          <w:rFonts w:ascii="ITC Avant Garde" w:hAnsi="ITC Avant Garde"/>
          <w:i/>
          <w:sz w:val="20"/>
        </w:rPr>
        <w:t>V. Los elementos que aporten los agentes económicos para acreditar la mayor eficiencia del mercado que se lograría derivada de la concentración y que incidirá favorablemente en el proceso de competencia y libre concurrencia, y</w:t>
      </w:r>
    </w:p>
    <w:p w:rsidR="00221C44" w:rsidRPr="007D02A7" w:rsidRDefault="00221C44" w:rsidP="00637B96">
      <w:pPr>
        <w:autoSpaceDE w:val="0"/>
        <w:autoSpaceDN w:val="0"/>
        <w:adjustRightInd w:val="0"/>
        <w:spacing w:before="120" w:after="120"/>
        <w:ind w:left="567"/>
        <w:jc w:val="both"/>
        <w:rPr>
          <w:rFonts w:ascii="ITC Avant Garde" w:hAnsi="ITC Avant Garde"/>
          <w:i/>
        </w:rPr>
      </w:pPr>
      <w:r w:rsidRPr="007D02A7">
        <w:rPr>
          <w:rFonts w:ascii="ITC Avant Garde" w:hAnsi="ITC Avant Garde"/>
          <w:i/>
          <w:sz w:val="20"/>
        </w:rPr>
        <w:t xml:space="preserve">VI. </w:t>
      </w:r>
      <w:r w:rsidRPr="007D02A7">
        <w:rPr>
          <w:rFonts w:ascii="ITC Avant Garde" w:hAnsi="ITC Avant Garde"/>
          <w:sz w:val="20"/>
        </w:rPr>
        <w:t>Los demás criterios e instrumentos analíticos que se establezcan en las Disposiciones Regulatorias y los criterios técnicos.”</w:t>
      </w:r>
      <w:r w:rsidRPr="007D02A7">
        <w:rPr>
          <w:rFonts w:ascii="ITC Avant Garde" w:hAnsi="ITC Avant Garde"/>
          <w:i/>
          <w:sz w:val="20"/>
        </w:rPr>
        <w:t xml:space="preserve"> </w:t>
      </w:r>
    </w:p>
    <w:p w:rsidR="00221C44" w:rsidRPr="007D02A7" w:rsidRDefault="00221C44" w:rsidP="00637B96">
      <w:pPr>
        <w:tabs>
          <w:tab w:val="left" w:pos="2410"/>
        </w:tabs>
        <w:spacing w:before="120" w:after="120"/>
        <w:jc w:val="both"/>
        <w:rPr>
          <w:rFonts w:ascii="ITC Avant Garde" w:eastAsia="Times New Roman" w:hAnsi="ITC Avant Garde"/>
          <w:bCs/>
          <w:color w:val="000000"/>
          <w:lang w:eastAsia="es-MX"/>
        </w:rPr>
      </w:pPr>
      <w:r w:rsidRPr="007D02A7">
        <w:rPr>
          <w:rFonts w:ascii="ITC Avant Garde" w:eastAsia="Times New Roman" w:hAnsi="ITC Avant Garde"/>
          <w:bCs/>
          <w:color w:val="000000"/>
          <w:lang w:eastAsia="es-MX"/>
        </w:rPr>
        <w:t>En correlación con la fracción III del artículo 63 de la LFCE, el artículo 64 de la LFCE establece que se considerarán como indicios de que una concentración es ilícita cuando ésta:</w:t>
      </w:r>
    </w:p>
    <w:p w:rsidR="00221C44" w:rsidRPr="007D02A7" w:rsidRDefault="00221C44" w:rsidP="00637B96">
      <w:pPr>
        <w:autoSpaceDE w:val="0"/>
        <w:autoSpaceDN w:val="0"/>
        <w:adjustRightInd w:val="0"/>
        <w:spacing w:before="120" w:after="120"/>
        <w:ind w:left="567"/>
        <w:jc w:val="both"/>
        <w:rPr>
          <w:rFonts w:ascii="ITC Avant Garde" w:hAnsi="ITC Avant Garde"/>
          <w:i/>
          <w:sz w:val="20"/>
        </w:rPr>
      </w:pPr>
      <w:r w:rsidRPr="007D02A7">
        <w:rPr>
          <w:rFonts w:ascii="ITC Avant Garde" w:hAnsi="ITC Avant Garde"/>
          <w:i/>
          <w:sz w:val="20"/>
        </w:rPr>
        <w:t>“(…)</w:t>
      </w:r>
    </w:p>
    <w:p w:rsidR="00221C44" w:rsidRPr="007D02A7" w:rsidRDefault="00221C44" w:rsidP="00637B96">
      <w:pPr>
        <w:autoSpaceDE w:val="0"/>
        <w:autoSpaceDN w:val="0"/>
        <w:adjustRightInd w:val="0"/>
        <w:spacing w:before="120" w:after="120"/>
        <w:ind w:left="567"/>
        <w:jc w:val="both"/>
        <w:rPr>
          <w:rFonts w:ascii="ITC Avant Garde" w:hAnsi="ITC Avant Garde"/>
          <w:i/>
          <w:sz w:val="20"/>
        </w:rPr>
      </w:pPr>
      <w:r w:rsidRPr="007D02A7">
        <w:rPr>
          <w:rFonts w:ascii="ITC Avant Garde" w:hAnsi="ITC Avant Garde"/>
          <w:i/>
          <w:sz w:val="20"/>
        </w:rPr>
        <w:t xml:space="preserve">I. Confiera o pueda conferir al </w:t>
      </w:r>
      <w:proofErr w:type="spellStart"/>
      <w:r w:rsidRPr="007D02A7">
        <w:rPr>
          <w:rFonts w:ascii="ITC Avant Garde" w:hAnsi="ITC Avant Garde"/>
          <w:i/>
          <w:sz w:val="20"/>
        </w:rPr>
        <w:t>fusionante</w:t>
      </w:r>
      <w:proofErr w:type="spellEnd"/>
      <w:r w:rsidRPr="007D02A7">
        <w:rPr>
          <w:rFonts w:ascii="ITC Avant Garde" w:hAnsi="ITC Avant Garde"/>
          <w:i/>
          <w:sz w:val="20"/>
        </w:rPr>
        <w:t>, al adquirente o Agente Económico resultante de la concentración, poder sustancial en los términos de esta Ley, o incremente o pueda incrementar dicho poder sustancial, con lo cual se pueda obstaculizar, disminuir, dañar o impedir la libre concurrencia y la competencia económica;</w:t>
      </w:r>
    </w:p>
    <w:p w:rsidR="00221C44" w:rsidRPr="007D02A7" w:rsidRDefault="00221C44" w:rsidP="00637B96">
      <w:pPr>
        <w:autoSpaceDE w:val="0"/>
        <w:autoSpaceDN w:val="0"/>
        <w:adjustRightInd w:val="0"/>
        <w:spacing w:before="120" w:after="120"/>
        <w:ind w:left="567"/>
        <w:jc w:val="both"/>
        <w:rPr>
          <w:rFonts w:ascii="ITC Avant Garde" w:hAnsi="ITC Avant Garde"/>
          <w:i/>
          <w:sz w:val="20"/>
        </w:rPr>
      </w:pPr>
      <w:r w:rsidRPr="007D02A7">
        <w:rPr>
          <w:rFonts w:ascii="ITC Avant Garde" w:hAnsi="ITC Avant Garde"/>
          <w:i/>
          <w:sz w:val="20"/>
        </w:rPr>
        <w:t>II. Tenga o pueda tener por objeto o efecto establecer barreras a la entrada, impedir a terceros el acceso al mercado relevante, a mercados relacionados o a insumos esenciales, o desplazar a otros Agentes Económicos, o</w:t>
      </w:r>
    </w:p>
    <w:p w:rsidR="00221C44" w:rsidRPr="007D02A7" w:rsidRDefault="00221C44" w:rsidP="00637B96">
      <w:pPr>
        <w:autoSpaceDE w:val="0"/>
        <w:autoSpaceDN w:val="0"/>
        <w:adjustRightInd w:val="0"/>
        <w:spacing w:before="120" w:after="120"/>
        <w:ind w:left="567"/>
        <w:jc w:val="both"/>
        <w:rPr>
          <w:rFonts w:ascii="ITC Avant Garde" w:hAnsi="ITC Avant Garde"/>
          <w:i/>
          <w:sz w:val="20"/>
        </w:rPr>
      </w:pPr>
      <w:r w:rsidRPr="007D02A7">
        <w:rPr>
          <w:rFonts w:ascii="ITC Avant Garde" w:hAnsi="ITC Avant Garde"/>
          <w:i/>
          <w:sz w:val="20"/>
        </w:rPr>
        <w:lastRenderedPageBreak/>
        <w:t>III. Tenga por objeto o efecto facilitar sustancialmente a los participantes en dicha concentración el ejercicio de conductas prohibidas por esta Ley, y particularmente, de las prácticas monopólicas.”</w:t>
      </w:r>
    </w:p>
    <w:p w:rsidR="00221C44" w:rsidRPr="007D02A7" w:rsidRDefault="00221C44" w:rsidP="00637B96">
      <w:pPr>
        <w:tabs>
          <w:tab w:val="left" w:pos="2410"/>
        </w:tabs>
        <w:spacing w:before="120" w:after="120"/>
        <w:jc w:val="both"/>
        <w:rPr>
          <w:rFonts w:ascii="ITC Avant Garde" w:eastAsia="Times New Roman" w:hAnsi="ITC Avant Garde"/>
          <w:bCs/>
          <w:color w:val="000000"/>
          <w:lang w:eastAsia="es-MX"/>
        </w:rPr>
      </w:pPr>
      <w:r w:rsidRPr="007D02A7">
        <w:rPr>
          <w:rFonts w:ascii="ITC Avant Garde" w:eastAsia="Times New Roman" w:hAnsi="ITC Avant Garde"/>
          <w:bCs/>
          <w:color w:val="000000"/>
          <w:lang w:eastAsia="es-MX"/>
        </w:rPr>
        <w:t xml:space="preserve">Considerando ambas disposiciones, el análisis de los efectos de una concentración se debe orientar a identificar si tiene el objeto o el efecto de: a) conferir o incrementar el poder sustancial, b) establecer barreras a la entrada, impedir a terceros el acceso al mercado relevante, a mercados relacionados o a insumos esenciales y/o c) facilitar el ejercicio de conductas prohibidas por la LFCE. </w:t>
      </w:r>
    </w:p>
    <w:p w:rsidR="00221C44" w:rsidRPr="007D02A7" w:rsidRDefault="00221C44" w:rsidP="00637B96">
      <w:pPr>
        <w:tabs>
          <w:tab w:val="left" w:pos="2410"/>
        </w:tabs>
        <w:spacing w:before="120" w:after="120"/>
        <w:jc w:val="both"/>
        <w:rPr>
          <w:rFonts w:ascii="ITC Avant Garde" w:eastAsia="Times New Roman" w:hAnsi="ITC Avant Garde"/>
          <w:bCs/>
          <w:color w:val="000000"/>
          <w:lang w:eastAsia="es-MX"/>
        </w:rPr>
      </w:pPr>
      <w:r w:rsidRPr="007D02A7">
        <w:rPr>
          <w:rFonts w:ascii="ITC Avant Garde" w:eastAsia="Times New Roman" w:hAnsi="ITC Avant Garde"/>
          <w:bCs/>
          <w:color w:val="000000"/>
          <w:lang w:eastAsia="es-MX"/>
        </w:rPr>
        <w:t xml:space="preserve">Con fundamento en estas disposiciones normativas, a continuación se presenta el análisis de los Agentes Económicos que participarán en la Operación (sección </w:t>
      </w:r>
      <w:r w:rsidRPr="007D02A7">
        <w:rPr>
          <w:rFonts w:ascii="ITC Avant Garde" w:eastAsia="Times New Roman" w:hAnsi="ITC Avant Garde"/>
          <w:bCs/>
          <w:color w:val="000000"/>
          <w:lang w:eastAsia="es-MX"/>
        </w:rPr>
        <w:fldChar w:fldCharType="begin"/>
      </w:r>
      <w:r w:rsidRPr="007D02A7">
        <w:rPr>
          <w:rFonts w:ascii="ITC Avant Garde" w:eastAsia="Times New Roman" w:hAnsi="ITC Avant Garde"/>
          <w:bCs/>
          <w:color w:val="000000"/>
          <w:lang w:eastAsia="es-MX"/>
        </w:rPr>
        <w:instrText xml:space="preserve"> REF _Ref473542068 \r \h </w:instrText>
      </w:r>
      <w:r w:rsidR="00EB74D0" w:rsidRPr="007D02A7">
        <w:rPr>
          <w:rFonts w:ascii="ITC Avant Garde" w:eastAsia="Times New Roman" w:hAnsi="ITC Avant Garde"/>
          <w:bCs/>
          <w:color w:val="000000"/>
          <w:lang w:eastAsia="es-MX"/>
        </w:rPr>
        <w:instrText xml:space="preserve"> \* MERGEFORMAT </w:instrText>
      </w:r>
      <w:r w:rsidRPr="007D02A7">
        <w:rPr>
          <w:rFonts w:ascii="ITC Avant Garde" w:eastAsia="Times New Roman" w:hAnsi="ITC Avant Garde"/>
          <w:bCs/>
          <w:color w:val="000000"/>
          <w:lang w:eastAsia="es-MX"/>
        </w:rPr>
      </w:r>
      <w:r w:rsidRPr="007D02A7">
        <w:rPr>
          <w:rFonts w:ascii="ITC Avant Garde" w:eastAsia="Times New Roman" w:hAnsi="ITC Avant Garde"/>
          <w:bCs/>
          <w:color w:val="000000"/>
          <w:lang w:eastAsia="es-MX"/>
        </w:rPr>
        <w:fldChar w:fldCharType="separate"/>
      </w:r>
      <w:r w:rsidR="0017207B" w:rsidRPr="007D02A7">
        <w:rPr>
          <w:rFonts w:ascii="ITC Avant Garde" w:eastAsia="Times New Roman" w:hAnsi="ITC Avant Garde"/>
          <w:bCs/>
          <w:color w:val="000000"/>
          <w:lang w:eastAsia="es-MX"/>
        </w:rPr>
        <w:t>6.2</w:t>
      </w:r>
      <w:r w:rsidRPr="007D02A7">
        <w:rPr>
          <w:rFonts w:ascii="ITC Avant Garde" w:eastAsia="Times New Roman" w:hAnsi="ITC Avant Garde"/>
          <w:bCs/>
          <w:color w:val="000000"/>
          <w:lang w:eastAsia="es-MX"/>
        </w:rPr>
        <w:fldChar w:fldCharType="end"/>
      </w:r>
      <w:r w:rsidRPr="007D02A7">
        <w:rPr>
          <w:rFonts w:ascii="ITC Avant Garde" w:eastAsia="Times New Roman" w:hAnsi="ITC Avant Garde"/>
          <w:bCs/>
          <w:color w:val="000000"/>
          <w:lang w:eastAsia="es-MX"/>
        </w:rPr>
        <w:t xml:space="preserve">); las actividades económicas involucradas (sección </w:t>
      </w:r>
      <w:r w:rsidRPr="007D02A7">
        <w:rPr>
          <w:rFonts w:ascii="ITC Avant Garde" w:eastAsia="Times New Roman" w:hAnsi="ITC Avant Garde"/>
          <w:bCs/>
          <w:color w:val="000000"/>
          <w:lang w:eastAsia="es-MX"/>
        </w:rPr>
        <w:fldChar w:fldCharType="begin"/>
      </w:r>
      <w:r w:rsidRPr="007D02A7">
        <w:rPr>
          <w:rFonts w:ascii="ITC Avant Garde" w:eastAsia="Times New Roman" w:hAnsi="ITC Avant Garde"/>
          <w:bCs/>
          <w:color w:val="000000"/>
          <w:lang w:eastAsia="es-MX"/>
        </w:rPr>
        <w:instrText xml:space="preserve"> REF _Ref473543721 \r \h </w:instrText>
      </w:r>
      <w:r w:rsidR="00A27D3A" w:rsidRPr="007D02A7">
        <w:rPr>
          <w:rFonts w:ascii="ITC Avant Garde" w:eastAsia="Times New Roman" w:hAnsi="ITC Avant Garde"/>
          <w:bCs/>
          <w:color w:val="000000"/>
          <w:lang w:eastAsia="es-MX"/>
        </w:rPr>
        <w:instrText xml:space="preserve"> \* MERGEFORMAT </w:instrText>
      </w:r>
      <w:r w:rsidRPr="007D02A7">
        <w:rPr>
          <w:rFonts w:ascii="ITC Avant Garde" w:eastAsia="Times New Roman" w:hAnsi="ITC Avant Garde"/>
          <w:bCs/>
          <w:color w:val="000000"/>
          <w:lang w:eastAsia="es-MX"/>
        </w:rPr>
      </w:r>
      <w:r w:rsidRPr="007D02A7">
        <w:rPr>
          <w:rFonts w:ascii="ITC Avant Garde" w:eastAsia="Times New Roman" w:hAnsi="ITC Avant Garde"/>
          <w:bCs/>
          <w:color w:val="000000"/>
          <w:lang w:eastAsia="es-MX"/>
        </w:rPr>
        <w:fldChar w:fldCharType="separate"/>
      </w:r>
      <w:r w:rsidR="0017207B" w:rsidRPr="007D02A7">
        <w:rPr>
          <w:rFonts w:ascii="ITC Avant Garde" w:eastAsia="Times New Roman" w:hAnsi="ITC Avant Garde"/>
          <w:bCs/>
          <w:color w:val="000000"/>
          <w:lang w:eastAsia="es-MX"/>
        </w:rPr>
        <w:t>6.3</w:t>
      </w:r>
      <w:r w:rsidRPr="007D02A7">
        <w:rPr>
          <w:rFonts w:ascii="ITC Avant Garde" w:eastAsia="Times New Roman" w:hAnsi="ITC Avant Garde"/>
          <w:bCs/>
          <w:color w:val="000000"/>
          <w:lang w:eastAsia="es-MX"/>
        </w:rPr>
        <w:fldChar w:fldCharType="end"/>
      </w:r>
      <w:r w:rsidRPr="007D02A7">
        <w:rPr>
          <w:rFonts w:ascii="ITC Avant Garde" w:eastAsia="Times New Roman" w:hAnsi="ITC Avant Garde"/>
          <w:bCs/>
          <w:color w:val="000000"/>
          <w:lang w:eastAsia="es-MX"/>
        </w:rPr>
        <w:t xml:space="preserve">); y los efectos que podría generar la Operación en el proceso de competencia económica y libre concurrencia (sección </w:t>
      </w:r>
      <w:r w:rsidRPr="007D02A7">
        <w:rPr>
          <w:rFonts w:ascii="ITC Avant Garde" w:eastAsia="Times New Roman" w:hAnsi="ITC Avant Garde"/>
          <w:bCs/>
          <w:color w:val="000000"/>
          <w:lang w:eastAsia="es-MX"/>
        </w:rPr>
        <w:fldChar w:fldCharType="begin"/>
      </w:r>
      <w:r w:rsidRPr="007D02A7">
        <w:rPr>
          <w:rFonts w:ascii="ITC Avant Garde" w:eastAsia="Times New Roman" w:hAnsi="ITC Avant Garde"/>
          <w:bCs/>
          <w:color w:val="000000"/>
          <w:lang w:eastAsia="es-MX"/>
        </w:rPr>
        <w:instrText xml:space="preserve"> REF _Ref473574188 \r \h </w:instrText>
      </w:r>
      <w:r w:rsidR="00EB74D0" w:rsidRPr="007D02A7">
        <w:rPr>
          <w:rFonts w:ascii="ITC Avant Garde" w:eastAsia="Times New Roman" w:hAnsi="ITC Avant Garde"/>
          <w:bCs/>
          <w:color w:val="000000"/>
          <w:lang w:eastAsia="es-MX"/>
        </w:rPr>
        <w:instrText xml:space="preserve"> \* MERGEFORMAT </w:instrText>
      </w:r>
      <w:r w:rsidRPr="007D02A7">
        <w:rPr>
          <w:rFonts w:ascii="ITC Avant Garde" w:eastAsia="Times New Roman" w:hAnsi="ITC Avant Garde"/>
          <w:bCs/>
          <w:color w:val="000000"/>
          <w:lang w:eastAsia="es-MX"/>
        </w:rPr>
      </w:r>
      <w:r w:rsidRPr="007D02A7">
        <w:rPr>
          <w:rFonts w:ascii="ITC Avant Garde" w:eastAsia="Times New Roman" w:hAnsi="ITC Avant Garde"/>
          <w:bCs/>
          <w:color w:val="000000"/>
          <w:lang w:eastAsia="es-MX"/>
        </w:rPr>
        <w:fldChar w:fldCharType="separate"/>
      </w:r>
      <w:r w:rsidR="0017207B" w:rsidRPr="007D02A7">
        <w:rPr>
          <w:rFonts w:ascii="ITC Avant Garde" w:eastAsia="Times New Roman" w:hAnsi="ITC Avant Garde"/>
          <w:bCs/>
          <w:color w:val="000000"/>
          <w:lang w:eastAsia="es-MX"/>
        </w:rPr>
        <w:t>6.4</w:t>
      </w:r>
      <w:r w:rsidRPr="007D02A7">
        <w:rPr>
          <w:rFonts w:ascii="ITC Avant Garde" w:eastAsia="Times New Roman" w:hAnsi="ITC Avant Garde"/>
          <w:bCs/>
          <w:color w:val="000000"/>
          <w:lang w:eastAsia="es-MX"/>
        </w:rPr>
        <w:fldChar w:fldCharType="end"/>
      </w:r>
      <w:r w:rsidRPr="007D02A7">
        <w:rPr>
          <w:rFonts w:ascii="ITC Avant Garde" w:eastAsia="Times New Roman" w:hAnsi="ITC Avant Garde"/>
          <w:bCs/>
          <w:color w:val="000000"/>
          <w:lang w:eastAsia="es-MX"/>
        </w:rPr>
        <w:t>).</w:t>
      </w:r>
    </w:p>
    <w:p w:rsidR="00221C44" w:rsidRPr="007D02A7" w:rsidRDefault="00CF0AFC" w:rsidP="00637B96">
      <w:pPr>
        <w:spacing w:before="120" w:after="120"/>
        <w:ind w:firstLine="426"/>
        <w:rPr>
          <w:rFonts w:ascii="ITC Avant Garde" w:hAnsi="ITC Avant Garde"/>
          <w:b/>
          <w:i/>
        </w:rPr>
      </w:pPr>
      <w:bookmarkStart w:id="32" w:name="_Toc435697319"/>
      <w:bookmarkStart w:id="33" w:name="_Toc435697395"/>
      <w:bookmarkStart w:id="34" w:name="_Ref473542068"/>
      <w:r w:rsidRPr="007D02A7">
        <w:rPr>
          <w:rFonts w:ascii="ITC Avant Garde" w:hAnsi="ITC Avant Garde"/>
          <w:b/>
          <w:i/>
        </w:rPr>
        <w:t xml:space="preserve">6.2 </w:t>
      </w:r>
      <w:r w:rsidR="00221C44" w:rsidRPr="007D02A7">
        <w:rPr>
          <w:rFonts w:ascii="ITC Avant Garde" w:hAnsi="ITC Avant Garde"/>
          <w:b/>
          <w:i/>
        </w:rPr>
        <w:t xml:space="preserve">Identificación de </w:t>
      </w:r>
      <w:bookmarkEnd w:id="32"/>
      <w:bookmarkEnd w:id="33"/>
      <w:r w:rsidR="00221C44" w:rsidRPr="007D02A7">
        <w:rPr>
          <w:rFonts w:ascii="ITC Avant Garde" w:hAnsi="ITC Avant Garde"/>
          <w:b/>
          <w:i/>
        </w:rPr>
        <w:t>GIE que participarán en la Operación</w:t>
      </w:r>
      <w:bookmarkEnd w:id="34"/>
    </w:p>
    <w:p w:rsidR="00221C44" w:rsidRPr="007D02A7" w:rsidRDefault="00221C44" w:rsidP="00637B96">
      <w:pPr>
        <w:tabs>
          <w:tab w:val="left" w:pos="2410"/>
        </w:tabs>
        <w:spacing w:before="120" w:after="120"/>
        <w:jc w:val="both"/>
        <w:rPr>
          <w:rFonts w:ascii="ITC Avant Garde" w:eastAsia="Times New Roman" w:hAnsi="ITC Avant Garde"/>
          <w:bCs/>
          <w:color w:val="000000"/>
          <w:lang w:eastAsia="es-MX"/>
        </w:rPr>
      </w:pPr>
      <w:r w:rsidRPr="007D02A7">
        <w:rPr>
          <w:rFonts w:ascii="ITC Avant Garde" w:eastAsia="Times New Roman" w:hAnsi="ITC Avant Garde"/>
          <w:bCs/>
          <w:color w:val="000000"/>
          <w:lang w:eastAsia="es-MX"/>
        </w:rPr>
        <w:t xml:space="preserve">De acuerdo con la información presentada en el Considerando </w:t>
      </w:r>
      <w:r w:rsidRPr="007D02A7">
        <w:rPr>
          <w:rFonts w:ascii="ITC Avant Garde" w:eastAsia="Times New Roman" w:hAnsi="ITC Avant Garde"/>
          <w:bCs/>
          <w:color w:val="000000"/>
          <w:lang w:eastAsia="es-MX"/>
        </w:rPr>
        <w:fldChar w:fldCharType="begin"/>
      </w:r>
      <w:r w:rsidRPr="007D02A7">
        <w:rPr>
          <w:rFonts w:ascii="ITC Avant Garde" w:eastAsia="Times New Roman" w:hAnsi="ITC Avant Garde"/>
          <w:bCs/>
          <w:color w:val="000000"/>
          <w:lang w:eastAsia="es-MX"/>
        </w:rPr>
        <w:instrText xml:space="preserve"> REF _Ref472959191 \r \h  \* MERGEFORMAT </w:instrText>
      </w:r>
      <w:r w:rsidRPr="007D02A7">
        <w:rPr>
          <w:rFonts w:ascii="ITC Avant Garde" w:eastAsia="Times New Roman" w:hAnsi="ITC Avant Garde"/>
          <w:bCs/>
          <w:color w:val="000000"/>
          <w:lang w:eastAsia="es-MX"/>
        </w:rPr>
      </w:r>
      <w:r w:rsidRPr="007D02A7">
        <w:rPr>
          <w:rFonts w:ascii="ITC Avant Garde" w:eastAsia="Times New Roman" w:hAnsi="ITC Avant Garde"/>
          <w:bCs/>
          <w:color w:val="000000"/>
          <w:lang w:eastAsia="es-MX"/>
        </w:rPr>
        <w:fldChar w:fldCharType="separate"/>
      </w:r>
      <w:r w:rsidR="0017207B" w:rsidRPr="007D02A7">
        <w:rPr>
          <w:rFonts w:ascii="ITC Avant Garde" w:eastAsia="Times New Roman" w:hAnsi="ITC Avant Garde"/>
          <w:bCs/>
          <w:color w:val="000000"/>
          <w:lang w:eastAsia="es-MX"/>
        </w:rPr>
        <w:t>Quinto.</w:t>
      </w:r>
      <w:proofErr w:type="gramStart"/>
      <w:r w:rsidR="0017207B" w:rsidRPr="007D02A7">
        <w:rPr>
          <w:rFonts w:ascii="ITC Avant Garde" w:eastAsia="Times New Roman" w:hAnsi="ITC Avant Garde"/>
          <w:bCs/>
          <w:color w:val="000000"/>
          <w:lang w:eastAsia="es-MX"/>
        </w:rPr>
        <w:t xml:space="preserve">- </w:t>
      </w:r>
      <w:proofErr w:type="gramEnd"/>
      <w:r w:rsidRPr="007D02A7">
        <w:rPr>
          <w:rFonts w:ascii="ITC Avant Garde" w:eastAsia="Times New Roman" w:hAnsi="ITC Avant Garde"/>
          <w:bCs/>
          <w:color w:val="000000"/>
          <w:lang w:eastAsia="es-MX"/>
        </w:rPr>
        <w:fldChar w:fldCharType="end"/>
      </w:r>
      <w:r w:rsidRPr="007D02A7">
        <w:rPr>
          <w:rFonts w:ascii="ITC Avant Garde" w:eastAsia="Times New Roman" w:hAnsi="ITC Avant Garde"/>
          <w:bCs/>
          <w:color w:val="000000"/>
          <w:lang w:eastAsia="es-MX"/>
        </w:rPr>
        <w:t>, se identifica que en la Operación participarán dos GIE:</w:t>
      </w:r>
    </w:p>
    <w:p w:rsidR="00221C44" w:rsidRPr="007D02A7" w:rsidRDefault="00221C44" w:rsidP="00637B96">
      <w:pPr>
        <w:numPr>
          <w:ilvl w:val="0"/>
          <w:numId w:val="3"/>
        </w:numPr>
        <w:tabs>
          <w:tab w:val="left" w:pos="2410"/>
        </w:tabs>
        <w:spacing w:before="120" w:after="120"/>
        <w:jc w:val="both"/>
        <w:rPr>
          <w:rFonts w:ascii="ITC Avant Garde" w:eastAsia="Times New Roman" w:hAnsi="ITC Avant Garde"/>
          <w:bCs/>
          <w:color w:val="000000"/>
          <w:lang w:eastAsia="es-MX"/>
        </w:rPr>
      </w:pPr>
      <w:r w:rsidRPr="007D02A7">
        <w:rPr>
          <w:rFonts w:ascii="ITC Avant Garde" w:eastAsia="Times New Roman" w:hAnsi="ITC Avant Garde"/>
          <w:bCs/>
          <w:color w:val="000000"/>
          <w:lang w:eastAsia="es-MX"/>
        </w:rPr>
        <w:t xml:space="preserve">El GIE controlado por ATC al que pertenecen además ATC de México y MATC Digital, así como sus cinco subsidiarias en México (MATC </w:t>
      </w:r>
      <w:proofErr w:type="spellStart"/>
      <w:r w:rsidRPr="007D02A7">
        <w:rPr>
          <w:rFonts w:ascii="ITC Avant Garde" w:eastAsia="Times New Roman" w:hAnsi="ITC Avant Garde"/>
          <w:bCs/>
          <w:color w:val="000000"/>
          <w:lang w:eastAsia="es-MX"/>
        </w:rPr>
        <w:t>Fibraóptica</w:t>
      </w:r>
      <w:proofErr w:type="spellEnd"/>
      <w:r w:rsidRPr="007D02A7">
        <w:rPr>
          <w:rFonts w:ascii="ITC Avant Garde" w:eastAsia="Times New Roman" w:hAnsi="ITC Avant Garde"/>
          <w:bCs/>
          <w:color w:val="000000"/>
          <w:lang w:eastAsia="es-MX"/>
        </w:rPr>
        <w:t xml:space="preserve">, MATC Servicios, MATC Infraestructura, ATC </w:t>
      </w:r>
      <w:proofErr w:type="spellStart"/>
      <w:r w:rsidRPr="007D02A7">
        <w:rPr>
          <w:rFonts w:ascii="ITC Avant Garde" w:eastAsia="Times New Roman" w:hAnsi="ITC Avant Garde"/>
          <w:bCs/>
          <w:color w:val="000000"/>
          <w:lang w:eastAsia="es-MX"/>
        </w:rPr>
        <w:t>Latin</w:t>
      </w:r>
      <w:proofErr w:type="spellEnd"/>
      <w:r w:rsidRPr="007D02A7">
        <w:rPr>
          <w:rFonts w:ascii="ITC Avant Garde" w:eastAsia="Times New Roman" w:hAnsi="ITC Avant Garde"/>
          <w:bCs/>
          <w:color w:val="000000"/>
          <w:lang w:eastAsia="es-MX"/>
        </w:rPr>
        <w:t xml:space="preserve"> </w:t>
      </w:r>
      <w:proofErr w:type="spellStart"/>
      <w:r w:rsidRPr="007D02A7">
        <w:rPr>
          <w:rFonts w:ascii="ITC Avant Garde" w:eastAsia="Times New Roman" w:hAnsi="ITC Avant Garde"/>
          <w:bCs/>
          <w:color w:val="000000"/>
          <w:lang w:eastAsia="es-MX"/>
        </w:rPr>
        <w:t>America</w:t>
      </w:r>
      <w:proofErr w:type="spellEnd"/>
      <w:r w:rsidRPr="007D02A7">
        <w:rPr>
          <w:rFonts w:ascii="ITC Avant Garde" w:eastAsia="Times New Roman" w:hAnsi="ITC Avant Garde"/>
          <w:bCs/>
          <w:color w:val="000000"/>
          <w:lang w:eastAsia="es-MX"/>
        </w:rPr>
        <w:t xml:space="preserve"> y Adquisiciones y Proyectos Inalámbricos), identificadas en el </w:t>
      </w:r>
      <w:r w:rsidRPr="007D02A7">
        <w:rPr>
          <w:rFonts w:ascii="ITC Avant Garde" w:eastAsia="Times New Roman" w:hAnsi="ITC Avant Garde"/>
          <w:bCs/>
          <w:color w:val="000000"/>
          <w:lang w:eastAsia="es-MX"/>
        </w:rPr>
        <w:fldChar w:fldCharType="begin"/>
      </w:r>
      <w:r w:rsidRPr="007D02A7">
        <w:rPr>
          <w:rFonts w:ascii="ITC Avant Garde" w:eastAsia="Times New Roman" w:hAnsi="ITC Avant Garde"/>
          <w:bCs/>
          <w:color w:val="000000"/>
          <w:lang w:eastAsia="es-MX"/>
        </w:rPr>
        <w:instrText xml:space="preserve"> REF _Ref495411674 \r \h  \* MERGEFORMAT </w:instrText>
      </w:r>
      <w:r w:rsidRPr="007D02A7">
        <w:rPr>
          <w:rFonts w:ascii="ITC Avant Garde" w:eastAsia="Times New Roman" w:hAnsi="ITC Avant Garde"/>
          <w:bCs/>
          <w:color w:val="000000"/>
          <w:lang w:eastAsia="es-MX"/>
        </w:rPr>
      </w:r>
      <w:r w:rsidRPr="007D02A7">
        <w:rPr>
          <w:rFonts w:ascii="ITC Avant Garde" w:eastAsia="Times New Roman" w:hAnsi="ITC Avant Garde"/>
          <w:bCs/>
          <w:color w:val="000000"/>
          <w:lang w:eastAsia="es-MX"/>
        </w:rPr>
        <w:fldChar w:fldCharType="separate"/>
      </w:r>
      <w:r w:rsidR="0017207B" w:rsidRPr="007D02A7">
        <w:rPr>
          <w:rFonts w:ascii="ITC Avant Garde" w:eastAsia="Times New Roman" w:hAnsi="ITC Avant Garde"/>
          <w:bCs/>
          <w:color w:val="000000"/>
          <w:lang w:eastAsia="es-MX"/>
        </w:rPr>
        <w:t>Cuadro 7</w:t>
      </w:r>
      <w:r w:rsidRPr="007D02A7">
        <w:rPr>
          <w:rFonts w:ascii="ITC Avant Garde" w:eastAsia="Times New Roman" w:hAnsi="ITC Avant Garde"/>
          <w:bCs/>
          <w:color w:val="000000"/>
          <w:lang w:eastAsia="es-MX"/>
        </w:rPr>
        <w:fldChar w:fldCharType="end"/>
      </w:r>
      <w:r w:rsidRPr="007D02A7">
        <w:rPr>
          <w:rFonts w:ascii="ITC Avant Garde" w:eastAsia="Times New Roman" w:hAnsi="ITC Avant Garde"/>
          <w:bCs/>
          <w:color w:val="000000"/>
          <w:lang w:eastAsia="es-MX"/>
        </w:rPr>
        <w:t>;</w:t>
      </w:r>
      <w:r w:rsidRPr="007D02A7">
        <w:rPr>
          <w:rFonts w:ascii="ITC Avant Garde" w:eastAsia="Times New Roman" w:hAnsi="ITC Avant Garde"/>
          <w:bCs/>
          <w:color w:val="000000"/>
          <w:vertAlign w:val="superscript"/>
          <w:lang w:eastAsia="es-MX"/>
        </w:rPr>
        <w:footnoteReference w:id="35"/>
      </w:r>
      <w:r w:rsidRPr="007D02A7">
        <w:rPr>
          <w:rFonts w:ascii="ITC Avant Garde" w:eastAsia="Times New Roman" w:hAnsi="ITC Avant Garde"/>
          <w:bCs/>
          <w:color w:val="000000"/>
          <w:lang w:eastAsia="es-MX"/>
        </w:rPr>
        <w:t xml:space="preserve"> y</w:t>
      </w:r>
      <w:r w:rsidR="007177DE" w:rsidRPr="007D02A7">
        <w:rPr>
          <w:rFonts w:ascii="ITC Avant Garde" w:eastAsia="Times New Roman" w:hAnsi="ITC Avant Garde"/>
          <w:bCs/>
          <w:color w:val="000000"/>
          <w:lang w:eastAsia="es-MX"/>
        </w:rPr>
        <w:t xml:space="preserve"> </w:t>
      </w:r>
    </w:p>
    <w:p w:rsidR="00221C44" w:rsidRPr="007D02A7" w:rsidRDefault="00221C44" w:rsidP="00637B96">
      <w:pPr>
        <w:numPr>
          <w:ilvl w:val="0"/>
          <w:numId w:val="3"/>
        </w:numPr>
        <w:tabs>
          <w:tab w:val="left" w:pos="2410"/>
        </w:tabs>
        <w:spacing w:before="120" w:after="120"/>
        <w:jc w:val="both"/>
        <w:rPr>
          <w:rFonts w:ascii="ITC Avant Garde" w:eastAsia="Times New Roman" w:hAnsi="ITC Avant Garde"/>
          <w:bCs/>
          <w:color w:val="000000"/>
          <w:lang w:eastAsia="es-MX"/>
        </w:rPr>
      </w:pPr>
      <w:r w:rsidRPr="007D02A7">
        <w:rPr>
          <w:rFonts w:ascii="ITC Avant Garde" w:eastAsia="Times New Roman" w:hAnsi="ITC Avant Garde"/>
          <w:bCs/>
          <w:color w:val="000000"/>
          <w:lang w:eastAsia="es-MX"/>
        </w:rPr>
        <w:t>Alfa/AXTEL, como se define en la sección 5.2 de esta resolución.</w:t>
      </w:r>
    </w:p>
    <w:p w:rsidR="00221C44" w:rsidRPr="007D02A7" w:rsidRDefault="00221C44" w:rsidP="00637B96">
      <w:pPr>
        <w:tabs>
          <w:tab w:val="left" w:pos="2410"/>
        </w:tabs>
        <w:spacing w:before="120" w:after="120"/>
        <w:jc w:val="both"/>
        <w:rPr>
          <w:rFonts w:ascii="ITC Avant Garde" w:eastAsia="Times New Roman" w:hAnsi="ITC Avant Garde"/>
          <w:bCs/>
          <w:color w:val="000000"/>
          <w:lang w:eastAsia="es-MX"/>
        </w:rPr>
      </w:pPr>
      <w:r w:rsidRPr="007D02A7">
        <w:rPr>
          <w:rFonts w:ascii="ITC Avant Garde" w:eastAsia="Times New Roman" w:hAnsi="ITC Avant Garde"/>
          <w:bCs/>
          <w:color w:val="000000"/>
          <w:lang w:eastAsia="es-MX"/>
        </w:rPr>
        <w:t xml:space="preserve">En atención al artículo 63, fracción IV, de la LFCE, no se identifica que en México: (i) el GIE controlado por ATC participe en otros Agentes Económicos que concurran en la provisión de servicios coincidente, y (ii) en el GIE controlado por ATC participen otros Agentes Económicos en la provisión de servicios coincidentes. </w:t>
      </w:r>
    </w:p>
    <w:p w:rsidR="00221C44" w:rsidRPr="007D02A7" w:rsidRDefault="00CF0AFC" w:rsidP="00637B96">
      <w:pPr>
        <w:spacing w:before="120" w:after="120"/>
        <w:ind w:firstLine="426"/>
        <w:rPr>
          <w:rFonts w:ascii="ITC Avant Garde" w:hAnsi="ITC Avant Garde"/>
          <w:b/>
          <w:i/>
        </w:rPr>
      </w:pPr>
      <w:bookmarkStart w:id="35" w:name="_Ref473543721"/>
      <w:r w:rsidRPr="007D02A7">
        <w:rPr>
          <w:rFonts w:ascii="ITC Avant Garde" w:hAnsi="ITC Avant Garde"/>
          <w:b/>
          <w:i/>
        </w:rPr>
        <w:t xml:space="preserve">6.3 </w:t>
      </w:r>
      <w:r w:rsidR="00221C44" w:rsidRPr="007D02A7">
        <w:rPr>
          <w:rFonts w:ascii="ITC Avant Garde" w:hAnsi="ITC Avant Garde"/>
          <w:b/>
          <w:i/>
        </w:rPr>
        <w:t>Servicio en el que tiene efectos la Operación</w:t>
      </w:r>
      <w:bookmarkEnd w:id="35"/>
    </w:p>
    <w:p w:rsidR="00221C44" w:rsidRPr="007D02A7" w:rsidRDefault="00221C44" w:rsidP="00637B96">
      <w:pPr>
        <w:tabs>
          <w:tab w:val="left" w:pos="2410"/>
        </w:tabs>
        <w:spacing w:before="120" w:after="120"/>
        <w:jc w:val="both"/>
        <w:rPr>
          <w:rFonts w:ascii="ITC Avant Garde" w:eastAsia="Times New Roman" w:hAnsi="ITC Avant Garde"/>
          <w:bCs/>
          <w:color w:val="000000"/>
          <w:lang w:eastAsia="es-MX"/>
        </w:rPr>
      </w:pPr>
      <w:r w:rsidRPr="007D02A7">
        <w:rPr>
          <w:rFonts w:ascii="ITC Avant Garde" w:eastAsia="Times New Roman" w:hAnsi="ITC Avant Garde"/>
          <w:bCs/>
          <w:color w:val="000000"/>
          <w:lang w:eastAsia="es-MX"/>
        </w:rPr>
        <w:t xml:space="preserve">Conforme a lo expuesto en el Considerando Segundo y Quinto, la Operación implica la adquisición por parte de MATC Digital de 142 (ciento cuarenta y </w:t>
      </w:r>
      <w:r w:rsidRPr="007D02A7">
        <w:rPr>
          <w:rFonts w:ascii="ITC Avant Garde" w:eastAsia="Times New Roman" w:hAnsi="ITC Avant Garde"/>
          <w:bCs/>
          <w:noProof/>
          <w:color w:val="000000"/>
          <w:lang w:eastAsia="es-MX"/>
        </w:rPr>
        <w:t>dos</w:t>
      </w:r>
      <w:r w:rsidRPr="007D02A7">
        <w:rPr>
          <w:rFonts w:ascii="ITC Avant Garde" w:eastAsia="Times New Roman" w:hAnsi="ITC Avant Garde"/>
          <w:bCs/>
          <w:color w:val="000000"/>
          <w:lang w:eastAsia="es-MX"/>
        </w:rPr>
        <w:t xml:space="preserve">) torres de telecomunicaciones, propiedad de AXTEL. MATC Digital es una sociedad dedicada a la provisión del servicio de arrendamiento de sitios en torres de telecomunicaciones y utilizará las 142 (ciento cuarenta y </w:t>
      </w:r>
      <w:r w:rsidRPr="007D02A7">
        <w:rPr>
          <w:rFonts w:ascii="ITC Avant Garde" w:eastAsia="Times New Roman" w:hAnsi="ITC Avant Garde"/>
          <w:bCs/>
          <w:noProof/>
          <w:color w:val="000000"/>
          <w:lang w:eastAsia="es-MX"/>
        </w:rPr>
        <w:t>dos</w:t>
      </w:r>
      <w:r w:rsidRPr="007D02A7">
        <w:rPr>
          <w:rFonts w:ascii="ITC Avant Garde" w:eastAsia="Times New Roman" w:hAnsi="ITC Avant Garde"/>
          <w:bCs/>
          <w:color w:val="000000"/>
          <w:lang w:eastAsia="es-MX"/>
        </w:rPr>
        <w:t>) torres de telecomunicaciones objeto de la operación para ese fin.</w:t>
      </w:r>
    </w:p>
    <w:p w:rsidR="00221C44" w:rsidRPr="007D02A7" w:rsidRDefault="00221C44" w:rsidP="00637B96">
      <w:pPr>
        <w:tabs>
          <w:tab w:val="left" w:pos="2410"/>
        </w:tabs>
        <w:spacing w:before="120" w:after="120"/>
        <w:jc w:val="both"/>
        <w:rPr>
          <w:rFonts w:ascii="ITC Avant Garde" w:eastAsia="Times New Roman" w:hAnsi="ITC Avant Garde"/>
          <w:bCs/>
          <w:color w:val="000000"/>
          <w:lang w:eastAsia="es-MX"/>
        </w:rPr>
      </w:pPr>
      <w:r w:rsidRPr="007D02A7">
        <w:rPr>
          <w:rFonts w:ascii="ITC Avant Garde" w:eastAsia="Times New Roman" w:hAnsi="ITC Avant Garde"/>
          <w:bCs/>
          <w:color w:val="000000"/>
          <w:lang w:eastAsia="es-MX"/>
        </w:rPr>
        <w:lastRenderedPageBreak/>
        <w:t>Previ</w:t>
      </w:r>
      <w:r w:rsidR="00EB26E1" w:rsidRPr="007D02A7">
        <w:rPr>
          <w:rFonts w:ascii="ITC Avant Garde" w:eastAsia="Times New Roman" w:hAnsi="ITC Avant Garde"/>
          <w:bCs/>
          <w:color w:val="000000"/>
          <w:lang w:eastAsia="es-MX"/>
        </w:rPr>
        <w:t>amente</w:t>
      </w:r>
      <w:r w:rsidRPr="007D02A7">
        <w:rPr>
          <w:rFonts w:ascii="ITC Avant Garde" w:eastAsia="Times New Roman" w:hAnsi="ITC Avant Garde"/>
          <w:bCs/>
          <w:color w:val="000000"/>
          <w:lang w:eastAsia="es-MX"/>
        </w:rPr>
        <w:t xml:space="preserve"> a la Operación, AXTEL emplea esas 142 (ciento cuarenta y dos) torres de telecomunicaciones para prestar los servicios que le han sido concesionados; y no brinda servicios de arrendamiento de sitios.</w:t>
      </w:r>
    </w:p>
    <w:p w:rsidR="00221C44" w:rsidRPr="007D02A7" w:rsidRDefault="00D9223F" w:rsidP="00637B96">
      <w:pPr>
        <w:spacing w:before="120" w:after="120"/>
        <w:ind w:firstLine="708"/>
        <w:rPr>
          <w:rFonts w:ascii="ITC Avant Garde" w:hAnsi="ITC Avant Garde"/>
          <w:b/>
          <w:i/>
        </w:rPr>
      </w:pPr>
      <w:r w:rsidRPr="007D02A7">
        <w:rPr>
          <w:rFonts w:ascii="ITC Avant Garde" w:hAnsi="ITC Avant Garde"/>
          <w:b/>
          <w:i/>
        </w:rPr>
        <w:t xml:space="preserve">6.3.1 </w:t>
      </w:r>
      <w:r w:rsidR="00221C44" w:rsidRPr="007D02A7">
        <w:rPr>
          <w:rFonts w:ascii="ITC Avant Garde" w:hAnsi="ITC Avant Garde"/>
          <w:b/>
          <w:i/>
        </w:rPr>
        <w:t>Servicio de arrendamiento de sitios en torres de telecomunicaciones</w:t>
      </w:r>
    </w:p>
    <w:p w:rsidR="00221C44" w:rsidRPr="007D02A7" w:rsidRDefault="00221C44" w:rsidP="00637B96">
      <w:pPr>
        <w:tabs>
          <w:tab w:val="left" w:pos="2410"/>
        </w:tabs>
        <w:spacing w:before="120" w:after="120"/>
        <w:jc w:val="both"/>
        <w:rPr>
          <w:rFonts w:ascii="ITC Avant Garde" w:eastAsia="Times New Roman" w:hAnsi="ITC Avant Garde"/>
          <w:bCs/>
          <w:color w:val="000000"/>
          <w:lang w:eastAsia="es-MX"/>
        </w:rPr>
      </w:pPr>
      <w:r w:rsidRPr="007D02A7">
        <w:rPr>
          <w:rFonts w:ascii="ITC Avant Garde" w:eastAsia="Times New Roman" w:hAnsi="ITC Avant Garde"/>
          <w:bCs/>
          <w:color w:val="000000"/>
          <w:lang w:eastAsia="es-MX"/>
        </w:rPr>
        <w:t xml:space="preserve">En esta sección se analiza el </w:t>
      </w:r>
      <w:r w:rsidRPr="007D02A7">
        <w:rPr>
          <w:rFonts w:ascii="ITC Avant Garde" w:eastAsia="Times New Roman" w:hAnsi="ITC Avant Garde"/>
          <w:bCs/>
          <w:color w:val="000000"/>
          <w:u w:val="single"/>
          <w:lang w:eastAsia="es-MX"/>
        </w:rPr>
        <w:t xml:space="preserve">servicio de arrendamiento de sitios (i.e. espacios físicos) en torres de telecomunicaciones </w:t>
      </w:r>
      <w:r w:rsidRPr="007D02A7">
        <w:rPr>
          <w:rFonts w:ascii="ITC Avant Garde" w:eastAsia="Times New Roman" w:hAnsi="ITC Avant Garde"/>
          <w:bCs/>
          <w:color w:val="000000"/>
          <w:lang w:eastAsia="es-MX"/>
        </w:rPr>
        <w:t>(Servicio), el cual puede incluir elementos auxiliares, conforme al artículo 58 de la LFCE, en relación con el artículo 63, fracción I, de la LFCE.</w:t>
      </w:r>
    </w:p>
    <w:p w:rsidR="00221C44" w:rsidRPr="007D02A7" w:rsidRDefault="00221C44" w:rsidP="00637B96">
      <w:pPr>
        <w:tabs>
          <w:tab w:val="left" w:pos="2410"/>
        </w:tabs>
        <w:spacing w:before="120" w:after="120"/>
        <w:jc w:val="both"/>
        <w:rPr>
          <w:rFonts w:ascii="ITC Avant Garde" w:eastAsia="Times New Roman" w:hAnsi="ITC Avant Garde"/>
          <w:bCs/>
          <w:color w:val="000000"/>
          <w:lang w:eastAsia="es-MX"/>
        </w:rPr>
      </w:pPr>
      <w:r w:rsidRPr="007D02A7">
        <w:rPr>
          <w:rFonts w:ascii="ITC Avant Garde" w:eastAsia="Times New Roman" w:hAnsi="ITC Avant Garde"/>
          <w:bCs/>
          <w:color w:val="000000"/>
          <w:lang w:eastAsia="es-MX"/>
        </w:rPr>
        <w:t>Las torres son elementos de infraestructura pasiva que demandan terceros concesionarios y operadores de telecomunicaciones para instalar su infraestructura activa (ej. antenas y equipo de telecomunicaciones) que les permiten proveer servicios de telecomunicaciones al usuario final.</w:t>
      </w:r>
    </w:p>
    <w:p w:rsidR="00221C44" w:rsidRPr="007D02A7" w:rsidRDefault="00221C44" w:rsidP="00637B96">
      <w:pPr>
        <w:spacing w:before="120" w:after="120"/>
        <w:jc w:val="both"/>
        <w:rPr>
          <w:rFonts w:ascii="ITC Avant Garde" w:eastAsia="Times New Roman" w:hAnsi="ITC Avant Garde"/>
          <w:bCs/>
          <w:color w:val="000000"/>
          <w:lang w:eastAsia="es-MX"/>
        </w:rPr>
      </w:pPr>
      <w:r w:rsidRPr="007D02A7">
        <w:rPr>
          <w:rFonts w:ascii="ITC Avant Garde" w:eastAsia="Times New Roman" w:hAnsi="ITC Avant Garde"/>
          <w:bCs/>
          <w:color w:val="000000"/>
          <w:lang w:eastAsia="es-MX"/>
        </w:rPr>
        <w:t xml:space="preserve">Las torres pueden ubicarse en predios o en techos de edificios. Su instalación incluye una estructura de acero que sirve de torre, cuya altura suele ser de entre 20 (veinte) y 60 (sesenta) metros de altura; y los elementos que permiten su funcionamiento, como son: (i) obra civil (ej. cimentación, muro perimetral, sistema eléctrico, sistema de pararrayos e iluminación); y (ii) eléctricos (ej. fuentes de energía, cables e interruptores). </w:t>
      </w:r>
    </w:p>
    <w:p w:rsidR="00221C44" w:rsidRPr="007D02A7" w:rsidRDefault="00221C44" w:rsidP="00637B96">
      <w:pPr>
        <w:spacing w:before="120" w:after="120"/>
        <w:jc w:val="both"/>
        <w:rPr>
          <w:rFonts w:ascii="ITC Avant Garde" w:eastAsia="Times New Roman" w:hAnsi="ITC Avant Garde"/>
          <w:bCs/>
          <w:color w:val="000000"/>
          <w:lang w:eastAsia="es-MX"/>
        </w:rPr>
      </w:pPr>
      <w:r w:rsidRPr="007D02A7">
        <w:rPr>
          <w:rFonts w:ascii="ITC Avant Garde" w:eastAsia="Times New Roman" w:hAnsi="ITC Avant Garde"/>
          <w:bCs/>
          <w:color w:val="000000"/>
          <w:lang w:eastAsia="es-MX"/>
        </w:rPr>
        <w:t>La Provisión de Sitios para Telecomunicaciones es una actividad que no requiere concesión. No obstante, su desarrollo requiere de permisos y autorizaciones de orden federal</w:t>
      </w:r>
      <w:r w:rsidRPr="007D02A7">
        <w:rPr>
          <w:rFonts w:ascii="ITC Avant Garde" w:eastAsia="Times New Roman" w:hAnsi="ITC Avant Garde"/>
          <w:bCs/>
          <w:color w:val="000000"/>
          <w:vertAlign w:val="superscript"/>
          <w:lang w:eastAsia="es-MX"/>
        </w:rPr>
        <w:footnoteReference w:id="36"/>
      </w:r>
      <w:r w:rsidRPr="007D02A7">
        <w:rPr>
          <w:rFonts w:ascii="ITC Avant Garde" w:eastAsia="Times New Roman" w:hAnsi="ITC Avant Garde"/>
          <w:bCs/>
          <w:color w:val="000000"/>
          <w:lang w:eastAsia="es-MX"/>
        </w:rPr>
        <w:t xml:space="preserve"> y estatal o municipal.</w:t>
      </w:r>
      <w:r w:rsidRPr="007D02A7">
        <w:rPr>
          <w:rFonts w:ascii="ITC Avant Garde" w:eastAsia="Times New Roman" w:hAnsi="ITC Avant Garde"/>
          <w:bCs/>
          <w:color w:val="000000"/>
          <w:vertAlign w:val="superscript"/>
          <w:lang w:eastAsia="es-MX"/>
        </w:rPr>
        <w:footnoteReference w:id="37"/>
      </w:r>
    </w:p>
    <w:p w:rsidR="00221C44" w:rsidRPr="007D02A7" w:rsidRDefault="00221C44" w:rsidP="00637B96">
      <w:pPr>
        <w:spacing w:before="120" w:after="120"/>
        <w:jc w:val="both"/>
        <w:rPr>
          <w:rFonts w:ascii="ITC Avant Garde" w:eastAsia="Times New Roman" w:hAnsi="ITC Avant Garde"/>
          <w:bCs/>
          <w:color w:val="000000"/>
          <w:lang w:eastAsia="es-MX"/>
        </w:rPr>
      </w:pPr>
      <w:r w:rsidRPr="007D02A7">
        <w:rPr>
          <w:rFonts w:ascii="ITC Avant Garde" w:eastAsia="Times New Roman" w:hAnsi="ITC Avant Garde"/>
          <w:bCs/>
          <w:color w:val="000000"/>
          <w:lang w:eastAsia="es-MX"/>
        </w:rPr>
        <w:t xml:space="preserve">En la provisión del Servicio participan: </w:t>
      </w:r>
    </w:p>
    <w:p w:rsidR="00221C44" w:rsidRPr="007D02A7" w:rsidRDefault="00221C44" w:rsidP="00637B96">
      <w:pPr>
        <w:numPr>
          <w:ilvl w:val="0"/>
          <w:numId w:val="26"/>
        </w:numPr>
        <w:spacing w:before="120" w:after="120"/>
        <w:jc w:val="both"/>
        <w:rPr>
          <w:rFonts w:ascii="ITC Avant Garde" w:eastAsia="Times New Roman" w:hAnsi="ITC Avant Garde"/>
          <w:bCs/>
          <w:color w:val="000000"/>
          <w:lang w:eastAsia="es-MX"/>
        </w:rPr>
      </w:pPr>
      <w:r w:rsidRPr="007D02A7">
        <w:rPr>
          <w:rFonts w:ascii="ITC Avant Garde" w:eastAsia="Times New Roman" w:hAnsi="ITC Avant Garde"/>
          <w:bCs/>
          <w:color w:val="000000"/>
          <w:lang w:eastAsia="es-MX"/>
        </w:rPr>
        <w:t>Concesionarios y operadores de redes públicas de telecomunicaciones (RPT), quienes, en general, desarrollan sitios e instalan torres para usos propios (i.e. verticalmente integrados) aunque no están impedidos legalmente para dar acceso a terceros. Entre los concesionarios, únicamente los pertenecientes al Grupo de Interés Económico declarado como Agente Económico Preponderante en el sector de Telecomunicaciones (AEPT)</w:t>
      </w:r>
      <w:r w:rsidR="00DF094B" w:rsidRPr="007D02A7">
        <w:rPr>
          <w:rFonts w:ascii="ITC Avant Garde" w:hAnsi="ITC Avant Garde"/>
          <w:bCs/>
          <w:vertAlign w:val="superscript"/>
        </w:rPr>
        <w:footnoteReference w:id="38"/>
      </w:r>
      <w:r w:rsidRPr="007D02A7">
        <w:rPr>
          <w:rFonts w:ascii="ITC Avant Garde" w:eastAsia="Times New Roman" w:hAnsi="ITC Avant Garde"/>
          <w:bCs/>
          <w:color w:val="000000"/>
          <w:lang w:eastAsia="es-MX"/>
        </w:rPr>
        <w:t xml:space="preserve"> están sujetos a medidas específicas que les obligan a dar acceso en condiciones no </w:t>
      </w:r>
      <w:r w:rsidRPr="007D02A7">
        <w:rPr>
          <w:rFonts w:ascii="ITC Avant Garde" w:eastAsia="Times New Roman" w:hAnsi="ITC Avant Garde"/>
          <w:bCs/>
          <w:color w:val="000000"/>
          <w:lang w:eastAsia="es-MX"/>
        </w:rPr>
        <w:lastRenderedPageBreak/>
        <w:t>discriminatorias a su Infraestructura Pasiva, incluyendo sitios y torres, en los términos ordenados por el Instituto.</w:t>
      </w:r>
      <w:r w:rsidR="00DF094B" w:rsidRPr="007D02A7">
        <w:rPr>
          <w:rStyle w:val="Refdenotaalpie"/>
          <w:rFonts w:ascii="ITC Avant Garde" w:hAnsi="ITC Avant Garde"/>
        </w:rPr>
        <w:t xml:space="preserve"> </w:t>
      </w:r>
      <w:r w:rsidR="00DF094B" w:rsidRPr="007D02A7">
        <w:rPr>
          <w:rStyle w:val="Refdenotaalpie"/>
          <w:rFonts w:ascii="ITC Avant Garde" w:hAnsi="ITC Avant Garde"/>
        </w:rPr>
        <w:footnoteReference w:id="39"/>
      </w:r>
      <w:r w:rsidRPr="007D02A7">
        <w:rPr>
          <w:rFonts w:ascii="ITC Avant Garde" w:eastAsia="Times New Roman" w:hAnsi="ITC Avant Garde"/>
          <w:bCs/>
          <w:color w:val="000000"/>
          <w:lang w:eastAsia="es-MX"/>
        </w:rPr>
        <w:t xml:space="preserve"> AXTEL no es parte del AEPT. </w:t>
      </w:r>
    </w:p>
    <w:p w:rsidR="00221C44" w:rsidRPr="007D02A7" w:rsidRDefault="00221C44" w:rsidP="00637B96">
      <w:pPr>
        <w:numPr>
          <w:ilvl w:val="0"/>
          <w:numId w:val="26"/>
        </w:numPr>
        <w:spacing w:before="120" w:after="120"/>
        <w:jc w:val="both"/>
        <w:rPr>
          <w:rFonts w:ascii="ITC Avant Garde" w:hAnsi="ITC Avant Garde"/>
        </w:rPr>
      </w:pPr>
      <w:r w:rsidRPr="007D02A7">
        <w:rPr>
          <w:rFonts w:ascii="ITC Avant Garde" w:eastAsia="Times New Roman" w:hAnsi="ITC Avant Garde"/>
          <w:bCs/>
          <w:color w:val="000000"/>
          <w:lang w:eastAsia="es-MX"/>
        </w:rPr>
        <w:t xml:space="preserve">Proveedores independientes, como es el caso de ATC, que desarrollan sitios e instalan torres para arrendar su uso a terceros concesionarios y operadores de servicios de telecomunicaciones. </w:t>
      </w:r>
    </w:p>
    <w:p w:rsidR="00221C44" w:rsidRPr="007D02A7" w:rsidRDefault="00221C44" w:rsidP="00637B96">
      <w:pPr>
        <w:tabs>
          <w:tab w:val="left" w:pos="2410"/>
        </w:tabs>
        <w:spacing w:before="120" w:after="120"/>
        <w:jc w:val="both"/>
        <w:rPr>
          <w:rFonts w:ascii="ITC Avant Garde" w:eastAsia="Times New Roman" w:hAnsi="ITC Avant Garde"/>
          <w:bCs/>
          <w:i/>
          <w:color w:val="000000"/>
          <w:lang w:eastAsia="es-MX"/>
        </w:rPr>
      </w:pPr>
      <w:r w:rsidRPr="007D02A7">
        <w:rPr>
          <w:rFonts w:ascii="ITC Avant Garde" w:eastAsia="Times New Roman" w:hAnsi="ITC Avant Garde"/>
          <w:bCs/>
          <w:color w:val="000000"/>
          <w:lang w:eastAsia="es-MX"/>
        </w:rPr>
        <w:t xml:space="preserve">Las Partes informan que la tendencia en el sector es que los concesionarios y operadores de RPT </w:t>
      </w:r>
      <w:r w:rsidR="00946621" w:rsidRPr="007D02A7">
        <w:rPr>
          <w:rFonts w:ascii="ITC Avant Garde" w:eastAsia="Times New Roman" w:hAnsi="ITC Avant Garde"/>
          <w:bCs/>
          <w:color w:val="000000"/>
          <w:lang w:eastAsia="es-MX"/>
        </w:rPr>
        <w:t xml:space="preserve">es </w:t>
      </w:r>
      <w:r w:rsidRPr="007D02A7">
        <w:rPr>
          <w:rFonts w:ascii="ITC Avant Garde" w:eastAsia="Times New Roman" w:hAnsi="ITC Avant Garde"/>
          <w:bCs/>
          <w:color w:val="000000"/>
          <w:lang w:eastAsia="es-MX"/>
        </w:rPr>
        <w:t>en mayor medida</w:t>
      </w:r>
      <w:r w:rsidR="00E61B48" w:rsidRPr="007D02A7">
        <w:rPr>
          <w:rFonts w:ascii="ITC Avant Garde" w:eastAsia="Times New Roman" w:hAnsi="ITC Avant Garde"/>
          <w:bCs/>
          <w:color w:val="000000"/>
          <w:lang w:eastAsia="es-MX"/>
        </w:rPr>
        <w:t xml:space="preserve"> </w:t>
      </w:r>
      <w:r w:rsidRPr="007D02A7">
        <w:rPr>
          <w:rFonts w:ascii="ITC Avant Garde" w:eastAsia="Times New Roman" w:hAnsi="ITC Avant Garde"/>
          <w:bCs/>
          <w:color w:val="000000"/>
          <w:lang w:eastAsia="es-MX"/>
        </w:rPr>
        <w:t xml:space="preserve">arrendar los elementos de Infraestructura Pasiva, incluidos los sitios y las torres, a proveedores especializados, frente a la alternativa de invertir y desarrollar en sitios y torres propios. Por ello, afirman que se </w:t>
      </w:r>
      <w:r w:rsidRPr="007D02A7">
        <w:rPr>
          <w:rFonts w:ascii="ITC Avant Garde" w:eastAsia="Times New Roman" w:hAnsi="ITC Avant Garde"/>
          <w:bCs/>
          <w:i/>
          <w:color w:val="000000"/>
          <w:lang w:eastAsia="es-MX"/>
        </w:rPr>
        <w:t>“beneficia al usuario final ya que se abre y promueve el compartir infraestructura, lo que se traduce en uso más eficiente de los activos.”</w:t>
      </w:r>
      <w:r w:rsidRPr="007D02A7">
        <w:rPr>
          <w:rFonts w:ascii="ITC Avant Garde" w:eastAsia="Times New Roman" w:hAnsi="ITC Avant Garde"/>
          <w:bCs/>
          <w:color w:val="000000"/>
          <w:vertAlign w:val="superscript"/>
          <w:lang w:eastAsia="es-MX"/>
        </w:rPr>
        <w:t xml:space="preserve"> </w:t>
      </w:r>
      <w:r w:rsidRPr="007D02A7">
        <w:rPr>
          <w:rFonts w:ascii="ITC Avant Garde" w:eastAsia="Times New Roman" w:hAnsi="ITC Avant Garde"/>
          <w:bCs/>
          <w:color w:val="000000"/>
          <w:vertAlign w:val="superscript"/>
          <w:lang w:eastAsia="es-MX"/>
        </w:rPr>
        <w:footnoteReference w:id="40"/>
      </w:r>
    </w:p>
    <w:p w:rsidR="00221C44" w:rsidRPr="007D02A7" w:rsidRDefault="00221C44" w:rsidP="00637B96">
      <w:pPr>
        <w:tabs>
          <w:tab w:val="left" w:pos="2410"/>
        </w:tabs>
        <w:spacing w:before="120" w:after="120"/>
        <w:jc w:val="both"/>
        <w:rPr>
          <w:rFonts w:ascii="ITC Avant Garde" w:eastAsia="Times New Roman" w:hAnsi="ITC Avant Garde"/>
          <w:bCs/>
          <w:color w:val="000000"/>
          <w:lang w:eastAsia="es-MX"/>
        </w:rPr>
      </w:pPr>
      <w:r w:rsidRPr="007D02A7">
        <w:rPr>
          <w:rFonts w:ascii="ITC Avant Garde" w:eastAsia="Times New Roman" w:hAnsi="ITC Avant Garde"/>
          <w:bCs/>
          <w:color w:val="000000"/>
          <w:lang w:eastAsia="es-MX"/>
        </w:rPr>
        <w:t xml:space="preserve">Las torres que son objeto de la Operación, una vez adquiridas por el Grupo de Interés Económico controlado por ATC, se destinarán a la provisión del Servicio principalmente para los usos demandados por concesionarios y operadores de RPT que prestan servicios móviles. Los principales clientes de MATC Digital son: </w:t>
      </w:r>
      <w:r w:rsidR="0029381D" w:rsidRPr="007D02A7">
        <w:rPr>
          <w:rFonts w:ascii="ITC Avant Garde" w:hAnsi="ITC Avant Garde"/>
          <w:b/>
          <w:bCs/>
          <w:color w:val="0000CC"/>
          <w:sz w:val="19"/>
          <w:szCs w:val="19"/>
          <w:lang w:eastAsia="es-MX"/>
        </w:rPr>
        <w:t>“CONFIDENCIAL POR LEY</w:t>
      </w:r>
      <w:r w:rsidR="00481CDD" w:rsidRPr="007D02A7">
        <w:rPr>
          <w:rFonts w:ascii="ITC Avant Garde" w:hAnsi="ITC Avant Garde"/>
          <w:b/>
          <w:bCs/>
          <w:color w:val="0000CC"/>
          <w:sz w:val="19"/>
          <w:szCs w:val="19"/>
          <w:lang w:eastAsia="es-MX"/>
        </w:rPr>
        <w:t xml:space="preserve"> </w:t>
      </w:r>
      <w:r w:rsidR="00555AB5">
        <w:rPr>
          <w:rFonts w:ascii="ITC Avant Garde" w:hAnsi="ITC Avant Garde"/>
          <w:b/>
          <w:bCs/>
          <w:color w:val="0000CC"/>
          <w:sz w:val="19"/>
          <w:szCs w:val="19"/>
          <w:lang w:eastAsia="es-MX"/>
        </w:rPr>
        <w:t>(</w:t>
      </w:r>
      <w:r w:rsidR="00481CDD" w:rsidRPr="007D02A7">
        <w:rPr>
          <w:rFonts w:ascii="ITC Avant Garde" w:hAnsi="ITC Avant Garde"/>
          <w:b/>
          <w:bCs/>
          <w:color w:val="0000CC"/>
          <w:sz w:val="19"/>
          <w:szCs w:val="19"/>
          <w:lang w:eastAsia="es-MX"/>
        </w:rPr>
        <w:t>47</w:t>
      </w:r>
      <w:r w:rsidR="00555AB5">
        <w:rPr>
          <w:rFonts w:ascii="ITC Avant Garde" w:hAnsi="ITC Avant Garde"/>
          <w:b/>
          <w:bCs/>
          <w:color w:val="0000CC"/>
          <w:sz w:val="19"/>
          <w:szCs w:val="19"/>
          <w:lang w:eastAsia="es-MX"/>
        </w:rPr>
        <w:t>)</w:t>
      </w:r>
      <w:r w:rsidR="0029381D" w:rsidRPr="007D02A7">
        <w:rPr>
          <w:rFonts w:ascii="ITC Avant Garde" w:hAnsi="ITC Avant Garde"/>
          <w:b/>
          <w:bCs/>
          <w:color w:val="0000CC"/>
          <w:sz w:val="19"/>
          <w:szCs w:val="19"/>
          <w:lang w:eastAsia="es-MX"/>
        </w:rPr>
        <w:t>”</w:t>
      </w:r>
      <w:r w:rsidRPr="007D02A7">
        <w:rPr>
          <w:rFonts w:ascii="ITC Avant Garde" w:eastAsia="Times New Roman" w:hAnsi="ITC Avant Garde"/>
          <w:bCs/>
          <w:color w:val="000000"/>
          <w:lang w:eastAsia="es-MX"/>
        </w:rPr>
        <w:t xml:space="preserve">, que le representan el </w:t>
      </w:r>
      <w:r w:rsidR="0029381D" w:rsidRPr="007D02A7">
        <w:rPr>
          <w:rFonts w:ascii="ITC Avant Garde" w:hAnsi="ITC Avant Garde"/>
          <w:b/>
          <w:bCs/>
          <w:color w:val="0000CC"/>
          <w:sz w:val="19"/>
          <w:szCs w:val="19"/>
          <w:lang w:eastAsia="es-MX"/>
        </w:rPr>
        <w:t>“CONFIDENCIAL POR LEY</w:t>
      </w:r>
      <w:r w:rsidR="00481CDD" w:rsidRPr="007D02A7">
        <w:rPr>
          <w:rFonts w:ascii="ITC Avant Garde" w:hAnsi="ITC Avant Garde"/>
          <w:b/>
          <w:bCs/>
          <w:color w:val="0000CC"/>
          <w:sz w:val="19"/>
          <w:szCs w:val="19"/>
          <w:lang w:eastAsia="es-MX"/>
        </w:rPr>
        <w:t xml:space="preserve"> </w:t>
      </w:r>
      <w:r w:rsidR="00555AB5">
        <w:rPr>
          <w:rFonts w:ascii="ITC Avant Garde" w:hAnsi="ITC Avant Garde"/>
          <w:b/>
          <w:bCs/>
          <w:color w:val="0000CC"/>
          <w:sz w:val="19"/>
          <w:szCs w:val="19"/>
          <w:lang w:eastAsia="es-MX"/>
        </w:rPr>
        <w:t>(</w:t>
      </w:r>
      <w:r w:rsidR="00481CDD" w:rsidRPr="007D02A7">
        <w:rPr>
          <w:rFonts w:ascii="ITC Avant Garde" w:hAnsi="ITC Avant Garde"/>
          <w:b/>
          <w:bCs/>
          <w:color w:val="0000CC"/>
          <w:sz w:val="19"/>
          <w:szCs w:val="19"/>
          <w:lang w:eastAsia="es-MX"/>
        </w:rPr>
        <w:t>48</w:t>
      </w:r>
      <w:r w:rsidR="00555AB5">
        <w:rPr>
          <w:rFonts w:ascii="ITC Avant Garde" w:hAnsi="ITC Avant Garde"/>
          <w:b/>
          <w:bCs/>
          <w:color w:val="0000CC"/>
          <w:sz w:val="19"/>
          <w:szCs w:val="19"/>
          <w:lang w:eastAsia="es-MX"/>
        </w:rPr>
        <w:t>)</w:t>
      </w:r>
      <w:r w:rsidR="0029381D" w:rsidRPr="007D02A7">
        <w:rPr>
          <w:rFonts w:ascii="ITC Avant Garde" w:hAnsi="ITC Avant Garde"/>
          <w:b/>
          <w:bCs/>
          <w:color w:val="0000CC"/>
          <w:sz w:val="19"/>
          <w:szCs w:val="19"/>
          <w:lang w:eastAsia="es-MX"/>
        </w:rPr>
        <w:t>”</w:t>
      </w:r>
      <w:r w:rsidRPr="007D02A7">
        <w:rPr>
          <w:rFonts w:ascii="ITC Avant Garde" w:eastAsia="Times New Roman" w:hAnsi="ITC Avant Garde"/>
          <w:bCs/>
          <w:color w:val="000000"/>
          <w:lang w:eastAsia="es-MX"/>
        </w:rPr>
        <w:t xml:space="preserve"> de los ingresos obtenidos por el arrendamiento de sitios en torres de telecomunicaciones.</w:t>
      </w:r>
    </w:p>
    <w:p w:rsidR="00221C44" w:rsidRPr="007D02A7" w:rsidRDefault="00D9223F" w:rsidP="00637B96">
      <w:pPr>
        <w:spacing w:before="120" w:after="120"/>
        <w:ind w:firstLine="708"/>
        <w:rPr>
          <w:rFonts w:ascii="ITC Avant Garde" w:hAnsi="ITC Avant Garde"/>
          <w:b/>
          <w:i/>
        </w:rPr>
      </w:pPr>
      <w:r w:rsidRPr="007D02A7">
        <w:rPr>
          <w:rFonts w:ascii="ITC Avant Garde" w:hAnsi="ITC Avant Garde"/>
          <w:b/>
          <w:i/>
        </w:rPr>
        <w:t xml:space="preserve">6.3.2 </w:t>
      </w:r>
      <w:r w:rsidR="00221C44" w:rsidRPr="007D02A7">
        <w:rPr>
          <w:rFonts w:ascii="ITC Avant Garde" w:hAnsi="ITC Avant Garde"/>
          <w:b/>
          <w:i/>
        </w:rPr>
        <w:t>Dimensión Geográfica</w:t>
      </w:r>
    </w:p>
    <w:p w:rsidR="00221C44" w:rsidRPr="007D02A7" w:rsidRDefault="00221C44" w:rsidP="00637B96">
      <w:pPr>
        <w:spacing w:before="120" w:after="120"/>
        <w:jc w:val="both"/>
        <w:rPr>
          <w:rFonts w:ascii="ITC Avant Garde" w:hAnsi="ITC Avant Garde"/>
        </w:rPr>
      </w:pPr>
      <w:r w:rsidRPr="007D02A7">
        <w:rPr>
          <w:rFonts w:ascii="ITC Avant Garde" w:hAnsi="ITC Avant Garde"/>
        </w:rPr>
        <w:t>Las 142 (ciento cuarenta y dos) torres de telecomunicaciones objeto de la Operación, se ubican en 2</w:t>
      </w:r>
      <w:r w:rsidR="00241E85" w:rsidRPr="007D02A7">
        <w:rPr>
          <w:rFonts w:ascii="ITC Avant Garde" w:hAnsi="ITC Avant Garde"/>
        </w:rPr>
        <w:t>4</w:t>
      </w:r>
      <w:r w:rsidRPr="007D02A7">
        <w:rPr>
          <w:rFonts w:ascii="ITC Avant Garde" w:hAnsi="ITC Avant Garde"/>
        </w:rPr>
        <w:t xml:space="preserve"> (veintic</w:t>
      </w:r>
      <w:r w:rsidR="00241E85" w:rsidRPr="007D02A7">
        <w:rPr>
          <w:rFonts w:ascii="ITC Avant Garde" w:hAnsi="ITC Avant Garde"/>
        </w:rPr>
        <w:t>uatr</w:t>
      </w:r>
      <w:r w:rsidRPr="007D02A7">
        <w:rPr>
          <w:rFonts w:ascii="ITC Avant Garde" w:hAnsi="ITC Avant Garde"/>
        </w:rPr>
        <w:t xml:space="preserve">o) entidades federativas del país, distribuidas en 58 (cincuenta y ocho) municipios y 7 (siete) delegaciones de la Ciudad de México. </w:t>
      </w:r>
    </w:p>
    <w:p w:rsidR="00221C44" w:rsidRPr="007D02A7" w:rsidRDefault="00221C44" w:rsidP="00637B96">
      <w:pPr>
        <w:spacing w:before="120" w:after="120"/>
        <w:jc w:val="both"/>
        <w:rPr>
          <w:rFonts w:ascii="ITC Avant Garde" w:hAnsi="ITC Avant Garde"/>
        </w:rPr>
      </w:pPr>
      <w:r w:rsidRPr="007D02A7">
        <w:rPr>
          <w:rFonts w:ascii="ITC Avant Garde" w:hAnsi="ITC Avant Garde"/>
        </w:rPr>
        <w:t>En todas las localidades identificadas, el GIE adquiriente controlado por ATC, ya tiene torres de telecomunicaciones, como se muestra en el siguiente cuadro.</w:t>
      </w:r>
    </w:p>
    <w:p w:rsidR="00221C44" w:rsidRPr="007D02A7" w:rsidRDefault="00221C44" w:rsidP="00637B96">
      <w:pPr>
        <w:numPr>
          <w:ilvl w:val="0"/>
          <w:numId w:val="27"/>
        </w:numPr>
        <w:spacing w:before="120" w:after="120"/>
        <w:ind w:left="567" w:right="-1"/>
        <w:jc w:val="center"/>
        <w:rPr>
          <w:rFonts w:ascii="ITC Avant Garde" w:eastAsiaTheme="minorHAnsi" w:hAnsi="ITC Avant Garde" w:cstheme="minorBidi"/>
          <w:b/>
          <w:lang w:val="es-ES_tradnl" w:eastAsia="es-MX"/>
        </w:rPr>
      </w:pPr>
      <w:r w:rsidRPr="007D02A7">
        <w:rPr>
          <w:rFonts w:ascii="ITC Avant Garde" w:eastAsiaTheme="minorHAnsi" w:hAnsi="ITC Avant Garde" w:cstheme="minorBidi"/>
          <w:b/>
          <w:lang w:val="es-ES_tradnl" w:eastAsia="es-MX"/>
        </w:rPr>
        <w:t>Torres de AXTEL objeto de la Operación y torres del GIE controlado por ATC a nivel Municipio/Delegación</w:t>
      </w:r>
    </w:p>
    <w:tbl>
      <w:tblPr>
        <w:tblStyle w:val="Tablaconcuadrcula1"/>
        <w:tblW w:w="10112" w:type="dxa"/>
        <w:jc w:val="center"/>
        <w:tblLook w:val="04A0" w:firstRow="1" w:lastRow="0" w:firstColumn="1" w:lastColumn="0" w:noHBand="0" w:noVBand="1"/>
        <w:tblCaption w:val="Cuadro 9. Torres de AXTEL objeto de la Operación y torres del GIE controlado por ATC a nivel Municipio/Delegación"/>
        <w:tblDescription w:val="En este cuadro se presenta: i) Número de torres de telecomunicaciones de AXTEL involucradas en la Operación por municipio, y ii) Número de torres de telecomunicaciones de MATC Digital en los municipios involucrados en la Operación.&#10;"/>
      </w:tblPr>
      <w:tblGrid>
        <w:gridCol w:w="2835"/>
        <w:gridCol w:w="2447"/>
        <w:gridCol w:w="2643"/>
        <w:gridCol w:w="2187"/>
      </w:tblGrid>
      <w:tr w:rsidR="00B77198" w:rsidRPr="00B77198" w:rsidTr="00BB3A3C">
        <w:trPr>
          <w:trHeight w:val="678"/>
          <w:tblHeader/>
          <w:jc w:val="center"/>
        </w:trPr>
        <w:tc>
          <w:tcPr>
            <w:tcW w:w="2835" w:type="dxa"/>
            <w:shd w:val="clear" w:color="auto" w:fill="538135" w:themeFill="accent6" w:themeFillShade="BF"/>
            <w:vAlign w:val="center"/>
          </w:tcPr>
          <w:p w:rsidR="00B77198" w:rsidRPr="00B77198" w:rsidRDefault="00B77198" w:rsidP="007D02A7">
            <w:pPr>
              <w:spacing w:after="0" w:line="240" w:lineRule="auto"/>
              <w:jc w:val="center"/>
              <w:rPr>
                <w:rFonts w:ascii="ITC Avant Garde" w:eastAsia="Times New Roman" w:hAnsi="ITC Avant Garde"/>
                <w:b/>
                <w:bCs/>
                <w:sz w:val="18"/>
                <w:szCs w:val="18"/>
              </w:rPr>
            </w:pPr>
            <w:r w:rsidRPr="00B77198">
              <w:rPr>
                <w:rFonts w:ascii="ITC Avant Garde" w:eastAsia="Times New Roman" w:hAnsi="ITC Avant Garde"/>
                <w:b/>
                <w:bCs/>
                <w:sz w:val="18"/>
                <w:szCs w:val="18"/>
              </w:rPr>
              <w:t>Entidad Federativa</w:t>
            </w:r>
          </w:p>
        </w:tc>
        <w:tc>
          <w:tcPr>
            <w:tcW w:w="2447" w:type="dxa"/>
            <w:shd w:val="clear" w:color="auto" w:fill="538135" w:themeFill="accent6" w:themeFillShade="BF"/>
            <w:vAlign w:val="center"/>
          </w:tcPr>
          <w:p w:rsidR="00B77198" w:rsidRPr="00B77198" w:rsidRDefault="00B77198" w:rsidP="007D02A7">
            <w:pPr>
              <w:spacing w:after="0" w:line="240" w:lineRule="auto"/>
              <w:jc w:val="center"/>
              <w:rPr>
                <w:rFonts w:ascii="ITC Avant Garde" w:eastAsia="Times New Roman" w:hAnsi="ITC Avant Garde"/>
                <w:b/>
                <w:bCs/>
                <w:sz w:val="18"/>
                <w:szCs w:val="18"/>
              </w:rPr>
            </w:pPr>
            <w:r w:rsidRPr="00B77198">
              <w:rPr>
                <w:rFonts w:ascii="ITC Avant Garde" w:eastAsia="Times New Roman" w:hAnsi="ITC Avant Garde"/>
                <w:b/>
                <w:bCs/>
                <w:sz w:val="18"/>
                <w:szCs w:val="18"/>
              </w:rPr>
              <w:t>Municipio / Delegación</w:t>
            </w:r>
          </w:p>
        </w:tc>
        <w:tc>
          <w:tcPr>
            <w:tcW w:w="2643" w:type="dxa"/>
            <w:shd w:val="clear" w:color="auto" w:fill="538135" w:themeFill="accent6" w:themeFillShade="BF"/>
            <w:vAlign w:val="center"/>
          </w:tcPr>
          <w:p w:rsidR="00B77198" w:rsidRPr="00B77198" w:rsidRDefault="00B77198" w:rsidP="007D02A7">
            <w:pPr>
              <w:spacing w:after="0" w:line="240" w:lineRule="auto"/>
              <w:jc w:val="center"/>
              <w:rPr>
                <w:rFonts w:ascii="ITC Avant Garde" w:eastAsia="Times New Roman" w:hAnsi="ITC Avant Garde"/>
                <w:b/>
                <w:bCs/>
                <w:sz w:val="18"/>
                <w:szCs w:val="18"/>
              </w:rPr>
            </w:pPr>
            <w:r w:rsidRPr="00B77198">
              <w:rPr>
                <w:rFonts w:ascii="ITC Avant Garde" w:eastAsia="Times New Roman" w:hAnsi="ITC Avant Garde"/>
                <w:b/>
                <w:bCs/>
                <w:sz w:val="18"/>
                <w:szCs w:val="18"/>
              </w:rPr>
              <w:t>Número de Torres</w:t>
            </w:r>
          </w:p>
          <w:p w:rsidR="00B77198" w:rsidRPr="00B77198" w:rsidRDefault="00B77198" w:rsidP="007D02A7">
            <w:pPr>
              <w:spacing w:after="0" w:line="240" w:lineRule="auto"/>
              <w:jc w:val="center"/>
              <w:rPr>
                <w:rFonts w:ascii="ITC Avant Garde" w:eastAsia="Times New Roman" w:hAnsi="ITC Avant Garde"/>
                <w:b/>
                <w:bCs/>
                <w:sz w:val="18"/>
                <w:szCs w:val="18"/>
              </w:rPr>
            </w:pPr>
            <w:r w:rsidRPr="00B77198">
              <w:rPr>
                <w:rFonts w:ascii="ITC Avant Garde" w:eastAsia="Times New Roman" w:hAnsi="ITC Avant Garde"/>
                <w:b/>
                <w:bCs/>
                <w:sz w:val="18"/>
                <w:szCs w:val="18"/>
                <w:vertAlign w:val="superscript"/>
              </w:rPr>
              <w:t>1</w:t>
            </w:r>
            <w:r w:rsidRPr="00B77198">
              <w:rPr>
                <w:rFonts w:ascii="ITC Avant Garde" w:eastAsia="Times New Roman" w:hAnsi="ITC Avant Garde"/>
                <w:b/>
                <w:bCs/>
                <w:sz w:val="18"/>
                <w:szCs w:val="18"/>
              </w:rPr>
              <w:t>AXTEL</w:t>
            </w:r>
          </w:p>
          <w:p w:rsidR="00B77198" w:rsidRPr="00B77198" w:rsidRDefault="00B77198" w:rsidP="007D02A7">
            <w:pPr>
              <w:spacing w:after="0" w:line="240" w:lineRule="auto"/>
              <w:jc w:val="center"/>
              <w:rPr>
                <w:rFonts w:ascii="ITC Avant Garde" w:eastAsia="Times New Roman" w:hAnsi="ITC Avant Garde"/>
                <w:b/>
                <w:bCs/>
                <w:sz w:val="18"/>
                <w:szCs w:val="18"/>
              </w:rPr>
            </w:pPr>
            <w:r w:rsidRPr="00B77198">
              <w:rPr>
                <w:rFonts w:ascii="ITC Avant Garde" w:eastAsia="Times New Roman" w:hAnsi="ITC Avant Garde"/>
                <w:b/>
                <w:bCs/>
                <w:sz w:val="18"/>
                <w:szCs w:val="18"/>
              </w:rPr>
              <w:t>(Objeto de la transacción)</w:t>
            </w:r>
          </w:p>
        </w:tc>
        <w:tc>
          <w:tcPr>
            <w:tcW w:w="2187" w:type="dxa"/>
            <w:shd w:val="clear" w:color="auto" w:fill="538135" w:themeFill="accent6" w:themeFillShade="BF"/>
            <w:vAlign w:val="center"/>
          </w:tcPr>
          <w:p w:rsidR="00B77198" w:rsidRDefault="00B77198" w:rsidP="00B77198">
            <w:pPr>
              <w:spacing w:after="0" w:line="240" w:lineRule="auto"/>
              <w:jc w:val="center"/>
              <w:rPr>
                <w:rFonts w:ascii="ITC Avant Garde" w:eastAsia="Times New Roman" w:hAnsi="ITC Avant Garde"/>
                <w:b/>
                <w:bCs/>
                <w:sz w:val="18"/>
                <w:szCs w:val="18"/>
                <w:vertAlign w:val="superscript"/>
              </w:rPr>
            </w:pPr>
            <w:r w:rsidRPr="00B77198">
              <w:rPr>
                <w:rFonts w:ascii="ITC Avant Garde" w:eastAsia="Times New Roman" w:hAnsi="ITC Avant Garde"/>
                <w:b/>
                <w:bCs/>
                <w:sz w:val="18"/>
                <w:szCs w:val="18"/>
              </w:rPr>
              <w:t>Número de Torres</w:t>
            </w:r>
            <w:r w:rsidRPr="00B77198">
              <w:rPr>
                <w:rFonts w:ascii="ITC Avant Garde" w:eastAsia="Times New Roman" w:hAnsi="ITC Avant Garde"/>
                <w:b/>
                <w:bCs/>
                <w:sz w:val="18"/>
                <w:szCs w:val="18"/>
                <w:vertAlign w:val="superscript"/>
              </w:rPr>
              <w:t>1</w:t>
            </w:r>
          </w:p>
          <w:p w:rsidR="00B77198" w:rsidRPr="00B77198" w:rsidRDefault="00B77198" w:rsidP="00B77198">
            <w:pPr>
              <w:spacing w:after="0" w:line="240" w:lineRule="auto"/>
              <w:jc w:val="center"/>
              <w:rPr>
                <w:rFonts w:ascii="ITC Avant Garde" w:eastAsia="Times New Roman" w:hAnsi="ITC Avant Garde"/>
                <w:b/>
                <w:bCs/>
                <w:sz w:val="18"/>
                <w:szCs w:val="18"/>
              </w:rPr>
            </w:pPr>
            <w:r w:rsidRPr="00B77198">
              <w:rPr>
                <w:rFonts w:ascii="ITC Avant Garde" w:eastAsia="Times New Roman" w:hAnsi="ITC Avant Garde"/>
                <w:b/>
                <w:bCs/>
                <w:sz w:val="18"/>
                <w:szCs w:val="18"/>
              </w:rPr>
              <w:t>Propiedad de ATC</w:t>
            </w:r>
          </w:p>
        </w:tc>
      </w:tr>
      <w:tr w:rsidR="007D02A7" w:rsidRPr="007D02A7" w:rsidTr="00BB3A3C">
        <w:trPr>
          <w:trHeight w:val="136"/>
          <w:jc w:val="center"/>
        </w:trPr>
        <w:tc>
          <w:tcPr>
            <w:tcW w:w="2835" w:type="dxa"/>
          </w:tcPr>
          <w:p w:rsidR="007D02A7" w:rsidRPr="007D02A7" w:rsidRDefault="007D02A7" w:rsidP="007D02A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Aguascalientes</w:t>
            </w:r>
          </w:p>
        </w:tc>
        <w:tc>
          <w:tcPr>
            <w:tcW w:w="2447" w:type="dxa"/>
          </w:tcPr>
          <w:p w:rsidR="007D02A7" w:rsidRPr="007D02A7" w:rsidRDefault="007D02A7" w:rsidP="007D02A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Aguascalientes</w:t>
            </w:r>
          </w:p>
        </w:tc>
        <w:tc>
          <w:tcPr>
            <w:tcW w:w="2643" w:type="dxa"/>
          </w:tcPr>
          <w:p w:rsidR="007D02A7" w:rsidRPr="00BB3A3C" w:rsidRDefault="007D02A7" w:rsidP="007D02A7">
            <w:pPr>
              <w:spacing w:after="0" w:line="240" w:lineRule="auto"/>
              <w:jc w:val="center"/>
              <w:rPr>
                <w:rFonts w:ascii="ITC Avant Garde" w:hAnsi="ITC Avant Garde"/>
                <w:b/>
                <w:color w:val="0000CC"/>
                <w:sz w:val="13"/>
                <w:szCs w:val="13"/>
              </w:rPr>
            </w:pPr>
            <w:r w:rsidRPr="00BB3A3C">
              <w:rPr>
                <w:rFonts w:ascii="ITC Avant Garde" w:hAnsi="ITC Avant Garde"/>
                <w:b/>
                <w:color w:val="0000CC"/>
                <w:sz w:val="13"/>
                <w:szCs w:val="13"/>
              </w:rPr>
              <w:t xml:space="preserve">“CONFIDENCIAL POR LEY </w:t>
            </w:r>
            <w:r w:rsidR="00555AB5" w:rsidRPr="00BB3A3C">
              <w:rPr>
                <w:rFonts w:ascii="ITC Avant Garde" w:hAnsi="ITC Avant Garde"/>
                <w:b/>
                <w:color w:val="0000CC"/>
                <w:sz w:val="13"/>
                <w:szCs w:val="13"/>
              </w:rPr>
              <w:t>(</w:t>
            </w:r>
            <w:r w:rsidRPr="00BB3A3C">
              <w:rPr>
                <w:rFonts w:ascii="ITC Avant Garde" w:hAnsi="ITC Avant Garde"/>
                <w:b/>
                <w:color w:val="0000CC"/>
                <w:sz w:val="13"/>
                <w:szCs w:val="13"/>
              </w:rPr>
              <w:t>49</w:t>
            </w:r>
            <w:r w:rsidR="00555AB5" w:rsidRPr="00BB3A3C">
              <w:rPr>
                <w:rFonts w:ascii="ITC Avant Garde" w:hAnsi="ITC Avant Garde"/>
                <w:b/>
                <w:color w:val="0000CC"/>
                <w:sz w:val="13"/>
                <w:szCs w:val="13"/>
              </w:rPr>
              <w:t>)</w:t>
            </w:r>
            <w:r w:rsidRPr="00BB3A3C">
              <w:rPr>
                <w:rFonts w:ascii="ITC Avant Garde" w:hAnsi="ITC Avant Garde"/>
                <w:b/>
                <w:color w:val="0000CC"/>
                <w:sz w:val="13"/>
                <w:szCs w:val="13"/>
              </w:rPr>
              <w:t>”</w:t>
            </w:r>
          </w:p>
        </w:tc>
        <w:tc>
          <w:tcPr>
            <w:tcW w:w="2187" w:type="dxa"/>
          </w:tcPr>
          <w:p w:rsidR="007D02A7" w:rsidRPr="00BB3A3C" w:rsidRDefault="007D02A7" w:rsidP="007D02A7">
            <w:pPr>
              <w:spacing w:after="0" w:line="240" w:lineRule="auto"/>
              <w:jc w:val="center"/>
              <w:rPr>
                <w:rFonts w:ascii="ITC Avant Garde" w:hAnsi="ITC Avant Garde"/>
                <w:b/>
                <w:color w:val="0000CC"/>
                <w:sz w:val="13"/>
                <w:szCs w:val="13"/>
              </w:rPr>
            </w:pPr>
            <w:r w:rsidRPr="00BB3A3C">
              <w:rPr>
                <w:rFonts w:ascii="ITC Avant Garde" w:hAnsi="ITC Avant Garde"/>
                <w:b/>
                <w:color w:val="0000CC"/>
                <w:sz w:val="13"/>
                <w:szCs w:val="13"/>
              </w:rPr>
              <w:t xml:space="preserve">“CONFIDENCIAL POR LEY </w:t>
            </w:r>
            <w:r w:rsidR="00555AB5" w:rsidRPr="00BB3A3C">
              <w:rPr>
                <w:rFonts w:ascii="ITC Avant Garde" w:hAnsi="ITC Avant Garde"/>
                <w:b/>
                <w:color w:val="0000CC"/>
                <w:sz w:val="13"/>
                <w:szCs w:val="13"/>
              </w:rPr>
              <w:t>(</w:t>
            </w:r>
            <w:r w:rsidRPr="00BB3A3C">
              <w:rPr>
                <w:rFonts w:ascii="ITC Avant Garde" w:hAnsi="ITC Avant Garde"/>
                <w:b/>
                <w:color w:val="0000CC"/>
                <w:sz w:val="13"/>
                <w:szCs w:val="13"/>
              </w:rPr>
              <w:t>50</w:t>
            </w:r>
            <w:r w:rsidR="00555AB5" w:rsidRPr="00BB3A3C">
              <w:rPr>
                <w:rFonts w:ascii="ITC Avant Garde" w:hAnsi="ITC Avant Garde"/>
                <w:b/>
                <w:color w:val="0000CC"/>
                <w:sz w:val="13"/>
                <w:szCs w:val="13"/>
              </w:rPr>
              <w:t>)</w:t>
            </w:r>
            <w:r w:rsidRPr="00BB3A3C">
              <w:rPr>
                <w:rFonts w:ascii="ITC Avant Garde" w:hAnsi="ITC Avant Garde"/>
                <w:b/>
                <w:color w:val="0000CC"/>
                <w:sz w:val="13"/>
                <w:szCs w:val="13"/>
              </w:rPr>
              <w:t>”</w:t>
            </w:r>
          </w:p>
        </w:tc>
      </w:tr>
      <w:tr w:rsidR="007D02A7" w:rsidRPr="007D02A7" w:rsidTr="00BB3A3C">
        <w:trPr>
          <w:trHeight w:val="181"/>
          <w:jc w:val="center"/>
        </w:trPr>
        <w:tc>
          <w:tcPr>
            <w:tcW w:w="2835" w:type="dxa"/>
          </w:tcPr>
          <w:p w:rsidR="007D02A7" w:rsidRPr="007D02A7" w:rsidRDefault="007D02A7" w:rsidP="007D02A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Baja California</w:t>
            </w:r>
          </w:p>
        </w:tc>
        <w:tc>
          <w:tcPr>
            <w:tcW w:w="2447" w:type="dxa"/>
          </w:tcPr>
          <w:p w:rsidR="007D02A7" w:rsidRPr="007D02A7" w:rsidRDefault="007D02A7" w:rsidP="007D02A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Tijuana</w:t>
            </w:r>
          </w:p>
        </w:tc>
        <w:tc>
          <w:tcPr>
            <w:tcW w:w="2643" w:type="dxa"/>
          </w:tcPr>
          <w:p w:rsidR="007D02A7" w:rsidRPr="00BB3A3C" w:rsidRDefault="00555AB5" w:rsidP="007D02A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7D02A7" w:rsidRPr="00BB3A3C" w:rsidRDefault="00555AB5" w:rsidP="007D02A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(50)”</w:t>
            </w:r>
          </w:p>
        </w:tc>
      </w:tr>
      <w:tr w:rsidR="007D02A7" w:rsidRPr="007D02A7" w:rsidTr="00BB3A3C">
        <w:trPr>
          <w:trHeight w:val="100"/>
          <w:jc w:val="center"/>
        </w:trPr>
        <w:tc>
          <w:tcPr>
            <w:tcW w:w="2835" w:type="dxa"/>
          </w:tcPr>
          <w:p w:rsidR="007D02A7" w:rsidRPr="007D02A7" w:rsidRDefault="007D02A7" w:rsidP="007D02A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Baja California</w:t>
            </w:r>
          </w:p>
        </w:tc>
        <w:tc>
          <w:tcPr>
            <w:tcW w:w="2447" w:type="dxa"/>
          </w:tcPr>
          <w:p w:rsidR="007D02A7" w:rsidRPr="007D02A7" w:rsidRDefault="007D02A7" w:rsidP="007D02A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Mexicali</w:t>
            </w:r>
          </w:p>
        </w:tc>
        <w:tc>
          <w:tcPr>
            <w:tcW w:w="2643" w:type="dxa"/>
          </w:tcPr>
          <w:p w:rsidR="007D02A7" w:rsidRPr="00BB3A3C" w:rsidRDefault="00555AB5" w:rsidP="007D02A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7D02A7" w:rsidRPr="00BB3A3C" w:rsidRDefault="00555AB5" w:rsidP="007D02A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(50)”</w:t>
            </w:r>
          </w:p>
        </w:tc>
      </w:tr>
      <w:tr w:rsidR="007D02A7" w:rsidRPr="007D02A7" w:rsidTr="00BB3A3C">
        <w:trPr>
          <w:trHeight w:val="53"/>
          <w:jc w:val="center"/>
        </w:trPr>
        <w:tc>
          <w:tcPr>
            <w:tcW w:w="2835" w:type="dxa"/>
          </w:tcPr>
          <w:p w:rsidR="007D02A7" w:rsidRPr="007D02A7" w:rsidRDefault="007D02A7" w:rsidP="007D02A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lastRenderedPageBreak/>
              <w:t>Campeche</w:t>
            </w:r>
          </w:p>
        </w:tc>
        <w:tc>
          <w:tcPr>
            <w:tcW w:w="2447" w:type="dxa"/>
          </w:tcPr>
          <w:p w:rsidR="007D02A7" w:rsidRPr="007D02A7" w:rsidRDefault="007D02A7" w:rsidP="007D02A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Campeche</w:t>
            </w:r>
          </w:p>
        </w:tc>
        <w:tc>
          <w:tcPr>
            <w:tcW w:w="2643" w:type="dxa"/>
          </w:tcPr>
          <w:p w:rsidR="007D02A7" w:rsidRPr="00BB3A3C" w:rsidRDefault="00555AB5" w:rsidP="007D02A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7D02A7" w:rsidRPr="00BB3A3C" w:rsidRDefault="00555AB5" w:rsidP="007D02A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(50)”</w:t>
            </w:r>
          </w:p>
        </w:tc>
      </w:tr>
      <w:tr w:rsidR="007D02A7" w:rsidRPr="007D02A7" w:rsidTr="00BB3A3C">
        <w:trPr>
          <w:trHeight w:val="53"/>
          <w:jc w:val="center"/>
        </w:trPr>
        <w:tc>
          <w:tcPr>
            <w:tcW w:w="2835" w:type="dxa"/>
          </w:tcPr>
          <w:p w:rsidR="007D02A7" w:rsidRPr="007D02A7" w:rsidRDefault="007D02A7" w:rsidP="007D02A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Campeche</w:t>
            </w:r>
          </w:p>
        </w:tc>
        <w:tc>
          <w:tcPr>
            <w:tcW w:w="2447" w:type="dxa"/>
          </w:tcPr>
          <w:p w:rsidR="007D02A7" w:rsidRPr="007D02A7" w:rsidRDefault="007D02A7" w:rsidP="007D02A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Carmen</w:t>
            </w:r>
          </w:p>
        </w:tc>
        <w:tc>
          <w:tcPr>
            <w:tcW w:w="2643" w:type="dxa"/>
          </w:tcPr>
          <w:p w:rsidR="007D02A7" w:rsidRPr="00BB3A3C" w:rsidRDefault="00555AB5" w:rsidP="007D02A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7D02A7" w:rsidRPr="00BB3A3C" w:rsidRDefault="00555AB5" w:rsidP="007D02A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(50)”</w:t>
            </w:r>
          </w:p>
        </w:tc>
      </w:tr>
      <w:tr w:rsidR="007D02A7" w:rsidRPr="007D02A7" w:rsidTr="00BB3A3C">
        <w:trPr>
          <w:trHeight w:val="110"/>
          <w:jc w:val="center"/>
        </w:trPr>
        <w:tc>
          <w:tcPr>
            <w:tcW w:w="2835" w:type="dxa"/>
          </w:tcPr>
          <w:p w:rsidR="007D02A7" w:rsidRPr="007D02A7" w:rsidRDefault="007D02A7" w:rsidP="007D02A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Chihuahua</w:t>
            </w:r>
          </w:p>
        </w:tc>
        <w:tc>
          <w:tcPr>
            <w:tcW w:w="2447" w:type="dxa"/>
          </w:tcPr>
          <w:p w:rsidR="007D02A7" w:rsidRPr="007D02A7" w:rsidRDefault="007D02A7" w:rsidP="007D02A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Chihuahua</w:t>
            </w:r>
          </w:p>
        </w:tc>
        <w:tc>
          <w:tcPr>
            <w:tcW w:w="2643" w:type="dxa"/>
          </w:tcPr>
          <w:p w:rsidR="007D02A7" w:rsidRPr="00BB3A3C" w:rsidRDefault="00555AB5" w:rsidP="007D02A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7D02A7" w:rsidRPr="00BB3A3C" w:rsidRDefault="00555AB5" w:rsidP="007D02A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(50)”</w:t>
            </w:r>
          </w:p>
        </w:tc>
      </w:tr>
      <w:tr w:rsidR="007D02A7" w:rsidRPr="007D02A7" w:rsidTr="00BB3A3C">
        <w:trPr>
          <w:trHeight w:val="53"/>
          <w:jc w:val="center"/>
        </w:trPr>
        <w:tc>
          <w:tcPr>
            <w:tcW w:w="2835" w:type="dxa"/>
          </w:tcPr>
          <w:p w:rsidR="007D02A7" w:rsidRPr="007D02A7" w:rsidRDefault="007D02A7" w:rsidP="007D02A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Chihuahua</w:t>
            </w:r>
          </w:p>
        </w:tc>
        <w:tc>
          <w:tcPr>
            <w:tcW w:w="2447" w:type="dxa"/>
          </w:tcPr>
          <w:p w:rsidR="007D02A7" w:rsidRPr="007D02A7" w:rsidRDefault="007D02A7" w:rsidP="007D02A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Juárez</w:t>
            </w:r>
          </w:p>
        </w:tc>
        <w:tc>
          <w:tcPr>
            <w:tcW w:w="2643" w:type="dxa"/>
          </w:tcPr>
          <w:p w:rsidR="007D02A7" w:rsidRPr="00BB3A3C" w:rsidRDefault="00555AB5" w:rsidP="007D02A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7D02A7" w:rsidRPr="00BB3A3C" w:rsidRDefault="00555AB5" w:rsidP="007D02A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(50)”</w:t>
            </w:r>
          </w:p>
        </w:tc>
      </w:tr>
      <w:tr w:rsidR="007D02A7" w:rsidRPr="007D02A7" w:rsidTr="00BB3A3C">
        <w:trPr>
          <w:trHeight w:val="60"/>
          <w:jc w:val="center"/>
        </w:trPr>
        <w:tc>
          <w:tcPr>
            <w:tcW w:w="2835" w:type="dxa"/>
          </w:tcPr>
          <w:p w:rsidR="007D02A7" w:rsidRPr="007D02A7" w:rsidRDefault="007D02A7" w:rsidP="007D02A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Ciudad de México</w:t>
            </w:r>
          </w:p>
        </w:tc>
        <w:tc>
          <w:tcPr>
            <w:tcW w:w="2447" w:type="dxa"/>
          </w:tcPr>
          <w:p w:rsidR="007D02A7" w:rsidRPr="007D02A7" w:rsidRDefault="007D02A7" w:rsidP="007D02A7">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Álvaro Obregón</w:t>
            </w:r>
          </w:p>
        </w:tc>
        <w:tc>
          <w:tcPr>
            <w:tcW w:w="2643" w:type="dxa"/>
          </w:tcPr>
          <w:p w:rsidR="007D02A7" w:rsidRPr="00BB3A3C" w:rsidRDefault="00555AB5" w:rsidP="007D02A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7D02A7" w:rsidRPr="00BB3A3C" w:rsidRDefault="00555AB5" w:rsidP="007D02A7">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(50)”</w:t>
            </w:r>
          </w:p>
        </w:tc>
      </w:tr>
      <w:tr w:rsidR="00555AB5" w:rsidRPr="007D02A7" w:rsidTr="00BB3A3C">
        <w:trPr>
          <w:trHeight w:val="120"/>
          <w:jc w:val="center"/>
        </w:trPr>
        <w:tc>
          <w:tcPr>
            <w:tcW w:w="2835"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Ciudad de México</w:t>
            </w:r>
          </w:p>
        </w:tc>
        <w:tc>
          <w:tcPr>
            <w:tcW w:w="2447"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Azcapotzalco</w:t>
            </w:r>
          </w:p>
        </w:tc>
        <w:tc>
          <w:tcPr>
            <w:tcW w:w="2643"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555AB5" w:rsidRPr="00BB3A3C" w:rsidRDefault="00555AB5" w:rsidP="00555AB5">
            <w:pPr>
              <w:spacing w:after="0" w:line="240" w:lineRule="auto"/>
              <w:jc w:val="center"/>
              <w:rPr>
                <w:rFonts w:ascii="ITC Avant Garde" w:hAnsi="ITC Avant Garde"/>
                <w:b/>
                <w:color w:val="0000CC"/>
                <w:sz w:val="13"/>
                <w:szCs w:val="13"/>
              </w:rPr>
            </w:pPr>
            <w:r w:rsidRPr="00BB3A3C">
              <w:rPr>
                <w:rFonts w:ascii="ITC Avant Garde" w:hAnsi="ITC Avant Garde"/>
                <w:b/>
                <w:color w:val="0000CC"/>
                <w:sz w:val="13"/>
                <w:szCs w:val="13"/>
              </w:rPr>
              <w:t>“CONFIDENCIAL POR LEY (50)”</w:t>
            </w:r>
          </w:p>
        </w:tc>
      </w:tr>
      <w:tr w:rsidR="00555AB5" w:rsidRPr="007D02A7" w:rsidTr="00BB3A3C">
        <w:trPr>
          <w:trHeight w:val="53"/>
          <w:jc w:val="center"/>
        </w:trPr>
        <w:tc>
          <w:tcPr>
            <w:tcW w:w="2835"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Ciudad de México</w:t>
            </w:r>
          </w:p>
        </w:tc>
        <w:tc>
          <w:tcPr>
            <w:tcW w:w="2447"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Benito Juárez</w:t>
            </w:r>
          </w:p>
        </w:tc>
        <w:tc>
          <w:tcPr>
            <w:tcW w:w="2643"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(50)”</w:t>
            </w:r>
          </w:p>
        </w:tc>
      </w:tr>
      <w:tr w:rsidR="00555AB5" w:rsidRPr="007D02A7" w:rsidTr="00BB3A3C">
        <w:trPr>
          <w:trHeight w:val="70"/>
          <w:jc w:val="center"/>
        </w:trPr>
        <w:tc>
          <w:tcPr>
            <w:tcW w:w="2835"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Ciudad de México</w:t>
            </w:r>
          </w:p>
        </w:tc>
        <w:tc>
          <w:tcPr>
            <w:tcW w:w="2447"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Coyoacán</w:t>
            </w:r>
          </w:p>
        </w:tc>
        <w:tc>
          <w:tcPr>
            <w:tcW w:w="2643"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(50)”</w:t>
            </w:r>
          </w:p>
        </w:tc>
      </w:tr>
      <w:tr w:rsidR="00555AB5" w:rsidRPr="007D02A7" w:rsidTr="00BB3A3C">
        <w:trPr>
          <w:trHeight w:val="53"/>
          <w:jc w:val="center"/>
        </w:trPr>
        <w:tc>
          <w:tcPr>
            <w:tcW w:w="2835"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Ciudad de México</w:t>
            </w:r>
          </w:p>
        </w:tc>
        <w:tc>
          <w:tcPr>
            <w:tcW w:w="2447"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Cuajimalpa de Morelos</w:t>
            </w:r>
          </w:p>
        </w:tc>
        <w:tc>
          <w:tcPr>
            <w:tcW w:w="2643"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(50)”</w:t>
            </w:r>
          </w:p>
        </w:tc>
      </w:tr>
      <w:tr w:rsidR="00555AB5" w:rsidRPr="007D02A7" w:rsidTr="00BB3A3C">
        <w:trPr>
          <w:trHeight w:val="53"/>
          <w:jc w:val="center"/>
        </w:trPr>
        <w:tc>
          <w:tcPr>
            <w:tcW w:w="2835"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Ciudad de México</w:t>
            </w:r>
          </w:p>
        </w:tc>
        <w:tc>
          <w:tcPr>
            <w:tcW w:w="2447"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Cuauhtémoc</w:t>
            </w:r>
          </w:p>
        </w:tc>
        <w:tc>
          <w:tcPr>
            <w:tcW w:w="2643"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(50)”</w:t>
            </w:r>
          </w:p>
        </w:tc>
      </w:tr>
      <w:tr w:rsidR="00555AB5" w:rsidRPr="007D02A7" w:rsidTr="00BB3A3C">
        <w:trPr>
          <w:trHeight w:val="53"/>
          <w:jc w:val="center"/>
        </w:trPr>
        <w:tc>
          <w:tcPr>
            <w:tcW w:w="2835"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Ciudad de México</w:t>
            </w:r>
          </w:p>
        </w:tc>
        <w:tc>
          <w:tcPr>
            <w:tcW w:w="2447"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Miquel Hidalgo</w:t>
            </w:r>
          </w:p>
        </w:tc>
        <w:tc>
          <w:tcPr>
            <w:tcW w:w="2643" w:type="dxa"/>
          </w:tcPr>
          <w:p w:rsidR="00555AB5" w:rsidRPr="00BB3A3C" w:rsidRDefault="00555AB5" w:rsidP="00555AB5">
            <w:pPr>
              <w:spacing w:after="0" w:line="240" w:lineRule="auto"/>
              <w:jc w:val="center"/>
              <w:rPr>
                <w:rFonts w:ascii="ITC Avant Garde" w:hAnsi="ITC Avant Garde"/>
                <w:b/>
                <w:color w:val="0000CC"/>
                <w:sz w:val="13"/>
                <w:szCs w:val="13"/>
              </w:rPr>
            </w:pPr>
            <w:r w:rsidRPr="00BB3A3C">
              <w:rPr>
                <w:rFonts w:ascii="ITC Avant Garde" w:hAnsi="ITC Avant Garde"/>
                <w:b/>
                <w:color w:val="0000CC"/>
                <w:sz w:val="13"/>
                <w:szCs w:val="13"/>
              </w:rPr>
              <w:t>“CONFIDENCIAL POR LEY (49)”</w:t>
            </w:r>
          </w:p>
        </w:tc>
        <w:tc>
          <w:tcPr>
            <w:tcW w:w="2187"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(50)”</w:t>
            </w:r>
          </w:p>
        </w:tc>
      </w:tr>
      <w:tr w:rsidR="00555AB5" w:rsidRPr="007D02A7" w:rsidTr="00BB3A3C">
        <w:trPr>
          <w:trHeight w:val="53"/>
          <w:jc w:val="center"/>
        </w:trPr>
        <w:tc>
          <w:tcPr>
            <w:tcW w:w="2835"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Ciudad de México</w:t>
            </w:r>
          </w:p>
        </w:tc>
        <w:tc>
          <w:tcPr>
            <w:tcW w:w="2447"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Tlalpan</w:t>
            </w:r>
          </w:p>
        </w:tc>
        <w:tc>
          <w:tcPr>
            <w:tcW w:w="2643"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(50)”</w:t>
            </w:r>
          </w:p>
        </w:tc>
      </w:tr>
      <w:tr w:rsidR="00555AB5" w:rsidRPr="007D02A7" w:rsidTr="00BB3A3C">
        <w:trPr>
          <w:trHeight w:val="53"/>
          <w:jc w:val="center"/>
        </w:trPr>
        <w:tc>
          <w:tcPr>
            <w:tcW w:w="2835"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 xml:space="preserve">Coahuila </w:t>
            </w:r>
          </w:p>
        </w:tc>
        <w:tc>
          <w:tcPr>
            <w:tcW w:w="2447"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Ramos Arizpe</w:t>
            </w:r>
          </w:p>
        </w:tc>
        <w:tc>
          <w:tcPr>
            <w:tcW w:w="2643"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(50)”</w:t>
            </w:r>
          </w:p>
        </w:tc>
      </w:tr>
      <w:tr w:rsidR="00555AB5" w:rsidRPr="007D02A7" w:rsidTr="00BB3A3C">
        <w:trPr>
          <w:trHeight w:val="53"/>
          <w:jc w:val="center"/>
        </w:trPr>
        <w:tc>
          <w:tcPr>
            <w:tcW w:w="2835"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Coahuila</w:t>
            </w:r>
          </w:p>
        </w:tc>
        <w:tc>
          <w:tcPr>
            <w:tcW w:w="2447"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Saltillo</w:t>
            </w:r>
          </w:p>
        </w:tc>
        <w:tc>
          <w:tcPr>
            <w:tcW w:w="2643"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555AB5" w:rsidRPr="00BB3A3C" w:rsidRDefault="00555AB5" w:rsidP="00555AB5">
            <w:pPr>
              <w:spacing w:after="0" w:line="240" w:lineRule="auto"/>
              <w:jc w:val="center"/>
              <w:rPr>
                <w:rFonts w:ascii="ITC Avant Garde" w:hAnsi="ITC Avant Garde"/>
                <w:b/>
                <w:color w:val="0000CC"/>
                <w:sz w:val="13"/>
                <w:szCs w:val="13"/>
              </w:rPr>
            </w:pPr>
            <w:r w:rsidRPr="00BB3A3C">
              <w:rPr>
                <w:rFonts w:ascii="ITC Avant Garde" w:hAnsi="ITC Avant Garde"/>
                <w:b/>
                <w:color w:val="0000CC"/>
                <w:sz w:val="13"/>
                <w:szCs w:val="13"/>
              </w:rPr>
              <w:t>“CONFIDENCIAL POR LEY (50)”</w:t>
            </w:r>
          </w:p>
        </w:tc>
      </w:tr>
      <w:tr w:rsidR="00555AB5" w:rsidRPr="007D02A7" w:rsidTr="00BB3A3C">
        <w:trPr>
          <w:trHeight w:val="53"/>
          <w:jc w:val="center"/>
        </w:trPr>
        <w:tc>
          <w:tcPr>
            <w:tcW w:w="2835"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Coahuila</w:t>
            </w:r>
          </w:p>
        </w:tc>
        <w:tc>
          <w:tcPr>
            <w:tcW w:w="2447"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Torreón</w:t>
            </w:r>
          </w:p>
        </w:tc>
        <w:tc>
          <w:tcPr>
            <w:tcW w:w="2643"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(50)”</w:t>
            </w:r>
          </w:p>
        </w:tc>
      </w:tr>
      <w:tr w:rsidR="00555AB5" w:rsidRPr="007D02A7" w:rsidTr="00BB3A3C">
        <w:trPr>
          <w:trHeight w:val="53"/>
          <w:jc w:val="center"/>
        </w:trPr>
        <w:tc>
          <w:tcPr>
            <w:tcW w:w="2835"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Durango</w:t>
            </w:r>
          </w:p>
        </w:tc>
        <w:tc>
          <w:tcPr>
            <w:tcW w:w="2447"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Durango</w:t>
            </w:r>
          </w:p>
        </w:tc>
        <w:tc>
          <w:tcPr>
            <w:tcW w:w="2643"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(50)”</w:t>
            </w:r>
          </w:p>
        </w:tc>
      </w:tr>
      <w:tr w:rsidR="00555AB5" w:rsidRPr="007D02A7" w:rsidTr="00BB3A3C">
        <w:trPr>
          <w:trHeight w:val="53"/>
          <w:jc w:val="center"/>
        </w:trPr>
        <w:tc>
          <w:tcPr>
            <w:tcW w:w="2835"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Durango</w:t>
            </w:r>
          </w:p>
        </w:tc>
        <w:tc>
          <w:tcPr>
            <w:tcW w:w="2447"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Gómez Palacio</w:t>
            </w:r>
          </w:p>
        </w:tc>
        <w:tc>
          <w:tcPr>
            <w:tcW w:w="2643"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(50)”</w:t>
            </w:r>
          </w:p>
        </w:tc>
      </w:tr>
      <w:tr w:rsidR="00555AB5" w:rsidRPr="007D02A7" w:rsidTr="00BB3A3C">
        <w:trPr>
          <w:trHeight w:val="53"/>
          <w:jc w:val="center"/>
        </w:trPr>
        <w:tc>
          <w:tcPr>
            <w:tcW w:w="2835"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Guanajuato</w:t>
            </w:r>
          </w:p>
        </w:tc>
        <w:tc>
          <w:tcPr>
            <w:tcW w:w="2447"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Celaya</w:t>
            </w:r>
          </w:p>
        </w:tc>
        <w:tc>
          <w:tcPr>
            <w:tcW w:w="2643"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(50)”</w:t>
            </w:r>
          </w:p>
        </w:tc>
      </w:tr>
      <w:tr w:rsidR="00555AB5" w:rsidRPr="007D02A7" w:rsidTr="00BB3A3C">
        <w:trPr>
          <w:trHeight w:val="59"/>
          <w:jc w:val="center"/>
        </w:trPr>
        <w:tc>
          <w:tcPr>
            <w:tcW w:w="2835"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Guanajuato</w:t>
            </w:r>
          </w:p>
        </w:tc>
        <w:tc>
          <w:tcPr>
            <w:tcW w:w="2447"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Guanajuato</w:t>
            </w:r>
          </w:p>
        </w:tc>
        <w:tc>
          <w:tcPr>
            <w:tcW w:w="2643"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(50)”</w:t>
            </w:r>
          </w:p>
        </w:tc>
      </w:tr>
      <w:tr w:rsidR="00555AB5" w:rsidRPr="007D02A7" w:rsidTr="00BB3A3C">
        <w:trPr>
          <w:trHeight w:val="53"/>
          <w:jc w:val="center"/>
        </w:trPr>
        <w:tc>
          <w:tcPr>
            <w:tcW w:w="2835"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Guanajuato</w:t>
            </w:r>
          </w:p>
        </w:tc>
        <w:tc>
          <w:tcPr>
            <w:tcW w:w="2447"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León</w:t>
            </w:r>
          </w:p>
        </w:tc>
        <w:tc>
          <w:tcPr>
            <w:tcW w:w="2643"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(50)”</w:t>
            </w:r>
          </w:p>
        </w:tc>
      </w:tr>
      <w:tr w:rsidR="00555AB5" w:rsidRPr="007D02A7" w:rsidTr="00BB3A3C">
        <w:trPr>
          <w:trHeight w:val="53"/>
          <w:jc w:val="center"/>
        </w:trPr>
        <w:tc>
          <w:tcPr>
            <w:tcW w:w="2835"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Guerrero</w:t>
            </w:r>
          </w:p>
        </w:tc>
        <w:tc>
          <w:tcPr>
            <w:tcW w:w="2447"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Acapulco de Juárez</w:t>
            </w:r>
          </w:p>
        </w:tc>
        <w:tc>
          <w:tcPr>
            <w:tcW w:w="2643"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(50)”</w:t>
            </w:r>
          </w:p>
        </w:tc>
      </w:tr>
      <w:tr w:rsidR="00555AB5" w:rsidRPr="007D02A7" w:rsidTr="00BB3A3C">
        <w:trPr>
          <w:trHeight w:val="69"/>
          <w:jc w:val="center"/>
        </w:trPr>
        <w:tc>
          <w:tcPr>
            <w:tcW w:w="2835"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Hidalgo</w:t>
            </w:r>
          </w:p>
        </w:tc>
        <w:tc>
          <w:tcPr>
            <w:tcW w:w="2447"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Pachuca de Soto</w:t>
            </w:r>
          </w:p>
        </w:tc>
        <w:tc>
          <w:tcPr>
            <w:tcW w:w="2643"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555AB5" w:rsidRPr="00BB3A3C" w:rsidRDefault="00555AB5" w:rsidP="00555AB5">
            <w:pPr>
              <w:spacing w:after="0" w:line="240" w:lineRule="auto"/>
              <w:jc w:val="center"/>
              <w:rPr>
                <w:rFonts w:ascii="ITC Avant Garde" w:hAnsi="ITC Avant Garde"/>
                <w:b/>
                <w:color w:val="0000CC"/>
                <w:sz w:val="13"/>
                <w:szCs w:val="13"/>
              </w:rPr>
            </w:pPr>
            <w:r w:rsidRPr="00BB3A3C">
              <w:rPr>
                <w:rFonts w:ascii="ITC Avant Garde" w:hAnsi="ITC Avant Garde"/>
                <w:b/>
                <w:color w:val="0000CC"/>
                <w:sz w:val="13"/>
                <w:szCs w:val="13"/>
              </w:rPr>
              <w:t>“CONFIDENCIAL POR LEY (50)”</w:t>
            </w:r>
          </w:p>
        </w:tc>
      </w:tr>
      <w:tr w:rsidR="00555AB5" w:rsidRPr="007D02A7" w:rsidTr="00BB3A3C">
        <w:trPr>
          <w:trHeight w:val="53"/>
          <w:jc w:val="center"/>
        </w:trPr>
        <w:tc>
          <w:tcPr>
            <w:tcW w:w="2835"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Jalisco</w:t>
            </w:r>
          </w:p>
        </w:tc>
        <w:tc>
          <w:tcPr>
            <w:tcW w:w="2447"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El Salto</w:t>
            </w:r>
          </w:p>
        </w:tc>
        <w:tc>
          <w:tcPr>
            <w:tcW w:w="2643"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(50)”</w:t>
            </w:r>
          </w:p>
        </w:tc>
      </w:tr>
      <w:tr w:rsidR="00555AB5" w:rsidRPr="007D02A7" w:rsidTr="00BB3A3C">
        <w:trPr>
          <w:trHeight w:val="53"/>
          <w:jc w:val="center"/>
        </w:trPr>
        <w:tc>
          <w:tcPr>
            <w:tcW w:w="2835"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Jalisco</w:t>
            </w:r>
          </w:p>
        </w:tc>
        <w:tc>
          <w:tcPr>
            <w:tcW w:w="2447"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Guadalajara</w:t>
            </w:r>
          </w:p>
        </w:tc>
        <w:tc>
          <w:tcPr>
            <w:tcW w:w="2643" w:type="dxa"/>
          </w:tcPr>
          <w:p w:rsidR="00555AB5" w:rsidRPr="00BB3A3C" w:rsidRDefault="00555AB5" w:rsidP="00555AB5">
            <w:pPr>
              <w:spacing w:after="0" w:line="240" w:lineRule="auto"/>
              <w:jc w:val="center"/>
              <w:rPr>
                <w:rFonts w:ascii="ITC Avant Garde" w:hAnsi="ITC Avant Garde"/>
                <w:b/>
                <w:color w:val="0000CC"/>
                <w:sz w:val="13"/>
                <w:szCs w:val="13"/>
              </w:rPr>
            </w:pPr>
            <w:r w:rsidRPr="00BB3A3C">
              <w:rPr>
                <w:rFonts w:ascii="ITC Avant Garde" w:hAnsi="ITC Avant Garde"/>
                <w:b/>
                <w:color w:val="0000CC"/>
                <w:sz w:val="13"/>
                <w:szCs w:val="13"/>
              </w:rPr>
              <w:t>“CONFIDENCIAL POR LEY (49)”</w:t>
            </w:r>
          </w:p>
        </w:tc>
        <w:tc>
          <w:tcPr>
            <w:tcW w:w="2187"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(50)”</w:t>
            </w:r>
          </w:p>
        </w:tc>
      </w:tr>
      <w:tr w:rsidR="00555AB5" w:rsidRPr="007D02A7" w:rsidTr="00BB3A3C">
        <w:trPr>
          <w:trHeight w:val="78"/>
          <w:jc w:val="center"/>
        </w:trPr>
        <w:tc>
          <w:tcPr>
            <w:tcW w:w="2835"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Jalisco</w:t>
            </w:r>
          </w:p>
        </w:tc>
        <w:tc>
          <w:tcPr>
            <w:tcW w:w="2447"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Ocotlán</w:t>
            </w:r>
          </w:p>
        </w:tc>
        <w:tc>
          <w:tcPr>
            <w:tcW w:w="2643"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(50)”</w:t>
            </w:r>
          </w:p>
        </w:tc>
      </w:tr>
      <w:tr w:rsidR="00555AB5" w:rsidRPr="007D02A7" w:rsidTr="00BB3A3C">
        <w:trPr>
          <w:trHeight w:val="53"/>
          <w:jc w:val="center"/>
        </w:trPr>
        <w:tc>
          <w:tcPr>
            <w:tcW w:w="2835"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Jalisco</w:t>
            </w:r>
          </w:p>
        </w:tc>
        <w:tc>
          <w:tcPr>
            <w:tcW w:w="2447"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Tepatitlán de Morelos</w:t>
            </w:r>
          </w:p>
        </w:tc>
        <w:tc>
          <w:tcPr>
            <w:tcW w:w="2643"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(50)”</w:t>
            </w:r>
          </w:p>
        </w:tc>
      </w:tr>
      <w:tr w:rsidR="00555AB5" w:rsidRPr="007D02A7" w:rsidTr="00BB3A3C">
        <w:trPr>
          <w:trHeight w:val="53"/>
          <w:jc w:val="center"/>
        </w:trPr>
        <w:tc>
          <w:tcPr>
            <w:tcW w:w="2835"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Jalisco</w:t>
            </w:r>
          </w:p>
        </w:tc>
        <w:tc>
          <w:tcPr>
            <w:tcW w:w="2447"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Zapopan</w:t>
            </w:r>
          </w:p>
        </w:tc>
        <w:tc>
          <w:tcPr>
            <w:tcW w:w="2643"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(50)”</w:t>
            </w:r>
          </w:p>
        </w:tc>
      </w:tr>
      <w:tr w:rsidR="00555AB5" w:rsidRPr="007D02A7" w:rsidTr="00BB3A3C">
        <w:trPr>
          <w:trHeight w:val="88"/>
          <w:jc w:val="center"/>
        </w:trPr>
        <w:tc>
          <w:tcPr>
            <w:tcW w:w="2835"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Estado de México</w:t>
            </w:r>
          </w:p>
        </w:tc>
        <w:tc>
          <w:tcPr>
            <w:tcW w:w="2447"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Atizapán de Zaragoza</w:t>
            </w:r>
          </w:p>
        </w:tc>
        <w:tc>
          <w:tcPr>
            <w:tcW w:w="2643"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(50)”</w:t>
            </w:r>
          </w:p>
        </w:tc>
      </w:tr>
      <w:tr w:rsidR="00555AB5" w:rsidRPr="007D02A7" w:rsidTr="00BB3A3C">
        <w:trPr>
          <w:trHeight w:val="53"/>
          <w:jc w:val="center"/>
        </w:trPr>
        <w:tc>
          <w:tcPr>
            <w:tcW w:w="2835"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Estado de México</w:t>
            </w:r>
          </w:p>
        </w:tc>
        <w:tc>
          <w:tcPr>
            <w:tcW w:w="2447"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Cuautitlán Izcalli</w:t>
            </w:r>
          </w:p>
        </w:tc>
        <w:tc>
          <w:tcPr>
            <w:tcW w:w="2643"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(50)”</w:t>
            </w:r>
          </w:p>
        </w:tc>
      </w:tr>
      <w:tr w:rsidR="00555AB5" w:rsidRPr="007D02A7" w:rsidTr="00BB3A3C">
        <w:trPr>
          <w:trHeight w:val="53"/>
          <w:jc w:val="center"/>
        </w:trPr>
        <w:tc>
          <w:tcPr>
            <w:tcW w:w="2835"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Estado de México</w:t>
            </w:r>
          </w:p>
        </w:tc>
        <w:tc>
          <w:tcPr>
            <w:tcW w:w="2447"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Metepec</w:t>
            </w:r>
          </w:p>
        </w:tc>
        <w:tc>
          <w:tcPr>
            <w:tcW w:w="2643"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555AB5" w:rsidRPr="00BB3A3C" w:rsidRDefault="00555AB5" w:rsidP="00555AB5">
            <w:pPr>
              <w:spacing w:after="0" w:line="240" w:lineRule="auto"/>
              <w:jc w:val="center"/>
              <w:rPr>
                <w:rFonts w:ascii="ITC Avant Garde" w:hAnsi="ITC Avant Garde"/>
                <w:b/>
                <w:color w:val="0000CC"/>
                <w:sz w:val="13"/>
                <w:szCs w:val="13"/>
              </w:rPr>
            </w:pPr>
            <w:r w:rsidRPr="00BB3A3C">
              <w:rPr>
                <w:rFonts w:ascii="ITC Avant Garde" w:hAnsi="ITC Avant Garde"/>
                <w:b/>
                <w:color w:val="0000CC"/>
                <w:sz w:val="13"/>
                <w:szCs w:val="13"/>
              </w:rPr>
              <w:t>“CONFIDENCIAL POR LEY (50)”</w:t>
            </w:r>
          </w:p>
        </w:tc>
      </w:tr>
      <w:tr w:rsidR="00555AB5" w:rsidRPr="007D02A7" w:rsidTr="00BB3A3C">
        <w:trPr>
          <w:trHeight w:val="98"/>
          <w:jc w:val="center"/>
        </w:trPr>
        <w:tc>
          <w:tcPr>
            <w:tcW w:w="2835"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Estado de México</w:t>
            </w:r>
          </w:p>
        </w:tc>
        <w:tc>
          <w:tcPr>
            <w:tcW w:w="2447"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Texcoco</w:t>
            </w:r>
          </w:p>
        </w:tc>
        <w:tc>
          <w:tcPr>
            <w:tcW w:w="2643"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(50)”</w:t>
            </w:r>
          </w:p>
        </w:tc>
      </w:tr>
      <w:tr w:rsidR="00555AB5" w:rsidRPr="007D02A7" w:rsidTr="00BB3A3C">
        <w:trPr>
          <w:trHeight w:val="53"/>
          <w:jc w:val="center"/>
        </w:trPr>
        <w:tc>
          <w:tcPr>
            <w:tcW w:w="2835"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Estado de México</w:t>
            </w:r>
          </w:p>
        </w:tc>
        <w:tc>
          <w:tcPr>
            <w:tcW w:w="2447"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Tlalnepantla de Baz</w:t>
            </w:r>
          </w:p>
        </w:tc>
        <w:tc>
          <w:tcPr>
            <w:tcW w:w="2643"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(50)”</w:t>
            </w:r>
          </w:p>
        </w:tc>
      </w:tr>
      <w:tr w:rsidR="00555AB5" w:rsidRPr="007D02A7" w:rsidTr="00BB3A3C">
        <w:trPr>
          <w:trHeight w:val="53"/>
          <w:jc w:val="center"/>
        </w:trPr>
        <w:tc>
          <w:tcPr>
            <w:tcW w:w="2835"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Estado de México</w:t>
            </w:r>
          </w:p>
        </w:tc>
        <w:tc>
          <w:tcPr>
            <w:tcW w:w="2447"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Toluca</w:t>
            </w:r>
          </w:p>
        </w:tc>
        <w:tc>
          <w:tcPr>
            <w:tcW w:w="2643"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(50)”</w:t>
            </w:r>
          </w:p>
        </w:tc>
      </w:tr>
      <w:tr w:rsidR="00555AB5" w:rsidRPr="007D02A7" w:rsidTr="00BB3A3C">
        <w:trPr>
          <w:trHeight w:val="53"/>
          <w:jc w:val="center"/>
        </w:trPr>
        <w:tc>
          <w:tcPr>
            <w:tcW w:w="2835"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Morelos</w:t>
            </w:r>
          </w:p>
        </w:tc>
        <w:tc>
          <w:tcPr>
            <w:tcW w:w="2447"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Jiutepec</w:t>
            </w:r>
          </w:p>
        </w:tc>
        <w:tc>
          <w:tcPr>
            <w:tcW w:w="2643"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(50)”</w:t>
            </w:r>
          </w:p>
        </w:tc>
      </w:tr>
      <w:tr w:rsidR="00555AB5" w:rsidRPr="007D02A7" w:rsidTr="00BB3A3C">
        <w:trPr>
          <w:trHeight w:val="53"/>
          <w:jc w:val="center"/>
        </w:trPr>
        <w:tc>
          <w:tcPr>
            <w:tcW w:w="2835"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Nuevo León</w:t>
            </w:r>
          </w:p>
        </w:tc>
        <w:tc>
          <w:tcPr>
            <w:tcW w:w="2447"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Apodaca</w:t>
            </w:r>
          </w:p>
        </w:tc>
        <w:tc>
          <w:tcPr>
            <w:tcW w:w="2643"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(50)”</w:t>
            </w:r>
          </w:p>
        </w:tc>
      </w:tr>
      <w:tr w:rsidR="00555AB5" w:rsidRPr="007D02A7" w:rsidTr="00BB3A3C">
        <w:trPr>
          <w:trHeight w:val="53"/>
          <w:jc w:val="center"/>
        </w:trPr>
        <w:tc>
          <w:tcPr>
            <w:tcW w:w="2835"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Nuevo León</w:t>
            </w:r>
          </w:p>
        </w:tc>
        <w:tc>
          <w:tcPr>
            <w:tcW w:w="2447"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General Escobedo</w:t>
            </w:r>
          </w:p>
        </w:tc>
        <w:tc>
          <w:tcPr>
            <w:tcW w:w="2643"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(50)”</w:t>
            </w:r>
          </w:p>
        </w:tc>
      </w:tr>
      <w:tr w:rsidR="00555AB5" w:rsidRPr="007D02A7" w:rsidTr="00BB3A3C">
        <w:trPr>
          <w:trHeight w:val="53"/>
          <w:jc w:val="center"/>
        </w:trPr>
        <w:tc>
          <w:tcPr>
            <w:tcW w:w="2835"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Nuevo León</w:t>
            </w:r>
          </w:p>
        </w:tc>
        <w:tc>
          <w:tcPr>
            <w:tcW w:w="2447"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Guadalupe</w:t>
            </w:r>
          </w:p>
        </w:tc>
        <w:tc>
          <w:tcPr>
            <w:tcW w:w="2643" w:type="dxa"/>
          </w:tcPr>
          <w:p w:rsidR="00555AB5" w:rsidRPr="00BB3A3C" w:rsidRDefault="00555AB5" w:rsidP="00555AB5">
            <w:pPr>
              <w:spacing w:after="0" w:line="240" w:lineRule="auto"/>
              <w:jc w:val="center"/>
              <w:rPr>
                <w:rFonts w:ascii="ITC Avant Garde" w:hAnsi="ITC Avant Garde"/>
                <w:b/>
                <w:color w:val="0000CC"/>
                <w:sz w:val="13"/>
                <w:szCs w:val="13"/>
              </w:rPr>
            </w:pPr>
            <w:r w:rsidRPr="00BB3A3C">
              <w:rPr>
                <w:rFonts w:ascii="ITC Avant Garde" w:hAnsi="ITC Avant Garde"/>
                <w:b/>
                <w:color w:val="0000CC"/>
                <w:sz w:val="13"/>
                <w:szCs w:val="13"/>
              </w:rPr>
              <w:t>“CONFIDENCIAL POR LEY (49)”</w:t>
            </w:r>
          </w:p>
        </w:tc>
        <w:tc>
          <w:tcPr>
            <w:tcW w:w="2187"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(50)”</w:t>
            </w:r>
          </w:p>
        </w:tc>
      </w:tr>
      <w:tr w:rsidR="00555AB5" w:rsidRPr="007D02A7" w:rsidTr="00BB3A3C">
        <w:trPr>
          <w:trHeight w:val="53"/>
          <w:jc w:val="center"/>
        </w:trPr>
        <w:tc>
          <w:tcPr>
            <w:tcW w:w="2835"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Nuevo León</w:t>
            </w:r>
          </w:p>
        </w:tc>
        <w:tc>
          <w:tcPr>
            <w:tcW w:w="2447"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Monterrey</w:t>
            </w:r>
          </w:p>
        </w:tc>
        <w:tc>
          <w:tcPr>
            <w:tcW w:w="2643"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555AB5" w:rsidRPr="00BB3A3C" w:rsidRDefault="00555AB5" w:rsidP="00555AB5">
            <w:pPr>
              <w:spacing w:after="0" w:line="240" w:lineRule="auto"/>
              <w:jc w:val="center"/>
              <w:rPr>
                <w:rFonts w:ascii="ITC Avant Garde" w:hAnsi="ITC Avant Garde"/>
                <w:b/>
                <w:color w:val="0000CC"/>
                <w:sz w:val="13"/>
                <w:szCs w:val="13"/>
              </w:rPr>
            </w:pPr>
            <w:r w:rsidRPr="00BB3A3C">
              <w:rPr>
                <w:rFonts w:ascii="ITC Avant Garde" w:hAnsi="ITC Avant Garde"/>
                <w:b/>
                <w:color w:val="0000CC"/>
                <w:sz w:val="13"/>
                <w:szCs w:val="13"/>
              </w:rPr>
              <w:t>“CONFIDENCIAL POR LEY (50)”</w:t>
            </w:r>
          </w:p>
        </w:tc>
      </w:tr>
      <w:tr w:rsidR="00555AB5" w:rsidRPr="007D02A7" w:rsidTr="00BB3A3C">
        <w:trPr>
          <w:trHeight w:val="53"/>
          <w:jc w:val="center"/>
        </w:trPr>
        <w:tc>
          <w:tcPr>
            <w:tcW w:w="2835"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Nuevo León</w:t>
            </w:r>
          </w:p>
        </w:tc>
        <w:tc>
          <w:tcPr>
            <w:tcW w:w="2447"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San Nicolás de los Garza</w:t>
            </w:r>
          </w:p>
        </w:tc>
        <w:tc>
          <w:tcPr>
            <w:tcW w:w="2643"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(50)”</w:t>
            </w:r>
          </w:p>
        </w:tc>
      </w:tr>
      <w:tr w:rsidR="00555AB5" w:rsidRPr="007D02A7" w:rsidTr="00BB3A3C">
        <w:trPr>
          <w:trHeight w:val="142"/>
          <w:jc w:val="center"/>
        </w:trPr>
        <w:tc>
          <w:tcPr>
            <w:tcW w:w="2835"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Nuevo León</w:t>
            </w:r>
          </w:p>
        </w:tc>
        <w:tc>
          <w:tcPr>
            <w:tcW w:w="2447"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San Pedro Garza García</w:t>
            </w:r>
          </w:p>
        </w:tc>
        <w:tc>
          <w:tcPr>
            <w:tcW w:w="2643"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(50)”</w:t>
            </w:r>
          </w:p>
        </w:tc>
      </w:tr>
      <w:tr w:rsidR="00555AB5" w:rsidRPr="007D02A7" w:rsidTr="00BB3A3C">
        <w:trPr>
          <w:trHeight w:val="53"/>
          <w:jc w:val="center"/>
        </w:trPr>
        <w:tc>
          <w:tcPr>
            <w:tcW w:w="2835"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Nuevo León</w:t>
            </w:r>
          </w:p>
        </w:tc>
        <w:tc>
          <w:tcPr>
            <w:tcW w:w="2447"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Santa Catarina</w:t>
            </w:r>
          </w:p>
        </w:tc>
        <w:tc>
          <w:tcPr>
            <w:tcW w:w="2643"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(50)”</w:t>
            </w:r>
          </w:p>
        </w:tc>
      </w:tr>
      <w:tr w:rsidR="00555AB5" w:rsidRPr="007D02A7" w:rsidTr="00BB3A3C">
        <w:trPr>
          <w:trHeight w:val="53"/>
          <w:jc w:val="center"/>
        </w:trPr>
        <w:tc>
          <w:tcPr>
            <w:tcW w:w="2835"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Puebla</w:t>
            </w:r>
          </w:p>
        </w:tc>
        <w:tc>
          <w:tcPr>
            <w:tcW w:w="2447"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Puebla</w:t>
            </w:r>
          </w:p>
        </w:tc>
        <w:tc>
          <w:tcPr>
            <w:tcW w:w="2643"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(50)”</w:t>
            </w:r>
          </w:p>
        </w:tc>
      </w:tr>
      <w:tr w:rsidR="00555AB5" w:rsidRPr="007D02A7" w:rsidTr="00BB3A3C">
        <w:trPr>
          <w:trHeight w:val="53"/>
          <w:jc w:val="center"/>
        </w:trPr>
        <w:tc>
          <w:tcPr>
            <w:tcW w:w="2835"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Puebla</w:t>
            </w:r>
          </w:p>
        </w:tc>
        <w:tc>
          <w:tcPr>
            <w:tcW w:w="2447"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San Andrés Cholula</w:t>
            </w:r>
          </w:p>
        </w:tc>
        <w:tc>
          <w:tcPr>
            <w:tcW w:w="2643"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(50)”</w:t>
            </w:r>
          </w:p>
        </w:tc>
      </w:tr>
      <w:tr w:rsidR="00555AB5" w:rsidRPr="007D02A7" w:rsidTr="00BB3A3C">
        <w:trPr>
          <w:trHeight w:val="56"/>
          <w:jc w:val="center"/>
        </w:trPr>
        <w:tc>
          <w:tcPr>
            <w:tcW w:w="2835"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Querétaro</w:t>
            </w:r>
          </w:p>
        </w:tc>
        <w:tc>
          <w:tcPr>
            <w:tcW w:w="2447"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El Marqués</w:t>
            </w:r>
          </w:p>
        </w:tc>
        <w:tc>
          <w:tcPr>
            <w:tcW w:w="2643"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(50)”</w:t>
            </w:r>
          </w:p>
        </w:tc>
      </w:tr>
      <w:tr w:rsidR="00555AB5" w:rsidRPr="007D02A7" w:rsidTr="00BB3A3C">
        <w:trPr>
          <w:trHeight w:val="102"/>
          <w:jc w:val="center"/>
        </w:trPr>
        <w:tc>
          <w:tcPr>
            <w:tcW w:w="2835"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Querétaro</w:t>
            </w:r>
          </w:p>
        </w:tc>
        <w:tc>
          <w:tcPr>
            <w:tcW w:w="2447"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Querétaro</w:t>
            </w:r>
          </w:p>
        </w:tc>
        <w:tc>
          <w:tcPr>
            <w:tcW w:w="2643"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(50)”</w:t>
            </w:r>
          </w:p>
        </w:tc>
      </w:tr>
      <w:tr w:rsidR="00555AB5" w:rsidRPr="007D02A7" w:rsidTr="00BB3A3C">
        <w:trPr>
          <w:trHeight w:val="53"/>
          <w:jc w:val="center"/>
        </w:trPr>
        <w:tc>
          <w:tcPr>
            <w:tcW w:w="2835"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Quintana Roo</w:t>
            </w:r>
          </w:p>
        </w:tc>
        <w:tc>
          <w:tcPr>
            <w:tcW w:w="2447"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Benito Juárez</w:t>
            </w:r>
          </w:p>
        </w:tc>
        <w:tc>
          <w:tcPr>
            <w:tcW w:w="2643"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555AB5" w:rsidRPr="00BB3A3C" w:rsidRDefault="00555AB5" w:rsidP="00555AB5">
            <w:pPr>
              <w:spacing w:after="0" w:line="240" w:lineRule="auto"/>
              <w:jc w:val="center"/>
              <w:rPr>
                <w:rFonts w:ascii="ITC Avant Garde" w:hAnsi="ITC Avant Garde"/>
                <w:b/>
                <w:color w:val="0000CC"/>
                <w:sz w:val="13"/>
                <w:szCs w:val="13"/>
              </w:rPr>
            </w:pPr>
            <w:r w:rsidRPr="00BB3A3C">
              <w:rPr>
                <w:rFonts w:ascii="ITC Avant Garde" w:hAnsi="ITC Avant Garde"/>
                <w:b/>
                <w:color w:val="0000CC"/>
                <w:sz w:val="13"/>
                <w:szCs w:val="13"/>
              </w:rPr>
              <w:t>“CONFIDENCIAL POR LEY (50)”</w:t>
            </w:r>
          </w:p>
        </w:tc>
      </w:tr>
      <w:tr w:rsidR="00555AB5" w:rsidRPr="007D02A7" w:rsidTr="00BB3A3C">
        <w:trPr>
          <w:trHeight w:val="66"/>
          <w:jc w:val="center"/>
        </w:trPr>
        <w:tc>
          <w:tcPr>
            <w:tcW w:w="2835"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Quintana Roo</w:t>
            </w:r>
          </w:p>
        </w:tc>
        <w:tc>
          <w:tcPr>
            <w:tcW w:w="2447"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Solidaridad</w:t>
            </w:r>
          </w:p>
        </w:tc>
        <w:tc>
          <w:tcPr>
            <w:tcW w:w="2643"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(50)”</w:t>
            </w:r>
          </w:p>
        </w:tc>
      </w:tr>
      <w:tr w:rsidR="00555AB5" w:rsidRPr="007D02A7" w:rsidTr="00BB3A3C">
        <w:trPr>
          <w:trHeight w:val="53"/>
          <w:jc w:val="center"/>
        </w:trPr>
        <w:tc>
          <w:tcPr>
            <w:tcW w:w="2835"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Quintana Roo</w:t>
            </w:r>
          </w:p>
        </w:tc>
        <w:tc>
          <w:tcPr>
            <w:tcW w:w="2447"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Tulum</w:t>
            </w:r>
          </w:p>
        </w:tc>
        <w:tc>
          <w:tcPr>
            <w:tcW w:w="2643"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(50)”</w:t>
            </w:r>
          </w:p>
        </w:tc>
      </w:tr>
      <w:tr w:rsidR="00555AB5" w:rsidRPr="007D02A7" w:rsidTr="00BB3A3C">
        <w:trPr>
          <w:trHeight w:val="53"/>
          <w:jc w:val="center"/>
        </w:trPr>
        <w:tc>
          <w:tcPr>
            <w:tcW w:w="2835"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San Luis Potosí</w:t>
            </w:r>
          </w:p>
        </w:tc>
        <w:tc>
          <w:tcPr>
            <w:tcW w:w="2447"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Ciudad Valles</w:t>
            </w:r>
          </w:p>
        </w:tc>
        <w:tc>
          <w:tcPr>
            <w:tcW w:w="2643"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(50)”</w:t>
            </w:r>
          </w:p>
        </w:tc>
      </w:tr>
      <w:tr w:rsidR="00555AB5" w:rsidRPr="007D02A7" w:rsidTr="00BB3A3C">
        <w:trPr>
          <w:trHeight w:val="53"/>
          <w:jc w:val="center"/>
        </w:trPr>
        <w:tc>
          <w:tcPr>
            <w:tcW w:w="2835"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San Luis Potosí</w:t>
            </w:r>
          </w:p>
        </w:tc>
        <w:tc>
          <w:tcPr>
            <w:tcW w:w="2447"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San Luis Potosí</w:t>
            </w:r>
          </w:p>
        </w:tc>
        <w:tc>
          <w:tcPr>
            <w:tcW w:w="2643" w:type="dxa"/>
          </w:tcPr>
          <w:p w:rsidR="00555AB5" w:rsidRPr="00BB3A3C" w:rsidRDefault="00555AB5" w:rsidP="00555AB5">
            <w:pPr>
              <w:spacing w:after="0" w:line="240" w:lineRule="auto"/>
              <w:jc w:val="center"/>
              <w:rPr>
                <w:rFonts w:ascii="ITC Avant Garde" w:hAnsi="ITC Avant Garde"/>
                <w:b/>
                <w:color w:val="0000CC"/>
                <w:sz w:val="13"/>
                <w:szCs w:val="13"/>
              </w:rPr>
            </w:pPr>
            <w:r w:rsidRPr="00BB3A3C">
              <w:rPr>
                <w:rFonts w:ascii="ITC Avant Garde" w:hAnsi="ITC Avant Garde"/>
                <w:b/>
                <w:color w:val="0000CC"/>
                <w:sz w:val="13"/>
                <w:szCs w:val="13"/>
              </w:rPr>
              <w:t>“CONFIDENCIAL POR LEY (49)”</w:t>
            </w:r>
          </w:p>
        </w:tc>
        <w:tc>
          <w:tcPr>
            <w:tcW w:w="2187"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(50)”</w:t>
            </w:r>
          </w:p>
        </w:tc>
      </w:tr>
      <w:tr w:rsidR="00555AB5" w:rsidRPr="007D02A7" w:rsidTr="00BB3A3C">
        <w:trPr>
          <w:trHeight w:val="53"/>
          <w:jc w:val="center"/>
        </w:trPr>
        <w:tc>
          <w:tcPr>
            <w:tcW w:w="2835"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lastRenderedPageBreak/>
              <w:t>San Luis Potosí</w:t>
            </w:r>
          </w:p>
        </w:tc>
        <w:tc>
          <w:tcPr>
            <w:tcW w:w="2447"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Soledad de Graciano Sánchez</w:t>
            </w:r>
          </w:p>
        </w:tc>
        <w:tc>
          <w:tcPr>
            <w:tcW w:w="2643"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(50)”</w:t>
            </w:r>
          </w:p>
        </w:tc>
      </w:tr>
      <w:tr w:rsidR="00555AB5" w:rsidRPr="007D02A7" w:rsidTr="00BB3A3C">
        <w:trPr>
          <w:trHeight w:val="53"/>
          <w:jc w:val="center"/>
        </w:trPr>
        <w:tc>
          <w:tcPr>
            <w:tcW w:w="2835"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Sinaloa</w:t>
            </w:r>
          </w:p>
        </w:tc>
        <w:tc>
          <w:tcPr>
            <w:tcW w:w="2447"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Ahome</w:t>
            </w:r>
          </w:p>
        </w:tc>
        <w:tc>
          <w:tcPr>
            <w:tcW w:w="2643"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(50)”</w:t>
            </w:r>
          </w:p>
        </w:tc>
      </w:tr>
      <w:tr w:rsidR="00555AB5" w:rsidRPr="007D02A7" w:rsidTr="00BB3A3C">
        <w:trPr>
          <w:trHeight w:val="86"/>
          <w:jc w:val="center"/>
        </w:trPr>
        <w:tc>
          <w:tcPr>
            <w:tcW w:w="2835"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Tabasco</w:t>
            </w:r>
          </w:p>
        </w:tc>
        <w:tc>
          <w:tcPr>
            <w:tcW w:w="2447"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Centro</w:t>
            </w:r>
          </w:p>
        </w:tc>
        <w:tc>
          <w:tcPr>
            <w:tcW w:w="2643"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(50)”</w:t>
            </w:r>
          </w:p>
        </w:tc>
      </w:tr>
      <w:tr w:rsidR="00555AB5" w:rsidRPr="007D02A7" w:rsidTr="00BB3A3C">
        <w:trPr>
          <w:trHeight w:val="132"/>
          <w:jc w:val="center"/>
        </w:trPr>
        <w:tc>
          <w:tcPr>
            <w:tcW w:w="2835"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Tamaulipas</w:t>
            </w:r>
          </w:p>
        </w:tc>
        <w:tc>
          <w:tcPr>
            <w:tcW w:w="2447"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Matamoros</w:t>
            </w:r>
          </w:p>
        </w:tc>
        <w:tc>
          <w:tcPr>
            <w:tcW w:w="2643"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555AB5" w:rsidRPr="00BB3A3C" w:rsidRDefault="00555AB5" w:rsidP="00555AB5">
            <w:pPr>
              <w:spacing w:after="0" w:line="240" w:lineRule="auto"/>
              <w:jc w:val="center"/>
              <w:rPr>
                <w:rFonts w:ascii="ITC Avant Garde" w:hAnsi="ITC Avant Garde"/>
                <w:b/>
                <w:color w:val="0000CC"/>
                <w:sz w:val="13"/>
                <w:szCs w:val="13"/>
              </w:rPr>
            </w:pPr>
            <w:r w:rsidRPr="00BB3A3C">
              <w:rPr>
                <w:rFonts w:ascii="ITC Avant Garde" w:hAnsi="ITC Avant Garde"/>
                <w:b/>
                <w:color w:val="0000CC"/>
                <w:sz w:val="13"/>
                <w:szCs w:val="13"/>
              </w:rPr>
              <w:t>“CONFIDENCIAL POR LEY (50)”</w:t>
            </w:r>
          </w:p>
        </w:tc>
      </w:tr>
      <w:tr w:rsidR="00555AB5" w:rsidRPr="007D02A7" w:rsidTr="00BB3A3C">
        <w:trPr>
          <w:trHeight w:val="53"/>
          <w:jc w:val="center"/>
        </w:trPr>
        <w:tc>
          <w:tcPr>
            <w:tcW w:w="2835"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Tamaulipas</w:t>
            </w:r>
          </w:p>
        </w:tc>
        <w:tc>
          <w:tcPr>
            <w:tcW w:w="2447"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Nuevo Laredo</w:t>
            </w:r>
          </w:p>
        </w:tc>
        <w:tc>
          <w:tcPr>
            <w:tcW w:w="2643"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(50)”</w:t>
            </w:r>
          </w:p>
        </w:tc>
      </w:tr>
      <w:tr w:rsidR="00555AB5" w:rsidRPr="007D02A7" w:rsidTr="00BB3A3C">
        <w:trPr>
          <w:trHeight w:val="53"/>
          <w:jc w:val="center"/>
        </w:trPr>
        <w:tc>
          <w:tcPr>
            <w:tcW w:w="2835"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Tamaulipas</w:t>
            </w:r>
          </w:p>
        </w:tc>
        <w:tc>
          <w:tcPr>
            <w:tcW w:w="2447"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Reynosa</w:t>
            </w:r>
          </w:p>
        </w:tc>
        <w:tc>
          <w:tcPr>
            <w:tcW w:w="2643"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(50)”</w:t>
            </w:r>
          </w:p>
        </w:tc>
      </w:tr>
      <w:tr w:rsidR="00555AB5" w:rsidRPr="007D02A7" w:rsidTr="00BB3A3C">
        <w:trPr>
          <w:trHeight w:val="53"/>
          <w:jc w:val="center"/>
        </w:trPr>
        <w:tc>
          <w:tcPr>
            <w:tcW w:w="2835"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Tamaulipas</w:t>
            </w:r>
          </w:p>
        </w:tc>
        <w:tc>
          <w:tcPr>
            <w:tcW w:w="2447"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Tampico</w:t>
            </w:r>
          </w:p>
        </w:tc>
        <w:tc>
          <w:tcPr>
            <w:tcW w:w="2643"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(50)”</w:t>
            </w:r>
          </w:p>
        </w:tc>
      </w:tr>
      <w:tr w:rsidR="00555AB5" w:rsidRPr="007D02A7" w:rsidTr="00BB3A3C">
        <w:trPr>
          <w:trHeight w:val="53"/>
          <w:jc w:val="center"/>
        </w:trPr>
        <w:tc>
          <w:tcPr>
            <w:tcW w:w="2835"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Tamaulipas</w:t>
            </w:r>
          </w:p>
        </w:tc>
        <w:tc>
          <w:tcPr>
            <w:tcW w:w="2447"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Victoria</w:t>
            </w:r>
          </w:p>
        </w:tc>
        <w:tc>
          <w:tcPr>
            <w:tcW w:w="2643"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(50)”</w:t>
            </w:r>
          </w:p>
        </w:tc>
      </w:tr>
      <w:tr w:rsidR="00555AB5" w:rsidRPr="007D02A7" w:rsidTr="00BB3A3C">
        <w:trPr>
          <w:trHeight w:val="106"/>
          <w:jc w:val="center"/>
        </w:trPr>
        <w:tc>
          <w:tcPr>
            <w:tcW w:w="2835"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Veracruz de Ignacio de la Llave</w:t>
            </w:r>
          </w:p>
        </w:tc>
        <w:tc>
          <w:tcPr>
            <w:tcW w:w="2447"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Coatzacoalcos</w:t>
            </w:r>
          </w:p>
        </w:tc>
        <w:tc>
          <w:tcPr>
            <w:tcW w:w="2643"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(50)”</w:t>
            </w:r>
          </w:p>
        </w:tc>
      </w:tr>
      <w:tr w:rsidR="00555AB5" w:rsidRPr="007D02A7" w:rsidTr="00BB3A3C">
        <w:trPr>
          <w:trHeight w:val="226"/>
          <w:jc w:val="center"/>
        </w:trPr>
        <w:tc>
          <w:tcPr>
            <w:tcW w:w="2835"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Veracruz de Ignacio de la Llave</w:t>
            </w:r>
          </w:p>
        </w:tc>
        <w:tc>
          <w:tcPr>
            <w:tcW w:w="2447"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Veracruz</w:t>
            </w:r>
          </w:p>
        </w:tc>
        <w:tc>
          <w:tcPr>
            <w:tcW w:w="2643"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(50)”</w:t>
            </w:r>
          </w:p>
        </w:tc>
      </w:tr>
      <w:tr w:rsidR="00555AB5" w:rsidRPr="007D02A7" w:rsidTr="00BB3A3C">
        <w:trPr>
          <w:trHeight w:val="53"/>
          <w:jc w:val="center"/>
        </w:trPr>
        <w:tc>
          <w:tcPr>
            <w:tcW w:w="2835"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Yucatán</w:t>
            </w:r>
          </w:p>
        </w:tc>
        <w:tc>
          <w:tcPr>
            <w:tcW w:w="2447"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Mérida</w:t>
            </w:r>
          </w:p>
        </w:tc>
        <w:tc>
          <w:tcPr>
            <w:tcW w:w="2643"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(50)”</w:t>
            </w:r>
          </w:p>
        </w:tc>
      </w:tr>
      <w:tr w:rsidR="00555AB5" w:rsidRPr="007D02A7" w:rsidTr="00BB3A3C">
        <w:trPr>
          <w:trHeight w:val="53"/>
          <w:jc w:val="center"/>
        </w:trPr>
        <w:tc>
          <w:tcPr>
            <w:tcW w:w="2835"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Zacatecas</w:t>
            </w:r>
          </w:p>
        </w:tc>
        <w:tc>
          <w:tcPr>
            <w:tcW w:w="2447" w:type="dxa"/>
          </w:tcPr>
          <w:p w:rsidR="00555AB5" w:rsidRPr="007D02A7" w:rsidRDefault="00555AB5" w:rsidP="00555AB5">
            <w:pPr>
              <w:spacing w:after="0" w:line="240" w:lineRule="auto"/>
              <w:jc w:val="center"/>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Guadalupe</w:t>
            </w:r>
          </w:p>
        </w:tc>
        <w:tc>
          <w:tcPr>
            <w:tcW w:w="2643"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(49)”</w:t>
            </w:r>
          </w:p>
        </w:tc>
        <w:tc>
          <w:tcPr>
            <w:tcW w:w="2187" w:type="dxa"/>
          </w:tcPr>
          <w:p w:rsidR="00555AB5" w:rsidRPr="00BB3A3C" w:rsidRDefault="00555AB5" w:rsidP="00555AB5">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(50)”</w:t>
            </w:r>
          </w:p>
        </w:tc>
      </w:tr>
    </w:tbl>
    <w:p w:rsidR="00BB3A3C" w:rsidRDefault="00BB3A3C" w:rsidP="00ED0631">
      <w:pPr>
        <w:spacing w:after="0" w:line="240" w:lineRule="auto"/>
        <w:rPr>
          <w:rFonts w:ascii="ITC Avant Garde" w:hAnsi="ITC Avant Garde"/>
          <w:sz w:val="18"/>
          <w:szCs w:val="20"/>
        </w:rPr>
      </w:pPr>
    </w:p>
    <w:tbl>
      <w:tblPr>
        <w:tblStyle w:val="Tablaconcuadrcula1"/>
        <w:tblW w:w="10112" w:type="dxa"/>
        <w:jc w:val="center"/>
        <w:tblLook w:val="04A0" w:firstRow="1" w:lastRow="0" w:firstColumn="1" w:lastColumn="0" w:noHBand="0" w:noVBand="1"/>
        <w:tblCaption w:val="Cuadro 9. Torres de AXTEL objeto de la Operación y torres del GIE controlado por ATC a nivel Municipio/Delegación"/>
        <w:tblDescription w:val="En este cuadro se presenta: i) Número de torres de telecomunicaciones de AXTEL involucradas en la Operación por municipio, y ii) Número de torres de telecomunicaciones de MATC Digital en los municipios involucrados en la Operación.&#10;"/>
      </w:tblPr>
      <w:tblGrid>
        <w:gridCol w:w="5282"/>
        <w:gridCol w:w="2643"/>
        <w:gridCol w:w="2187"/>
      </w:tblGrid>
      <w:tr w:rsidR="00BB3A3C" w:rsidRPr="007D02A7" w:rsidTr="00BB3A3C">
        <w:trPr>
          <w:trHeight w:val="53"/>
          <w:tblHeader/>
          <w:jc w:val="center"/>
        </w:trPr>
        <w:tc>
          <w:tcPr>
            <w:tcW w:w="5282" w:type="dxa"/>
          </w:tcPr>
          <w:p w:rsidR="00BB3A3C" w:rsidRPr="007D02A7" w:rsidRDefault="00BB3A3C" w:rsidP="00EE12FA">
            <w:pPr>
              <w:spacing w:after="0" w:line="240" w:lineRule="auto"/>
              <w:jc w:val="right"/>
              <w:rPr>
                <w:rFonts w:ascii="ITC Avant Garde" w:eastAsia="Times New Roman" w:hAnsi="ITC Avant Garde"/>
                <w:b/>
                <w:bCs/>
                <w:color w:val="000000"/>
                <w:sz w:val="18"/>
                <w:szCs w:val="18"/>
              </w:rPr>
            </w:pPr>
            <w:r w:rsidRPr="007D02A7">
              <w:rPr>
                <w:rFonts w:ascii="ITC Avant Garde" w:eastAsia="Times New Roman" w:hAnsi="ITC Avant Garde"/>
                <w:b/>
                <w:bCs/>
                <w:color w:val="000000"/>
                <w:sz w:val="18"/>
                <w:szCs w:val="18"/>
              </w:rPr>
              <w:t>Total</w:t>
            </w:r>
          </w:p>
        </w:tc>
        <w:tc>
          <w:tcPr>
            <w:tcW w:w="2643" w:type="dxa"/>
            <w:hideMark/>
          </w:tcPr>
          <w:p w:rsidR="00BB3A3C" w:rsidRPr="007D02A7" w:rsidRDefault="00BB3A3C" w:rsidP="00EE12FA">
            <w:pPr>
              <w:spacing w:after="0" w:line="240" w:lineRule="auto"/>
              <w:jc w:val="center"/>
              <w:rPr>
                <w:rFonts w:ascii="ITC Avant Garde" w:eastAsia="Times New Roman" w:hAnsi="ITC Avant Garde"/>
                <w:b/>
                <w:bCs/>
                <w:color w:val="000000"/>
                <w:sz w:val="18"/>
                <w:szCs w:val="18"/>
              </w:rPr>
            </w:pPr>
            <w:r w:rsidRPr="007D02A7">
              <w:rPr>
                <w:rFonts w:ascii="ITC Avant Garde" w:eastAsia="Times New Roman" w:hAnsi="ITC Avant Garde"/>
                <w:b/>
                <w:bCs/>
                <w:color w:val="000000"/>
                <w:sz w:val="18"/>
                <w:szCs w:val="18"/>
              </w:rPr>
              <w:t>142</w:t>
            </w:r>
          </w:p>
        </w:tc>
        <w:tc>
          <w:tcPr>
            <w:tcW w:w="2187" w:type="dxa"/>
          </w:tcPr>
          <w:p w:rsidR="00BB3A3C" w:rsidRPr="007D02A7" w:rsidRDefault="00BB3A3C" w:rsidP="00EE12FA">
            <w:pPr>
              <w:spacing w:after="0" w:line="240" w:lineRule="auto"/>
              <w:jc w:val="center"/>
              <w:rPr>
                <w:rFonts w:ascii="ITC Avant Garde" w:eastAsia="Times New Roman" w:hAnsi="ITC Avant Garde"/>
                <w:b/>
                <w:bCs/>
                <w:color w:val="000000"/>
                <w:sz w:val="18"/>
                <w:szCs w:val="18"/>
              </w:rPr>
            </w:pPr>
          </w:p>
        </w:tc>
      </w:tr>
    </w:tbl>
    <w:p w:rsidR="00221C44" w:rsidRPr="007D02A7" w:rsidRDefault="00BB3A3C" w:rsidP="00ED0631">
      <w:pPr>
        <w:spacing w:after="0" w:line="240" w:lineRule="auto"/>
        <w:rPr>
          <w:rFonts w:ascii="ITC Avant Garde" w:hAnsi="ITC Avant Garde"/>
          <w:sz w:val="18"/>
          <w:szCs w:val="20"/>
        </w:rPr>
      </w:pPr>
      <w:r w:rsidRPr="007D02A7">
        <w:rPr>
          <w:rFonts w:ascii="ITC Avant Garde" w:hAnsi="ITC Avant Garde"/>
          <w:sz w:val="18"/>
          <w:szCs w:val="20"/>
        </w:rPr>
        <w:t xml:space="preserve"> </w:t>
      </w:r>
      <w:r w:rsidR="00221C44" w:rsidRPr="007D02A7">
        <w:rPr>
          <w:rFonts w:ascii="ITC Avant Garde" w:hAnsi="ITC Avant Garde"/>
          <w:sz w:val="18"/>
          <w:szCs w:val="20"/>
        </w:rPr>
        <w:t>Fuente: Elaboración propia con información contenida en Foja</w:t>
      </w:r>
      <w:r w:rsidR="00FE0E4E" w:rsidRPr="007D02A7">
        <w:rPr>
          <w:rFonts w:ascii="ITC Avant Garde" w:hAnsi="ITC Avant Garde"/>
          <w:sz w:val="18"/>
          <w:szCs w:val="20"/>
        </w:rPr>
        <w:t>s 15, 85 y 111-132</w:t>
      </w:r>
      <w:r w:rsidR="00221C44" w:rsidRPr="007D02A7">
        <w:rPr>
          <w:rFonts w:ascii="ITC Avant Garde" w:hAnsi="ITC Avant Garde"/>
          <w:sz w:val="18"/>
          <w:szCs w:val="20"/>
        </w:rPr>
        <w:t xml:space="preserve"> del Expediente.</w:t>
      </w:r>
    </w:p>
    <w:p w:rsidR="00221C44" w:rsidRPr="007D02A7" w:rsidRDefault="005277D1" w:rsidP="00ED0631">
      <w:pPr>
        <w:tabs>
          <w:tab w:val="left" w:pos="2410"/>
        </w:tabs>
        <w:spacing w:after="0" w:line="240" w:lineRule="auto"/>
        <w:jc w:val="both"/>
        <w:rPr>
          <w:rFonts w:ascii="ITC Avant Garde" w:eastAsia="Times New Roman" w:hAnsi="ITC Avant Garde"/>
          <w:bCs/>
          <w:color w:val="000000"/>
          <w:sz w:val="18"/>
          <w:szCs w:val="18"/>
          <w:lang w:eastAsia="es-MX"/>
        </w:rPr>
      </w:pPr>
      <w:r w:rsidRPr="007D02A7">
        <w:rPr>
          <w:rFonts w:ascii="ITC Avant Garde" w:eastAsia="Times New Roman" w:hAnsi="ITC Avant Garde"/>
          <w:bCs/>
          <w:color w:val="000000"/>
          <w:sz w:val="18"/>
          <w:szCs w:val="18"/>
          <w:lang w:eastAsia="es-MX"/>
        </w:rPr>
        <w:t>Nota:</w:t>
      </w:r>
    </w:p>
    <w:p w:rsidR="00084AB6" w:rsidRPr="007D02A7" w:rsidRDefault="005277D1" w:rsidP="00ED0631">
      <w:pPr>
        <w:tabs>
          <w:tab w:val="left" w:pos="2410"/>
        </w:tabs>
        <w:spacing w:after="0" w:line="240" w:lineRule="auto"/>
        <w:jc w:val="both"/>
        <w:rPr>
          <w:rFonts w:ascii="ITC Avant Garde" w:hAnsi="ITC Avant Garde"/>
          <w:sz w:val="18"/>
          <w:szCs w:val="18"/>
        </w:rPr>
      </w:pPr>
      <w:r w:rsidRPr="007D02A7">
        <w:rPr>
          <w:rFonts w:ascii="ITC Avant Garde" w:eastAsia="Times New Roman" w:hAnsi="ITC Avant Garde"/>
          <w:bCs/>
          <w:color w:val="000000"/>
          <w:sz w:val="18"/>
          <w:szCs w:val="18"/>
          <w:lang w:eastAsia="es-MX"/>
        </w:rPr>
        <w:t xml:space="preserve">1/ </w:t>
      </w:r>
      <w:r w:rsidR="00084AB6" w:rsidRPr="007D02A7">
        <w:rPr>
          <w:rFonts w:ascii="ITC Avant Garde" w:eastAsia="Times New Roman" w:hAnsi="ITC Avant Garde"/>
          <w:bCs/>
          <w:color w:val="000000"/>
          <w:sz w:val="18"/>
          <w:szCs w:val="18"/>
          <w:lang w:eastAsia="es-MX"/>
        </w:rPr>
        <w:t xml:space="preserve">El número de torres </w:t>
      </w:r>
      <w:r w:rsidR="00625AFE" w:rsidRPr="007D02A7">
        <w:rPr>
          <w:rFonts w:ascii="ITC Avant Garde" w:eastAsia="Times New Roman" w:hAnsi="ITC Avant Garde"/>
          <w:bCs/>
          <w:color w:val="000000"/>
          <w:sz w:val="18"/>
          <w:szCs w:val="18"/>
          <w:lang w:eastAsia="es-MX"/>
        </w:rPr>
        <w:t>que se presenta en</w:t>
      </w:r>
      <w:r w:rsidRPr="007D02A7">
        <w:rPr>
          <w:rFonts w:ascii="ITC Avant Garde" w:eastAsia="Times New Roman" w:hAnsi="ITC Avant Garde"/>
          <w:bCs/>
          <w:color w:val="000000"/>
          <w:sz w:val="18"/>
          <w:szCs w:val="18"/>
          <w:lang w:eastAsia="es-MX"/>
        </w:rPr>
        <w:t xml:space="preserve"> este cua</w:t>
      </w:r>
      <w:r w:rsidR="00084AB6" w:rsidRPr="007D02A7">
        <w:rPr>
          <w:rFonts w:ascii="ITC Avant Garde" w:eastAsia="Times New Roman" w:hAnsi="ITC Avant Garde"/>
          <w:bCs/>
          <w:color w:val="000000"/>
          <w:sz w:val="18"/>
          <w:szCs w:val="18"/>
          <w:lang w:eastAsia="es-MX"/>
        </w:rPr>
        <w:t>dro corresponde al presentado</w:t>
      </w:r>
      <w:r w:rsidR="006F1A42" w:rsidRPr="007D02A7">
        <w:rPr>
          <w:rFonts w:ascii="ITC Avant Garde" w:eastAsia="Times New Roman" w:hAnsi="ITC Avant Garde"/>
          <w:bCs/>
          <w:color w:val="000000"/>
          <w:sz w:val="18"/>
          <w:szCs w:val="18"/>
          <w:lang w:eastAsia="es-MX"/>
        </w:rPr>
        <w:t xml:space="preserve"> por las Partes </w:t>
      </w:r>
      <w:r w:rsidRPr="007D02A7">
        <w:rPr>
          <w:rFonts w:ascii="ITC Avant Garde" w:hAnsi="ITC Avant Garde"/>
          <w:sz w:val="18"/>
          <w:szCs w:val="18"/>
        </w:rPr>
        <w:t>en</w:t>
      </w:r>
      <w:r w:rsidR="00084AB6" w:rsidRPr="007D02A7">
        <w:rPr>
          <w:rFonts w:ascii="ITC Avant Garde" w:hAnsi="ITC Avant Garde"/>
          <w:sz w:val="18"/>
          <w:szCs w:val="18"/>
        </w:rPr>
        <w:t xml:space="preserve"> escrito en</w:t>
      </w:r>
      <w:r w:rsidRPr="007D02A7">
        <w:rPr>
          <w:rFonts w:ascii="ITC Avant Garde" w:hAnsi="ITC Avant Garde"/>
          <w:sz w:val="18"/>
          <w:szCs w:val="18"/>
        </w:rPr>
        <w:t xml:space="preserve"> alcance al Escrito de Desahogo de Prevención</w:t>
      </w:r>
      <w:r w:rsidR="006F1A42" w:rsidRPr="007D02A7">
        <w:rPr>
          <w:rFonts w:ascii="ITC Avant Garde" w:hAnsi="ITC Avant Garde"/>
          <w:sz w:val="18"/>
          <w:szCs w:val="18"/>
        </w:rPr>
        <w:t xml:space="preserve">, el treinta de </w:t>
      </w:r>
      <w:r w:rsidR="00131BEE" w:rsidRPr="007D02A7">
        <w:rPr>
          <w:rFonts w:ascii="ITC Avant Garde" w:hAnsi="ITC Avant Garde"/>
          <w:sz w:val="18"/>
          <w:szCs w:val="18"/>
        </w:rPr>
        <w:t>agosto</w:t>
      </w:r>
      <w:r w:rsidR="006F1A42" w:rsidRPr="007D02A7">
        <w:rPr>
          <w:rFonts w:ascii="ITC Avant Garde" w:hAnsi="ITC Avant Garde"/>
          <w:sz w:val="18"/>
          <w:szCs w:val="18"/>
        </w:rPr>
        <w:t xml:space="preserve"> de dos mil diecisiete</w:t>
      </w:r>
      <w:r w:rsidR="00625AFE" w:rsidRPr="007D02A7">
        <w:rPr>
          <w:rFonts w:ascii="ITC Avant Garde" w:hAnsi="ITC Avant Garde"/>
          <w:sz w:val="18"/>
          <w:szCs w:val="18"/>
        </w:rPr>
        <w:t xml:space="preserve">. Esta información corresponde al número de </w:t>
      </w:r>
      <w:r w:rsidR="006F1A42" w:rsidRPr="007D02A7">
        <w:rPr>
          <w:rFonts w:ascii="ITC Avant Garde" w:hAnsi="ITC Avant Garde"/>
          <w:sz w:val="18"/>
          <w:szCs w:val="18"/>
        </w:rPr>
        <w:t xml:space="preserve">torres de telecomunicaciones de ATC en México, así </w:t>
      </w:r>
      <w:r w:rsidR="00084AB6" w:rsidRPr="007D02A7">
        <w:rPr>
          <w:rFonts w:ascii="ITC Avant Garde" w:hAnsi="ITC Avant Garde"/>
          <w:sz w:val="18"/>
          <w:szCs w:val="18"/>
        </w:rPr>
        <w:t>las</w:t>
      </w:r>
      <w:r w:rsidR="006F1A42" w:rsidRPr="007D02A7">
        <w:rPr>
          <w:rFonts w:ascii="ITC Avant Garde" w:hAnsi="ITC Avant Garde"/>
          <w:sz w:val="18"/>
          <w:szCs w:val="18"/>
        </w:rPr>
        <w:t xml:space="preserve"> </w:t>
      </w:r>
      <w:r w:rsidR="00625AFE" w:rsidRPr="007D02A7">
        <w:rPr>
          <w:rFonts w:ascii="ITC Avant Garde" w:hAnsi="ITC Avant Garde"/>
          <w:sz w:val="18"/>
          <w:szCs w:val="18"/>
        </w:rPr>
        <w:t xml:space="preserve">involucradas en </w:t>
      </w:r>
      <w:r w:rsidR="006F1A42" w:rsidRPr="007D02A7">
        <w:rPr>
          <w:rFonts w:ascii="ITC Avant Garde" w:hAnsi="ITC Avant Garde"/>
          <w:sz w:val="18"/>
          <w:szCs w:val="18"/>
        </w:rPr>
        <w:t xml:space="preserve">la Operación, </w:t>
      </w:r>
      <w:r w:rsidR="00625AFE" w:rsidRPr="007D02A7">
        <w:rPr>
          <w:rFonts w:ascii="ITC Avant Garde" w:hAnsi="ITC Avant Garde"/>
          <w:sz w:val="18"/>
          <w:szCs w:val="18"/>
        </w:rPr>
        <w:t>por</w:t>
      </w:r>
      <w:r w:rsidR="006F1A42" w:rsidRPr="007D02A7">
        <w:rPr>
          <w:rFonts w:ascii="ITC Avant Garde" w:hAnsi="ITC Avant Garde"/>
          <w:sz w:val="18"/>
          <w:szCs w:val="18"/>
        </w:rPr>
        <w:t xml:space="preserve"> </w:t>
      </w:r>
      <w:r w:rsidR="00084AB6" w:rsidRPr="007D02A7">
        <w:rPr>
          <w:rFonts w:ascii="ITC Avant Garde" w:hAnsi="ITC Avant Garde"/>
          <w:sz w:val="18"/>
          <w:szCs w:val="18"/>
        </w:rPr>
        <w:t>municipio y entidad federativa en la que se ubican.</w:t>
      </w:r>
    </w:p>
    <w:p w:rsidR="00221C44" w:rsidRPr="007D02A7" w:rsidRDefault="00221C44" w:rsidP="00637B96">
      <w:pPr>
        <w:tabs>
          <w:tab w:val="left" w:pos="2410"/>
        </w:tabs>
        <w:spacing w:before="120" w:after="120"/>
        <w:jc w:val="both"/>
        <w:rPr>
          <w:rFonts w:ascii="ITC Avant Garde" w:eastAsia="Times New Roman" w:hAnsi="ITC Avant Garde"/>
          <w:bCs/>
          <w:color w:val="000000"/>
          <w:lang w:eastAsia="es-MX"/>
        </w:rPr>
      </w:pPr>
      <w:r w:rsidRPr="007D02A7">
        <w:rPr>
          <w:rFonts w:ascii="ITC Avant Garde" w:eastAsia="Times New Roman" w:hAnsi="ITC Avant Garde"/>
          <w:bCs/>
          <w:color w:val="000000"/>
          <w:lang w:eastAsia="es-MX"/>
        </w:rPr>
        <w:t>En términos del artículo 58 de la LFCE y su correlacionado, artículo 63, fracción I, de la LFCE, las Partes proponen una dimensión geográfica nacional para el Servicio – y señalan que no es local – con base en los siguientes elementos:</w:t>
      </w:r>
      <w:r w:rsidR="00E77856" w:rsidRPr="007D02A7">
        <w:rPr>
          <w:rStyle w:val="Refdenotaalpie"/>
          <w:rFonts w:ascii="ITC Avant Garde" w:hAnsi="ITC Avant Garde"/>
        </w:rPr>
        <w:t xml:space="preserve"> </w:t>
      </w:r>
      <w:r w:rsidR="00E77856" w:rsidRPr="007D02A7">
        <w:rPr>
          <w:rStyle w:val="Refdenotaalpie"/>
          <w:rFonts w:ascii="ITC Avant Garde" w:hAnsi="ITC Avant Garde"/>
        </w:rPr>
        <w:footnoteReference w:id="41"/>
      </w:r>
    </w:p>
    <w:p w:rsidR="00221C44" w:rsidRPr="007D02A7" w:rsidRDefault="00221C44" w:rsidP="00637B96">
      <w:pPr>
        <w:numPr>
          <w:ilvl w:val="0"/>
          <w:numId w:val="18"/>
        </w:numPr>
        <w:tabs>
          <w:tab w:val="left" w:pos="2410"/>
        </w:tabs>
        <w:spacing w:before="120" w:after="120"/>
        <w:ind w:left="360"/>
        <w:jc w:val="both"/>
        <w:rPr>
          <w:rFonts w:ascii="ITC Avant Garde" w:eastAsia="Times New Roman" w:hAnsi="ITC Avant Garde"/>
          <w:bCs/>
          <w:color w:val="000000"/>
          <w:lang w:eastAsia="es-MX"/>
        </w:rPr>
      </w:pPr>
      <w:r w:rsidRPr="007D02A7">
        <w:rPr>
          <w:rFonts w:ascii="ITC Avant Garde" w:eastAsia="Times New Roman" w:hAnsi="ITC Avant Garde"/>
          <w:bCs/>
          <w:color w:val="000000"/>
          <w:lang w:eastAsia="es-MX"/>
        </w:rPr>
        <w:t xml:space="preserve">Por el lado de la demanda, los operadores de telecomunicaciones requieren el Servicio en distintas ubicaciones para atender las necesidades de sus usuarios a nivel nacional, o bien, en la mayor parte del país. Esto es, demandan los servicios tomando en consideración la oferta disponible en todo el territorio nacional. Los usuarios del Servicio requieren de espacio en torres en diversos sitios dentro del territorio nacional o grandes partes del mismo, para poder desplegar RPT integrales y robustas que les permita competir a nivel nacional. En el mercado no ocurre que los concesionarios y operadores de RPT soliciten, negocien y acuerden únicamente con los proveedores que oferten el Servicio en cada localidad, pues su demanda resulta de las necesidades para toda su red. </w:t>
      </w:r>
    </w:p>
    <w:p w:rsidR="00221C44" w:rsidRPr="007D02A7" w:rsidRDefault="00221C44" w:rsidP="00637B96">
      <w:pPr>
        <w:numPr>
          <w:ilvl w:val="0"/>
          <w:numId w:val="18"/>
        </w:numPr>
        <w:tabs>
          <w:tab w:val="left" w:pos="2410"/>
        </w:tabs>
        <w:spacing w:before="120" w:after="120"/>
        <w:ind w:left="360"/>
        <w:jc w:val="both"/>
        <w:rPr>
          <w:rFonts w:ascii="ITC Avant Garde" w:eastAsia="Times New Roman" w:hAnsi="ITC Avant Garde"/>
          <w:bCs/>
          <w:color w:val="000000"/>
          <w:lang w:eastAsia="es-MX"/>
        </w:rPr>
      </w:pPr>
      <w:r w:rsidRPr="007D02A7">
        <w:rPr>
          <w:rFonts w:ascii="ITC Avant Garde" w:eastAsia="Times New Roman" w:hAnsi="ITC Avant Garde"/>
          <w:bCs/>
          <w:color w:val="000000"/>
          <w:lang w:eastAsia="es-MX"/>
        </w:rPr>
        <w:t xml:space="preserve">Los principales usuarios del Servicio operan a nivel nacional. En este sentido, indican que los principales clientes de MATC Digital son: </w:t>
      </w:r>
      <w:r w:rsidR="0029381D" w:rsidRPr="007D02A7">
        <w:rPr>
          <w:rFonts w:ascii="ITC Avant Garde" w:hAnsi="ITC Avant Garde"/>
          <w:b/>
          <w:bCs/>
          <w:color w:val="0000CC"/>
          <w:sz w:val="19"/>
          <w:szCs w:val="19"/>
          <w:lang w:eastAsia="es-MX"/>
        </w:rPr>
        <w:t>“CONFIDENCIAL POR LEY</w:t>
      </w:r>
      <w:r w:rsidR="00481CDD" w:rsidRPr="007D02A7">
        <w:rPr>
          <w:rFonts w:ascii="ITC Avant Garde" w:hAnsi="ITC Avant Garde"/>
          <w:b/>
          <w:bCs/>
          <w:color w:val="0000CC"/>
          <w:sz w:val="19"/>
          <w:szCs w:val="19"/>
          <w:lang w:eastAsia="es-MX"/>
        </w:rPr>
        <w:t xml:space="preserve"> </w:t>
      </w:r>
      <w:r w:rsidR="00555AB5">
        <w:rPr>
          <w:rFonts w:ascii="ITC Avant Garde" w:hAnsi="ITC Avant Garde"/>
          <w:b/>
          <w:bCs/>
          <w:color w:val="0000CC"/>
          <w:sz w:val="19"/>
          <w:szCs w:val="19"/>
          <w:lang w:eastAsia="es-MX"/>
        </w:rPr>
        <w:t>(</w:t>
      </w:r>
      <w:r w:rsidR="00481CDD" w:rsidRPr="007D02A7">
        <w:rPr>
          <w:rFonts w:ascii="ITC Avant Garde" w:hAnsi="ITC Avant Garde"/>
          <w:b/>
          <w:bCs/>
          <w:color w:val="0000CC"/>
          <w:sz w:val="19"/>
          <w:szCs w:val="19"/>
          <w:lang w:eastAsia="es-MX"/>
        </w:rPr>
        <w:t>51</w:t>
      </w:r>
      <w:r w:rsidR="00555AB5">
        <w:rPr>
          <w:rFonts w:ascii="ITC Avant Garde" w:hAnsi="ITC Avant Garde"/>
          <w:b/>
          <w:bCs/>
          <w:color w:val="0000CC"/>
          <w:sz w:val="19"/>
          <w:szCs w:val="19"/>
          <w:lang w:eastAsia="es-MX"/>
        </w:rPr>
        <w:t>)</w:t>
      </w:r>
      <w:r w:rsidR="0029381D" w:rsidRPr="007D02A7">
        <w:rPr>
          <w:rFonts w:ascii="ITC Avant Garde" w:hAnsi="ITC Avant Garde"/>
          <w:b/>
          <w:bCs/>
          <w:color w:val="0000CC"/>
          <w:sz w:val="19"/>
          <w:szCs w:val="19"/>
          <w:lang w:eastAsia="es-MX"/>
        </w:rPr>
        <w:t>”</w:t>
      </w:r>
      <w:r w:rsidRPr="007D02A7">
        <w:rPr>
          <w:rFonts w:ascii="ITC Avant Garde" w:eastAsia="Times New Roman" w:hAnsi="ITC Avant Garde"/>
          <w:bCs/>
          <w:color w:val="000000"/>
          <w:lang w:eastAsia="es-MX"/>
        </w:rPr>
        <w:t xml:space="preserve"> que le representan el </w:t>
      </w:r>
      <w:r w:rsidR="0029381D" w:rsidRPr="007D02A7">
        <w:rPr>
          <w:rFonts w:ascii="ITC Avant Garde" w:hAnsi="ITC Avant Garde"/>
          <w:b/>
          <w:bCs/>
          <w:color w:val="0000CC"/>
          <w:sz w:val="19"/>
          <w:szCs w:val="19"/>
          <w:lang w:eastAsia="es-MX"/>
        </w:rPr>
        <w:t>“CONFIDENCIAL POR LEY</w:t>
      </w:r>
      <w:r w:rsidR="00481CDD" w:rsidRPr="007D02A7">
        <w:rPr>
          <w:rFonts w:ascii="ITC Avant Garde" w:hAnsi="ITC Avant Garde"/>
          <w:b/>
          <w:bCs/>
          <w:color w:val="0000CC"/>
          <w:sz w:val="19"/>
          <w:szCs w:val="19"/>
          <w:lang w:eastAsia="es-MX"/>
        </w:rPr>
        <w:t xml:space="preserve"> </w:t>
      </w:r>
      <w:r w:rsidR="00555AB5">
        <w:rPr>
          <w:rFonts w:ascii="ITC Avant Garde" w:hAnsi="ITC Avant Garde"/>
          <w:b/>
          <w:bCs/>
          <w:color w:val="0000CC"/>
          <w:sz w:val="19"/>
          <w:szCs w:val="19"/>
          <w:lang w:eastAsia="es-MX"/>
        </w:rPr>
        <w:t>(</w:t>
      </w:r>
      <w:r w:rsidR="00481CDD" w:rsidRPr="007D02A7">
        <w:rPr>
          <w:rFonts w:ascii="ITC Avant Garde" w:hAnsi="ITC Avant Garde"/>
          <w:b/>
          <w:bCs/>
          <w:color w:val="0000CC"/>
          <w:sz w:val="19"/>
          <w:szCs w:val="19"/>
          <w:lang w:eastAsia="es-MX"/>
        </w:rPr>
        <w:t>52</w:t>
      </w:r>
      <w:r w:rsidR="00555AB5">
        <w:rPr>
          <w:rFonts w:ascii="ITC Avant Garde" w:hAnsi="ITC Avant Garde"/>
          <w:b/>
          <w:bCs/>
          <w:color w:val="0000CC"/>
          <w:sz w:val="19"/>
          <w:szCs w:val="19"/>
          <w:lang w:eastAsia="es-MX"/>
        </w:rPr>
        <w:t>)</w:t>
      </w:r>
      <w:r w:rsidR="0029381D" w:rsidRPr="007D02A7">
        <w:rPr>
          <w:rFonts w:ascii="ITC Avant Garde" w:hAnsi="ITC Avant Garde"/>
          <w:b/>
          <w:bCs/>
          <w:color w:val="0000CC"/>
          <w:sz w:val="19"/>
          <w:szCs w:val="19"/>
          <w:lang w:eastAsia="es-MX"/>
        </w:rPr>
        <w:t>”</w:t>
      </w:r>
      <w:r w:rsidRPr="007D02A7">
        <w:rPr>
          <w:rFonts w:ascii="ITC Avant Garde" w:eastAsia="Times New Roman" w:hAnsi="ITC Avant Garde"/>
          <w:bCs/>
          <w:color w:val="000000"/>
          <w:lang w:eastAsia="es-MX"/>
        </w:rPr>
        <w:t xml:space="preserve"> de los ingresos obtenidos por el arrendamiento de sitios en torres de telecomunicaciones.</w:t>
      </w:r>
    </w:p>
    <w:p w:rsidR="00221C44" w:rsidRPr="007D02A7" w:rsidRDefault="00221C44" w:rsidP="00637B96">
      <w:pPr>
        <w:numPr>
          <w:ilvl w:val="0"/>
          <w:numId w:val="18"/>
        </w:numPr>
        <w:tabs>
          <w:tab w:val="left" w:pos="2410"/>
        </w:tabs>
        <w:spacing w:before="120" w:after="120"/>
        <w:ind w:left="360"/>
        <w:jc w:val="both"/>
        <w:rPr>
          <w:rFonts w:ascii="ITC Avant Garde" w:eastAsia="Times New Roman" w:hAnsi="ITC Avant Garde"/>
          <w:bCs/>
          <w:color w:val="000000"/>
          <w:lang w:eastAsia="es-MX"/>
        </w:rPr>
      </w:pPr>
      <w:r w:rsidRPr="007D02A7">
        <w:rPr>
          <w:rFonts w:ascii="ITC Avant Garde" w:eastAsia="Times New Roman" w:hAnsi="ITC Avant Garde"/>
          <w:bCs/>
          <w:color w:val="000000"/>
          <w:lang w:eastAsia="es-MX"/>
        </w:rPr>
        <w:lastRenderedPageBreak/>
        <w:t>Por el lado de la oferta, los proveedores ofrecen y negocian los términos de acceso al Servicio en todo el país o la mayor parte.</w:t>
      </w:r>
    </w:p>
    <w:p w:rsidR="00221C44" w:rsidRPr="007D02A7" w:rsidRDefault="00221C44" w:rsidP="00637B96">
      <w:pPr>
        <w:numPr>
          <w:ilvl w:val="0"/>
          <w:numId w:val="18"/>
        </w:numPr>
        <w:tabs>
          <w:tab w:val="left" w:pos="2410"/>
        </w:tabs>
        <w:spacing w:before="120" w:after="120"/>
        <w:ind w:left="360"/>
        <w:jc w:val="both"/>
        <w:rPr>
          <w:rFonts w:ascii="ITC Avant Garde" w:eastAsia="Times New Roman" w:hAnsi="ITC Avant Garde"/>
          <w:bCs/>
          <w:color w:val="000000"/>
          <w:lang w:eastAsia="es-MX"/>
        </w:rPr>
      </w:pPr>
      <w:r w:rsidRPr="007D02A7">
        <w:rPr>
          <w:rFonts w:ascii="ITC Avant Garde" w:eastAsia="Times New Roman" w:hAnsi="ITC Avant Garde"/>
          <w:bCs/>
          <w:color w:val="000000"/>
          <w:lang w:eastAsia="es-MX"/>
        </w:rPr>
        <w:t xml:space="preserve">Así, los proveedores del Servicio compiten a nivel nacional por los clientes que demandan distintas combinaciones de localidades y capacidades en el territorio nacional o en la mayor parte del país. La demanda y, por ende, las negociaciones y la competencia no se desarrolla en ámbitos locales. </w:t>
      </w:r>
    </w:p>
    <w:p w:rsidR="00221C44" w:rsidRPr="007D02A7" w:rsidRDefault="00221C44" w:rsidP="00637B96">
      <w:pPr>
        <w:numPr>
          <w:ilvl w:val="0"/>
          <w:numId w:val="18"/>
        </w:numPr>
        <w:tabs>
          <w:tab w:val="left" w:pos="2410"/>
        </w:tabs>
        <w:spacing w:before="120" w:after="120"/>
        <w:ind w:left="360"/>
        <w:jc w:val="both"/>
        <w:rPr>
          <w:rFonts w:ascii="ITC Avant Garde" w:eastAsia="Times New Roman" w:hAnsi="ITC Avant Garde"/>
          <w:bCs/>
          <w:color w:val="000000"/>
          <w:lang w:eastAsia="es-MX"/>
        </w:rPr>
      </w:pPr>
      <w:r w:rsidRPr="007D02A7">
        <w:rPr>
          <w:rFonts w:ascii="ITC Avant Garde" w:eastAsia="Times New Roman" w:hAnsi="ITC Avant Garde"/>
          <w:bCs/>
          <w:color w:val="000000"/>
          <w:lang w:eastAsia="es-MX"/>
        </w:rPr>
        <w:t xml:space="preserve">Por lo anterior, los precios y el desarrollo de sitios y torres se determinan entre la oferta y la demanda que operan de forma nacional. </w:t>
      </w:r>
    </w:p>
    <w:p w:rsidR="00221C44" w:rsidRPr="007D02A7" w:rsidRDefault="00221C44" w:rsidP="00637B96">
      <w:pPr>
        <w:tabs>
          <w:tab w:val="left" w:pos="2410"/>
        </w:tabs>
        <w:spacing w:before="120" w:after="120"/>
        <w:jc w:val="both"/>
        <w:rPr>
          <w:rFonts w:ascii="ITC Avant Garde" w:eastAsia="Times New Roman" w:hAnsi="ITC Avant Garde"/>
          <w:bCs/>
          <w:color w:val="000000"/>
          <w:lang w:eastAsia="es-MX"/>
        </w:rPr>
      </w:pPr>
      <w:r w:rsidRPr="007D02A7">
        <w:rPr>
          <w:rFonts w:ascii="ITC Avant Garde" w:eastAsia="Times New Roman" w:hAnsi="ITC Avant Garde"/>
          <w:bCs/>
          <w:color w:val="000000"/>
          <w:lang w:eastAsia="es-MX"/>
        </w:rPr>
        <w:t>Además de las consideraciones de las Partes, se tiene que el número de torres que MATC Digital adquirirá de AXTEL:</w:t>
      </w:r>
    </w:p>
    <w:p w:rsidR="00221C44" w:rsidRPr="007D02A7" w:rsidRDefault="00221C44" w:rsidP="00637B96">
      <w:pPr>
        <w:numPr>
          <w:ilvl w:val="0"/>
          <w:numId w:val="3"/>
        </w:numPr>
        <w:tabs>
          <w:tab w:val="left" w:pos="2410"/>
        </w:tabs>
        <w:spacing w:before="120" w:after="120"/>
        <w:jc w:val="both"/>
        <w:rPr>
          <w:rFonts w:ascii="ITC Avant Garde" w:eastAsia="Times New Roman" w:hAnsi="ITC Avant Garde"/>
          <w:bCs/>
          <w:color w:val="000000"/>
          <w:lang w:eastAsia="es-MX"/>
        </w:rPr>
      </w:pPr>
      <w:r w:rsidRPr="007D02A7">
        <w:rPr>
          <w:rFonts w:ascii="ITC Avant Garde" w:eastAsia="Times New Roman" w:hAnsi="ITC Avant Garde"/>
          <w:bCs/>
          <w:color w:val="000000"/>
          <w:lang w:eastAsia="es-MX"/>
        </w:rPr>
        <w:t xml:space="preserve">Representa apenas </w:t>
      </w:r>
      <w:r w:rsidR="0029381D" w:rsidRPr="007D02A7">
        <w:rPr>
          <w:rFonts w:ascii="ITC Avant Garde" w:hAnsi="ITC Avant Garde"/>
          <w:b/>
          <w:bCs/>
          <w:color w:val="0000CC"/>
          <w:sz w:val="19"/>
          <w:szCs w:val="19"/>
          <w:lang w:eastAsia="es-MX"/>
        </w:rPr>
        <w:t>“CONFIDENCIAL POR LEY</w:t>
      </w:r>
      <w:r w:rsidR="00481CDD" w:rsidRPr="007D02A7">
        <w:rPr>
          <w:rFonts w:ascii="ITC Avant Garde" w:hAnsi="ITC Avant Garde"/>
          <w:b/>
          <w:bCs/>
          <w:color w:val="0000CC"/>
          <w:sz w:val="19"/>
          <w:szCs w:val="19"/>
          <w:lang w:eastAsia="es-MX"/>
        </w:rPr>
        <w:t xml:space="preserve"> </w:t>
      </w:r>
      <w:r w:rsidR="00555AB5">
        <w:rPr>
          <w:rFonts w:ascii="ITC Avant Garde" w:hAnsi="ITC Avant Garde"/>
          <w:b/>
          <w:bCs/>
          <w:color w:val="0000CC"/>
          <w:sz w:val="19"/>
          <w:szCs w:val="19"/>
          <w:lang w:eastAsia="es-MX"/>
        </w:rPr>
        <w:t>(</w:t>
      </w:r>
      <w:r w:rsidR="00481CDD" w:rsidRPr="007D02A7">
        <w:rPr>
          <w:rFonts w:ascii="ITC Avant Garde" w:hAnsi="ITC Avant Garde"/>
          <w:b/>
          <w:bCs/>
          <w:color w:val="0000CC"/>
          <w:sz w:val="19"/>
          <w:szCs w:val="19"/>
          <w:lang w:eastAsia="es-MX"/>
        </w:rPr>
        <w:t>53</w:t>
      </w:r>
      <w:r w:rsidR="00555AB5">
        <w:rPr>
          <w:rFonts w:ascii="ITC Avant Garde" w:hAnsi="ITC Avant Garde"/>
          <w:b/>
          <w:bCs/>
          <w:color w:val="0000CC"/>
          <w:sz w:val="19"/>
          <w:szCs w:val="19"/>
          <w:lang w:eastAsia="es-MX"/>
        </w:rPr>
        <w:t>)</w:t>
      </w:r>
      <w:r w:rsidR="0029381D" w:rsidRPr="007D02A7">
        <w:rPr>
          <w:rFonts w:ascii="ITC Avant Garde" w:hAnsi="ITC Avant Garde"/>
          <w:b/>
          <w:bCs/>
          <w:color w:val="0000CC"/>
          <w:sz w:val="19"/>
          <w:szCs w:val="19"/>
          <w:lang w:eastAsia="es-MX"/>
        </w:rPr>
        <w:t xml:space="preserve">” </w:t>
      </w:r>
      <w:r w:rsidRPr="007D02A7">
        <w:rPr>
          <w:rFonts w:ascii="ITC Avant Garde" w:eastAsia="Times New Roman" w:hAnsi="ITC Avant Garde"/>
          <w:bCs/>
          <w:color w:val="000000"/>
          <w:lang w:eastAsia="es-MX"/>
        </w:rPr>
        <w:t xml:space="preserve">aproximadamente del total de torres instaladas a nivel nacional, y </w:t>
      </w:r>
    </w:p>
    <w:p w:rsidR="00221C44" w:rsidRPr="007D02A7" w:rsidRDefault="00221C44" w:rsidP="00637B96">
      <w:pPr>
        <w:numPr>
          <w:ilvl w:val="0"/>
          <w:numId w:val="3"/>
        </w:numPr>
        <w:tabs>
          <w:tab w:val="left" w:pos="2410"/>
        </w:tabs>
        <w:spacing w:before="120" w:after="120"/>
        <w:jc w:val="both"/>
        <w:rPr>
          <w:rFonts w:ascii="ITC Avant Garde" w:eastAsia="Times New Roman" w:hAnsi="ITC Avant Garde"/>
          <w:bCs/>
          <w:color w:val="000000"/>
          <w:lang w:eastAsia="es-MX"/>
        </w:rPr>
      </w:pPr>
      <w:r w:rsidRPr="007D02A7">
        <w:rPr>
          <w:rFonts w:ascii="ITC Avant Garde" w:eastAsia="Times New Roman" w:hAnsi="ITC Avant Garde"/>
          <w:bCs/>
          <w:color w:val="000000"/>
          <w:lang w:eastAsia="es-MX"/>
        </w:rPr>
        <w:t xml:space="preserve">Tampoco es significativo en los municipios donde se genera el traslape: (i) en Tijuana la Operación generaría la acumulación de </w:t>
      </w:r>
      <w:r w:rsidR="0029381D" w:rsidRPr="007D02A7">
        <w:rPr>
          <w:rFonts w:ascii="ITC Avant Garde" w:hAnsi="ITC Avant Garde"/>
          <w:b/>
          <w:bCs/>
          <w:color w:val="0000CC"/>
          <w:sz w:val="19"/>
          <w:szCs w:val="19"/>
          <w:lang w:eastAsia="es-MX"/>
        </w:rPr>
        <w:t>“CONFIDENCIAL POR LEY</w:t>
      </w:r>
      <w:r w:rsidR="00481CDD" w:rsidRPr="007D02A7">
        <w:rPr>
          <w:rFonts w:ascii="ITC Avant Garde" w:hAnsi="ITC Avant Garde"/>
          <w:b/>
          <w:bCs/>
          <w:color w:val="0000CC"/>
          <w:sz w:val="19"/>
          <w:szCs w:val="19"/>
          <w:lang w:eastAsia="es-MX"/>
        </w:rPr>
        <w:t xml:space="preserve"> </w:t>
      </w:r>
      <w:r w:rsidR="00555AB5">
        <w:rPr>
          <w:rFonts w:ascii="ITC Avant Garde" w:hAnsi="ITC Avant Garde"/>
          <w:b/>
          <w:bCs/>
          <w:color w:val="0000CC"/>
          <w:sz w:val="19"/>
          <w:szCs w:val="19"/>
          <w:lang w:eastAsia="es-MX"/>
        </w:rPr>
        <w:t>(</w:t>
      </w:r>
      <w:r w:rsidR="00481CDD" w:rsidRPr="007D02A7">
        <w:rPr>
          <w:rFonts w:ascii="ITC Avant Garde" w:hAnsi="ITC Avant Garde"/>
          <w:b/>
          <w:bCs/>
          <w:color w:val="0000CC"/>
          <w:sz w:val="19"/>
          <w:szCs w:val="19"/>
          <w:lang w:eastAsia="es-MX"/>
        </w:rPr>
        <w:t>54</w:t>
      </w:r>
      <w:r w:rsidR="00555AB5">
        <w:rPr>
          <w:rFonts w:ascii="ITC Avant Garde" w:hAnsi="ITC Avant Garde"/>
          <w:b/>
          <w:bCs/>
          <w:color w:val="0000CC"/>
          <w:sz w:val="19"/>
          <w:szCs w:val="19"/>
          <w:lang w:eastAsia="es-MX"/>
        </w:rPr>
        <w:t>)</w:t>
      </w:r>
      <w:r w:rsidR="0029381D" w:rsidRPr="007D02A7">
        <w:rPr>
          <w:rFonts w:ascii="ITC Avant Garde" w:hAnsi="ITC Avant Garde"/>
          <w:b/>
          <w:bCs/>
          <w:color w:val="0000CC"/>
          <w:sz w:val="19"/>
          <w:szCs w:val="19"/>
          <w:lang w:eastAsia="es-MX"/>
        </w:rPr>
        <w:t>”</w:t>
      </w:r>
      <w:r w:rsidRPr="007D02A7">
        <w:rPr>
          <w:rFonts w:ascii="ITC Avant Garde" w:eastAsia="Times New Roman" w:hAnsi="ITC Avant Garde"/>
          <w:bCs/>
          <w:color w:val="000000"/>
          <w:lang w:eastAsia="es-MX"/>
        </w:rPr>
        <w:t xml:space="preserve">, que en términos porcentuales agregan </w:t>
      </w:r>
      <w:r w:rsidR="0029381D" w:rsidRPr="007D02A7">
        <w:rPr>
          <w:rFonts w:ascii="ITC Avant Garde" w:hAnsi="ITC Avant Garde"/>
          <w:b/>
          <w:bCs/>
          <w:color w:val="0000CC"/>
          <w:sz w:val="19"/>
          <w:szCs w:val="19"/>
          <w:lang w:eastAsia="es-MX"/>
        </w:rPr>
        <w:t>“CONFIDENCIAL POR LEY</w:t>
      </w:r>
      <w:r w:rsidR="00481CDD" w:rsidRPr="007D02A7">
        <w:rPr>
          <w:rFonts w:ascii="ITC Avant Garde" w:hAnsi="ITC Avant Garde"/>
          <w:b/>
          <w:bCs/>
          <w:color w:val="0000CC"/>
          <w:sz w:val="19"/>
          <w:szCs w:val="19"/>
          <w:lang w:eastAsia="es-MX"/>
        </w:rPr>
        <w:t xml:space="preserve"> </w:t>
      </w:r>
      <w:r w:rsidR="00555AB5">
        <w:rPr>
          <w:rFonts w:ascii="ITC Avant Garde" w:hAnsi="ITC Avant Garde"/>
          <w:b/>
          <w:bCs/>
          <w:color w:val="0000CC"/>
          <w:sz w:val="19"/>
          <w:szCs w:val="19"/>
          <w:lang w:eastAsia="es-MX"/>
        </w:rPr>
        <w:t>(</w:t>
      </w:r>
      <w:r w:rsidR="00481CDD" w:rsidRPr="007D02A7">
        <w:rPr>
          <w:rFonts w:ascii="ITC Avant Garde" w:hAnsi="ITC Avant Garde"/>
          <w:b/>
          <w:bCs/>
          <w:color w:val="0000CC"/>
          <w:sz w:val="19"/>
          <w:szCs w:val="19"/>
          <w:lang w:eastAsia="es-MX"/>
        </w:rPr>
        <w:t>55</w:t>
      </w:r>
      <w:r w:rsidR="00555AB5">
        <w:rPr>
          <w:rFonts w:ascii="ITC Avant Garde" w:hAnsi="ITC Avant Garde"/>
          <w:b/>
          <w:bCs/>
          <w:color w:val="0000CC"/>
          <w:sz w:val="19"/>
          <w:szCs w:val="19"/>
          <w:lang w:eastAsia="es-MX"/>
        </w:rPr>
        <w:t>)</w:t>
      </w:r>
      <w:r w:rsidR="0029381D" w:rsidRPr="007D02A7">
        <w:rPr>
          <w:rFonts w:ascii="ITC Avant Garde" w:hAnsi="ITC Avant Garde"/>
          <w:b/>
          <w:bCs/>
          <w:color w:val="0000CC"/>
          <w:sz w:val="19"/>
          <w:szCs w:val="19"/>
          <w:lang w:eastAsia="es-MX"/>
        </w:rPr>
        <w:t>”</w:t>
      </w:r>
      <w:r w:rsidRPr="007D02A7">
        <w:rPr>
          <w:rFonts w:ascii="ITC Avant Garde" w:eastAsia="Times New Roman" w:hAnsi="ITC Avant Garde"/>
          <w:bCs/>
          <w:color w:val="000000"/>
          <w:lang w:eastAsia="es-MX"/>
        </w:rPr>
        <w:t xml:space="preserve">; </w:t>
      </w:r>
      <w:r w:rsidR="004352F2" w:rsidRPr="007D02A7">
        <w:rPr>
          <w:rFonts w:ascii="ITC Avant Garde" w:eastAsia="Times New Roman" w:hAnsi="ITC Avant Garde"/>
          <w:bCs/>
          <w:color w:val="000000"/>
          <w:lang w:eastAsia="es-MX"/>
        </w:rPr>
        <w:t xml:space="preserve">y </w:t>
      </w:r>
      <w:r w:rsidRPr="007D02A7">
        <w:rPr>
          <w:rFonts w:ascii="ITC Avant Garde" w:eastAsia="Times New Roman" w:hAnsi="ITC Avant Garde"/>
          <w:bCs/>
          <w:color w:val="000000"/>
          <w:lang w:eastAsia="es-MX"/>
        </w:rPr>
        <w:t xml:space="preserve">(ii) en las demás localidades, el Comprador incrementa su capacidad entre </w:t>
      </w:r>
      <w:r w:rsidR="0029381D" w:rsidRPr="007D02A7">
        <w:rPr>
          <w:rFonts w:ascii="ITC Avant Garde" w:hAnsi="ITC Avant Garde"/>
          <w:b/>
          <w:bCs/>
          <w:color w:val="0000CC"/>
          <w:sz w:val="19"/>
          <w:szCs w:val="19"/>
          <w:lang w:eastAsia="es-MX"/>
        </w:rPr>
        <w:t>“CONFIDENCIAL POR LEY</w:t>
      </w:r>
      <w:r w:rsidR="00481CDD" w:rsidRPr="007D02A7">
        <w:rPr>
          <w:rFonts w:ascii="ITC Avant Garde" w:hAnsi="ITC Avant Garde"/>
          <w:b/>
          <w:bCs/>
          <w:color w:val="0000CC"/>
          <w:sz w:val="19"/>
          <w:szCs w:val="19"/>
          <w:lang w:eastAsia="es-MX"/>
        </w:rPr>
        <w:t xml:space="preserve"> </w:t>
      </w:r>
      <w:r w:rsidR="00555AB5">
        <w:rPr>
          <w:rFonts w:ascii="ITC Avant Garde" w:hAnsi="ITC Avant Garde"/>
          <w:b/>
          <w:bCs/>
          <w:color w:val="0000CC"/>
          <w:sz w:val="19"/>
          <w:szCs w:val="19"/>
          <w:lang w:eastAsia="es-MX"/>
        </w:rPr>
        <w:t>(</w:t>
      </w:r>
      <w:r w:rsidR="00481CDD" w:rsidRPr="007D02A7">
        <w:rPr>
          <w:rFonts w:ascii="ITC Avant Garde" w:hAnsi="ITC Avant Garde"/>
          <w:b/>
          <w:bCs/>
          <w:color w:val="0000CC"/>
          <w:sz w:val="19"/>
          <w:szCs w:val="19"/>
          <w:lang w:eastAsia="es-MX"/>
        </w:rPr>
        <w:t>56</w:t>
      </w:r>
      <w:r w:rsidR="00555AB5">
        <w:rPr>
          <w:rFonts w:ascii="ITC Avant Garde" w:hAnsi="ITC Avant Garde"/>
          <w:b/>
          <w:bCs/>
          <w:color w:val="0000CC"/>
          <w:sz w:val="19"/>
          <w:szCs w:val="19"/>
          <w:lang w:eastAsia="es-MX"/>
        </w:rPr>
        <w:t>)</w:t>
      </w:r>
      <w:r w:rsidR="0029381D" w:rsidRPr="007D02A7">
        <w:rPr>
          <w:rFonts w:ascii="ITC Avant Garde" w:hAnsi="ITC Avant Garde"/>
          <w:b/>
          <w:bCs/>
          <w:color w:val="0000CC"/>
          <w:sz w:val="19"/>
          <w:szCs w:val="19"/>
          <w:lang w:eastAsia="es-MX"/>
        </w:rPr>
        <w:t>”</w:t>
      </w:r>
      <w:r w:rsidRPr="007D02A7">
        <w:rPr>
          <w:rFonts w:ascii="ITC Avant Garde" w:eastAsia="Times New Roman" w:hAnsi="ITC Avant Garde"/>
          <w:bCs/>
          <w:color w:val="000000"/>
          <w:lang w:eastAsia="es-MX"/>
        </w:rPr>
        <w:t xml:space="preserve"> </w:t>
      </w:r>
      <w:r w:rsidR="00E77856" w:rsidRPr="007D02A7">
        <w:rPr>
          <w:rFonts w:ascii="ITC Avant Garde" w:eastAsia="Times New Roman" w:hAnsi="ITC Avant Garde"/>
          <w:bCs/>
          <w:color w:val="000000"/>
          <w:lang w:eastAsia="es-MX"/>
        </w:rPr>
        <w:t>torres</w:t>
      </w:r>
      <w:r w:rsidRPr="007D02A7">
        <w:rPr>
          <w:rFonts w:ascii="ITC Avant Garde" w:eastAsia="Times New Roman" w:hAnsi="ITC Avant Garde"/>
          <w:bCs/>
          <w:color w:val="000000"/>
          <w:lang w:eastAsia="es-MX"/>
        </w:rPr>
        <w:t xml:space="preserve">. </w:t>
      </w:r>
    </w:p>
    <w:p w:rsidR="00663C21" w:rsidRPr="007D02A7" w:rsidRDefault="00221C44" w:rsidP="00637B96">
      <w:pPr>
        <w:pStyle w:val="Prraforproyecto"/>
        <w:keepNext w:val="0"/>
        <w:spacing w:before="120"/>
        <w:rPr>
          <w:rFonts w:eastAsiaTheme="minorHAnsi"/>
          <w:b/>
          <w:bCs w:val="0"/>
          <w:i/>
          <w:color w:val="auto"/>
          <w:lang w:eastAsia="en-US"/>
        </w:rPr>
      </w:pPr>
      <w:r w:rsidRPr="007D02A7">
        <w:rPr>
          <w:rFonts w:eastAsia="Calibri"/>
          <w:bCs w:val="0"/>
          <w:color w:val="auto"/>
          <w:lang w:eastAsia="en-US"/>
        </w:rPr>
        <w:t xml:space="preserve">Con base en las consideraciones anteriores, la Concentración se analiza bajo una </w:t>
      </w:r>
      <w:r w:rsidRPr="007D02A7">
        <w:rPr>
          <w:rFonts w:eastAsia="Calibri"/>
          <w:b/>
          <w:bCs w:val="0"/>
          <w:color w:val="auto"/>
          <w:lang w:eastAsia="en-US"/>
        </w:rPr>
        <w:t>dimensión geográfica nacional.</w:t>
      </w:r>
    </w:p>
    <w:p w:rsidR="00315C5D" w:rsidRPr="007D02A7" w:rsidRDefault="00D9223F" w:rsidP="00637B96">
      <w:pPr>
        <w:spacing w:before="120" w:after="120"/>
        <w:ind w:firstLine="708"/>
        <w:rPr>
          <w:rFonts w:ascii="ITC Avant Garde" w:hAnsi="ITC Avant Garde"/>
          <w:b/>
          <w:i/>
        </w:rPr>
      </w:pPr>
      <w:r w:rsidRPr="007D02A7">
        <w:rPr>
          <w:rFonts w:ascii="ITC Avant Garde" w:hAnsi="ITC Avant Garde"/>
          <w:b/>
          <w:i/>
        </w:rPr>
        <w:t xml:space="preserve">6.3.3 </w:t>
      </w:r>
      <w:r w:rsidR="00315C5D" w:rsidRPr="007D02A7">
        <w:rPr>
          <w:rFonts w:ascii="ITC Avant Garde" w:hAnsi="ITC Avant Garde"/>
          <w:b/>
          <w:i/>
        </w:rPr>
        <w:t>Proveedores del Servicio y grado de concentración.</w:t>
      </w:r>
    </w:p>
    <w:p w:rsidR="00315C5D" w:rsidRPr="007D02A7" w:rsidRDefault="00315C5D" w:rsidP="00637B96">
      <w:pPr>
        <w:spacing w:before="120" w:after="120"/>
        <w:jc w:val="both"/>
        <w:rPr>
          <w:rFonts w:ascii="ITC Avant Garde" w:hAnsi="ITC Avant Garde"/>
          <w:lang w:eastAsia="es-MX"/>
        </w:rPr>
      </w:pPr>
      <w:r w:rsidRPr="007D02A7">
        <w:rPr>
          <w:rFonts w:ascii="ITC Avant Garde" w:hAnsi="ITC Avant Garde"/>
          <w:lang w:eastAsia="es-MX"/>
        </w:rPr>
        <w:t xml:space="preserve">Conforme al artículo 63, fracción II, de la LFCE y de acuerdo con la información presentada por las Partes, en la provisión del Servicio para concesionarios y operadores de RPT móviles, actualmente existen 2 (dos) proveedores principales del </w:t>
      </w:r>
      <w:r w:rsidR="00804837" w:rsidRPr="007D02A7">
        <w:rPr>
          <w:rFonts w:ascii="ITC Avant Garde" w:hAnsi="ITC Avant Garde"/>
          <w:lang w:eastAsia="es-MX"/>
        </w:rPr>
        <w:t>S</w:t>
      </w:r>
      <w:r w:rsidRPr="007D02A7">
        <w:rPr>
          <w:rFonts w:ascii="ITC Avant Garde" w:hAnsi="ITC Avant Garde"/>
          <w:lang w:eastAsia="es-MX"/>
        </w:rPr>
        <w:t xml:space="preserve">ervicio: </w:t>
      </w:r>
      <w:proofErr w:type="spellStart"/>
      <w:r w:rsidRPr="007D02A7">
        <w:rPr>
          <w:rFonts w:ascii="ITC Avant Garde" w:hAnsi="ITC Avant Garde"/>
        </w:rPr>
        <w:t>Telesites</w:t>
      </w:r>
      <w:proofErr w:type="spellEnd"/>
      <w:r w:rsidRPr="007D02A7">
        <w:rPr>
          <w:rFonts w:ascii="ITC Avant Garde" w:hAnsi="ITC Avant Garde"/>
        </w:rPr>
        <w:t>, S.A.B. de C.V. y subsidiarias (</w:t>
      </w:r>
      <w:proofErr w:type="spellStart"/>
      <w:r w:rsidRPr="007D02A7">
        <w:rPr>
          <w:rFonts w:ascii="ITC Avant Garde" w:hAnsi="ITC Avant Garde"/>
        </w:rPr>
        <w:t>Telesites</w:t>
      </w:r>
      <w:proofErr w:type="spellEnd"/>
      <w:r w:rsidRPr="007D02A7">
        <w:rPr>
          <w:rFonts w:ascii="ITC Avant Garde" w:hAnsi="ITC Avant Garde"/>
        </w:rPr>
        <w:t>)</w:t>
      </w:r>
      <w:r w:rsidRPr="007D02A7">
        <w:rPr>
          <w:rFonts w:ascii="ITC Avant Garde" w:hAnsi="ITC Avant Garde"/>
          <w:lang w:eastAsia="es-MX"/>
        </w:rPr>
        <w:t xml:space="preserve"> y el GIE controlado por ATC.</w:t>
      </w:r>
    </w:p>
    <w:p w:rsidR="00315C5D" w:rsidRPr="007D02A7" w:rsidRDefault="00315C5D" w:rsidP="00637B96">
      <w:pPr>
        <w:spacing w:before="120" w:after="120"/>
        <w:jc w:val="both"/>
        <w:rPr>
          <w:rFonts w:ascii="ITC Avant Garde" w:hAnsi="ITC Avant Garde"/>
        </w:rPr>
      </w:pPr>
      <w:proofErr w:type="spellStart"/>
      <w:r w:rsidRPr="007D02A7">
        <w:rPr>
          <w:rFonts w:ascii="ITC Avant Garde" w:hAnsi="ITC Avant Garde"/>
        </w:rPr>
        <w:t>Telesites</w:t>
      </w:r>
      <w:proofErr w:type="spellEnd"/>
      <w:r w:rsidRPr="007D02A7">
        <w:rPr>
          <w:rFonts w:ascii="ITC Avant Garde" w:hAnsi="ITC Avant Garde"/>
        </w:rPr>
        <w:t>, S.A.B. de C.V., fue constituida como resultado de la escisión de América Móvil, S.A.B. de C.V. que forma parte del AEPT. En esa transacción recibió en propiedad 11,766 (once mil setecientas sesenta y seis) torres de telecomunicaciones y, actualmente, reporta 14,917</w:t>
      </w:r>
      <w:r w:rsidR="000E0B9C" w:rsidRPr="007D02A7">
        <w:rPr>
          <w:rFonts w:ascii="ITC Avant Garde" w:hAnsi="ITC Avant Garde"/>
        </w:rPr>
        <w:t xml:space="preserve"> (catorce mil novecientas diecisiete)</w:t>
      </w:r>
      <w:r w:rsidRPr="007D02A7">
        <w:rPr>
          <w:rFonts w:ascii="ITC Avant Garde" w:hAnsi="ITC Avant Garde"/>
        </w:rPr>
        <w:t xml:space="preserve"> torres.</w:t>
      </w:r>
      <w:r w:rsidRPr="007D02A7">
        <w:rPr>
          <w:rFonts w:ascii="ITC Avant Garde" w:hAnsi="ITC Avant Garde"/>
          <w:vertAlign w:val="superscript"/>
        </w:rPr>
        <w:footnoteReference w:id="42"/>
      </w:r>
    </w:p>
    <w:p w:rsidR="00315C5D" w:rsidRPr="007D02A7" w:rsidRDefault="00315C5D" w:rsidP="00637B96">
      <w:pPr>
        <w:spacing w:before="120" w:after="120"/>
        <w:jc w:val="both"/>
        <w:rPr>
          <w:rFonts w:ascii="ITC Avant Garde" w:hAnsi="ITC Avant Garde"/>
        </w:rPr>
      </w:pPr>
      <w:r w:rsidRPr="007D02A7">
        <w:rPr>
          <w:rFonts w:ascii="ITC Avant Garde" w:hAnsi="ITC Avant Garde"/>
        </w:rPr>
        <w:t xml:space="preserve">Las Partes informan que no cuenta con datos del tamaño total del mercado, puesto que no existe una base de datos o información para tal efecto; y, por ello, no pueden estimar de forma confiable las participaciones de AXTEL y MATC Digital. </w:t>
      </w:r>
    </w:p>
    <w:p w:rsidR="00315C5D" w:rsidRPr="007D02A7" w:rsidRDefault="00315C5D" w:rsidP="00637B96">
      <w:pPr>
        <w:spacing w:before="120" w:after="120"/>
        <w:jc w:val="both"/>
        <w:rPr>
          <w:rFonts w:ascii="ITC Avant Garde" w:hAnsi="ITC Avant Garde"/>
        </w:rPr>
      </w:pPr>
      <w:r w:rsidRPr="007D02A7">
        <w:rPr>
          <w:rFonts w:ascii="ITC Avant Garde" w:hAnsi="ITC Avant Garde"/>
        </w:rPr>
        <w:t xml:space="preserve">No obstante, reportan la información contenida en estudios de la empresa </w:t>
      </w:r>
      <w:proofErr w:type="spellStart"/>
      <w:r w:rsidRPr="007D02A7">
        <w:rPr>
          <w:rFonts w:ascii="ITC Avant Garde" w:hAnsi="ITC Avant Garde"/>
        </w:rPr>
        <w:t>TowerXchange</w:t>
      </w:r>
      <w:proofErr w:type="spellEnd"/>
      <w:r w:rsidRPr="007D02A7">
        <w:rPr>
          <w:rFonts w:ascii="ITC Avant Garde" w:hAnsi="ITC Avant Garde"/>
        </w:rPr>
        <w:t xml:space="preserve"> sobre la cantidad de torres y mástiles en azotea con equipos de </w:t>
      </w:r>
      <w:r w:rsidRPr="007D02A7">
        <w:rPr>
          <w:rFonts w:ascii="ITC Avant Garde" w:hAnsi="ITC Avant Garde"/>
        </w:rPr>
        <w:lastRenderedPageBreak/>
        <w:t xml:space="preserve">telecomunicaciones instalados en el país por proveedor y sus participaciones. Esta información sirve para identificar y estimar las participaciones de </w:t>
      </w:r>
      <w:proofErr w:type="spellStart"/>
      <w:r w:rsidRPr="007D02A7">
        <w:rPr>
          <w:rFonts w:ascii="ITC Avant Garde" w:hAnsi="ITC Avant Garde"/>
        </w:rPr>
        <w:t>Mexico</w:t>
      </w:r>
      <w:proofErr w:type="spellEnd"/>
      <w:r w:rsidRPr="007D02A7">
        <w:rPr>
          <w:rFonts w:ascii="ITC Avant Garde" w:hAnsi="ITC Avant Garde"/>
        </w:rPr>
        <w:t xml:space="preserve"> Tower </w:t>
      </w:r>
      <w:proofErr w:type="spellStart"/>
      <w:r w:rsidRPr="007D02A7">
        <w:rPr>
          <w:rFonts w:ascii="ITC Avant Garde" w:hAnsi="ITC Avant Garde"/>
        </w:rPr>
        <w:t>Partners</w:t>
      </w:r>
      <w:proofErr w:type="spellEnd"/>
      <w:r w:rsidRPr="007D02A7">
        <w:rPr>
          <w:rFonts w:ascii="ITC Avant Garde" w:hAnsi="ITC Avant Garde"/>
        </w:rPr>
        <w:t xml:space="preserve">, IIMT, </w:t>
      </w:r>
      <w:proofErr w:type="spellStart"/>
      <w:r w:rsidRPr="007D02A7">
        <w:rPr>
          <w:rFonts w:ascii="ITC Avant Garde" w:hAnsi="ITC Avant Garde"/>
        </w:rPr>
        <w:t>Centennial</w:t>
      </w:r>
      <w:proofErr w:type="spellEnd"/>
      <w:r w:rsidRPr="007D02A7">
        <w:rPr>
          <w:rFonts w:ascii="ITC Avant Garde" w:hAnsi="ITC Avant Garde"/>
        </w:rPr>
        <w:t xml:space="preserve">, </w:t>
      </w:r>
      <w:proofErr w:type="spellStart"/>
      <w:r w:rsidRPr="007D02A7">
        <w:rPr>
          <w:rFonts w:ascii="ITC Avant Garde" w:hAnsi="ITC Avant Garde"/>
        </w:rPr>
        <w:t>Torrecom</w:t>
      </w:r>
      <w:proofErr w:type="spellEnd"/>
      <w:r w:rsidR="007177DE" w:rsidRPr="007D02A7">
        <w:rPr>
          <w:rFonts w:ascii="ITC Avant Garde" w:hAnsi="ITC Avant Garde"/>
        </w:rPr>
        <w:t xml:space="preserve"> </w:t>
      </w:r>
      <w:r w:rsidRPr="007D02A7">
        <w:rPr>
          <w:rFonts w:ascii="ITC Avant Garde" w:hAnsi="ITC Avant Garde"/>
        </w:rPr>
        <w:t xml:space="preserve">y otros operadores de menor tamaño. La información sobre </w:t>
      </w:r>
      <w:proofErr w:type="spellStart"/>
      <w:r w:rsidRPr="007D02A7">
        <w:rPr>
          <w:rFonts w:ascii="ITC Avant Garde" w:hAnsi="ITC Avant Garde"/>
        </w:rPr>
        <w:t>Mexico</w:t>
      </w:r>
      <w:proofErr w:type="spellEnd"/>
      <w:r w:rsidRPr="007D02A7">
        <w:rPr>
          <w:rFonts w:ascii="ITC Avant Garde" w:hAnsi="ITC Avant Garde"/>
        </w:rPr>
        <w:t xml:space="preserve"> Tower </w:t>
      </w:r>
      <w:proofErr w:type="spellStart"/>
      <w:r w:rsidRPr="007D02A7">
        <w:rPr>
          <w:rFonts w:ascii="ITC Avant Garde" w:hAnsi="ITC Avant Garde"/>
        </w:rPr>
        <w:t>Partners</w:t>
      </w:r>
      <w:proofErr w:type="spellEnd"/>
      <w:r w:rsidRPr="007D02A7">
        <w:rPr>
          <w:rFonts w:ascii="ITC Avant Garde" w:hAnsi="ITC Avant Garde"/>
        </w:rPr>
        <w:t xml:space="preserve"> coincide</w:t>
      </w:r>
      <w:r w:rsidR="00E729BA" w:rsidRPr="007D02A7">
        <w:rPr>
          <w:rFonts w:ascii="ITC Avant Garde" w:hAnsi="ITC Avant Garde"/>
        </w:rPr>
        <w:t xml:space="preserve"> con</w:t>
      </w:r>
      <w:r w:rsidRPr="007D02A7">
        <w:rPr>
          <w:rFonts w:ascii="ITC Avant Garde" w:hAnsi="ITC Avant Garde"/>
        </w:rPr>
        <w:t xml:space="preserve"> la reportada por ese agente económico en dos mil trece, que obra en un expediente de este Instituto.</w:t>
      </w:r>
      <w:r w:rsidR="00027824" w:rsidRPr="007D02A7">
        <w:rPr>
          <w:rFonts w:ascii="ITC Avant Garde" w:hAnsi="ITC Avant Garde"/>
          <w:bCs/>
          <w:vertAlign w:val="superscript"/>
        </w:rPr>
        <w:footnoteReference w:id="43"/>
      </w:r>
      <w:r w:rsidR="00B67CFE" w:rsidRPr="007D02A7">
        <w:rPr>
          <w:rFonts w:ascii="ITC Avant Garde" w:hAnsi="ITC Avant Garde"/>
        </w:rPr>
        <w:t xml:space="preserve"> </w:t>
      </w:r>
      <w:r w:rsidRPr="007D02A7">
        <w:rPr>
          <w:rFonts w:ascii="ITC Avant Garde" w:hAnsi="ITC Avant Garde"/>
        </w:rPr>
        <w:t xml:space="preserve">Por otra parte, la información para MATC Digital y </w:t>
      </w:r>
      <w:r w:rsidR="007E255C" w:rsidRPr="007D02A7">
        <w:rPr>
          <w:rFonts w:ascii="ITC Avant Garde" w:hAnsi="ITC Avant Garde"/>
        </w:rPr>
        <w:t xml:space="preserve">AXTEL </w:t>
      </w:r>
      <w:r w:rsidRPr="007D02A7">
        <w:rPr>
          <w:rFonts w:ascii="ITC Avant Garde" w:hAnsi="ITC Avant Garde"/>
        </w:rPr>
        <w:t xml:space="preserve">fue reportada por las Partes en este Expediente; y la correspondiente a </w:t>
      </w:r>
      <w:proofErr w:type="spellStart"/>
      <w:r w:rsidRPr="007D02A7">
        <w:rPr>
          <w:rFonts w:ascii="ITC Avant Garde" w:hAnsi="ITC Avant Garde"/>
        </w:rPr>
        <w:t>Telesites</w:t>
      </w:r>
      <w:proofErr w:type="spellEnd"/>
      <w:r w:rsidRPr="007D02A7">
        <w:rPr>
          <w:rFonts w:ascii="ITC Avant Garde" w:hAnsi="ITC Avant Garde"/>
        </w:rPr>
        <w:t xml:space="preserve"> </w:t>
      </w:r>
      <w:r w:rsidR="00EB74D0" w:rsidRPr="007D02A7">
        <w:rPr>
          <w:rFonts w:ascii="ITC Avant Garde" w:hAnsi="ITC Avant Garde"/>
        </w:rPr>
        <w:t xml:space="preserve">se tomó del </w:t>
      </w:r>
      <w:r w:rsidR="00727471" w:rsidRPr="007D02A7">
        <w:rPr>
          <w:rFonts w:ascii="ITC Avant Garde" w:hAnsi="ITC Avant Garde"/>
        </w:rPr>
        <w:t>1er. r</w:t>
      </w:r>
      <w:r w:rsidR="00EB74D0" w:rsidRPr="007D02A7">
        <w:rPr>
          <w:rFonts w:ascii="ITC Avant Garde" w:hAnsi="ITC Avant Garde"/>
        </w:rPr>
        <w:t>eporte</w:t>
      </w:r>
      <w:r w:rsidR="00727471" w:rsidRPr="007D02A7">
        <w:rPr>
          <w:rFonts w:ascii="ITC Avant Garde" w:hAnsi="ITC Avant Garde"/>
        </w:rPr>
        <w:t xml:space="preserve"> trimestral del año</w:t>
      </w:r>
      <w:r w:rsidR="00EB74D0" w:rsidRPr="007D02A7">
        <w:rPr>
          <w:rFonts w:ascii="ITC Avant Garde" w:hAnsi="ITC Avant Garde"/>
        </w:rPr>
        <w:t xml:space="preserve"> 201</w:t>
      </w:r>
      <w:r w:rsidR="00727471" w:rsidRPr="007D02A7">
        <w:rPr>
          <w:rFonts w:ascii="ITC Avant Garde" w:hAnsi="ITC Avant Garde"/>
        </w:rPr>
        <w:t>7</w:t>
      </w:r>
      <w:r w:rsidR="00EB74D0" w:rsidRPr="007D02A7">
        <w:rPr>
          <w:rFonts w:ascii="ITC Avant Garde" w:hAnsi="ITC Avant Garde"/>
        </w:rPr>
        <w:t xml:space="preserve"> de </w:t>
      </w:r>
      <w:proofErr w:type="spellStart"/>
      <w:r w:rsidR="00EB74D0" w:rsidRPr="007D02A7">
        <w:rPr>
          <w:rFonts w:ascii="ITC Avant Garde" w:hAnsi="ITC Avant Garde"/>
        </w:rPr>
        <w:t>Telesites</w:t>
      </w:r>
      <w:proofErr w:type="spellEnd"/>
      <w:r w:rsidRPr="007D02A7">
        <w:rPr>
          <w:rFonts w:ascii="ITC Avant Garde" w:hAnsi="ITC Avant Garde"/>
        </w:rPr>
        <w:t xml:space="preserve">. La información disponible, se presenta en el siguiente cuadro. </w:t>
      </w:r>
    </w:p>
    <w:p w:rsidR="00315C5D" w:rsidRPr="007D02A7" w:rsidRDefault="00315C5D" w:rsidP="00637B96">
      <w:pPr>
        <w:numPr>
          <w:ilvl w:val="0"/>
          <w:numId w:val="28"/>
        </w:numPr>
        <w:spacing w:before="120" w:after="120"/>
        <w:ind w:left="284"/>
        <w:jc w:val="center"/>
        <w:rPr>
          <w:rFonts w:ascii="ITC Avant Garde" w:hAnsi="ITC Avant Garde"/>
          <w:b/>
        </w:rPr>
      </w:pPr>
      <w:bookmarkStart w:id="36" w:name="_Ref473228213"/>
      <w:r w:rsidRPr="007D02A7">
        <w:rPr>
          <w:rFonts w:ascii="ITC Avant Garde" w:hAnsi="ITC Avant Garde"/>
          <w:b/>
        </w:rPr>
        <w:t xml:space="preserve">Participaciones a nivel nacional en torres de telecomunicaciones antes </w:t>
      </w:r>
      <w:r w:rsidR="00E87FCA" w:rsidRPr="007D02A7">
        <w:rPr>
          <w:rFonts w:ascii="ITC Avant Garde" w:hAnsi="ITC Avant Garde"/>
          <w:b/>
        </w:rPr>
        <w:t xml:space="preserve">y después </w:t>
      </w:r>
      <w:r w:rsidRPr="007D02A7">
        <w:rPr>
          <w:rFonts w:ascii="ITC Avant Garde" w:hAnsi="ITC Avant Garde"/>
          <w:b/>
        </w:rPr>
        <w:t>de la Operación</w:t>
      </w:r>
      <w:bookmarkEnd w:id="36"/>
    </w:p>
    <w:tbl>
      <w:tblPr>
        <w:tblStyle w:val="Tablaconcuadrcula1"/>
        <w:tblW w:w="10475" w:type="dxa"/>
        <w:jc w:val="center"/>
        <w:tblLayout w:type="fixed"/>
        <w:tblLook w:val="04A0" w:firstRow="1" w:lastRow="0" w:firstColumn="1" w:lastColumn="0" w:noHBand="0" w:noVBand="1"/>
        <w:tblCaption w:val="Cuadro 10. Participaciones a nivel nacional en torres de telecomunicaciones antes y después de la Operación"/>
        <w:tblDescription w:val="En este cuadro se presentan las participaciones a nivel nacional, en términos de  torres de telecomunicaciones, de los distintos proveedores del Servicio, antes y después de la Operación."/>
      </w:tblPr>
      <w:tblGrid>
        <w:gridCol w:w="1811"/>
        <w:gridCol w:w="2374"/>
        <w:gridCol w:w="1535"/>
        <w:gridCol w:w="1549"/>
        <w:gridCol w:w="1657"/>
        <w:gridCol w:w="1549"/>
      </w:tblGrid>
      <w:tr w:rsidR="00315C5D" w:rsidRPr="000F7E62" w:rsidTr="00AA6DC4">
        <w:trPr>
          <w:trHeight w:val="315"/>
          <w:tblHeader/>
          <w:jc w:val="center"/>
        </w:trPr>
        <w:tc>
          <w:tcPr>
            <w:tcW w:w="4185" w:type="dxa"/>
            <w:gridSpan w:val="2"/>
            <w:shd w:val="clear" w:color="auto" w:fill="538135" w:themeFill="accent6" w:themeFillShade="BF"/>
            <w:vAlign w:val="center"/>
            <w:hideMark/>
          </w:tcPr>
          <w:p w:rsidR="00315C5D" w:rsidRPr="000F7E62" w:rsidRDefault="00315C5D" w:rsidP="007856CC">
            <w:pPr>
              <w:spacing w:after="0" w:line="240" w:lineRule="auto"/>
              <w:jc w:val="center"/>
              <w:rPr>
                <w:rFonts w:ascii="ITC Avant Garde" w:eastAsia="Times New Roman" w:hAnsi="ITC Avant Garde"/>
                <w:b/>
                <w:bCs/>
                <w:color w:val="000000" w:themeColor="text1"/>
                <w:sz w:val="18"/>
                <w:szCs w:val="18"/>
              </w:rPr>
            </w:pPr>
            <w:r w:rsidRPr="000F7E62">
              <w:rPr>
                <w:rFonts w:ascii="ITC Avant Garde" w:eastAsia="Times New Roman" w:hAnsi="ITC Avant Garde"/>
                <w:b/>
                <w:bCs/>
                <w:color w:val="000000" w:themeColor="text1"/>
                <w:sz w:val="18"/>
                <w:szCs w:val="18"/>
              </w:rPr>
              <w:t>Proveedor</w:t>
            </w:r>
          </w:p>
        </w:tc>
        <w:tc>
          <w:tcPr>
            <w:tcW w:w="1535" w:type="dxa"/>
            <w:shd w:val="clear" w:color="auto" w:fill="538135" w:themeFill="accent6" w:themeFillShade="BF"/>
            <w:vAlign w:val="center"/>
            <w:hideMark/>
          </w:tcPr>
          <w:p w:rsidR="00315C5D" w:rsidRPr="000F7E62" w:rsidRDefault="00AA6DC4" w:rsidP="007856CC">
            <w:pPr>
              <w:spacing w:after="0" w:line="240" w:lineRule="auto"/>
              <w:jc w:val="center"/>
              <w:rPr>
                <w:rFonts w:ascii="ITC Avant Garde" w:eastAsia="Times New Roman" w:hAnsi="ITC Avant Garde"/>
                <w:b/>
                <w:bCs/>
                <w:color w:val="000000" w:themeColor="text1"/>
                <w:sz w:val="18"/>
                <w:szCs w:val="18"/>
              </w:rPr>
            </w:pPr>
            <w:r w:rsidRPr="000F7E62">
              <w:rPr>
                <w:rFonts w:ascii="ITC Avant Garde" w:eastAsia="Times New Roman" w:hAnsi="ITC Avant Garde"/>
                <w:b/>
                <w:bCs/>
                <w:color w:val="000000" w:themeColor="text1"/>
                <w:sz w:val="18"/>
                <w:szCs w:val="18"/>
              </w:rPr>
              <w:t xml:space="preserve">Antes de la Concentración </w:t>
            </w:r>
            <w:r w:rsidR="00315C5D" w:rsidRPr="000F7E62">
              <w:rPr>
                <w:rFonts w:ascii="ITC Avant Garde" w:eastAsia="Times New Roman" w:hAnsi="ITC Avant Garde"/>
                <w:b/>
                <w:bCs/>
                <w:color w:val="000000" w:themeColor="text1"/>
                <w:sz w:val="18"/>
                <w:szCs w:val="18"/>
              </w:rPr>
              <w:t>Número de Torres</w:t>
            </w:r>
          </w:p>
        </w:tc>
        <w:tc>
          <w:tcPr>
            <w:tcW w:w="1549" w:type="dxa"/>
            <w:shd w:val="clear" w:color="auto" w:fill="538135" w:themeFill="accent6" w:themeFillShade="BF"/>
            <w:vAlign w:val="center"/>
            <w:hideMark/>
          </w:tcPr>
          <w:p w:rsidR="00315C5D" w:rsidRPr="000F7E62" w:rsidRDefault="00AA6DC4" w:rsidP="007856CC">
            <w:pPr>
              <w:spacing w:after="0" w:line="240" w:lineRule="auto"/>
              <w:jc w:val="center"/>
              <w:rPr>
                <w:rFonts w:ascii="ITC Avant Garde" w:eastAsia="Times New Roman" w:hAnsi="ITC Avant Garde"/>
                <w:b/>
                <w:bCs/>
                <w:color w:val="000000" w:themeColor="text1"/>
                <w:sz w:val="18"/>
                <w:szCs w:val="18"/>
              </w:rPr>
            </w:pPr>
            <w:r w:rsidRPr="000F7E62">
              <w:rPr>
                <w:rFonts w:ascii="ITC Avant Garde" w:eastAsia="Times New Roman" w:hAnsi="ITC Avant Garde"/>
                <w:b/>
                <w:bCs/>
                <w:color w:val="000000" w:themeColor="text1"/>
                <w:sz w:val="18"/>
                <w:szCs w:val="18"/>
              </w:rPr>
              <w:t xml:space="preserve">Antes de la Concentración </w:t>
            </w:r>
            <w:r w:rsidR="00315C5D" w:rsidRPr="000F7E62">
              <w:rPr>
                <w:rFonts w:ascii="ITC Avant Garde" w:eastAsia="Times New Roman" w:hAnsi="ITC Avant Garde"/>
                <w:b/>
                <w:bCs/>
                <w:color w:val="000000" w:themeColor="text1"/>
                <w:sz w:val="18"/>
                <w:szCs w:val="18"/>
              </w:rPr>
              <w:t>Participación (%)</w:t>
            </w:r>
          </w:p>
        </w:tc>
        <w:tc>
          <w:tcPr>
            <w:tcW w:w="1657" w:type="dxa"/>
            <w:shd w:val="clear" w:color="auto" w:fill="538135" w:themeFill="accent6" w:themeFillShade="BF"/>
            <w:vAlign w:val="center"/>
          </w:tcPr>
          <w:p w:rsidR="00315C5D" w:rsidRPr="000F7E62" w:rsidRDefault="00AA6DC4" w:rsidP="007856CC">
            <w:pPr>
              <w:spacing w:after="0" w:line="240" w:lineRule="auto"/>
              <w:jc w:val="center"/>
              <w:rPr>
                <w:rFonts w:ascii="ITC Avant Garde" w:eastAsia="Times New Roman" w:hAnsi="ITC Avant Garde"/>
                <w:b/>
                <w:bCs/>
                <w:color w:val="000000" w:themeColor="text1"/>
                <w:sz w:val="18"/>
                <w:szCs w:val="18"/>
              </w:rPr>
            </w:pPr>
            <w:r w:rsidRPr="000F7E62">
              <w:rPr>
                <w:rFonts w:ascii="ITC Avant Garde" w:eastAsia="Times New Roman" w:hAnsi="ITC Avant Garde"/>
                <w:b/>
                <w:bCs/>
                <w:color w:val="000000" w:themeColor="text1"/>
                <w:sz w:val="18"/>
                <w:szCs w:val="18"/>
              </w:rPr>
              <w:t xml:space="preserve">Después de la Concentración </w:t>
            </w:r>
            <w:r w:rsidR="00315C5D" w:rsidRPr="000F7E62">
              <w:rPr>
                <w:rFonts w:ascii="ITC Avant Garde" w:eastAsia="Times New Roman" w:hAnsi="ITC Avant Garde"/>
                <w:b/>
                <w:bCs/>
                <w:color w:val="000000" w:themeColor="text1"/>
                <w:sz w:val="18"/>
                <w:szCs w:val="18"/>
              </w:rPr>
              <w:t>Número de Torres</w:t>
            </w:r>
          </w:p>
        </w:tc>
        <w:tc>
          <w:tcPr>
            <w:tcW w:w="1549" w:type="dxa"/>
            <w:shd w:val="clear" w:color="auto" w:fill="538135" w:themeFill="accent6" w:themeFillShade="BF"/>
            <w:vAlign w:val="center"/>
          </w:tcPr>
          <w:p w:rsidR="00315C5D" w:rsidRPr="000F7E62" w:rsidRDefault="00AA6DC4" w:rsidP="007856CC">
            <w:pPr>
              <w:spacing w:after="0" w:line="240" w:lineRule="auto"/>
              <w:jc w:val="center"/>
              <w:rPr>
                <w:rFonts w:ascii="ITC Avant Garde" w:eastAsia="Times New Roman" w:hAnsi="ITC Avant Garde"/>
                <w:b/>
                <w:bCs/>
                <w:color w:val="000000" w:themeColor="text1"/>
                <w:sz w:val="18"/>
                <w:szCs w:val="18"/>
              </w:rPr>
            </w:pPr>
            <w:r w:rsidRPr="000F7E62">
              <w:rPr>
                <w:rFonts w:ascii="ITC Avant Garde" w:eastAsia="Times New Roman" w:hAnsi="ITC Avant Garde"/>
                <w:b/>
                <w:bCs/>
                <w:color w:val="000000" w:themeColor="text1"/>
                <w:sz w:val="18"/>
                <w:szCs w:val="18"/>
              </w:rPr>
              <w:t xml:space="preserve">Después de la Concentración </w:t>
            </w:r>
            <w:r w:rsidR="00315C5D" w:rsidRPr="000F7E62">
              <w:rPr>
                <w:rFonts w:ascii="ITC Avant Garde" w:eastAsia="Times New Roman" w:hAnsi="ITC Avant Garde"/>
                <w:b/>
                <w:bCs/>
                <w:color w:val="000000" w:themeColor="text1"/>
                <w:sz w:val="18"/>
                <w:szCs w:val="18"/>
              </w:rPr>
              <w:t>Participación (%)</w:t>
            </w:r>
          </w:p>
        </w:tc>
      </w:tr>
      <w:tr w:rsidR="007856CC" w:rsidRPr="007D02A7" w:rsidTr="00AA6DC4">
        <w:trPr>
          <w:trHeight w:val="183"/>
          <w:jc w:val="center"/>
        </w:trPr>
        <w:tc>
          <w:tcPr>
            <w:tcW w:w="4185" w:type="dxa"/>
            <w:gridSpan w:val="2"/>
            <w:noWrap/>
            <w:hideMark/>
          </w:tcPr>
          <w:p w:rsidR="007856CC" w:rsidRPr="007D02A7" w:rsidRDefault="007856CC" w:rsidP="007856CC">
            <w:pPr>
              <w:spacing w:after="0" w:line="240" w:lineRule="auto"/>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Telesites</w:t>
            </w:r>
            <w:r w:rsidRPr="007D02A7">
              <w:rPr>
                <w:rFonts w:ascii="ITC Avant Garde" w:eastAsia="Times New Roman" w:hAnsi="ITC Avant Garde"/>
                <w:b/>
                <w:color w:val="000000"/>
                <w:sz w:val="18"/>
                <w:szCs w:val="18"/>
                <w:vertAlign w:val="superscript"/>
              </w:rPr>
              <w:t>1</w:t>
            </w:r>
          </w:p>
        </w:tc>
        <w:tc>
          <w:tcPr>
            <w:tcW w:w="1535" w:type="dxa"/>
            <w:vAlign w:val="center"/>
          </w:tcPr>
          <w:p w:rsidR="007856CC" w:rsidRPr="00BB3A3C" w:rsidRDefault="007856CC" w:rsidP="007856CC">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 xml:space="preserve">“CONFIDENCIAL POR LEY </w:t>
            </w:r>
            <w:r w:rsidR="00555AB5" w:rsidRPr="00BB3A3C">
              <w:rPr>
                <w:rFonts w:ascii="ITC Avant Garde" w:hAnsi="ITC Avant Garde"/>
                <w:b/>
                <w:color w:val="0000CC"/>
                <w:sz w:val="13"/>
                <w:szCs w:val="13"/>
              </w:rPr>
              <w:t>(</w:t>
            </w:r>
            <w:r w:rsidRPr="00BB3A3C">
              <w:rPr>
                <w:rFonts w:ascii="ITC Avant Garde" w:hAnsi="ITC Avant Garde"/>
                <w:b/>
                <w:color w:val="0000CC"/>
                <w:sz w:val="13"/>
                <w:szCs w:val="13"/>
              </w:rPr>
              <w:t>57</w:t>
            </w:r>
            <w:r w:rsidR="00555AB5" w:rsidRPr="00BB3A3C">
              <w:rPr>
                <w:rFonts w:ascii="ITC Avant Garde" w:hAnsi="ITC Avant Garde"/>
                <w:b/>
                <w:color w:val="0000CC"/>
                <w:sz w:val="13"/>
                <w:szCs w:val="13"/>
              </w:rPr>
              <w:t>)</w:t>
            </w:r>
            <w:r w:rsidRPr="00BB3A3C">
              <w:rPr>
                <w:rFonts w:ascii="ITC Avant Garde" w:hAnsi="ITC Avant Garde"/>
                <w:b/>
                <w:color w:val="0000CC"/>
                <w:sz w:val="13"/>
                <w:szCs w:val="13"/>
              </w:rPr>
              <w:t>”</w:t>
            </w:r>
          </w:p>
        </w:tc>
        <w:tc>
          <w:tcPr>
            <w:tcW w:w="1549" w:type="dxa"/>
            <w:vAlign w:val="center"/>
          </w:tcPr>
          <w:p w:rsidR="007856CC" w:rsidRPr="00BB3A3C" w:rsidRDefault="00555AB5" w:rsidP="007856CC">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(57)”</w:t>
            </w:r>
          </w:p>
        </w:tc>
        <w:tc>
          <w:tcPr>
            <w:tcW w:w="1657" w:type="dxa"/>
            <w:vAlign w:val="center"/>
          </w:tcPr>
          <w:p w:rsidR="007856CC" w:rsidRPr="00BB3A3C" w:rsidRDefault="00555AB5" w:rsidP="007856CC">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(57)”</w:t>
            </w:r>
          </w:p>
        </w:tc>
        <w:tc>
          <w:tcPr>
            <w:tcW w:w="1549" w:type="dxa"/>
            <w:vAlign w:val="center"/>
          </w:tcPr>
          <w:p w:rsidR="007856CC" w:rsidRPr="00BB3A3C" w:rsidRDefault="00555AB5" w:rsidP="007856CC">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(57)”</w:t>
            </w:r>
          </w:p>
        </w:tc>
      </w:tr>
      <w:tr w:rsidR="007856CC" w:rsidRPr="007D02A7" w:rsidTr="00AA6DC4">
        <w:trPr>
          <w:trHeight w:val="230"/>
          <w:jc w:val="center"/>
        </w:trPr>
        <w:tc>
          <w:tcPr>
            <w:tcW w:w="4185" w:type="dxa"/>
            <w:gridSpan w:val="2"/>
            <w:noWrap/>
            <w:hideMark/>
          </w:tcPr>
          <w:p w:rsidR="007856CC" w:rsidRPr="007D02A7" w:rsidRDefault="007856CC" w:rsidP="007856CC">
            <w:pPr>
              <w:spacing w:after="0" w:line="240" w:lineRule="auto"/>
              <w:rPr>
                <w:rFonts w:ascii="ITC Avant Garde" w:eastAsia="Times New Roman" w:hAnsi="ITC Avant Garde"/>
                <w:b/>
                <w:color w:val="000000"/>
                <w:sz w:val="18"/>
                <w:szCs w:val="18"/>
              </w:rPr>
            </w:pPr>
            <w:r w:rsidRPr="007D02A7">
              <w:rPr>
                <w:rFonts w:ascii="ITC Avant Garde" w:eastAsia="Times New Roman" w:hAnsi="ITC Avant Garde"/>
                <w:b/>
                <w:color w:val="000000"/>
                <w:sz w:val="18"/>
                <w:szCs w:val="18"/>
              </w:rPr>
              <w:t>GIE controlado por ATC (a través de MATC Digital)</w:t>
            </w:r>
            <w:r w:rsidRPr="007D02A7">
              <w:rPr>
                <w:rFonts w:ascii="ITC Avant Garde" w:eastAsia="Times New Roman" w:hAnsi="ITC Avant Garde"/>
                <w:b/>
                <w:color w:val="000000"/>
                <w:sz w:val="18"/>
                <w:szCs w:val="18"/>
                <w:vertAlign w:val="superscript"/>
              </w:rPr>
              <w:t>2</w:t>
            </w:r>
          </w:p>
        </w:tc>
        <w:tc>
          <w:tcPr>
            <w:tcW w:w="1535" w:type="dxa"/>
            <w:vAlign w:val="center"/>
          </w:tcPr>
          <w:p w:rsidR="007856CC" w:rsidRPr="00BB3A3C" w:rsidRDefault="00555AB5" w:rsidP="007856CC">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(57)”</w:t>
            </w:r>
          </w:p>
        </w:tc>
        <w:tc>
          <w:tcPr>
            <w:tcW w:w="1549" w:type="dxa"/>
            <w:vAlign w:val="center"/>
          </w:tcPr>
          <w:p w:rsidR="007856CC" w:rsidRPr="00BB3A3C" w:rsidRDefault="00555AB5" w:rsidP="007856CC">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(57)”</w:t>
            </w:r>
          </w:p>
        </w:tc>
        <w:tc>
          <w:tcPr>
            <w:tcW w:w="1657" w:type="dxa"/>
            <w:vAlign w:val="center"/>
          </w:tcPr>
          <w:p w:rsidR="007856CC" w:rsidRPr="00BB3A3C" w:rsidRDefault="00555AB5" w:rsidP="007856CC">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(57)”</w:t>
            </w:r>
          </w:p>
        </w:tc>
        <w:tc>
          <w:tcPr>
            <w:tcW w:w="1549" w:type="dxa"/>
            <w:vAlign w:val="center"/>
          </w:tcPr>
          <w:p w:rsidR="007856CC" w:rsidRPr="00BB3A3C" w:rsidRDefault="00555AB5" w:rsidP="007856CC">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(57)”</w:t>
            </w:r>
          </w:p>
        </w:tc>
      </w:tr>
      <w:tr w:rsidR="007856CC" w:rsidRPr="007D02A7" w:rsidTr="00AA6DC4">
        <w:trPr>
          <w:trHeight w:val="56"/>
          <w:jc w:val="center"/>
        </w:trPr>
        <w:tc>
          <w:tcPr>
            <w:tcW w:w="4185" w:type="dxa"/>
            <w:gridSpan w:val="2"/>
            <w:noWrap/>
            <w:hideMark/>
          </w:tcPr>
          <w:p w:rsidR="007856CC" w:rsidRPr="007D02A7" w:rsidRDefault="007856CC" w:rsidP="007856CC">
            <w:pPr>
              <w:spacing w:after="0" w:line="240" w:lineRule="auto"/>
              <w:rPr>
                <w:rFonts w:ascii="ITC Avant Garde" w:eastAsia="Times New Roman" w:hAnsi="ITC Avant Garde"/>
                <w:color w:val="000000"/>
                <w:sz w:val="18"/>
                <w:szCs w:val="18"/>
              </w:rPr>
            </w:pPr>
            <w:proofErr w:type="spellStart"/>
            <w:r w:rsidRPr="007D02A7">
              <w:rPr>
                <w:rFonts w:ascii="ITC Avant Garde" w:eastAsia="Times New Roman" w:hAnsi="ITC Avant Garde"/>
                <w:color w:val="000000"/>
                <w:sz w:val="18"/>
                <w:szCs w:val="18"/>
              </w:rPr>
              <w:t>Mexico</w:t>
            </w:r>
            <w:proofErr w:type="spellEnd"/>
            <w:r w:rsidRPr="007D02A7">
              <w:rPr>
                <w:rFonts w:ascii="ITC Avant Garde" w:eastAsia="Times New Roman" w:hAnsi="ITC Avant Garde"/>
                <w:color w:val="000000"/>
                <w:sz w:val="18"/>
                <w:szCs w:val="18"/>
              </w:rPr>
              <w:t xml:space="preserve"> Tower </w:t>
            </w:r>
            <w:proofErr w:type="spellStart"/>
            <w:r w:rsidRPr="007D02A7">
              <w:rPr>
                <w:rFonts w:ascii="ITC Avant Garde" w:eastAsia="Times New Roman" w:hAnsi="ITC Avant Garde"/>
                <w:color w:val="000000"/>
                <w:sz w:val="18"/>
                <w:szCs w:val="18"/>
              </w:rPr>
              <w:t>Partners</w:t>
            </w:r>
            <w:proofErr w:type="spellEnd"/>
          </w:p>
        </w:tc>
        <w:tc>
          <w:tcPr>
            <w:tcW w:w="1535" w:type="dxa"/>
            <w:vAlign w:val="center"/>
          </w:tcPr>
          <w:p w:rsidR="007856CC" w:rsidRPr="00BB3A3C" w:rsidRDefault="00555AB5" w:rsidP="007856CC">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(57)”</w:t>
            </w:r>
          </w:p>
        </w:tc>
        <w:tc>
          <w:tcPr>
            <w:tcW w:w="1549" w:type="dxa"/>
            <w:vAlign w:val="center"/>
          </w:tcPr>
          <w:p w:rsidR="007856CC" w:rsidRPr="00BB3A3C" w:rsidRDefault="00555AB5" w:rsidP="007856CC">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(57)”</w:t>
            </w:r>
          </w:p>
        </w:tc>
        <w:tc>
          <w:tcPr>
            <w:tcW w:w="1657" w:type="dxa"/>
            <w:vAlign w:val="center"/>
          </w:tcPr>
          <w:p w:rsidR="007856CC" w:rsidRPr="00BB3A3C" w:rsidRDefault="00555AB5" w:rsidP="007856CC">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(57)”</w:t>
            </w:r>
          </w:p>
        </w:tc>
        <w:tc>
          <w:tcPr>
            <w:tcW w:w="1549" w:type="dxa"/>
            <w:vAlign w:val="center"/>
          </w:tcPr>
          <w:p w:rsidR="007856CC" w:rsidRPr="00BB3A3C" w:rsidRDefault="00555AB5" w:rsidP="007856CC">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(57)”</w:t>
            </w:r>
          </w:p>
        </w:tc>
      </w:tr>
      <w:tr w:rsidR="007856CC" w:rsidRPr="007D02A7" w:rsidTr="00AA6DC4">
        <w:trPr>
          <w:trHeight w:val="56"/>
          <w:jc w:val="center"/>
        </w:trPr>
        <w:tc>
          <w:tcPr>
            <w:tcW w:w="4185" w:type="dxa"/>
            <w:gridSpan w:val="2"/>
            <w:noWrap/>
            <w:hideMark/>
          </w:tcPr>
          <w:p w:rsidR="007856CC" w:rsidRPr="007D02A7" w:rsidRDefault="007856CC" w:rsidP="007856CC">
            <w:pPr>
              <w:spacing w:after="0" w:line="240" w:lineRule="auto"/>
              <w:rPr>
                <w:rFonts w:ascii="ITC Avant Garde" w:eastAsia="Times New Roman" w:hAnsi="ITC Avant Garde"/>
                <w:color w:val="000000"/>
                <w:sz w:val="18"/>
                <w:szCs w:val="18"/>
                <w:vertAlign w:val="superscript"/>
              </w:rPr>
            </w:pPr>
            <w:r w:rsidRPr="007D02A7">
              <w:rPr>
                <w:rFonts w:ascii="ITC Avant Garde" w:eastAsia="Times New Roman" w:hAnsi="ITC Avant Garde"/>
                <w:color w:val="000000"/>
                <w:sz w:val="18"/>
                <w:szCs w:val="18"/>
              </w:rPr>
              <w:t>IIMT</w:t>
            </w:r>
            <w:r w:rsidRPr="007D02A7">
              <w:rPr>
                <w:rFonts w:ascii="ITC Avant Garde" w:eastAsia="Times New Roman" w:hAnsi="ITC Avant Garde"/>
                <w:color w:val="000000"/>
                <w:sz w:val="18"/>
                <w:szCs w:val="18"/>
                <w:vertAlign w:val="superscript"/>
              </w:rPr>
              <w:t>5</w:t>
            </w:r>
          </w:p>
        </w:tc>
        <w:tc>
          <w:tcPr>
            <w:tcW w:w="1535" w:type="dxa"/>
            <w:vAlign w:val="center"/>
          </w:tcPr>
          <w:p w:rsidR="007856CC" w:rsidRPr="00BB3A3C" w:rsidRDefault="00555AB5" w:rsidP="007856CC">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(57)”</w:t>
            </w:r>
          </w:p>
        </w:tc>
        <w:tc>
          <w:tcPr>
            <w:tcW w:w="1549" w:type="dxa"/>
            <w:vAlign w:val="center"/>
          </w:tcPr>
          <w:p w:rsidR="007856CC" w:rsidRPr="00BB3A3C" w:rsidRDefault="00555AB5" w:rsidP="007856CC">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(57)”</w:t>
            </w:r>
          </w:p>
        </w:tc>
        <w:tc>
          <w:tcPr>
            <w:tcW w:w="1657" w:type="dxa"/>
            <w:vAlign w:val="center"/>
          </w:tcPr>
          <w:p w:rsidR="007856CC" w:rsidRPr="00BB3A3C" w:rsidRDefault="00555AB5" w:rsidP="007856CC">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(57)”</w:t>
            </w:r>
          </w:p>
        </w:tc>
        <w:tc>
          <w:tcPr>
            <w:tcW w:w="1549" w:type="dxa"/>
            <w:vAlign w:val="center"/>
          </w:tcPr>
          <w:p w:rsidR="007856CC" w:rsidRPr="00BB3A3C" w:rsidRDefault="00555AB5" w:rsidP="007856CC">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(57)”</w:t>
            </w:r>
          </w:p>
        </w:tc>
      </w:tr>
      <w:tr w:rsidR="007856CC" w:rsidRPr="007D02A7" w:rsidTr="00AA6DC4">
        <w:trPr>
          <w:trHeight w:val="85"/>
          <w:jc w:val="center"/>
        </w:trPr>
        <w:tc>
          <w:tcPr>
            <w:tcW w:w="4185" w:type="dxa"/>
            <w:gridSpan w:val="2"/>
            <w:noWrap/>
            <w:hideMark/>
          </w:tcPr>
          <w:p w:rsidR="007856CC" w:rsidRPr="007D02A7" w:rsidRDefault="007856CC" w:rsidP="007856CC">
            <w:pPr>
              <w:spacing w:after="0" w:line="240" w:lineRule="auto"/>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Centennial</w:t>
            </w:r>
            <w:r w:rsidRPr="007D02A7">
              <w:rPr>
                <w:rFonts w:ascii="ITC Avant Garde" w:eastAsia="Times New Roman" w:hAnsi="ITC Avant Garde"/>
                <w:color w:val="000000"/>
                <w:sz w:val="18"/>
                <w:szCs w:val="18"/>
                <w:vertAlign w:val="superscript"/>
              </w:rPr>
              <w:t>5</w:t>
            </w:r>
          </w:p>
        </w:tc>
        <w:tc>
          <w:tcPr>
            <w:tcW w:w="1535" w:type="dxa"/>
            <w:vAlign w:val="center"/>
          </w:tcPr>
          <w:p w:rsidR="007856CC" w:rsidRPr="00BB3A3C" w:rsidRDefault="00555AB5" w:rsidP="007856CC">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(57)”</w:t>
            </w:r>
          </w:p>
        </w:tc>
        <w:tc>
          <w:tcPr>
            <w:tcW w:w="1549" w:type="dxa"/>
            <w:vAlign w:val="center"/>
          </w:tcPr>
          <w:p w:rsidR="007856CC" w:rsidRPr="00BB3A3C" w:rsidRDefault="00555AB5" w:rsidP="007856CC">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(57)”</w:t>
            </w:r>
          </w:p>
        </w:tc>
        <w:tc>
          <w:tcPr>
            <w:tcW w:w="1657" w:type="dxa"/>
            <w:vAlign w:val="center"/>
          </w:tcPr>
          <w:p w:rsidR="007856CC" w:rsidRPr="00BB3A3C" w:rsidRDefault="00555AB5" w:rsidP="007856CC">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(57)”</w:t>
            </w:r>
          </w:p>
        </w:tc>
        <w:tc>
          <w:tcPr>
            <w:tcW w:w="1549" w:type="dxa"/>
            <w:vAlign w:val="center"/>
          </w:tcPr>
          <w:p w:rsidR="007856CC" w:rsidRPr="00BB3A3C" w:rsidRDefault="00555AB5" w:rsidP="007856CC">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(57)”</w:t>
            </w:r>
          </w:p>
        </w:tc>
      </w:tr>
      <w:tr w:rsidR="007856CC" w:rsidRPr="007D02A7" w:rsidTr="00AA6DC4">
        <w:trPr>
          <w:trHeight w:val="85"/>
          <w:jc w:val="center"/>
        </w:trPr>
        <w:tc>
          <w:tcPr>
            <w:tcW w:w="4185" w:type="dxa"/>
            <w:gridSpan w:val="2"/>
            <w:noWrap/>
            <w:hideMark/>
          </w:tcPr>
          <w:p w:rsidR="007856CC" w:rsidRPr="007D02A7" w:rsidRDefault="007856CC" w:rsidP="007856CC">
            <w:pPr>
              <w:spacing w:after="0" w:line="240" w:lineRule="auto"/>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Torrecom</w:t>
            </w:r>
            <w:r w:rsidRPr="007D02A7">
              <w:rPr>
                <w:rFonts w:ascii="ITC Avant Garde" w:eastAsia="Times New Roman" w:hAnsi="ITC Avant Garde"/>
                <w:color w:val="000000"/>
                <w:sz w:val="18"/>
                <w:szCs w:val="18"/>
                <w:vertAlign w:val="superscript"/>
              </w:rPr>
              <w:t>5</w:t>
            </w:r>
          </w:p>
        </w:tc>
        <w:tc>
          <w:tcPr>
            <w:tcW w:w="1535" w:type="dxa"/>
            <w:vAlign w:val="center"/>
          </w:tcPr>
          <w:p w:rsidR="007856CC" w:rsidRPr="00BB3A3C" w:rsidRDefault="00555AB5" w:rsidP="007856CC">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(57)”</w:t>
            </w:r>
          </w:p>
        </w:tc>
        <w:tc>
          <w:tcPr>
            <w:tcW w:w="1549" w:type="dxa"/>
            <w:vAlign w:val="center"/>
          </w:tcPr>
          <w:p w:rsidR="007856CC" w:rsidRPr="00BB3A3C" w:rsidRDefault="00555AB5" w:rsidP="007856CC">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(57)”</w:t>
            </w:r>
          </w:p>
        </w:tc>
        <w:tc>
          <w:tcPr>
            <w:tcW w:w="1657" w:type="dxa"/>
            <w:vAlign w:val="center"/>
          </w:tcPr>
          <w:p w:rsidR="007856CC" w:rsidRPr="00BB3A3C" w:rsidRDefault="00555AB5" w:rsidP="007856CC">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(57)”</w:t>
            </w:r>
          </w:p>
        </w:tc>
        <w:tc>
          <w:tcPr>
            <w:tcW w:w="1549" w:type="dxa"/>
            <w:vAlign w:val="center"/>
          </w:tcPr>
          <w:p w:rsidR="007856CC" w:rsidRPr="00BB3A3C" w:rsidRDefault="00555AB5" w:rsidP="007856CC">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(57)”</w:t>
            </w:r>
          </w:p>
        </w:tc>
      </w:tr>
      <w:tr w:rsidR="007856CC" w:rsidRPr="007D02A7" w:rsidTr="00AA6DC4">
        <w:trPr>
          <w:trHeight w:val="85"/>
          <w:jc w:val="center"/>
        </w:trPr>
        <w:tc>
          <w:tcPr>
            <w:tcW w:w="1811" w:type="dxa"/>
            <w:vMerge w:val="restart"/>
            <w:noWrap/>
          </w:tcPr>
          <w:p w:rsidR="007856CC" w:rsidRPr="007D02A7" w:rsidRDefault="007856CC" w:rsidP="007856CC">
            <w:pPr>
              <w:spacing w:after="0" w:line="240" w:lineRule="auto"/>
              <w:rPr>
                <w:rFonts w:ascii="ITC Avant Garde" w:eastAsia="Times New Roman" w:hAnsi="ITC Avant Garde"/>
                <w:b/>
                <w:color w:val="000000"/>
                <w:sz w:val="18"/>
                <w:szCs w:val="18"/>
              </w:rPr>
            </w:pPr>
            <w:r w:rsidRPr="007D02A7">
              <w:rPr>
                <w:rFonts w:ascii="ITC Avant Garde" w:eastAsia="Times New Roman" w:hAnsi="ITC Avant Garde"/>
                <w:b/>
                <w:color w:val="000000"/>
                <w:sz w:val="18"/>
                <w:szCs w:val="18"/>
              </w:rPr>
              <w:t>AXTEL</w:t>
            </w:r>
            <w:r w:rsidRPr="007D02A7">
              <w:rPr>
                <w:rFonts w:ascii="ITC Avant Garde" w:hAnsi="ITC Avant Garde"/>
                <w:sz w:val="18"/>
                <w:szCs w:val="18"/>
                <w:vertAlign w:val="superscript"/>
              </w:rPr>
              <w:t>3</w:t>
            </w:r>
          </w:p>
        </w:tc>
        <w:tc>
          <w:tcPr>
            <w:tcW w:w="2374" w:type="dxa"/>
          </w:tcPr>
          <w:p w:rsidR="007856CC" w:rsidRPr="007D02A7" w:rsidRDefault="007856CC" w:rsidP="007856CC">
            <w:pPr>
              <w:spacing w:after="0" w:line="240" w:lineRule="auto"/>
              <w:rPr>
                <w:rFonts w:ascii="ITC Avant Garde" w:eastAsia="Times New Roman" w:hAnsi="ITC Avant Garde"/>
                <w:b/>
                <w:color w:val="000000"/>
                <w:sz w:val="18"/>
                <w:szCs w:val="18"/>
              </w:rPr>
            </w:pPr>
            <w:r w:rsidRPr="007D02A7">
              <w:rPr>
                <w:rFonts w:ascii="ITC Avant Garde" w:eastAsia="Times New Roman" w:hAnsi="ITC Avant Garde"/>
                <w:b/>
                <w:color w:val="000000"/>
                <w:sz w:val="18"/>
                <w:szCs w:val="18"/>
              </w:rPr>
              <w:t>Objeto de la Operación</w:t>
            </w:r>
          </w:p>
        </w:tc>
        <w:tc>
          <w:tcPr>
            <w:tcW w:w="1535" w:type="dxa"/>
            <w:vAlign w:val="center"/>
          </w:tcPr>
          <w:p w:rsidR="007856CC" w:rsidRPr="00BB3A3C" w:rsidRDefault="00555AB5" w:rsidP="007856CC">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(57)”</w:t>
            </w:r>
          </w:p>
        </w:tc>
        <w:tc>
          <w:tcPr>
            <w:tcW w:w="1549" w:type="dxa"/>
            <w:vAlign w:val="center"/>
          </w:tcPr>
          <w:p w:rsidR="007856CC" w:rsidRPr="00BB3A3C" w:rsidRDefault="00555AB5" w:rsidP="007856CC">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(57)”</w:t>
            </w:r>
          </w:p>
        </w:tc>
        <w:tc>
          <w:tcPr>
            <w:tcW w:w="1657" w:type="dxa"/>
            <w:vAlign w:val="center"/>
          </w:tcPr>
          <w:p w:rsidR="007856CC" w:rsidRPr="00BB3A3C" w:rsidRDefault="00555AB5" w:rsidP="007856CC">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(57)”</w:t>
            </w:r>
          </w:p>
        </w:tc>
        <w:tc>
          <w:tcPr>
            <w:tcW w:w="1549" w:type="dxa"/>
            <w:vAlign w:val="center"/>
          </w:tcPr>
          <w:p w:rsidR="007856CC" w:rsidRPr="00BB3A3C" w:rsidRDefault="00555AB5" w:rsidP="007856CC">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(57)”</w:t>
            </w:r>
          </w:p>
        </w:tc>
      </w:tr>
      <w:tr w:rsidR="007856CC" w:rsidRPr="007D02A7" w:rsidTr="00AA6DC4">
        <w:trPr>
          <w:trHeight w:val="85"/>
          <w:jc w:val="center"/>
        </w:trPr>
        <w:tc>
          <w:tcPr>
            <w:tcW w:w="1811" w:type="dxa"/>
            <w:vMerge/>
            <w:noWrap/>
          </w:tcPr>
          <w:p w:rsidR="007856CC" w:rsidRPr="007D02A7" w:rsidRDefault="007856CC" w:rsidP="007856CC">
            <w:pPr>
              <w:spacing w:after="0" w:line="240" w:lineRule="auto"/>
              <w:rPr>
                <w:rFonts w:ascii="ITC Avant Garde" w:eastAsia="Times New Roman" w:hAnsi="ITC Avant Garde"/>
                <w:b/>
                <w:color w:val="000000"/>
                <w:sz w:val="18"/>
                <w:szCs w:val="18"/>
              </w:rPr>
            </w:pPr>
          </w:p>
        </w:tc>
        <w:tc>
          <w:tcPr>
            <w:tcW w:w="2374" w:type="dxa"/>
          </w:tcPr>
          <w:p w:rsidR="007856CC" w:rsidRPr="007D02A7" w:rsidRDefault="007856CC" w:rsidP="007856CC">
            <w:pPr>
              <w:spacing w:after="0" w:line="240" w:lineRule="auto"/>
              <w:rPr>
                <w:rFonts w:ascii="ITC Avant Garde" w:eastAsia="Times New Roman" w:hAnsi="ITC Avant Garde"/>
                <w:b/>
                <w:color w:val="000000"/>
                <w:sz w:val="18"/>
                <w:szCs w:val="18"/>
              </w:rPr>
            </w:pPr>
            <w:r w:rsidRPr="007D02A7">
              <w:rPr>
                <w:rFonts w:ascii="ITC Avant Garde" w:eastAsia="Times New Roman" w:hAnsi="ITC Avant Garde"/>
                <w:b/>
                <w:color w:val="000000"/>
                <w:sz w:val="18"/>
                <w:szCs w:val="18"/>
              </w:rPr>
              <w:t>Permanecen con AXTEL</w:t>
            </w:r>
          </w:p>
        </w:tc>
        <w:tc>
          <w:tcPr>
            <w:tcW w:w="1535" w:type="dxa"/>
            <w:vAlign w:val="center"/>
          </w:tcPr>
          <w:p w:rsidR="007856CC" w:rsidRPr="00BB3A3C" w:rsidRDefault="00555AB5" w:rsidP="007856CC">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(57)”</w:t>
            </w:r>
          </w:p>
        </w:tc>
        <w:tc>
          <w:tcPr>
            <w:tcW w:w="1549" w:type="dxa"/>
            <w:vAlign w:val="center"/>
          </w:tcPr>
          <w:p w:rsidR="007856CC" w:rsidRPr="00BB3A3C" w:rsidRDefault="00555AB5" w:rsidP="007856CC">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(57)”</w:t>
            </w:r>
          </w:p>
        </w:tc>
        <w:tc>
          <w:tcPr>
            <w:tcW w:w="1657" w:type="dxa"/>
            <w:vAlign w:val="center"/>
          </w:tcPr>
          <w:p w:rsidR="007856CC" w:rsidRPr="00BB3A3C" w:rsidRDefault="00555AB5" w:rsidP="007856CC">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(57)”</w:t>
            </w:r>
          </w:p>
        </w:tc>
        <w:tc>
          <w:tcPr>
            <w:tcW w:w="1549" w:type="dxa"/>
            <w:vAlign w:val="center"/>
          </w:tcPr>
          <w:p w:rsidR="007856CC" w:rsidRPr="00BB3A3C" w:rsidRDefault="00555AB5" w:rsidP="007856CC">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(57)”</w:t>
            </w:r>
          </w:p>
        </w:tc>
      </w:tr>
      <w:tr w:rsidR="007856CC" w:rsidRPr="007D02A7" w:rsidTr="00AA6DC4">
        <w:trPr>
          <w:trHeight w:val="85"/>
          <w:jc w:val="center"/>
        </w:trPr>
        <w:tc>
          <w:tcPr>
            <w:tcW w:w="4185" w:type="dxa"/>
            <w:gridSpan w:val="2"/>
            <w:noWrap/>
            <w:hideMark/>
          </w:tcPr>
          <w:p w:rsidR="007856CC" w:rsidRPr="007D02A7" w:rsidRDefault="007856CC" w:rsidP="007856CC">
            <w:pPr>
              <w:spacing w:after="0" w:line="240" w:lineRule="auto"/>
              <w:rPr>
                <w:rFonts w:ascii="ITC Avant Garde" w:eastAsia="Times New Roman" w:hAnsi="ITC Avant Garde"/>
                <w:color w:val="000000"/>
                <w:sz w:val="18"/>
                <w:szCs w:val="18"/>
              </w:rPr>
            </w:pPr>
            <w:r w:rsidRPr="007D02A7">
              <w:rPr>
                <w:rFonts w:ascii="ITC Avant Garde" w:eastAsia="Times New Roman" w:hAnsi="ITC Avant Garde"/>
                <w:color w:val="000000"/>
                <w:sz w:val="18"/>
                <w:szCs w:val="18"/>
              </w:rPr>
              <w:t xml:space="preserve">Otros </w:t>
            </w:r>
            <w:r w:rsidRPr="007D02A7">
              <w:rPr>
                <w:rFonts w:ascii="ITC Avant Garde" w:hAnsi="ITC Avant Garde"/>
                <w:sz w:val="18"/>
                <w:szCs w:val="18"/>
                <w:vertAlign w:val="superscript"/>
              </w:rPr>
              <w:t xml:space="preserve">4 y </w:t>
            </w:r>
            <w:r w:rsidRPr="007D02A7">
              <w:rPr>
                <w:rFonts w:ascii="ITC Avant Garde" w:eastAsia="Times New Roman" w:hAnsi="ITC Avant Garde"/>
                <w:color w:val="000000"/>
                <w:sz w:val="18"/>
                <w:szCs w:val="18"/>
                <w:vertAlign w:val="superscript"/>
              </w:rPr>
              <w:t>5</w:t>
            </w:r>
          </w:p>
        </w:tc>
        <w:tc>
          <w:tcPr>
            <w:tcW w:w="1535" w:type="dxa"/>
            <w:vAlign w:val="center"/>
          </w:tcPr>
          <w:p w:rsidR="007856CC" w:rsidRPr="00BB3A3C" w:rsidRDefault="00555AB5" w:rsidP="007856CC">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(57)”</w:t>
            </w:r>
          </w:p>
        </w:tc>
        <w:tc>
          <w:tcPr>
            <w:tcW w:w="1549" w:type="dxa"/>
            <w:vAlign w:val="center"/>
          </w:tcPr>
          <w:p w:rsidR="007856CC" w:rsidRPr="00BB3A3C" w:rsidRDefault="00555AB5" w:rsidP="007856CC">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(57)”</w:t>
            </w:r>
          </w:p>
        </w:tc>
        <w:tc>
          <w:tcPr>
            <w:tcW w:w="1657" w:type="dxa"/>
            <w:vAlign w:val="center"/>
          </w:tcPr>
          <w:p w:rsidR="007856CC" w:rsidRPr="00BB3A3C" w:rsidRDefault="00555AB5" w:rsidP="007856CC">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(57)”</w:t>
            </w:r>
          </w:p>
        </w:tc>
        <w:tc>
          <w:tcPr>
            <w:tcW w:w="1549" w:type="dxa"/>
            <w:vAlign w:val="center"/>
          </w:tcPr>
          <w:p w:rsidR="007856CC" w:rsidRPr="00BB3A3C" w:rsidRDefault="00555AB5" w:rsidP="007856CC">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(57)”</w:t>
            </w:r>
          </w:p>
        </w:tc>
      </w:tr>
      <w:tr w:rsidR="007856CC" w:rsidRPr="007D02A7" w:rsidTr="00AA6DC4">
        <w:trPr>
          <w:trHeight w:val="56"/>
          <w:jc w:val="center"/>
        </w:trPr>
        <w:tc>
          <w:tcPr>
            <w:tcW w:w="4185" w:type="dxa"/>
            <w:gridSpan w:val="2"/>
            <w:noWrap/>
            <w:hideMark/>
          </w:tcPr>
          <w:p w:rsidR="007856CC" w:rsidRPr="007D02A7" w:rsidRDefault="007856CC" w:rsidP="007856CC">
            <w:pPr>
              <w:spacing w:after="0" w:line="240" w:lineRule="auto"/>
              <w:jc w:val="right"/>
              <w:rPr>
                <w:rFonts w:ascii="ITC Avant Garde" w:eastAsia="Times New Roman" w:hAnsi="ITC Avant Garde"/>
                <w:b/>
                <w:bCs/>
                <w:color w:val="000000"/>
                <w:sz w:val="18"/>
                <w:szCs w:val="18"/>
              </w:rPr>
            </w:pPr>
            <w:r w:rsidRPr="007D02A7">
              <w:rPr>
                <w:rFonts w:ascii="ITC Avant Garde" w:eastAsia="Times New Roman" w:hAnsi="ITC Avant Garde"/>
                <w:b/>
                <w:bCs/>
                <w:color w:val="000000"/>
                <w:sz w:val="18"/>
                <w:szCs w:val="18"/>
              </w:rPr>
              <w:t>Total nacional</w:t>
            </w:r>
          </w:p>
        </w:tc>
        <w:tc>
          <w:tcPr>
            <w:tcW w:w="1535" w:type="dxa"/>
            <w:vAlign w:val="center"/>
          </w:tcPr>
          <w:p w:rsidR="007856CC" w:rsidRPr="00BB3A3C" w:rsidRDefault="00555AB5" w:rsidP="007856CC">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(57)”</w:t>
            </w:r>
          </w:p>
        </w:tc>
        <w:tc>
          <w:tcPr>
            <w:tcW w:w="1549" w:type="dxa"/>
            <w:vAlign w:val="center"/>
          </w:tcPr>
          <w:p w:rsidR="007856CC" w:rsidRPr="00BB3A3C" w:rsidRDefault="00555AB5" w:rsidP="007856CC">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(57)”</w:t>
            </w:r>
          </w:p>
        </w:tc>
        <w:tc>
          <w:tcPr>
            <w:tcW w:w="1657" w:type="dxa"/>
            <w:vAlign w:val="center"/>
          </w:tcPr>
          <w:p w:rsidR="007856CC" w:rsidRPr="00BB3A3C" w:rsidRDefault="00555AB5" w:rsidP="007856CC">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(57)”</w:t>
            </w:r>
          </w:p>
        </w:tc>
        <w:tc>
          <w:tcPr>
            <w:tcW w:w="1549" w:type="dxa"/>
            <w:vAlign w:val="center"/>
          </w:tcPr>
          <w:p w:rsidR="007856CC" w:rsidRPr="00BB3A3C" w:rsidRDefault="00555AB5" w:rsidP="007856CC">
            <w:pPr>
              <w:spacing w:after="0" w:line="240" w:lineRule="auto"/>
              <w:jc w:val="center"/>
              <w:rPr>
                <w:rFonts w:ascii="ITC Avant Garde" w:eastAsia="Times New Roman" w:hAnsi="ITC Avant Garde"/>
                <w:color w:val="000000"/>
                <w:sz w:val="13"/>
                <w:szCs w:val="13"/>
                <w:highlight w:val="magenta"/>
              </w:rPr>
            </w:pPr>
            <w:r w:rsidRPr="00BB3A3C">
              <w:rPr>
                <w:rFonts w:ascii="ITC Avant Garde" w:hAnsi="ITC Avant Garde"/>
                <w:b/>
                <w:color w:val="0000CC"/>
                <w:sz w:val="13"/>
                <w:szCs w:val="13"/>
              </w:rPr>
              <w:t>“CONFIDENCIAL POR LEY (57)”</w:t>
            </w:r>
          </w:p>
        </w:tc>
      </w:tr>
    </w:tbl>
    <w:p w:rsidR="00315C5D" w:rsidRPr="007D02A7" w:rsidRDefault="00315C5D" w:rsidP="00FA2D69">
      <w:pPr>
        <w:spacing w:after="0" w:line="240" w:lineRule="auto"/>
        <w:ind w:left="142"/>
        <w:jc w:val="both"/>
        <w:rPr>
          <w:rFonts w:ascii="ITC Avant Garde" w:hAnsi="ITC Avant Garde"/>
          <w:sz w:val="14"/>
          <w:szCs w:val="14"/>
        </w:rPr>
      </w:pPr>
      <w:r w:rsidRPr="007D02A7">
        <w:rPr>
          <w:rFonts w:ascii="ITC Avant Garde" w:hAnsi="ITC Avant Garde"/>
          <w:sz w:val="14"/>
          <w:szCs w:val="14"/>
        </w:rPr>
        <w:t>Fuente: Elaboración propia con información proporcionada por las Partes</w:t>
      </w:r>
      <w:r w:rsidR="00702287" w:rsidRPr="007D02A7">
        <w:rPr>
          <w:rFonts w:ascii="ITC Avant Garde" w:hAnsi="ITC Avant Garde"/>
          <w:sz w:val="14"/>
          <w:szCs w:val="14"/>
        </w:rPr>
        <w:t xml:space="preserve"> (al 2º trimestre de 2017)</w:t>
      </w:r>
      <w:r w:rsidR="00264051" w:rsidRPr="007D02A7">
        <w:rPr>
          <w:rFonts w:ascii="ITC Avant Garde" w:hAnsi="ITC Avant Garde"/>
          <w:sz w:val="14"/>
          <w:szCs w:val="14"/>
        </w:rPr>
        <w:t>, contenida en Foja 7 del Expediente</w:t>
      </w:r>
      <w:r w:rsidRPr="007D02A7">
        <w:rPr>
          <w:rFonts w:ascii="ITC Avant Garde" w:hAnsi="ITC Avant Garde"/>
          <w:sz w:val="14"/>
          <w:szCs w:val="14"/>
        </w:rPr>
        <w:t>.</w:t>
      </w:r>
    </w:p>
    <w:p w:rsidR="00315C5D" w:rsidRPr="007D02A7" w:rsidRDefault="00315C5D" w:rsidP="00FA2D69">
      <w:pPr>
        <w:spacing w:after="0" w:line="240" w:lineRule="auto"/>
        <w:ind w:left="142"/>
        <w:jc w:val="both"/>
        <w:rPr>
          <w:rFonts w:ascii="ITC Avant Garde" w:hAnsi="ITC Avant Garde"/>
          <w:sz w:val="14"/>
          <w:szCs w:val="14"/>
        </w:rPr>
      </w:pPr>
      <w:r w:rsidRPr="007D02A7">
        <w:rPr>
          <w:rFonts w:ascii="ITC Avant Garde" w:hAnsi="ITC Avant Garde"/>
          <w:sz w:val="14"/>
          <w:szCs w:val="14"/>
        </w:rPr>
        <w:t>Notas:</w:t>
      </w:r>
    </w:p>
    <w:p w:rsidR="00315C5D" w:rsidRPr="007D02A7" w:rsidRDefault="00315C5D" w:rsidP="00FA2D69">
      <w:pPr>
        <w:spacing w:after="0" w:line="240" w:lineRule="auto"/>
        <w:ind w:left="142"/>
        <w:jc w:val="both"/>
        <w:rPr>
          <w:rFonts w:ascii="ITC Avant Garde" w:hAnsi="ITC Avant Garde"/>
          <w:sz w:val="14"/>
          <w:szCs w:val="14"/>
        </w:rPr>
      </w:pPr>
      <w:r w:rsidRPr="007D02A7">
        <w:rPr>
          <w:rFonts w:ascii="ITC Avant Garde" w:hAnsi="ITC Avant Garde"/>
          <w:sz w:val="14"/>
          <w:szCs w:val="14"/>
        </w:rPr>
        <w:t xml:space="preserve">1/ </w:t>
      </w:r>
      <w:proofErr w:type="spellStart"/>
      <w:r w:rsidRPr="007D02A7">
        <w:rPr>
          <w:rFonts w:ascii="ITC Avant Garde" w:eastAsiaTheme="minorHAnsi" w:hAnsi="ITC Avant Garde" w:cstheme="minorBidi"/>
          <w:sz w:val="14"/>
          <w:szCs w:val="14"/>
        </w:rPr>
        <w:t>TowerXchange</w:t>
      </w:r>
      <w:proofErr w:type="spellEnd"/>
      <w:r w:rsidRPr="007D02A7">
        <w:rPr>
          <w:rFonts w:ascii="ITC Avant Garde" w:eastAsiaTheme="minorHAnsi" w:hAnsi="ITC Avant Garde" w:cstheme="minorBidi"/>
          <w:sz w:val="14"/>
          <w:szCs w:val="14"/>
        </w:rPr>
        <w:t xml:space="preserve"> reporta que </w:t>
      </w:r>
      <w:proofErr w:type="spellStart"/>
      <w:r w:rsidRPr="007D02A7">
        <w:rPr>
          <w:rFonts w:ascii="ITC Avant Garde" w:eastAsiaTheme="minorHAnsi" w:hAnsi="ITC Avant Garde" w:cstheme="minorBidi"/>
          <w:sz w:val="14"/>
          <w:szCs w:val="14"/>
        </w:rPr>
        <w:t>Telesites</w:t>
      </w:r>
      <w:proofErr w:type="spellEnd"/>
      <w:r w:rsidRPr="007D02A7">
        <w:rPr>
          <w:rFonts w:ascii="ITC Avant Garde" w:eastAsiaTheme="minorHAnsi" w:hAnsi="ITC Avant Garde" w:cstheme="minorBidi"/>
          <w:sz w:val="14"/>
          <w:szCs w:val="14"/>
        </w:rPr>
        <w:t xml:space="preserve"> posee un total de </w:t>
      </w:r>
      <w:r w:rsidR="0029381D" w:rsidRPr="007D02A7">
        <w:rPr>
          <w:rFonts w:ascii="ITC Avant Garde" w:hAnsi="ITC Avant Garde"/>
          <w:b/>
          <w:bCs/>
          <w:color w:val="0000CC"/>
          <w:sz w:val="14"/>
          <w:szCs w:val="14"/>
          <w:lang w:eastAsia="es-MX"/>
        </w:rPr>
        <w:t>“CONFIDENCIAL POR LEY</w:t>
      </w:r>
      <w:r w:rsidR="00481CDD" w:rsidRPr="007D02A7">
        <w:rPr>
          <w:rFonts w:ascii="ITC Avant Garde" w:hAnsi="ITC Avant Garde"/>
          <w:b/>
          <w:bCs/>
          <w:color w:val="0000CC"/>
          <w:sz w:val="14"/>
          <w:szCs w:val="14"/>
          <w:lang w:eastAsia="es-MX"/>
        </w:rPr>
        <w:t xml:space="preserve"> </w:t>
      </w:r>
      <w:r w:rsidR="00555AB5">
        <w:rPr>
          <w:rFonts w:ascii="ITC Avant Garde" w:hAnsi="ITC Avant Garde"/>
          <w:b/>
          <w:bCs/>
          <w:color w:val="0000CC"/>
          <w:sz w:val="14"/>
          <w:szCs w:val="14"/>
          <w:lang w:eastAsia="es-MX"/>
        </w:rPr>
        <w:t>(</w:t>
      </w:r>
      <w:r w:rsidR="00481CDD" w:rsidRPr="007D02A7">
        <w:rPr>
          <w:rFonts w:ascii="ITC Avant Garde" w:hAnsi="ITC Avant Garde"/>
          <w:b/>
          <w:bCs/>
          <w:color w:val="0000CC"/>
          <w:sz w:val="14"/>
          <w:szCs w:val="14"/>
          <w:lang w:eastAsia="es-MX"/>
        </w:rPr>
        <w:t>58</w:t>
      </w:r>
      <w:r w:rsidR="00555AB5">
        <w:rPr>
          <w:rFonts w:ascii="ITC Avant Garde" w:hAnsi="ITC Avant Garde"/>
          <w:b/>
          <w:bCs/>
          <w:color w:val="0000CC"/>
          <w:sz w:val="14"/>
          <w:szCs w:val="14"/>
          <w:lang w:eastAsia="es-MX"/>
        </w:rPr>
        <w:t>)</w:t>
      </w:r>
      <w:r w:rsidR="0029381D" w:rsidRPr="007D02A7">
        <w:rPr>
          <w:rFonts w:ascii="ITC Avant Garde" w:hAnsi="ITC Avant Garde"/>
          <w:b/>
          <w:bCs/>
          <w:color w:val="0000CC"/>
          <w:sz w:val="14"/>
          <w:szCs w:val="14"/>
          <w:lang w:eastAsia="es-MX"/>
        </w:rPr>
        <w:t>”</w:t>
      </w:r>
      <w:r w:rsidRPr="007D02A7">
        <w:rPr>
          <w:rFonts w:ascii="ITC Avant Garde" w:eastAsiaTheme="minorHAnsi" w:hAnsi="ITC Avant Garde" w:cstheme="minorBidi"/>
          <w:sz w:val="14"/>
          <w:szCs w:val="14"/>
        </w:rPr>
        <w:t xml:space="preserve"> torres de telecomunicaciones. La página de internet de </w:t>
      </w:r>
      <w:proofErr w:type="spellStart"/>
      <w:r w:rsidRPr="007D02A7">
        <w:rPr>
          <w:rFonts w:ascii="ITC Avant Garde" w:eastAsiaTheme="minorHAnsi" w:hAnsi="ITC Avant Garde" w:cstheme="minorBidi"/>
          <w:sz w:val="14"/>
          <w:szCs w:val="14"/>
        </w:rPr>
        <w:t>Telesites</w:t>
      </w:r>
      <w:proofErr w:type="spellEnd"/>
      <w:r w:rsidR="00607D53" w:rsidRPr="007D02A7">
        <w:rPr>
          <w:rFonts w:ascii="ITC Avant Garde" w:eastAsiaTheme="minorHAnsi" w:hAnsi="ITC Avant Garde" w:cstheme="minorBidi"/>
          <w:sz w:val="14"/>
          <w:szCs w:val="14"/>
        </w:rPr>
        <w:t>, en su 1er. Reporte trimestral para el año 2017</w:t>
      </w:r>
      <w:r w:rsidRPr="007D02A7">
        <w:rPr>
          <w:rFonts w:ascii="ITC Avant Garde" w:eastAsiaTheme="minorHAnsi" w:hAnsi="ITC Avant Garde" w:cstheme="minorBidi"/>
          <w:sz w:val="14"/>
          <w:szCs w:val="14"/>
        </w:rPr>
        <w:t xml:space="preserve">, reporta un total de </w:t>
      </w:r>
      <w:r w:rsidRPr="007D02A7">
        <w:rPr>
          <w:rFonts w:ascii="ITC Avant Garde" w:eastAsia="Times New Roman" w:hAnsi="ITC Avant Garde" w:cstheme="minorBidi"/>
          <w:color w:val="000000"/>
          <w:sz w:val="14"/>
          <w:szCs w:val="14"/>
          <w:lang w:eastAsia="es-MX"/>
        </w:rPr>
        <w:t>14,917</w:t>
      </w:r>
      <w:r w:rsidRPr="007D02A7">
        <w:rPr>
          <w:rFonts w:ascii="ITC Avant Garde" w:eastAsiaTheme="minorHAnsi" w:hAnsi="ITC Avant Garde" w:cstheme="minorBidi"/>
          <w:sz w:val="14"/>
          <w:szCs w:val="14"/>
        </w:rPr>
        <w:t xml:space="preserve"> (catorce mil novecientas diecisiete) torres de telecomunicaciones. Debido a que la diferencia en la información no cambia las conclusiones, se utiliza la de </w:t>
      </w:r>
      <w:proofErr w:type="spellStart"/>
      <w:r w:rsidRPr="007D02A7">
        <w:rPr>
          <w:rFonts w:ascii="ITC Avant Garde" w:eastAsiaTheme="minorHAnsi" w:hAnsi="ITC Avant Garde" w:cstheme="minorBidi"/>
          <w:sz w:val="14"/>
          <w:szCs w:val="14"/>
        </w:rPr>
        <w:t>TowerXchange</w:t>
      </w:r>
      <w:proofErr w:type="spellEnd"/>
      <w:r w:rsidRPr="007D02A7">
        <w:rPr>
          <w:rFonts w:ascii="ITC Avant Garde" w:eastAsiaTheme="minorHAnsi" w:hAnsi="ITC Avant Garde" w:cstheme="minorBidi"/>
          <w:sz w:val="14"/>
          <w:szCs w:val="14"/>
        </w:rPr>
        <w:t xml:space="preserve"> pues ésta fue aportada por las Partes.</w:t>
      </w:r>
    </w:p>
    <w:p w:rsidR="00315C5D" w:rsidRPr="007D02A7" w:rsidRDefault="00315C5D" w:rsidP="00FA2D69">
      <w:pPr>
        <w:spacing w:after="0" w:line="240" w:lineRule="auto"/>
        <w:ind w:left="142"/>
        <w:jc w:val="both"/>
        <w:rPr>
          <w:rFonts w:ascii="ITC Avant Garde" w:hAnsi="ITC Avant Garde"/>
          <w:sz w:val="14"/>
          <w:szCs w:val="14"/>
        </w:rPr>
      </w:pPr>
      <w:r w:rsidRPr="007D02A7">
        <w:rPr>
          <w:rFonts w:ascii="ITC Avant Garde" w:hAnsi="ITC Avant Garde"/>
          <w:sz w:val="14"/>
          <w:szCs w:val="14"/>
        </w:rPr>
        <w:t xml:space="preserve">2/ </w:t>
      </w:r>
      <w:proofErr w:type="spellStart"/>
      <w:r w:rsidRPr="007D02A7">
        <w:rPr>
          <w:rFonts w:ascii="ITC Avant Garde" w:eastAsiaTheme="minorHAnsi" w:hAnsi="ITC Avant Garde" w:cstheme="minorBidi"/>
          <w:sz w:val="14"/>
          <w:szCs w:val="14"/>
        </w:rPr>
        <w:t>TowerXchange</w:t>
      </w:r>
      <w:proofErr w:type="spellEnd"/>
      <w:r w:rsidRPr="007D02A7">
        <w:rPr>
          <w:rFonts w:ascii="ITC Avant Garde" w:eastAsiaTheme="minorHAnsi" w:hAnsi="ITC Avant Garde" w:cstheme="minorBidi"/>
          <w:sz w:val="14"/>
          <w:szCs w:val="14"/>
        </w:rPr>
        <w:t xml:space="preserve"> reporta que el GIE controlado por ATC posee un total de </w:t>
      </w:r>
      <w:r w:rsidR="0029381D" w:rsidRPr="007D02A7">
        <w:rPr>
          <w:rFonts w:ascii="ITC Avant Garde" w:hAnsi="ITC Avant Garde"/>
          <w:b/>
          <w:bCs/>
          <w:color w:val="0000CC"/>
          <w:sz w:val="14"/>
          <w:szCs w:val="14"/>
          <w:lang w:eastAsia="es-MX"/>
        </w:rPr>
        <w:t>“CONFIDENCIAL POR LEY</w:t>
      </w:r>
      <w:r w:rsidR="00481CDD" w:rsidRPr="007D02A7">
        <w:rPr>
          <w:rFonts w:ascii="ITC Avant Garde" w:hAnsi="ITC Avant Garde"/>
          <w:b/>
          <w:bCs/>
          <w:color w:val="0000CC"/>
          <w:sz w:val="14"/>
          <w:szCs w:val="14"/>
          <w:lang w:eastAsia="es-MX"/>
        </w:rPr>
        <w:t xml:space="preserve"> </w:t>
      </w:r>
      <w:r w:rsidR="00555AB5">
        <w:rPr>
          <w:rFonts w:ascii="ITC Avant Garde" w:hAnsi="ITC Avant Garde"/>
          <w:b/>
          <w:bCs/>
          <w:color w:val="0000CC"/>
          <w:sz w:val="14"/>
          <w:szCs w:val="14"/>
          <w:lang w:eastAsia="es-MX"/>
        </w:rPr>
        <w:t>(</w:t>
      </w:r>
      <w:r w:rsidR="00481CDD" w:rsidRPr="007D02A7">
        <w:rPr>
          <w:rFonts w:ascii="ITC Avant Garde" w:hAnsi="ITC Avant Garde"/>
          <w:b/>
          <w:bCs/>
          <w:color w:val="0000CC"/>
          <w:sz w:val="14"/>
          <w:szCs w:val="14"/>
          <w:lang w:eastAsia="es-MX"/>
        </w:rPr>
        <w:t>59</w:t>
      </w:r>
      <w:r w:rsidR="00555AB5">
        <w:rPr>
          <w:rFonts w:ascii="ITC Avant Garde" w:hAnsi="ITC Avant Garde"/>
          <w:b/>
          <w:bCs/>
          <w:color w:val="0000CC"/>
          <w:sz w:val="14"/>
          <w:szCs w:val="14"/>
          <w:lang w:eastAsia="es-MX"/>
        </w:rPr>
        <w:t>)</w:t>
      </w:r>
      <w:r w:rsidR="0029381D" w:rsidRPr="007D02A7">
        <w:rPr>
          <w:rFonts w:ascii="ITC Avant Garde" w:hAnsi="ITC Avant Garde"/>
          <w:b/>
          <w:bCs/>
          <w:color w:val="0000CC"/>
          <w:sz w:val="14"/>
          <w:szCs w:val="14"/>
          <w:lang w:eastAsia="es-MX"/>
        </w:rPr>
        <w:t>”</w:t>
      </w:r>
      <w:r w:rsidRPr="007D02A7">
        <w:rPr>
          <w:rFonts w:ascii="ITC Avant Garde" w:eastAsiaTheme="minorHAnsi" w:hAnsi="ITC Avant Garde" w:cstheme="minorBidi"/>
          <w:sz w:val="14"/>
          <w:szCs w:val="14"/>
        </w:rPr>
        <w:t xml:space="preserve"> torres de telecomunicaciones. No obstante, las Partes reportaron al Instituto un total de </w:t>
      </w:r>
      <w:r w:rsidR="0029381D" w:rsidRPr="007D02A7">
        <w:rPr>
          <w:rFonts w:ascii="ITC Avant Garde" w:hAnsi="ITC Avant Garde"/>
          <w:b/>
          <w:bCs/>
          <w:color w:val="0000CC"/>
          <w:sz w:val="14"/>
          <w:szCs w:val="14"/>
          <w:lang w:eastAsia="es-MX"/>
        </w:rPr>
        <w:t>“CONFIDENCIAL POR LEY</w:t>
      </w:r>
      <w:r w:rsidR="00481CDD" w:rsidRPr="007D02A7">
        <w:rPr>
          <w:rFonts w:ascii="ITC Avant Garde" w:hAnsi="ITC Avant Garde"/>
          <w:b/>
          <w:bCs/>
          <w:color w:val="0000CC"/>
          <w:sz w:val="14"/>
          <w:szCs w:val="14"/>
          <w:lang w:eastAsia="es-MX"/>
        </w:rPr>
        <w:t xml:space="preserve"> </w:t>
      </w:r>
      <w:r w:rsidR="00555AB5">
        <w:rPr>
          <w:rFonts w:ascii="ITC Avant Garde" w:hAnsi="ITC Avant Garde"/>
          <w:b/>
          <w:bCs/>
          <w:color w:val="0000CC"/>
          <w:sz w:val="14"/>
          <w:szCs w:val="14"/>
          <w:lang w:eastAsia="es-MX"/>
        </w:rPr>
        <w:t>(</w:t>
      </w:r>
      <w:r w:rsidR="00481CDD" w:rsidRPr="007D02A7">
        <w:rPr>
          <w:rFonts w:ascii="ITC Avant Garde" w:hAnsi="ITC Avant Garde"/>
          <w:b/>
          <w:bCs/>
          <w:color w:val="0000CC"/>
          <w:sz w:val="14"/>
          <w:szCs w:val="14"/>
          <w:lang w:eastAsia="es-MX"/>
        </w:rPr>
        <w:t>60</w:t>
      </w:r>
      <w:r w:rsidR="00555AB5">
        <w:rPr>
          <w:rFonts w:ascii="ITC Avant Garde" w:hAnsi="ITC Avant Garde"/>
          <w:b/>
          <w:bCs/>
          <w:color w:val="0000CC"/>
          <w:sz w:val="14"/>
          <w:szCs w:val="14"/>
          <w:lang w:eastAsia="es-MX"/>
        </w:rPr>
        <w:t>)</w:t>
      </w:r>
      <w:r w:rsidR="0029381D" w:rsidRPr="007D02A7">
        <w:rPr>
          <w:rFonts w:ascii="ITC Avant Garde" w:hAnsi="ITC Avant Garde"/>
          <w:b/>
          <w:bCs/>
          <w:color w:val="0000CC"/>
          <w:sz w:val="14"/>
          <w:szCs w:val="14"/>
          <w:lang w:eastAsia="es-MX"/>
        </w:rPr>
        <w:t>”</w:t>
      </w:r>
      <w:r w:rsidRPr="007D02A7">
        <w:rPr>
          <w:rFonts w:ascii="ITC Avant Garde" w:eastAsiaTheme="minorHAnsi" w:hAnsi="ITC Avant Garde" w:cstheme="minorBidi"/>
          <w:sz w:val="14"/>
          <w:szCs w:val="14"/>
        </w:rPr>
        <w:t xml:space="preserve"> torres de telecomunicaciones, por lo que se utilizó esta cantidad para hacer el análisis correspondiente en materia de competencia económica.</w:t>
      </w:r>
    </w:p>
    <w:p w:rsidR="00315C5D" w:rsidRPr="007D02A7" w:rsidRDefault="00315C5D" w:rsidP="00FA2D69">
      <w:pPr>
        <w:spacing w:after="0" w:line="240" w:lineRule="auto"/>
        <w:ind w:left="142"/>
        <w:jc w:val="both"/>
        <w:rPr>
          <w:rFonts w:ascii="ITC Avant Garde" w:hAnsi="ITC Avant Garde"/>
          <w:sz w:val="14"/>
          <w:szCs w:val="14"/>
        </w:rPr>
      </w:pPr>
      <w:r w:rsidRPr="007D02A7">
        <w:rPr>
          <w:rFonts w:ascii="ITC Avant Garde" w:hAnsi="ITC Avant Garde"/>
          <w:sz w:val="14"/>
          <w:szCs w:val="14"/>
        </w:rPr>
        <w:t xml:space="preserve">3/ La medición de participaciones de Mercado supone que </w:t>
      </w:r>
      <w:r w:rsidR="00527F70" w:rsidRPr="007D02A7">
        <w:rPr>
          <w:rFonts w:ascii="ITC Avant Garde" w:hAnsi="ITC Avant Garde"/>
          <w:sz w:val="14"/>
          <w:szCs w:val="14"/>
        </w:rPr>
        <w:t xml:space="preserve">AXTEL </w:t>
      </w:r>
      <w:r w:rsidRPr="007D02A7">
        <w:rPr>
          <w:rFonts w:ascii="ITC Avant Garde" w:hAnsi="ITC Avant Garde"/>
          <w:sz w:val="14"/>
          <w:szCs w:val="14"/>
        </w:rPr>
        <w:t xml:space="preserve">podría participar en la provisión del </w:t>
      </w:r>
      <w:r w:rsidR="00804837" w:rsidRPr="007D02A7">
        <w:rPr>
          <w:rFonts w:ascii="ITC Avant Garde" w:hAnsi="ITC Avant Garde"/>
          <w:sz w:val="14"/>
          <w:szCs w:val="14"/>
        </w:rPr>
        <w:t>S</w:t>
      </w:r>
      <w:r w:rsidRPr="007D02A7">
        <w:rPr>
          <w:rFonts w:ascii="ITC Avant Garde" w:hAnsi="ITC Avant Garde"/>
          <w:sz w:val="14"/>
          <w:szCs w:val="14"/>
        </w:rPr>
        <w:t>ervicio.</w:t>
      </w:r>
      <w:r w:rsidR="007177DE" w:rsidRPr="007D02A7">
        <w:rPr>
          <w:rFonts w:ascii="ITC Avant Garde" w:hAnsi="ITC Avant Garde"/>
          <w:sz w:val="14"/>
          <w:szCs w:val="14"/>
        </w:rPr>
        <w:t xml:space="preserve"> </w:t>
      </w:r>
      <w:r w:rsidRPr="007D02A7">
        <w:rPr>
          <w:rFonts w:ascii="ITC Avant Garde" w:hAnsi="ITC Avant Garde"/>
          <w:sz w:val="14"/>
          <w:szCs w:val="14"/>
        </w:rPr>
        <w:t xml:space="preserve"> </w:t>
      </w:r>
    </w:p>
    <w:p w:rsidR="00315C5D" w:rsidRPr="007D02A7" w:rsidRDefault="00315C5D" w:rsidP="00FA2D69">
      <w:pPr>
        <w:spacing w:after="0" w:line="240" w:lineRule="auto"/>
        <w:ind w:left="142"/>
        <w:jc w:val="both"/>
        <w:rPr>
          <w:rFonts w:ascii="ITC Avant Garde" w:hAnsi="ITC Avant Garde"/>
          <w:sz w:val="14"/>
          <w:szCs w:val="14"/>
          <w:lang w:val="en-US"/>
        </w:rPr>
      </w:pPr>
      <w:r w:rsidRPr="007D02A7">
        <w:rPr>
          <w:rFonts w:ascii="ITC Avant Garde" w:hAnsi="ITC Avant Garde"/>
          <w:sz w:val="14"/>
          <w:szCs w:val="14"/>
          <w:lang w:val="en-US"/>
        </w:rPr>
        <w:t xml:space="preserve">4/ </w:t>
      </w:r>
      <w:proofErr w:type="spellStart"/>
      <w:r w:rsidRPr="007D02A7">
        <w:rPr>
          <w:rFonts w:ascii="ITC Avant Garde" w:hAnsi="ITC Avant Garde"/>
          <w:sz w:val="14"/>
          <w:szCs w:val="14"/>
          <w:lang w:val="en-US"/>
        </w:rPr>
        <w:t>Incluye</w:t>
      </w:r>
      <w:proofErr w:type="spellEnd"/>
      <w:r w:rsidRPr="007D02A7">
        <w:rPr>
          <w:rFonts w:ascii="ITC Avant Garde" w:hAnsi="ITC Avant Garde"/>
          <w:sz w:val="14"/>
          <w:szCs w:val="14"/>
          <w:lang w:val="en-US"/>
        </w:rPr>
        <w:t xml:space="preserve"> a </w:t>
      </w:r>
      <w:proofErr w:type="spellStart"/>
      <w:r w:rsidRPr="007D02A7">
        <w:rPr>
          <w:rFonts w:ascii="ITC Avant Garde" w:hAnsi="ITC Avant Garde"/>
          <w:sz w:val="14"/>
          <w:szCs w:val="14"/>
          <w:lang w:val="en-US"/>
        </w:rPr>
        <w:t>Intelli</w:t>
      </w:r>
      <w:proofErr w:type="spellEnd"/>
      <w:r w:rsidRPr="007D02A7">
        <w:rPr>
          <w:rFonts w:ascii="ITC Avant Garde" w:hAnsi="ITC Avant Garde"/>
          <w:sz w:val="14"/>
          <w:szCs w:val="14"/>
          <w:lang w:val="en-US"/>
        </w:rPr>
        <w:t xml:space="preserve"> Site Solutions, </w:t>
      </w:r>
      <w:proofErr w:type="gramStart"/>
      <w:r w:rsidRPr="007D02A7">
        <w:rPr>
          <w:rFonts w:ascii="ITC Avant Garde" w:hAnsi="ITC Avant Garde"/>
          <w:sz w:val="14"/>
          <w:szCs w:val="14"/>
          <w:lang w:val="en-US"/>
        </w:rPr>
        <w:t>Conex(</w:t>
      </w:r>
      <w:proofErr w:type="gramEnd"/>
      <w:r w:rsidRPr="007D02A7">
        <w:rPr>
          <w:rFonts w:ascii="ITC Avant Garde" w:hAnsi="ITC Avant Garde"/>
          <w:sz w:val="14"/>
          <w:szCs w:val="14"/>
          <w:lang w:val="en-US"/>
        </w:rPr>
        <w:t xml:space="preserve">QMC), MX Towers, </w:t>
      </w:r>
      <w:proofErr w:type="spellStart"/>
      <w:r w:rsidRPr="007D02A7">
        <w:rPr>
          <w:rFonts w:ascii="ITC Avant Garde" w:hAnsi="ITC Avant Garde"/>
          <w:sz w:val="14"/>
          <w:szCs w:val="14"/>
          <w:lang w:val="en-US"/>
        </w:rPr>
        <w:t>Uniti</w:t>
      </w:r>
      <w:proofErr w:type="spellEnd"/>
      <w:r w:rsidRPr="007D02A7">
        <w:rPr>
          <w:rFonts w:ascii="ITC Avant Garde" w:hAnsi="ITC Avant Garde"/>
          <w:sz w:val="14"/>
          <w:szCs w:val="14"/>
          <w:lang w:val="en-US"/>
        </w:rPr>
        <w:t xml:space="preserve"> Towers y Estimated MNO captive towers.</w:t>
      </w:r>
    </w:p>
    <w:p w:rsidR="00315C5D" w:rsidRPr="007D02A7" w:rsidRDefault="00315C5D" w:rsidP="00FA2D69">
      <w:pPr>
        <w:spacing w:after="0" w:line="240" w:lineRule="auto"/>
        <w:ind w:left="142"/>
        <w:jc w:val="both"/>
        <w:rPr>
          <w:rFonts w:ascii="ITC Avant Garde" w:hAnsi="ITC Avant Garde"/>
          <w:sz w:val="14"/>
          <w:szCs w:val="14"/>
        </w:rPr>
      </w:pPr>
      <w:r w:rsidRPr="007D02A7">
        <w:rPr>
          <w:rFonts w:ascii="ITC Avant Garde" w:hAnsi="ITC Avant Garde"/>
          <w:sz w:val="14"/>
          <w:szCs w:val="14"/>
        </w:rPr>
        <w:t xml:space="preserve">5/ Información obtenida de los estudios de la empresa </w:t>
      </w:r>
      <w:proofErr w:type="spellStart"/>
      <w:r w:rsidRPr="007D02A7">
        <w:rPr>
          <w:rFonts w:ascii="ITC Avant Garde" w:hAnsi="ITC Avant Garde"/>
          <w:sz w:val="14"/>
          <w:szCs w:val="14"/>
        </w:rPr>
        <w:t>TowerXchange</w:t>
      </w:r>
      <w:proofErr w:type="spellEnd"/>
      <w:r w:rsidRPr="007D02A7">
        <w:rPr>
          <w:rFonts w:ascii="ITC Avant Garde" w:hAnsi="ITC Avant Garde"/>
          <w:sz w:val="14"/>
          <w:szCs w:val="14"/>
        </w:rPr>
        <w:t xml:space="preserve"> sobre la cantidad de torres y mástiles en azotea con equipos de telecomunicaciones instalados en el país. Esta información puede subestimar la participación de estos agentes económicos, de los menores participantes del mercado, pero no modifica las conclusiones, pues cualquier número mayor reduciría los efectos estimados de la Operación en el Servicio. </w:t>
      </w:r>
    </w:p>
    <w:p w:rsidR="00315C5D" w:rsidRPr="007D02A7" w:rsidRDefault="00315C5D" w:rsidP="00637B96">
      <w:pPr>
        <w:spacing w:before="120" w:after="120"/>
        <w:jc w:val="both"/>
        <w:rPr>
          <w:rFonts w:ascii="ITC Avant Garde" w:hAnsi="ITC Avant Garde"/>
        </w:rPr>
      </w:pPr>
      <w:r w:rsidRPr="007D02A7">
        <w:rPr>
          <w:rFonts w:ascii="ITC Avant Garde" w:hAnsi="ITC Avant Garde"/>
        </w:rPr>
        <w:t xml:space="preserve">En el Cuadro 10 se observa que el GIE controlado por la ATC es el segundo agente económico con el mayor número de torres de telecomunicaciones, necesarias para la </w:t>
      </w:r>
      <w:r w:rsidRPr="007D02A7">
        <w:rPr>
          <w:rFonts w:ascii="ITC Avant Garde" w:hAnsi="ITC Avant Garde"/>
        </w:rPr>
        <w:lastRenderedPageBreak/>
        <w:t xml:space="preserve">provisión del Servicio en México, con </w:t>
      </w:r>
      <w:r w:rsidR="0029381D" w:rsidRPr="007D02A7">
        <w:rPr>
          <w:rFonts w:ascii="ITC Avant Garde" w:hAnsi="ITC Avant Garde"/>
          <w:b/>
          <w:bCs/>
          <w:color w:val="0000CC"/>
          <w:sz w:val="19"/>
          <w:szCs w:val="19"/>
          <w:lang w:eastAsia="es-MX"/>
        </w:rPr>
        <w:t>“CONFIDENCIAL POR LEY</w:t>
      </w:r>
      <w:r w:rsidR="00481CDD" w:rsidRPr="007D02A7">
        <w:rPr>
          <w:rFonts w:ascii="ITC Avant Garde" w:hAnsi="ITC Avant Garde"/>
          <w:b/>
          <w:bCs/>
          <w:color w:val="0000CC"/>
          <w:sz w:val="19"/>
          <w:szCs w:val="19"/>
          <w:lang w:eastAsia="es-MX"/>
        </w:rPr>
        <w:t xml:space="preserve"> </w:t>
      </w:r>
      <w:r w:rsidR="00555AB5">
        <w:rPr>
          <w:rFonts w:ascii="ITC Avant Garde" w:hAnsi="ITC Avant Garde"/>
          <w:b/>
          <w:bCs/>
          <w:color w:val="0000CC"/>
          <w:sz w:val="19"/>
          <w:szCs w:val="19"/>
          <w:lang w:eastAsia="es-MX"/>
        </w:rPr>
        <w:t>(</w:t>
      </w:r>
      <w:r w:rsidR="00481CDD" w:rsidRPr="007D02A7">
        <w:rPr>
          <w:rFonts w:ascii="ITC Avant Garde" w:hAnsi="ITC Avant Garde"/>
          <w:b/>
          <w:bCs/>
          <w:color w:val="0000CC"/>
          <w:sz w:val="19"/>
          <w:szCs w:val="19"/>
          <w:lang w:eastAsia="es-MX"/>
        </w:rPr>
        <w:t>61</w:t>
      </w:r>
      <w:r w:rsidR="00555AB5">
        <w:rPr>
          <w:rFonts w:ascii="ITC Avant Garde" w:hAnsi="ITC Avant Garde"/>
          <w:b/>
          <w:bCs/>
          <w:color w:val="0000CC"/>
          <w:sz w:val="19"/>
          <w:szCs w:val="19"/>
          <w:lang w:eastAsia="es-MX"/>
        </w:rPr>
        <w:t>)</w:t>
      </w:r>
      <w:r w:rsidR="0029381D" w:rsidRPr="007D02A7">
        <w:rPr>
          <w:rFonts w:ascii="ITC Avant Garde" w:hAnsi="ITC Avant Garde"/>
          <w:b/>
          <w:bCs/>
          <w:color w:val="0000CC"/>
          <w:sz w:val="19"/>
          <w:szCs w:val="19"/>
          <w:lang w:eastAsia="es-MX"/>
        </w:rPr>
        <w:t>”</w:t>
      </w:r>
      <w:r w:rsidRPr="007D02A7">
        <w:rPr>
          <w:rFonts w:ascii="ITC Avant Garde" w:hAnsi="ITC Avant Garde"/>
        </w:rPr>
        <w:t xml:space="preserve">. El primer lugar lo ocupa </w:t>
      </w:r>
      <w:proofErr w:type="spellStart"/>
      <w:r w:rsidRPr="007D02A7">
        <w:rPr>
          <w:rFonts w:ascii="ITC Avant Garde" w:hAnsi="ITC Avant Garde"/>
        </w:rPr>
        <w:t>Telesites</w:t>
      </w:r>
      <w:proofErr w:type="spellEnd"/>
      <w:r w:rsidRPr="007D02A7">
        <w:rPr>
          <w:rFonts w:ascii="ITC Avant Garde" w:hAnsi="ITC Avant Garde"/>
        </w:rPr>
        <w:t xml:space="preserve">, con una participación de </w:t>
      </w:r>
      <w:r w:rsidR="0029381D" w:rsidRPr="007D02A7">
        <w:rPr>
          <w:rFonts w:ascii="ITC Avant Garde" w:hAnsi="ITC Avant Garde"/>
          <w:b/>
          <w:bCs/>
          <w:color w:val="0000CC"/>
          <w:sz w:val="19"/>
          <w:szCs w:val="19"/>
          <w:lang w:eastAsia="es-MX"/>
        </w:rPr>
        <w:t>“CONFIDENCIAL POR LEY</w:t>
      </w:r>
      <w:r w:rsidR="00481CDD" w:rsidRPr="007D02A7">
        <w:rPr>
          <w:rFonts w:ascii="ITC Avant Garde" w:hAnsi="ITC Avant Garde"/>
          <w:b/>
          <w:bCs/>
          <w:color w:val="0000CC"/>
          <w:sz w:val="19"/>
          <w:szCs w:val="19"/>
          <w:lang w:eastAsia="es-MX"/>
        </w:rPr>
        <w:t xml:space="preserve"> </w:t>
      </w:r>
      <w:r w:rsidR="00555AB5">
        <w:rPr>
          <w:rFonts w:ascii="ITC Avant Garde" w:hAnsi="ITC Avant Garde"/>
          <w:b/>
          <w:bCs/>
          <w:color w:val="0000CC"/>
          <w:sz w:val="19"/>
          <w:szCs w:val="19"/>
          <w:lang w:eastAsia="es-MX"/>
        </w:rPr>
        <w:t>(</w:t>
      </w:r>
      <w:r w:rsidR="00481CDD" w:rsidRPr="007D02A7">
        <w:rPr>
          <w:rFonts w:ascii="ITC Avant Garde" w:hAnsi="ITC Avant Garde"/>
          <w:b/>
          <w:bCs/>
          <w:color w:val="0000CC"/>
          <w:sz w:val="19"/>
          <w:szCs w:val="19"/>
          <w:lang w:eastAsia="es-MX"/>
        </w:rPr>
        <w:t>62</w:t>
      </w:r>
      <w:r w:rsidR="00555AB5">
        <w:rPr>
          <w:rFonts w:ascii="ITC Avant Garde" w:hAnsi="ITC Avant Garde"/>
          <w:b/>
          <w:bCs/>
          <w:color w:val="0000CC"/>
          <w:sz w:val="19"/>
          <w:szCs w:val="19"/>
          <w:lang w:eastAsia="es-MX"/>
        </w:rPr>
        <w:t>)</w:t>
      </w:r>
      <w:r w:rsidR="0029381D" w:rsidRPr="007D02A7">
        <w:rPr>
          <w:rFonts w:ascii="ITC Avant Garde" w:hAnsi="ITC Avant Garde"/>
          <w:b/>
          <w:bCs/>
          <w:color w:val="0000CC"/>
          <w:sz w:val="19"/>
          <w:szCs w:val="19"/>
          <w:lang w:eastAsia="es-MX"/>
        </w:rPr>
        <w:t>”</w:t>
      </w:r>
      <w:r w:rsidRPr="007D02A7">
        <w:rPr>
          <w:rFonts w:ascii="ITC Avant Garde" w:hAnsi="ITC Avant Garde"/>
        </w:rPr>
        <w:t>.</w:t>
      </w:r>
    </w:p>
    <w:p w:rsidR="00315C5D" w:rsidRPr="007D02A7" w:rsidRDefault="00315C5D" w:rsidP="00637B96">
      <w:pPr>
        <w:spacing w:before="120" w:after="120"/>
        <w:jc w:val="both"/>
        <w:rPr>
          <w:rFonts w:ascii="ITC Avant Garde" w:hAnsi="ITC Avant Garde"/>
        </w:rPr>
      </w:pPr>
      <w:r w:rsidRPr="007D02A7">
        <w:rPr>
          <w:rFonts w:ascii="ITC Avant Garde" w:hAnsi="ITC Avant Garde"/>
        </w:rPr>
        <w:t xml:space="preserve">En virtud de la Operación, el GIE controlado por ATC adquirirá de AXTEL un total de 142 (ciento cuarenta y </w:t>
      </w:r>
      <w:r w:rsidRPr="007D02A7">
        <w:rPr>
          <w:rFonts w:ascii="ITC Avant Garde" w:hAnsi="ITC Avant Garde"/>
          <w:bCs/>
          <w:noProof/>
          <w:color w:val="000000"/>
        </w:rPr>
        <w:t>dos</w:t>
      </w:r>
      <w:r w:rsidRPr="007D02A7">
        <w:rPr>
          <w:rFonts w:ascii="ITC Avant Garde" w:hAnsi="ITC Avant Garde"/>
        </w:rPr>
        <w:t xml:space="preserve">) torres de telecomunicaciones, de esta forma aumentará el número de torres de su propiedad a </w:t>
      </w:r>
      <w:r w:rsidR="0029381D" w:rsidRPr="007D02A7">
        <w:rPr>
          <w:rFonts w:ascii="ITC Avant Garde" w:hAnsi="ITC Avant Garde"/>
          <w:b/>
          <w:bCs/>
          <w:color w:val="0000CC"/>
          <w:sz w:val="19"/>
          <w:szCs w:val="19"/>
          <w:lang w:eastAsia="es-MX"/>
        </w:rPr>
        <w:t>“CONFIDENCIAL POR LEY</w:t>
      </w:r>
      <w:r w:rsidR="00481CDD" w:rsidRPr="007D02A7">
        <w:rPr>
          <w:rFonts w:ascii="ITC Avant Garde" w:hAnsi="ITC Avant Garde"/>
          <w:b/>
          <w:bCs/>
          <w:color w:val="0000CC"/>
          <w:sz w:val="19"/>
          <w:szCs w:val="19"/>
          <w:lang w:eastAsia="es-MX"/>
        </w:rPr>
        <w:t xml:space="preserve"> </w:t>
      </w:r>
      <w:r w:rsidR="00555AB5">
        <w:rPr>
          <w:rFonts w:ascii="ITC Avant Garde" w:hAnsi="ITC Avant Garde"/>
          <w:b/>
          <w:bCs/>
          <w:color w:val="0000CC"/>
          <w:sz w:val="19"/>
          <w:szCs w:val="19"/>
          <w:lang w:eastAsia="es-MX"/>
        </w:rPr>
        <w:t>(</w:t>
      </w:r>
      <w:r w:rsidR="00481CDD" w:rsidRPr="007D02A7">
        <w:rPr>
          <w:rFonts w:ascii="ITC Avant Garde" w:hAnsi="ITC Avant Garde"/>
          <w:b/>
          <w:bCs/>
          <w:color w:val="0000CC"/>
          <w:sz w:val="19"/>
          <w:szCs w:val="19"/>
          <w:lang w:eastAsia="es-MX"/>
        </w:rPr>
        <w:t>63</w:t>
      </w:r>
      <w:r w:rsidR="00555AB5">
        <w:rPr>
          <w:rFonts w:ascii="ITC Avant Garde" w:hAnsi="ITC Avant Garde"/>
          <w:b/>
          <w:bCs/>
          <w:color w:val="0000CC"/>
          <w:sz w:val="19"/>
          <w:szCs w:val="19"/>
          <w:lang w:eastAsia="es-MX"/>
        </w:rPr>
        <w:t>)</w:t>
      </w:r>
      <w:r w:rsidR="0029381D" w:rsidRPr="007D02A7">
        <w:rPr>
          <w:rFonts w:ascii="ITC Avant Garde" w:hAnsi="ITC Avant Garde"/>
          <w:b/>
          <w:bCs/>
          <w:color w:val="0000CC"/>
          <w:sz w:val="19"/>
          <w:szCs w:val="19"/>
          <w:lang w:eastAsia="es-MX"/>
        </w:rPr>
        <w:t>”</w:t>
      </w:r>
      <w:r w:rsidRPr="007D02A7">
        <w:rPr>
          <w:rFonts w:ascii="ITC Avant Garde" w:hAnsi="ITC Avant Garde"/>
        </w:rPr>
        <w:t xml:space="preserve"> en el territorio nacional.</w:t>
      </w:r>
    </w:p>
    <w:p w:rsidR="00315C5D" w:rsidRPr="007D02A7" w:rsidRDefault="00315C5D" w:rsidP="00637B96">
      <w:pPr>
        <w:spacing w:before="120" w:after="120"/>
        <w:jc w:val="both"/>
        <w:rPr>
          <w:rFonts w:ascii="ITC Avant Garde" w:hAnsi="ITC Avant Garde"/>
          <w:sz w:val="16"/>
          <w:szCs w:val="16"/>
        </w:rPr>
      </w:pPr>
      <w:r w:rsidRPr="007D02A7">
        <w:rPr>
          <w:rFonts w:ascii="ITC Avant Garde" w:hAnsi="ITC Avant Garde"/>
        </w:rPr>
        <w:t xml:space="preserve">La participación de GIE controlado por ATC, derivado de la Operación, aumenta de </w:t>
      </w:r>
      <w:r w:rsidR="0029381D" w:rsidRPr="007D02A7">
        <w:rPr>
          <w:rFonts w:ascii="ITC Avant Garde" w:hAnsi="ITC Avant Garde"/>
          <w:b/>
          <w:bCs/>
          <w:color w:val="0000CC"/>
          <w:sz w:val="19"/>
          <w:szCs w:val="19"/>
          <w:lang w:eastAsia="es-MX"/>
        </w:rPr>
        <w:t>“CONFIDENCIAL POR LEY</w:t>
      </w:r>
      <w:r w:rsidR="00481CDD" w:rsidRPr="007D02A7">
        <w:rPr>
          <w:rFonts w:ascii="ITC Avant Garde" w:hAnsi="ITC Avant Garde"/>
          <w:b/>
          <w:bCs/>
          <w:color w:val="0000CC"/>
          <w:sz w:val="19"/>
          <w:szCs w:val="19"/>
          <w:lang w:eastAsia="es-MX"/>
        </w:rPr>
        <w:t xml:space="preserve"> </w:t>
      </w:r>
      <w:r w:rsidR="00555AB5">
        <w:rPr>
          <w:rFonts w:ascii="ITC Avant Garde" w:hAnsi="ITC Avant Garde"/>
          <w:b/>
          <w:bCs/>
          <w:color w:val="0000CC"/>
          <w:sz w:val="19"/>
          <w:szCs w:val="19"/>
          <w:lang w:eastAsia="es-MX"/>
        </w:rPr>
        <w:t>(</w:t>
      </w:r>
      <w:r w:rsidR="00481CDD" w:rsidRPr="007D02A7">
        <w:rPr>
          <w:rFonts w:ascii="ITC Avant Garde" w:hAnsi="ITC Avant Garde"/>
          <w:b/>
          <w:bCs/>
          <w:color w:val="0000CC"/>
          <w:sz w:val="19"/>
          <w:szCs w:val="19"/>
          <w:lang w:eastAsia="es-MX"/>
        </w:rPr>
        <w:t>64</w:t>
      </w:r>
      <w:r w:rsidR="00555AB5">
        <w:rPr>
          <w:rFonts w:ascii="ITC Avant Garde" w:hAnsi="ITC Avant Garde"/>
          <w:b/>
          <w:bCs/>
          <w:color w:val="0000CC"/>
          <w:sz w:val="19"/>
          <w:szCs w:val="19"/>
          <w:lang w:eastAsia="es-MX"/>
        </w:rPr>
        <w:t>)</w:t>
      </w:r>
      <w:r w:rsidR="0029381D" w:rsidRPr="007D02A7">
        <w:rPr>
          <w:rFonts w:ascii="ITC Avant Garde" w:hAnsi="ITC Avant Garde"/>
          <w:b/>
          <w:bCs/>
          <w:color w:val="0000CC"/>
          <w:sz w:val="19"/>
          <w:szCs w:val="19"/>
          <w:lang w:eastAsia="es-MX"/>
        </w:rPr>
        <w:t>”</w:t>
      </w:r>
      <w:r w:rsidRPr="007D02A7">
        <w:rPr>
          <w:rFonts w:ascii="ITC Avant Garde" w:hAnsi="ITC Avant Garde"/>
        </w:rPr>
        <w:t xml:space="preserve"> a </w:t>
      </w:r>
      <w:r w:rsidR="0029381D" w:rsidRPr="007D02A7">
        <w:rPr>
          <w:rFonts w:ascii="ITC Avant Garde" w:hAnsi="ITC Avant Garde"/>
          <w:b/>
          <w:bCs/>
          <w:color w:val="0000CC"/>
          <w:sz w:val="19"/>
          <w:szCs w:val="19"/>
          <w:lang w:eastAsia="es-MX"/>
        </w:rPr>
        <w:t>“CONFIDENCIAL POR LEY</w:t>
      </w:r>
      <w:r w:rsidR="00481CDD" w:rsidRPr="007D02A7">
        <w:rPr>
          <w:rFonts w:ascii="ITC Avant Garde" w:hAnsi="ITC Avant Garde"/>
          <w:b/>
          <w:bCs/>
          <w:color w:val="0000CC"/>
          <w:sz w:val="19"/>
          <w:szCs w:val="19"/>
          <w:lang w:eastAsia="es-MX"/>
        </w:rPr>
        <w:t xml:space="preserve"> </w:t>
      </w:r>
      <w:r w:rsidR="00555AB5">
        <w:rPr>
          <w:rFonts w:ascii="ITC Avant Garde" w:hAnsi="ITC Avant Garde"/>
          <w:b/>
          <w:bCs/>
          <w:color w:val="0000CC"/>
          <w:sz w:val="19"/>
          <w:szCs w:val="19"/>
          <w:lang w:eastAsia="es-MX"/>
        </w:rPr>
        <w:t>(</w:t>
      </w:r>
      <w:r w:rsidR="00481CDD" w:rsidRPr="007D02A7">
        <w:rPr>
          <w:rFonts w:ascii="ITC Avant Garde" w:hAnsi="ITC Avant Garde"/>
          <w:b/>
          <w:bCs/>
          <w:color w:val="0000CC"/>
          <w:sz w:val="19"/>
          <w:szCs w:val="19"/>
          <w:lang w:eastAsia="es-MX"/>
        </w:rPr>
        <w:t>65</w:t>
      </w:r>
      <w:r w:rsidR="00555AB5">
        <w:rPr>
          <w:rFonts w:ascii="ITC Avant Garde" w:hAnsi="ITC Avant Garde"/>
          <w:b/>
          <w:bCs/>
          <w:color w:val="0000CC"/>
          <w:sz w:val="19"/>
          <w:szCs w:val="19"/>
          <w:lang w:eastAsia="es-MX"/>
        </w:rPr>
        <w:t>)</w:t>
      </w:r>
      <w:r w:rsidR="0029381D" w:rsidRPr="007D02A7">
        <w:rPr>
          <w:rFonts w:ascii="ITC Avant Garde" w:hAnsi="ITC Avant Garde"/>
          <w:b/>
          <w:bCs/>
          <w:color w:val="0000CC"/>
          <w:sz w:val="19"/>
          <w:szCs w:val="19"/>
          <w:lang w:eastAsia="es-MX"/>
        </w:rPr>
        <w:t>”</w:t>
      </w:r>
      <w:r w:rsidRPr="007D02A7">
        <w:rPr>
          <w:rFonts w:ascii="ITC Avant Garde" w:hAnsi="ITC Avant Garde"/>
        </w:rPr>
        <w:t xml:space="preserve">. El incremento en el porcentaje es de </w:t>
      </w:r>
      <w:r w:rsidR="0029381D" w:rsidRPr="007D02A7">
        <w:rPr>
          <w:rFonts w:ascii="ITC Avant Garde" w:hAnsi="ITC Avant Garde"/>
          <w:b/>
          <w:bCs/>
          <w:color w:val="0000CC"/>
          <w:sz w:val="19"/>
          <w:szCs w:val="19"/>
          <w:lang w:eastAsia="es-MX"/>
        </w:rPr>
        <w:t>“CONFIDENCIAL POR LEY</w:t>
      </w:r>
      <w:r w:rsidR="00481CDD" w:rsidRPr="007D02A7">
        <w:rPr>
          <w:rFonts w:ascii="ITC Avant Garde" w:hAnsi="ITC Avant Garde"/>
          <w:b/>
          <w:bCs/>
          <w:color w:val="0000CC"/>
          <w:sz w:val="19"/>
          <w:szCs w:val="19"/>
          <w:lang w:eastAsia="es-MX"/>
        </w:rPr>
        <w:t xml:space="preserve"> </w:t>
      </w:r>
      <w:r w:rsidR="00555AB5">
        <w:rPr>
          <w:rFonts w:ascii="ITC Avant Garde" w:hAnsi="ITC Avant Garde"/>
          <w:b/>
          <w:bCs/>
          <w:color w:val="0000CC"/>
          <w:sz w:val="19"/>
          <w:szCs w:val="19"/>
          <w:lang w:eastAsia="es-MX"/>
        </w:rPr>
        <w:t>(</w:t>
      </w:r>
      <w:r w:rsidR="00481CDD" w:rsidRPr="007D02A7">
        <w:rPr>
          <w:rFonts w:ascii="ITC Avant Garde" w:hAnsi="ITC Avant Garde"/>
          <w:b/>
          <w:bCs/>
          <w:color w:val="0000CC"/>
          <w:sz w:val="19"/>
          <w:szCs w:val="19"/>
          <w:lang w:eastAsia="es-MX"/>
        </w:rPr>
        <w:t>66</w:t>
      </w:r>
      <w:r w:rsidR="00555AB5">
        <w:rPr>
          <w:rFonts w:ascii="ITC Avant Garde" w:hAnsi="ITC Avant Garde"/>
          <w:b/>
          <w:bCs/>
          <w:color w:val="0000CC"/>
          <w:sz w:val="19"/>
          <w:szCs w:val="19"/>
          <w:lang w:eastAsia="es-MX"/>
        </w:rPr>
        <w:t>)</w:t>
      </w:r>
      <w:r w:rsidR="0029381D" w:rsidRPr="007D02A7">
        <w:rPr>
          <w:rFonts w:ascii="ITC Avant Garde" w:hAnsi="ITC Avant Garde"/>
          <w:b/>
          <w:bCs/>
          <w:color w:val="0000CC"/>
          <w:sz w:val="19"/>
          <w:szCs w:val="19"/>
          <w:lang w:eastAsia="es-MX"/>
        </w:rPr>
        <w:t>”</w:t>
      </w:r>
      <w:r w:rsidRPr="007D02A7">
        <w:rPr>
          <w:rFonts w:ascii="ITC Avant Garde" w:hAnsi="ITC Avant Garde"/>
        </w:rPr>
        <w:t>, que no es significativo.</w:t>
      </w:r>
    </w:p>
    <w:p w:rsidR="00315C5D" w:rsidRPr="007D02A7" w:rsidRDefault="00315C5D" w:rsidP="00637B96">
      <w:pPr>
        <w:spacing w:before="120" w:after="120"/>
        <w:jc w:val="both"/>
        <w:rPr>
          <w:rFonts w:ascii="ITC Avant Garde" w:hAnsi="ITC Avant Garde"/>
        </w:rPr>
      </w:pPr>
      <w:r w:rsidRPr="007D02A7">
        <w:rPr>
          <w:rFonts w:ascii="ITC Avant Garde" w:hAnsi="ITC Avant Garde"/>
        </w:rPr>
        <w:t xml:space="preserve">En el siguiente cuadro se muestran los valores del Índice de </w:t>
      </w:r>
      <w:proofErr w:type="spellStart"/>
      <w:r w:rsidRPr="007D02A7">
        <w:rPr>
          <w:rFonts w:ascii="ITC Avant Garde" w:hAnsi="ITC Avant Garde"/>
        </w:rPr>
        <w:t>Herfindahl-Hirschman</w:t>
      </w:r>
      <w:proofErr w:type="spellEnd"/>
      <w:r w:rsidRPr="007D02A7">
        <w:rPr>
          <w:rFonts w:ascii="ITC Avant Garde" w:hAnsi="ITC Avant Garde"/>
        </w:rPr>
        <w:t xml:space="preserve"> (IHH) antes y después de la Operación.</w:t>
      </w:r>
    </w:p>
    <w:p w:rsidR="00315C5D" w:rsidRPr="007D02A7" w:rsidRDefault="00315C5D" w:rsidP="00637B96">
      <w:pPr>
        <w:numPr>
          <w:ilvl w:val="0"/>
          <w:numId w:val="28"/>
        </w:numPr>
        <w:spacing w:before="120" w:after="120"/>
        <w:ind w:left="567" w:right="424" w:hanging="141"/>
        <w:jc w:val="center"/>
        <w:rPr>
          <w:rFonts w:ascii="ITC Avant Garde" w:hAnsi="ITC Avant Garde"/>
          <w:b/>
        </w:rPr>
      </w:pPr>
      <w:r w:rsidRPr="007D02A7">
        <w:rPr>
          <w:rFonts w:ascii="ITC Avant Garde" w:hAnsi="ITC Avant Garde"/>
          <w:b/>
        </w:rPr>
        <w:t>IHH en el mercado de torres de telecomunicaciones antes y después de la Operación</w:t>
      </w:r>
    </w:p>
    <w:tbl>
      <w:tblPr>
        <w:tblStyle w:val="Tablaconcuadrcula1"/>
        <w:tblW w:w="8642" w:type="dxa"/>
        <w:jc w:val="center"/>
        <w:tblLook w:val="04A0" w:firstRow="1" w:lastRow="0" w:firstColumn="1" w:lastColumn="0" w:noHBand="0" w:noVBand="1"/>
        <w:tblCaption w:val="Cuadro 11. IHH en el mercado de torres de telecomunicaciones antes y después de la Operación"/>
        <w:tblDescription w:val="En este cuadro se presenta el valor del IHH en el mercado de torres de telecomunicaciones, antes y después de la Operación, así como el correspondiente incremento derivado de la Operación."/>
      </w:tblPr>
      <w:tblGrid>
        <w:gridCol w:w="2972"/>
        <w:gridCol w:w="2977"/>
        <w:gridCol w:w="2693"/>
      </w:tblGrid>
      <w:tr w:rsidR="00315C5D" w:rsidRPr="000F7E62" w:rsidTr="004B1EA5">
        <w:trPr>
          <w:trHeight w:val="315"/>
          <w:tblHeader/>
          <w:jc w:val="center"/>
        </w:trPr>
        <w:tc>
          <w:tcPr>
            <w:tcW w:w="2972" w:type="dxa"/>
            <w:shd w:val="clear" w:color="auto" w:fill="538135" w:themeFill="accent6" w:themeFillShade="BF"/>
            <w:vAlign w:val="center"/>
            <w:hideMark/>
          </w:tcPr>
          <w:p w:rsidR="00315C5D" w:rsidRPr="000F7E62" w:rsidRDefault="00315C5D" w:rsidP="004B1EA5">
            <w:pPr>
              <w:spacing w:after="0" w:line="240" w:lineRule="auto"/>
              <w:jc w:val="center"/>
              <w:rPr>
                <w:rFonts w:ascii="ITC Avant Garde" w:eastAsia="Times New Roman" w:hAnsi="ITC Avant Garde"/>
                <w:b/>
                <w:bCs/>
                <w:color w:val="000000" w:themeColor="text1"/>
                <w:sz w:val="18"/>
                <w:szCs w:val="18"/>
              </w:rPr>
            </w:pPr>
            <w:r w:rsidRPr="000F7E62">
              <w:rPr>
                <w:rFonts w:ascii="ITC Avant Garde" w:eastAsia="Times New Roman" w:hAnsi="ITC Avant Garde"/>
                <w:b/>
                <w:bCs/>
                <w:color w:val="000000" w:themeColor="text1"/>
                <w:sz w:val="18"/>
                <w:szCs w:val="18"/>
              </w:rPr>
              <w:t>IHH antes de la Operación</w:t>
            </w:r>
          </w:p>
        </w:tc>
        <w:tc>
          <w:tcPr>
            <w:tcW w:w="2977" w:type="dxa"/>
            <w:shd w:val="clear" w:color="auto" w:fill="538135" w:themeFill="accent6" w:themeFillShade="BF"/>
            <w:vAlign w:val="center"/>
          </w:tcPr>
          <w:p w:rsidR="00315C5D" w:rsidRPr="000F7E62" w:rsidRDefault="00315C5D" w:rsidP="004B1EA5">
            <w:pPr>
              <w:spacing w:after="0" w:line="240" w:lineRule="auto"/>
              <w:jc w:val="center"/>
              <w:rPr>
                <w:rFonts w:ascii="ITC Avant Garde" w:eastAsia="Times New Roman" w:hAnsi="ITC Avant Garde"/>
                <w:b/>
                <w:bCs/>
                <w:color w:val="000000" w:themeColor="text1"/>
                <w:sz w:val="18"/>
                <w:szCs w:val="18"/>
              </w:rPr>
            </w:pPr>
            <w:r w:rsidRPr="000F7E62">
              <w:rPr>
                <w:rFonts w:ascii="ITC Avant Garde" w:eastAsia="Times New Roman" w:hAnsi="ITC Avant Garde"/>
                <w:b/>
                <w:bCs/>
                <w:color w:val="000000" w:themeColor="text1"/>
                <w:sz w:val="18"/>
                <w:szCs w:val="18"/>
              </w:rPr>
              <w:t>IHH después de la Operación</w:t>
            </w:r>
          </w:p>
        </w:tc>
        <w:tc>
          <w:tcPr>
            <w:tcW w:w="2693" w:type="dxa"/>
            <w:shd w:val="clear" w:color="auto" w:fill="538135" w:themeFill="accent6" w:themeFillShade="BF"/>
            <w:vAlign w:val="center"/>
          </w:tcPr>
          <w:p w:rsidR="00315C5D" w:rsidRPr="000F7E62" w:rsidRDefault="00315C5D" w:rsidP="004B1EA5">
            <w:pPr>
              <w:spacing w:after="0" w:line="240" w:lineRule="auto"/>
              <w:jc w:val="center"/>
              <w:rPr>
                <w:rFonts w:ascii="ITC Avant Garde" w:eastAsia="Times New Roman" w:hAnsi="ITC Avant Garde"/>
                <w:b/>
                <w:bCs/>
                <w:color w:val="000000" w:themeColor="text1"/>
                <w:sz w:val="18"/>
                <w:szCs w:val="18"/>
              </w:rPr>
            </w:pPr>
            <w:r w:rsidRPr="000F7E62">
              <w:rPr>
                <w:rFonts w:ascii="ITC Avant Garde" w:eastAsia="Times New Roman" w:hAnsi="ITC Avant Garde"/>
                <w:b/>
                <w:bCs/>
                <w:color w:val="000000" w:themeColor="text1"/>
                <w:sz w:val="18"/>
                <w:szCs w:val="18"/>
              </w:rPr>
              <w:t>Incremento en el IHH (</w:t>
            </w:r>
            <w:r w:rsidRPr="000F7E62">
              <w:rPr>
                <w:rFonts w:ascii="ITC Avant Garde" w:eastAsia="Times New Roman" w:hAnsi="ITC Avant Garde"/>
                <w:b/>
                <w:bCs/>
                <w:color w:val="000000" w:themeColor="text1"/>
                <w:szCs w:val="18"/>
              </w:rPr>
              <w:t>∆</w:t>
            </w:r>
            <w:r w:rsidRPr="000F7E62">
              <w:rPr>
                <w:rFonts w:ascii="ITC Avant Garde" w:eastAsia="Times New Roman" w:hAnsi="ITC Avant Garde"/>
                <w:b/>
                <w:bCs/>
                <w:color w:val="000000" w:themeColor="text1"/>
                <w:sz w:val="18"/>
                <w:szCs w:val="18"/>
              </w:rPr>
              <w:t>HH)</w:t>
            </w:r>
          </w:p>
        </w:tc>
      </w:tr>
      <w:tr w:rsidR="00315C5D" w:rsidRPr="007D02A7" w:rsidTr="004B1EA5">
        <w:trPr>
          <w:trHeight w:val="315"/>
          <w:jc w:val="center"/>
        </w:trPr>
        <w:tc>
          <w:tcPr>
            <w:tcW w:w="2972" w:type="dxa"/>
            <w:vAlign w:val="center"/>
          </w:tcPr>
          <w:p w:rsidR="00315C5D" w:rsidRPr="007D02A7" w:rsidRDefault="00315C5D" w:rsidP="004B1EA5">
            <w:pPr>
              <w:spacing w:after="0" w:line="240" w:lineRule="auto"/>
              <w:jc w:val="center"/>
              <w:rPr>
                <w:rFonts w:ascii="ITC Avant Garde" w:eastAsia="Times New Roman" w:hAnsi="ITC Avant Garde"/>
                <w:b/>
                <w:bCs/>
                <w:sz w:val="18"/>
                <w:szCs w:val="18"/>
              </w:rPr>
            </w:pPr>
            <w:r w:rsidRPr="007D02A7">
              <w:rPr>
                <w:rFonts w:ascii="ITC Avant Garde" w:eastAsia="Times New Roman" w:hAnsi="ITC Avant Garde"/>
                <w:b/>
                <w:bCs/>
                <w:sz w:val="18"/>
                <w:szCs w:val="18"/>
              </w:rPr>
              <w:t>3,552.8 puntos</w:t>
            </w:r>
          </w:p>
        </w:tc>
        <w:tc>
          <w:tcPr>
            <w:tcW w:w="2977" w:type="dxa"/>
            <w:vAlign w:val="center"/>
          </w:tcPr>
          <w:p w:rsidR="00315C5D" w:rsidRPr="007D02A7" w:rsidRDefault="00315C5D" w:rsidP="004B1EA5">
            <w:pPr>
              <w:spacing w:after="0" w:line="240" w:lineRule="auto"/>
              <w:jc w:val="center"/>
              <w:rPr>
                <w:rFonts w:ascii="ITC Avant Garde" w:eastAsia="Times New Roman" w:hAnsi="ITC Avant Garde"/>
                <w:b/>
                <w:bCs/>
                <w:sz w:val="18"/>
                <w:szCs w:val="18"/>
              </w:rPr>
            </w:pPr>
            <w:r w:rsidRPr="007D02A7">
              <w:rPr>
                <w:rFonts w:ascii="ITC Avant Garde" w:eastAsia="Times New Roman" w:hAnsi="ITC Avant Garde"/>
                <w:b/>
                <w:bCs/>
                <w:sz w:val="18"/>
                <w:szCs w:val="18"/>
              </w:rPr>
              <w:t>3,582.1 puntos</w:t>
            </w:r>
          </w:p>
        </w:tc>
        <w:tc>
          <w:tcPr>
            <w:tcW w:w="2693" w:type="dxa"/>
            <w:vAlign w:val="center"/>
          </w:tcPr>
          <w:p w:rsidR="00315C5D" w:rsidRPr="007D02A7" w:rsidRDefault="00315C5D" w:rsidP="004B1EA5">
            <w:pPr>
              <w:spacing w:after="0" w:line="240" w:lineRule="auto"/>
              <w:jc w:val="center"/>
              <w:rPr>
                <w:rFonts w:ascii="ITC Avant Garde" w:eastAsia="Times New Roman" w:hAnsi="ITC Avant Garde"/>
                <w:b/>
                <w:bCs/>
                <w:sz w:val="18"/>
                <w:szCs w:val="18"/>
              </w:rPr>
            </w:pPr>
            <w:r w:rsidRPr="007D02A7">
              <w:rPr>
                <w:rFonts w:ascii="ITC Avant Garde" w:eastAsia="Times New Roman" w:hAnsi="ITC Avant Garde"/>
                <w:b/>
                <w:bCs/>
                <w:sz w:val="18"/>
                <w:szCs w:val="18"/>
              </w:rPr>
              <w:t>29 puntos</w:t>
            </w:r>
          </w:p>
        </w:tc>
      </w:tr>
    </w:tbl>
    <w:p w:rsidR="00315C5D" w:rsidRPr="007D02A7" w:rsidRDefault="00315C5D" w:rsidP="00ED0631">
      <w:pPr>
        <w:spacing w:after="0" w:line="240" w:lineRule="auto"/>
        <w:ind w:left="425"/>
        <w:jc w:val="both"/>
        <w:rPr>
          <w:rFonts w:ascii="ITC Avant Garde" w:hAnsi="ITC Avant Garde"/>
          <w:sz w:val="16"/>
        </w:rPr>
      </w:pPr>
      <w:r w:rsidRPr="007D02A7">
        <w:rPr>
          <w:rFonts w:ascii="ITC Avant Garde" w:hAnsi="ITC Avant Garde"/>
          <w:sz w:val="16"/>
        </w:rPr>
        <w:t>Fuente: Elaboración propia con información proporcionada por las Partes</w:t>
      </w:r>
      <w:r w:rsidR="00527F70" w:rsidRPr="007D02A7">
        <w:rPr>
          <w:rFonts w:ascii="ITC Avant Garde" w:hAnsi="ITC Avant Garde"/>
          <w:sz w:val="16"/>
        </w:rPr>
        <w:t>, contenida en Foja 7 del Expediente</w:t>
      </w:r>
      <w:r w:rsidRPr="007D02A7">
        <w:rPr>
          <w:rFonts w:ascii="ITC Avant Garde" w:hAnsi="ITC Avant Garde"/>
          <w:sz w:val="16"/>
        </w:rPr>
        <w:t>.</w:t>
      </w:r>
    </w:p>
    <w:p w:rsidR="00315C5D" w:rsidRPr="007D02A7" w:rsidRDefault="00315C5D" w:rsidP="00ED0631">
      <w:pPr>
        <w:spacing w:after="0" w:line="240" w:lineRule="auto"/>
        <w:ind w:left="425"/>
        <w:jc w:val="both"/>
        <w:rPr>
          <w:rFonts w:ascii="ITC Avant Garde" w:hAnsi="ITC Avant Garde"/>
          <w:sz w:val="16"/>
        </w:rPr>
      </w:pPr>
      <w:r w:rsidRPr="007D02A7">
        <w:rPr>
          <w:rFonts w:ascii="ITC Avant Garde" w:hAnsi="ITC Avant Garde"/>
          <w:sz w:val="16"/>
        </w:rPr>
        <w:t xml:space="preserve">Nota.- Para calcular el IHH, en el rubro de Otros se consideraron a 9 agentes económicos con participaciones simétricas de 1% cada uno. </w:t>
      </w:r>
    </w:p>
    <w:p w:rsidR="00315C5D" w:rsidRPr="007D02A7" w:rsidRDefault="00315C5D" w:rsidP="00637B96">
      <w:pPr>
        <w:spacing w:before="120" w:after="120"/>
        <w:jc w:val="both"/>
        <w:rPr>
          <w:rFonts w:ascii="ITC Avant Garde" w:hAnsi="ITC Avant Garde"/>
        </w:rPr>
      </w:pPr>
      <w:r w:rsidRPr="007D02A7">
        <w:rPr>
          <w:rFonts w:ascii="ITC Avant Garde" w:hAnsi="ITC Avant Garde"/>
        </w:rPr>
        <w:t>Después de la Operación, en la provisión del Servicio el IHH alcanza los 3,582 (tres mil quinientos ochenta y dos) puntos, con una variación del IHH de 29 (veintinueve) puntos.</w:t>
      </w:r>
    </w:p>
    <w:p w:rsidR="00315C5D" w:rsidRPr="007D02A7" w:rsidRDefault="00315C5D" w:rsidP="00637B96">
      <w:pPr>
        <w:spacing w:before="120" w:after="120"/>
        <w:jc w:val="both"/>
        <w:rPr>
          <w:rFonts w:ascii="ITC Avant Garde" w:hAnsi="ITC Avant Garde"/>
        </w:rPr>
      </w:pPr>
      <w:r w:rsidRPr="007D02A7">
        <w:rPr>
          <w:rFonts w:ascii="ITC Avant Garde" w:hAnsi="ITC Avant Garde"/>
        </w:rPr>
        <w:t>Al respecto, conforme al inciso c) del artículo 6 del Criterio Técnico</w:t>
      </w:r>
      <w:r w:rsidRPr="007D02A7">
        <w:rPr>
          <w:rFonts w:ascii="ITC Avant Garde" w:hAnsi="ITC Avant Garde" w:cs="Arial"/>
          <w:vertAlign w:val="superscript"/>
        </w:rPr>
        <w:footnoteReference w:id="44"/>
      </w:r>
      <w:r w:rsidRPr="007D02A7">
        <w:rPr>
          <w:rFonts w:ascii="ITC Avant Garde" w:hAnsi="ITC Avant Garde"/>
        </w:rPr>
        <w:t>, en mercados con niveles del IHH mayores a 3,000 (tres mil) puntos e incrementos en el IHH menores a 100 (cien) puntos derivados de una concentración, es poco probable que ésta tenga por objeto o efecto obstaculizar, disminuir, dañar o impedir la competencia y la libre concurrencia.</w:t>
      </w:r>
    </w:p>
    <w:p w:rsidR="00315C5D" w:rsidRPr="007D02A7" w:rsidRDefault="00D9223F" w:rsidP="00637B96">
      <w:pPr>
        <w:spacing w:before="120" w:after="120"/>
        <w:ind w:firstLine="708"/>
        <w:rPr>
          <w:rFonts w:ascii="ITC Avant Garde" w:hAnsi="ITC Avant Garde"/>
          <w:b/>
          <w:i/>
        </w:rPr>
      </w:pPr>
      <w:r w:rsidRPr="007D02A7">
        <w:rPr>
          <w:rFonts w:ascii="ITC Avant Garde" w:hAnsi="ITC Avant Garde"/>
          <w:b/>
          <w:i/>
        </w:rPr>
        <w:lastRenderedPageBreak/>
        <w:t xml:space="preserve">6.3.4 </w:t>
      </w:r>
      <w:r w:rsidR="00315C5D" w:rsidRPr="007D02A7">
        <w:rPr>
          <w:rFonts w:ascii="ITC Avant Garde" w:hAnsi="ITC Avant Garde"/>
          <w:b/>
          <w:i/>
        </w:rPr>
        <w:t xml:space="preserve">Disposiciones regulatorias que facilitan la instalación de torres de telecomunicaciones </w:t>
      </w:r>
    </w:p>
    <w:p w:rsidR="00315C5D" w:rsidRPr="007D02A7" w:rsidRDefault="00315C5D" w:rsidP="00637B96">
      <w:pPr>
        <w:tabs>
          <w:tab w:val="left" w:pos="2410"/>
        </w:tabs>
        <w:spacing w:before="120" w:after="120"/>
        <w:jc w:val="both"/>
        <w:rPr>
          <w:rFonts w:ascii="ITC Avant Garde" w:eastAsia="Times New Roman" w:hAnsi="ITC Avant Garde"/>
          <w:bCs/>
          <w:color w:val="000000"/>
          <w:lang w:eastAsia="es-MX"/>
        </w:rPr>
      </w:pPr>
      <w:r w:rsidRPr="007D02A7">
        <w:rPr>
          <w:rFonts w:ascii="ITC Avant Garde" w:eastAsia="Times New Roman" w:hAnsi="ITC Avant Garde"/>
          <w:bCs/>
          <w:color w:val="000000"/>
          <w:lang w:eastAsia="es-MX"/>
        </w:rPr>
        <w:t>En adición a lo anteriormente expuesto, el artículo 149 de la LFTR establece lo siguiente.</w:t>
      </w:r>
    </w:p>
    <w:p w:rsidR="00315C5D" w:rsidRPr="007D02A7" w:rsidRDefault="00315C5D" w:rsidP="00637B96">
      <w:pPr>
        <w:autoSpaceDE w:val="0"/>
        <w:autoSpaceDN w:val="0"/>
        <w:adjustRightInd w:val="0"/>
        <w:spacing w:before="120" w:after="120"/>
        <w:ind w:left="567"/>
        <w:jc w:val="both"/>
        <w:rPr>
          <w:rFonts w:ascii="ITC Avant Garde" w:hAnsi="ITC Avant Garde"/>
          <w:i/>
          <w:sz w:val="20"/>
        </w:rPr>
      </w:pPr>
      <w:r w:rsidRPr="007D02A7">
        <w:rPr>
          <w:rFonts w:ascii="ITC Avant Garde" w:hAnsi="ITC Avant Garde"/>
          <w:i/>
          <w:sz w:val="20"/>
        </w:rPr>
        <w:t>“Artículo 149. Con el fin de promover la compartición de infraestructura y el aprovechamiento de los bienes del Estado, cualquier concesionario podrá instalar infraestructura en bienes del Estado para desplegar redes públicas de telecomunicaciones y de radiodifusión.</w:t>
      </w:r>
    </w:p>
    <w:p w:rsidR="00315C5D" w:rsidRPr="007D02A7" w:rsidRDefault="00315C5D" w:rsidP="00637B96">
      <w:pPr>
        <w:autoSpaceDE w:val="0"/>
        <w:autoSpaceDN w:val="0"/>
        <w:adjustRightInd w:val="0"/>
        <w:spacing w:before="120" w:after="120"/>
        <w:ind w:left="567"/>
        <w:jc w:val="both"/>
        <w:rPr>
          <w:rFonts w:ascii="ITC Avant Garde" w:hAnsi="ITC Avant Garde"/>
          <w:i/>
          <w:sz w:val="20"/>
        </w:rPr>
      </w:pPr>
      <w:r w:rsidRPr="007D02A7">
        <w:rPr>
          <w:rFonts w:ascii="ITC Avant Garde" w:hAnsi="ITC Avant Garde"/>
          <w:i/>
          <w:sz w:val="20"/>
        </w:rPr>
        <w:t>(…).”</w:t>
      </w:r>
    </w:p>
    <w:p w:rsidR="00315C5D" w:rsidRPr="007D02A7" w:rsidRDefault="00315C5D" w:rsidP="00637B96">
      <w:pPr>
        <w:tabs>
          <w:tab w:val="left" w:pos="2410"/>
        </w:tabs>
        <w:spacing w:before="120" w:after="120"/>
        <w:jc w:val="both"/>
        <w:rPr>
          <w:rFonts w:ascii="ITC Avant Garde" w:eastAsia="Times New Roman" w:hAnsi="ITC Avant Garde"/>
          <w:bCs/>
          <w:color w:val="000000"/>
          <w:lang w:eastAsia="es-MX"/>
        </w:rPr>
      </w:pPr>
      <w:r w:rsidRPr="007D02A7">
        <w:rPr>
          <w:rFonts w:ascii="ITC Avant Garde" w:eastAsia="Times New Roman" w:hAnsi="ITC Avant Garde"/>
          <w:bCs/>
          <w:color w:val="000000"/>
          <w:lang w:eastAsia="es-MX"/>
        </w:rPr>
        <w:t>En este sentido, el artículo 147 de la LFTR establece que es responsabilidad del Instituto de Administración y Avalúos de Bienes Nacionales (INDAABIN) precisar las condiciones técnicas, económicas, de seguridad y operación que posibiliten a los concesionarios, usar los espacios de los inmuebles del Estado que estén disponibles para el uso y aprovechamiento de todos los concesionarios sobre bases no discriminatorias y bajo contraprestaciones que establezcan las autoridades competentes en cada caso. Asimismo, establece que ningún concesionario podrá contratar el uso o aprovechamiento de dichos bienes con derechos de exclusividad.</w:t>
      </w:r>
    </w:p>
    <w:p w:rsidR="00315C5D" w:rsidRPr="007D02A7" w:rsidRDefault="00315C5D" w:rsidP="00637B96">
      <w:pPr>
        <w:tabs>
          <w:tab w:val="left" w:pos="2410"/>
        </w:tabs>
        <w:spacing w:before="120" w:after="120"/>
        <w:jc w:val="both"/>
        <w:rPr>
          <w:rFonts w:ascii="ITC Avant Garde" w:eastAsia="Times New Roman" w:hAnsi="ITC Avant Garde"/>
          <w:bCs/>
          <w:color w:val="000000"/>
          <w:lang w:eastAsia="es-MX"/>
        </w:rPr>
      </w:pPr>
      <w:r w:rsidRPr="007D02A7">
        <w:rPr>
          <w:rFonts w:ascii="ITC Avant Garde" w:eastAsia="Times New Roman" w:hAnsi="ITC Avant Garde"/>
          <w:bCs/>
          <w:color w:val="000000"/>
          <w:lang w:eastAsia="es-MX"/>
        </w:rPr>
        <w:t xml:space="preserve">En términos de lo anterior, </w:t>
      </w:r>
      <w:r w:rsidR="00165601" w:rsidRPr="007D02A7">
        <w:rPr>
          <w:rFonts w:ascii="ITC Avant Garde" w:eastAsia="Times New Roman" w:hAnsi="ITC Avant Garde"/>
          <w:bCs/>
          <w:color w:val="000000"/>
          <w:lang w:eastAsia="es-MX"/>
        </w:rPr>
        <w:t xml:space="preserve">al doce de octubre de dos mil diecisiete, </w:t>
      </w:r>
      <w:r w:rsidRPr="007D02A7">
        <w:rPr>
          <w:rFonts w:ascii="ITC Avant Garde" w:eastAsia="Times New Roman" w:hAnsi="ITC Avant Garde"/>
          <w:bCs/>
          <w:color w:val="000000"/>
          <w:lang w:eastAsia="es-MX"/>
        </w:rPr>
        <w:t xml:space="preserve">el INDAABIN </w:t>
      </w:r>
      <w:r w:rsidR="00165601" w:rsidRPr="007D02A7">
        <w:rPr>
          <w:rFonts w:ascii="ITC Avant Garde" w:eastAsia="Times New Roman" w:hAnsi="ITC Avant Garde"/>
          <w:bCs/>
          <w:color w:val="000000"/>
          <w:lang w:eastAsia="es-MX"/>
        </w:rPr>
        <w:t>tenía disponibles para</w:t>
      </w:r>
      <w:r w:rsidRPr="007D02A7">
        <w:rPr>
          <w:rFonts w:ascii="ITC Avant Garde" w:eastAsia="Times New Roman" w:hAnsi="ITC Avant Garde"/>
          <w:bCs/>
          <w:color w:val="000000"/>
          <w:lang w:eastAsia="es-MX"/>
        </w:rPr>
        <w:t xml:space="preserve"> los concesionarios un total de 12,</w:t>
      </w:r>
      <w:r w:rsidR="00165601" w:rsidRPr="007D02A7">
        <w:rPr>
          <w:rFonts w:ascii="ITC Avant Garde" w:eastAsia="Times New Roman" w:hAnsi="ITC Avant Garde"/>
          <w:bCs/>
          <w:color w:val="000000"/>
          <w:lang w:eastAsia="es-MX"/>
        </w:rPr>
        <w:t xml:space="preserve">151 </w:t>
      </w:r>
      <w:r w:rsidRPr="007D02A7">
        <w:rPr>
          <w:rFonts w:ascii="ITC Avant Garde" w:eastAsia="Times New Roman" w:hAnsi="ITC Avant Garde"/>
          <w:bCs/>
          <w:color w:val="000000"/>
          <w:lang w:eastAsia="es-MX"/>
        </w:rPr>
        <w:t xml:space="preserve">(doce mil ciento </w:t>
      </w:r>
      <w:r w:rsidR="00165601" w:rsidRPr="007D02A7">
        <w:rPr>
          <w:rFonts w:ascii="ITC Avant Garde" w:eastAsia="Times New Roman" w:hAnsi="ITC Avant Garde"/>
          <w:bCs/>
          <w:color w:val="000000"/>
          <w:lang w:eastAsia="es-MX"/>
        </w:rPr>
        <w:t>cincuenta y un</w:t>
      </w:r>
      <w:r w:rsidRPr="007D02A7">
        <w:rPr>
          <w:rFonts w:ascii="ITC Avant Garde" w:eastAsia="Times New Roman" w:hAnsi="ITC Avant Garde"/>
          <w:bCs/>
          <w:color w:val="000000"/>
          <w:lang w:eastAsia="es-MX"/>
        </w:rPr>
        <w:t>) inmuebles para el arrendamiento de espacios, distribuidos en las 32 (treinta y dos) entidades federativas de la República Mexicana, para instalar infraestructura y poder desplegar redes públicas de telecomunicaciones y radiodifusión.</w:t>
      </w:r>
      <w:r w:rsidRPr="007D02A7">
        <w:rPr>
          <w:rFonts w:ascii="ITC Avant Garde" w:eastAsia="Times New Roman" w:hAnsi="ITC Avant Garde"/>
          <w:bCs/>
          <w:color w:val="000000"/>
          <w:vertAlign w:val="superscript"/>
          <w:lang w:eastAsia="es-MX"/>
        </w:rPr>
        <w:footnoteReference w:id="45"/>
      </w:r>
      <w:r w:rsidRPr="007D02A7">
        <w:rPr>
          <w:rFonts w:ascii="ITC Avant Garde" w:eastAsia="Times New Roman" w:hAnsi="ITC Avant Garde"/>
          <w:bCs/>
          <w:color w:val="000000"/>
          <w:lang w:eastAsia="es-MX"/>
        </w:rPr>
        <w:t xml:space="preserve"> </w:t>
      </w:r>
    </w:p>
    <w:p w:rsidR="00315C5D" w:rsidRPr="007D02A7" w:rsidRDefault="00315C5D" w:rsidP="00637B96">
      <w:pPr>
        <w:spacing w:before="120" w:after="120"/>
        <w:jc w:val="both"/>
        <w:rPr>
          <w:rFonts w:ascii="ITC Avant Garde" w:hAnsi="ITC Avant Garde"/>
        </w:rPr>
      </w:pPr>
      <w:r w:rsidRPr="007D02A7">
        <w:rPr>
          <w:rFonts w:ascii="ITC Avant Garde" w:hAnsi="ITC Avant Garde"/>
        </w:rPr>
        <w:t>Este hecho permitirá el despliegue de infraestructura de telecomunicaciones y radiodifusión para ampliar la cobertura de servicios, e incluso, incrementar el número de sitios en torres de telecomunicaciones disponibles para los proveedores de servicios de telecomunicaciones móviles y/o fijas, pues de acuerdo con los previsto en el artículo 147 de la LFTR, ningún concesionario podrá contratar el uso o aprovechamiento de dichos bienes con derechos de exclusividad.</w:t>
      </w:r>
    </w:p>
    <w:p w:rsidR="00315C5D" w:rsidRPr="007D02A7" w:rsidRDefault="00CF0AFC" w:rsidP="00637B96">
      <w:pPr>
        <w:spacing w:before="120" w:after="120"/>
        <w:ind w:firstLine="426"/>
        <w:rPr>
          <w:rFonts w:ascii="ITC Avant Garde" w:hAnsi="ITC Avant Garde"/>
          <w:b/>
          <w:i/>
        </w:rPr>
      </w:pPr>
      <w:bookmarkStart w:id="37" w:name="_Toc435697330"/>
      <w:bookmarkStart w:id="38" w:name="_Toc435697406"/>
      <w:bookmarkStart w:id="39" w:name="_Ref473574188"/>
      <w:r w:rsidRPr="007D02A7">
        <w:rPr>
          <w:rFonts w:ascii="ITC Avant Garde" w:hAnsi="ITC Avant Garde"/>
          <w:b/>
          <w:i/>
        </w:rPr>
        <w:t xml:space="preserve">6.4 </w:t>
      </w:r>
      <w:r w:rsidR="00315C5D" w:rsidRPr="007D02A7">
        <w:rPr>
          <w:rFonts w:ascii="ITC Avant Garde" w:hAnsi="ITC Avant Garde"/>
          <w:b/>
          <w:i/>
        </w:rPr>
        <w:t xml:space="preserve">Efectos </w:t>
      </w:r>
      <w:bookmarkEnd w:id="37"/>
      <w:bookmarkEnd w:id="38"/>
      <w:r w:rsidR="00315C5D" w:rsidRPr="007D02A7">
        <w:rPr>
          <w:rFonts w:ascii="ITC Avant Garde" w:hAnsi="ITC Avant Garde"/>
          <w:b/>
          <w:i/>
        </w:rPr>
        <w:t>de la Operación</w:t>
      </w:r>
      <w:bookmarkEnd w:id="39"/>
    </w:p>
    <w:p w:rsidR="00315C5D" w:rsidRPr="007D02A7" w:rsidRDefault="00315C5D" w:rsidP="00637B96">
      <w:pPr>
        <w:tabs>
          <w:tab w:val="left" w:pos="2410"/>
        </w:tabs>
        <w:spacing w:before="120" w:after="120"/>
        <w:jc w:val="both"/>
        <w:rPr>
          <w:rFonts w:ascii="ITC Avant Garde" w:eastAsia="Times New Roman" w:hAnsi="ITC Avant Garde"/>
          <w:bCs/>
          <w:color w:val="000000"/>
          <w:lang w:eastAsia="es-MX"/>
        </w:rPr>
      </w:pPr>
      <w:r w:rsidRPr="007D02A7">
        <w:rPr>
          <w:rFonts w:ascii="ITC Avant Garde" w:eastAsia="Times New Roman" w:hAnsi="ITC Avant Garde"/>
          <w:bCs/>
          <w:color w:val="000000"/>
          <w:lang w:eastAsia="es-MX"/>
        </w:rPr>
        <w:t>En esta sección se desarrolla el análisis de los efectos de la Operación conforme a lo establecido en los artículos 63, fracción III, y 64 de la LFCE, para determinar si la Operación tiene por objeto o efecto conferir o incrementar el poder sustancial, establecer barreras a la entrada, impedir a terceros el acceso al Servicio y/o facilitar el ejercicio de conductas prohibidas por la LFCE.</w:t>
      </w:r>
    </w:p>
    <w:p w:rsidR="00315C5D" w:rsidRPr="007D02A7" w:rsidRDefault="00315C5D" w:rsidP="00637B96">
      <w:pPr>
        <w:tabs>
          <w:tab w:val="left" w:pos="2410"/>
        </w:tabs>
        <w:spacing w:before="120" w:after="120"/>
        <w:jc w:val="both"/>
        <w:rPr>
          <w:rFonts w:ascii="ITC Avant Garde" w:eastAsia="Times New Roman" w:hAnsi="ITC Avant Garde"/>
          <w:bCs/>
          <w:color w:val="000000"/>
          <w:lang w:eastAsia="es-MX"/>
        </w:rPr>
      </w:pPr>
      <w:r w:rsidRPr="007D02A7">
        <w:rPr>
          <w:rFonts w:ascii="ITC Avant Garde" w:eastAsia="Times New Roman" w:hAnsi="ITC Avant Garde"/>
          <w:bCs/>
          <w:color w:val="000000"/>
          <w:lang w:eastAsia="es-MX"/>
        </w:rPr>
        <w:lastRenderedPageBreak/>
        <w:t>De la información presentada en las secciones previas</w:t>
      </w:r>
      <w:r w:rsidR="00EB26E1" w:rsidRPr="007D02A7">
        <w:rPr>
          <w:rFonts w:ascii="ITC Avant Garde" w:eastAsia="Times New Roman" w:hAnsi="ITC Avant Garde"/>
          <w:bCs/>
          <w:color w:val="000000"/>
          <w:lang w:eastAsia="es-MX"/>
        </w:rPr>
        <w:t xml:space="preserve"> </w:t>
      </w:r>
      <w:r w:rsidRPr="007D02A7">
        <w:rPr>
          <w:rFonts w:ascii="ITC Avant Garde" w:eastAsia="Times New Roman" w:hAnsi="ITC Avant Garde"/>
          <w:bCs/>
          <w:color w:val="000000"/>
          <w:lang w:eastAsia="es-MX"/>
        </w:rPr>
        <w:t>de esta resolución, se tienen los siguientes elementos:</w:t>
      </w:r>
    </w:p>
    <w:p w:rsidR="00315C5D" w:rsidRPr="007D02A7" w:rsidRDefault="00315C5D" w:rsidP="00637B96">
      <w:pPr>
        <w:numPr>
          <w:ilvl w:val="0"/>
          <w:numId w:val="12"/>
        </w:numPr>
        <w:spacing w:before="120" w:after="120"/>
        <w:ind w:left="357" w:hanging="357"/>
        <w:jc w:val="both"/>
        <w:rPr>
          <w:rFonts w:ascii="ITC Avant Garde" w:eastAsiaTheme="minorHAnsi" w:hAnsi="ITC Avant Garde" w:cstheme="minorBidi"/>
        </w:rPr>
      </w:pPr>
      <w:r w:rsidRPr="007D02A7">
        <w:rPr>
          <w:rFonts w:ascii="ITC Avant Garde" w:eastAsiaTheme="minorHAnsi" w:hAnsi="ITC Avant Garde" w:cstheme="minorBidi"/>
        </w:rPr>
        <w:t xml:space="preserve">Como resultado de la Operación, el GIE controlado por ATC adquirirá 142 (ciento cuarenta y </w:t>
      </w:r>
      <w:r w:rsidRPr="007D02A7">
        <w:rPr>
          <w:rFonts w:ascii="ITC Avant Garde" w:eastAsiaTheme="minorHAnsi" w:hAnsi="ITC Avant Garde" w:cstheme="minorBidi"/>
          <w:bCs/>
          <w:noProof/>
          <w:color w:val="000000"/>
        </w:rPr>
        <w:t>dos</w:t>
      </w:r>
      <w:r w:rsidRPr="007D02A7">
        <w:rPr>
          <w:rFonts w:ascii="ITC Avant Garde" w:eastAsiaTheme="minorHAnsi" w:hAnsi="ITC Avant Garde" w:cstheme="minorBidi"/>
        </w:rPr>
        <w:t>) torres de telecomunicaciones, distribuidas en el territorio nacional;</w:t>
      </w:r>
    </w:p>
    <w:p w:rsidR="00315C5D" w:rsidRPr="007D02A7" w:rsidRDefault="00315C5D" w:rsidP="00637B96">
      <w:pPr>
        <w:numPr>
          <w:ilvl w:val="0"/>
          <w:numId w:val="12"/>
        </w:numPr>
        <w:spacing w:before="120" w:after="120"/>
        <w:ind w:left="357" w:hanging="357"/>
        <w:jc w:val="both"/>
        <w:rPr>
          <w:rFonts w:ascii="ITC Avant Garde" w:eastAsiaTheme="minorHAnsi" w:hAnsi="ITC Avant Garde" w:cstheme="minorBidi"/>
        </w:rPr>
      </w:pPr>
      <w:r w:rsidRPr="007D02A7">
        <w:rPr>
          <w:rFonts w:ascii="ITC Avant Garde" w:eastAsiaTheme="minorHAnsi" w:hAnsi="ITC Avant Garde" w:cstheme="minorBidi"/>
        </w:rPr>
        <w:t>Derivado de la Operación, la participación del GIE controlado por ATC pasaría</w:t>
      </w:r>
      <w:r w:rsidR="007177DE" w:rsidRPr="007D02A7">
        <w:rPr>
          <w:rFonts w:ascii="ITC Avant Garde" w:eastAsiaTheme="minorHAnsi" w:hAnsi="ITC Avant Garde" w:cstheme="minorBidi"/>
        </w:rPr>
        <w:t xml:space="preserve"> </w:t>
      </w:r>
      <w:r w:rsidRPr="007D02A7">
        <w:rPr>
          <w:rFonts w:ascii="ITC Avant Garde" w:eastAsiaTheme="minorHAnsi" w:hAnsi="ITC Avant Garde" w:cstheme="minorBidi"/>
        </w:rPr>
        <w:t xml:space="preserve">de </w:t>
      </w:r>
      <w:r w:rsidR="0029381D" w:rsidRPr="007D02A7">
        <w:rPr>
          <w:rFonts w:ascii="ITC Avant Garde" w:hAnsi="ITC Avant Garde"/>
          <w:b/>
          <w:bCs/>
          <w:color w:val="0000CC"/>
          <w:sz w:val="19"/>
          <w:szCs w:val="19"/>
          <w:lang w:eastAsia="es-MX"/>
        </w:rPr>
        <w:t>“CONFIDENCIAL POR LEY</w:t>
      </w:r>
      <w:r w:rsidR="00481CDD" w:rsidRPr="007D02A7">
        <w:rPr>
          <w:rFonts w:ascii="ITC Avant Garde" w:hAnsi="ITC Avant Garde"/>
          <w:b/>
          <w:bCs/>
          <w:color w:val="0000CC"/>
          <w:sz w:val="19"/>
          <w:szCs w:val="19"/>
          <w:lang w:eastAsia="es-MX"/>
        </w:rPr>
        <w:t xml:space="preserve"> </w:t>
      </w:r>
      <w:r w:rsidR="00555AB5">
        <w:rPr>
          <w:rFonts w:ascii="ITC Avant Garde" w:hAnsi="ITC Avant Garde"/>
          <w:b/>
          <w:bCs/>
          <w:color w:val="0000CC"/>
          <w:sz w:val="19"/>
          <w:szCs w:val="19"/>
          <w:lang w:eastAsia="es-MX"/>
        </w:rPr>
        <w:t>(</w:t>
      </w:r>
      <w:r w:rsidR="00481CDD" w:rsidRPr="007D02A7">
        <w:rPr>
          <w:rFonts w:ascii="ITC Avant Garde" w:hAnsi="ITC Avant Garde"/>
          <w:b/>
          <w:bCs/>
          <w:color w:val="0000CC"/>
          <w:sz w:val="19"/>
          <w:szCs w:val="19"/>
          <w:lang w:eastAsia="es-MX"/>
        </w:rPr>
        <w:t>67</w:t>
      </w:r>
      <w:r w:rsidR="00555AB5">
        <w:rPr>
          <w:rFonts w:ascii="ITC Avant Garde" w:hAnsi="ITC Avant Garde"/>
          <w:b/>
          <w:bCs/>
          <w:color w:val="0000CC"/>
          <w:sz w:val="19"/>
          <w:szCs w:val="19"/>
          <w:lang w:eastAsia="es-MX"/>
        </w:rPr>
        <w:t>)</w:t>
      </w:r>
      <w:r w:rsidR="0029381D" w:rsidRPr="007D02A7">
        <w:rPr>
          <w:rFonts w:ascii="ITC Avant Garde" w:hAnsi="ITC Avant Garde"/>
          <w:b/>
          <w:bCs/>
          <w:color w:val="0000CC"/>
          <w:sz w:val="19"/>
          <w:szCs w:val="19"/>
          <w:lang w:eastAsia="es-MX"/>
        </w:rPr>
        <w:t>”</w:t>
      </w:r>
      <w:r w:rsidRPr="007D02A7">
        <w:rPr>
          <w:rFonts w:ascii="ITC Avant Garde" w:eastAsiaTheme="minorHAnsi" w:hAnsi="ITC Avant Garde" w:cstheme="minorBidi"/>
        </w:rPr>
        <w:t xml:space="preserve"> a </w:t>
      </w:r>
      <w:r w:rsidR="0029381D" w:rsidRPr="007D02A7">
        <w:rPr>
          <w:rFonts w:ascii="ITC Avant Garde" w:hAnsi="ITC Avant Garde"/>
          <w:b/>
          <w:bCs/>
          <w:color w:val="0000CC"/>
          <w:sz w:val="19"/>
          <w:szCs w:val="19"/>
          <w:lang w:eastAsia="es-MX"/>
        </w:rPr>
        <w:t>“CONFIDENCIAL POR LEY</w:t>
      </w:r>
      <w:r w:rsidR="00481CDD" w:rsidRPr="007D02A7">
        <w:rPr>
          <w:rFonts w:ascii="ITC Avant Garde" w:hAnsi="ITC Avant Garde"/>
          <w:b/>
          <w:bCs/>
          <w:color w:val="0000CC"/>
          <w:sz w:val="19"/>
          <w:szCs w:val="19"/>
          <w:lang w:eastAsia="es-MX"/>
        </w:rPr>
        <w:t xml:space="preserve"> </w:t>
      </w:r>
      <w:r w:rsidR="00555AB5">
        <w:rPr>
          <w:rFonts w:ascii="ITC Avant Garde" w:hAnsi="ITC Avant Garde"/>
          <w:b/>
          <w:bCs/>
          <w:color w:val="0000CC"/>
          <w:sz w:val="19"/>
          <w:szCs w:val="19"/>
          <w:lang w:eastAsia="es-MX"/>
        </w:rPr>
        <w:t>(</w:t>
      </w:r>
      <w:r w:rsidR="00481CDD" w:rsidRPr="007D02A7">
        <w:rPr>
          <w:rFonts w:ascii="ITC Avant Garde" w:hAnsi="ITC Avant Garde"/>
          <w:b/>
          <w:bCs/>
          <w:color w:val="0000CC"/>
          <w:sz w:val="19"/>
          <w:szCs w:val="19"/>
          <w:lang w:eastAsia="es-MX"/>
        </w:rPr>
        <w:t>68</w:t>
      </w:r>
      <w:r w:rsidR="00555AB5">
        <w:rPr>
          <w:rFonts w:ascii="ITC Avant Garde" w:hAnsi="ITC Avant Garde"/>
          <w:b/>
          <w:bCs/>
          <w:color w:val="0000CC"/>
          <w:sz w:val="19"/>
          <w:szCs w:val="19"/>
          <w:lang w:eastAsia="es-MX"/>
        </w:rPr>
        <w:t>)</w:t>
      </w:r>
      <w:r w:rsidR="0029381D" w:rsidRPr="007D02A7">
        <w:rPr>
          <w:rFonts w:ascii="ITC Avant Garde" w:hAnsi="ITC Avant Garde"/>
          <w:b/>
          <w:bCs/>
          <w:color w:val="0000CC"/>
          <w:sz w:val="19"/>
          <w:szCs w:val="19"/>
          <w:lang w:eastAsia="es-MX"/>
        </w:rPr>
        <w:t>”</w:t>
      </w:r>
      <w:r w:rsidRPr="007D02A7">
        <w:rPr>
          <w:rFonts w:ascii="ITC Avant Garde" w:eastAsiaTheme="minorHAnsi" w:hAnsi="ITC Avant Garde" w:cstheme="minorBidi"/>
        </w:rPr>
        <w:t xml:space="preserve"> en términos de la tenencia de torres de telecomunicaciones a nivel nacional, que representa un </w:t>
      </w:r>
      <w:r w:rsidRPr="007D02A7">
        <w:rPr>
          <w:rFonts w:ascii="ITC Avant Garde" w:eastAsiaTheme="minorHAnsi" w:hAnsi="ITC Avant Garde" w:cstheme="minorBidi"/>
          <w:b/>
        </w:rPr>
        <w:t xml:space="preserve">incremento en la participación de </w:t>
      </w:r>
      <w:r w:rsidR="0029381D" w:rsidRPr="007D02A7">
        <w:rPr>
          <w:rFonts w:ascii="ITC Avant Garde" w:hAnsi="ITC Avant Garde"/>
          <w:b/>
          <w:bCs/>
          <w:color w:val="0000CC"/>
          <w:sz w:val="19"/>
          <w:szCs w:val="19"/>
          <w:lang w:eastAsia="es-MX"/>
        </w:rPr>
        <w:t>“CONFIDENCIAL POR LEY</w:t>
      </w:r>
      <w:r w:rsidR="00481CDD" w:rsidRPr="007D02A7">
        <w:rPr>
          <w:rFonts w:ascii="ITC Avant Garde" w:hAnsi="ITC Avant Garde"/>
          <w:b/>
          <w:bCs/>
          <w:color w:val="0000CC"/>
          <w:sz w:val="19"/>
          <w:szCs w:val="19"/>
          <w:lang w:eastAsia="es-MX"/>
        </w:rPr>
        <w:t xml:space="preserve"> </w:t>
      </w:r>
      <w:r w:rsidR="00555AB5">
        <w:rPr>
          <w:rFonts w:ascii="ITC Avant Garde" w:hAnsi="ITC Avant Garde"/>
          <w:b/>
          <w:bCs/>
          <w:color w:val="0000CC"/>
          <w:sz w:val="19"/>
          <w:szCs w:val="19"/>
          <w:lang w:eastAsia="es-MX"/>
        </w:rPr>
        <w:t>(</w:t>
      </w:r>
      <w:r w:rsidR="00481CDD" w:rsidRPr="007D02A7">
        <w:rPr>
          <w:rFonts w:ascii="ITC Avant Garde" w:hAnsi="ITC Avant Garde"/>
          <w:b/>
          <w:bCs/>
          <w:color w:val="0000CC"/>
          <w:sz w:val="19"/>
          <w:szCs w:val="19"/>
          <w:lang w:eastAsia="es-MX"/>
        </w:rPr>
        <w:t>69</w:t>
      </w:r>
      <w:r w:rsidR="00555AB5">
        <w:rPr>
          <w:rFonts w:ascii="ITC Avant Garde" w:hAnsi="ITC Avant Garde"/>
          <w:b/>
          <w:bCs/>
          <w:color w:val="0000CC"/>
          <w:sz w:val="19"/>
          <w:szCs w:val="19"/>
          <w:lang w:eastAsia="es-MX"/>
        </w:rPr>
        <w:t>)</w:t>
      </w:r>
      <w:r w:rsidR="0029381D" w:rsidRPr="007D02A7">
        <w:rPr>
          <w:rFonts w:ascii="ITC Avant Garde" w:hAnsi="ITC Avant Garde"/>
          <w:b/>
          <w:bCs/>
          <w:color w:val="0000CC"/>
          <w:sz w:val="19"/>
          <w:szCs w:val="19"/>
          <w:lang w:eastAsia="es-MX"/>
        </w:rPr>
        <w:t>”</w:t>
      </w:r>
      <w:r w:rsidRPr="007D02A7">
        <w:rPr>
          <w:rFonts w:ascii="ITC Avant Garde" w:eastAsiaTheme="minorHAnsi" w:hAnsi="ITC Avant Garde" w:cstheme="minorBidi"/>
        </w:rPr>
        <w:t>;</w:t>
      </w:r>
    </w:p>
    <w:p w:rsidR="00315C5D" w:rsidRPr="007D02A7" w:rsidRDefault="00315C5D" w:rsidP="00637B96">
      <w:pPr>
        <w:numPr>
          <w:ilvl w:val="0"/>
          <w:numId w:val="12"/>
        </w:numPr>
        <w:spacing w:before="120" w:after="120"/>
        <w:ind w:left="357" w:hanging="357"/>
        <w:jc w:val="both"/>
        <w:rPr>
          <w:rFonts w:ascii="ITC Avant Garde" w:eastAsiaTheme="minorHAnsi" w:hAnsi="ITC Avant Garde" w:cstheme="minorBidi"/>
        </w:rPr>
      </w:pPr>
      <w:r w:rsidRPr="007D02A7">
        <w:rPr>
          <w:rFonts w:ascii="ITC Avant Garde" w:eastAsiaTheme="minorHAnsi" w:hAnsi="ITC Avant Garde" w:cstheme="minorBidi"/>
        </w:rPr>
        <w:t xml:space="preserve">En términos del número de torres de telecomunicaciones, el incremento en el IHH derivado de la Operación es de 29 (veintinueve) puntos. Este valor se encuentra dentro de los límites establecidos por el Instituto en el artículo 6 del Criterio Técnico para considerar que es poco probable que la Operación tenga por objeto o efecto obstaculizar, disminuir, dañar o impedir la competencia y la libre concurrencia en la provisión del </w:t>
      </w:r>
      <w:r w:rsidR="00AE090E" w:rsidRPr="007D02A7">
        <w:rPr>
          <w:rFonts w:ascii="ITC Avant Garde" w:eastAsiaTheme="minorHAnsi" w:hAnsi="ITC Avant Garde" w:cstheme="minorBidi"/>
        </w:rPr>
        <w:t>S</w:t>
      </w:r>
      <w:r w:rsidRPr="007D02A7">
        <w:rPr>
          <w:rFonts w:ascii="ITC Avant Garde" w:eastAsiaTheme="minorHAnsi" w:hAnsi="ITC Avant Garde" w:cstheme="minorBidi"/>
        </w:rPr>
        <w:t>ervicio;</w:t>
      </w:r>
    </w:p>
    <w:p w:rsidR="00315C5D" w:rsidRPr="007D02A7" w:rsidRDefault="00315C5D" w:rsidP="00637B96">
      <w:pPr>
        <w:numPr>
          <w:ilvl w:val="0"/>
          <w:numId w:val="12"/>
        </w:numPr>
        <w:spacing w:before="120" w:after="120"/>
        <w:ind w:left="357" w:hanging="357"/>
        <w:jc w:val="both"/>
        <w:rPr>
          <w:rFonts w:ascii="ITC Avant Garde" w:eastAsiaTheme="minorHAnsi" w:hAnsi="ITC Avant Garde" w:cstheme="minorBidi"/>
        </w:rPr>
      </w:pPr>
      <w:r w:rsidRPr="007D02A7">
        <w:rPr>
          <w:rFonts w:ascii="ITC Avant Garde" w:eastAsiaTheme="minorHAnsi" w:hAnsi="ITC Avant Garde" w:cstheme="minorBidi"/>
        </w:rPr>
        <w:t xml:space="preserve">El GIE controlado por ATC, a través de MATC Digital, enfrenta la competencia de </w:t>
      </w:r>
      <w:proofErr w:type="spellStart"/>
      <w:r w:rsidRPr="007D02A7">
        <w:rPr>
          <w:rFonts w:ascii="ITC Avant Garde" w:eastAsiaTheme="minorHAnsi" w:hAnsi="ITC Avant Garde" w:cstheme="minorBidi"/>
        </w:rPr>
        <w:t>Telesites</w:t>
      </w:r>
      <w:proofErr w:type="spellEnd"/>
      <w:r w:rsidRPr="007D02A7">
        <w:rPr>
          <w:rFonts w:ascii="ITC Avant Garde" w:eastAsiaTheme="minorHAnsi" w:hAnsi="ITC Avant Garde" w:cstheme="minorBidi"/>
        </w:rPr>
        <w:t xml:space="preserve">, </w:t>
      </w:r>
      <w:r w:rsidRPr="007D02A7">
        <w:rPr>
          <w:rFonts w:ascii="ITC Avant Garde" w:eastAsiaTheme="minorHAnsi" w:hAnsi="ITC Avant Garde" w:cstheme="minorBidi"/>
          <w:bCs/>
          <w:color w:val="000000"/>
        </w:rPr>
        <w:t xml:space="preserve">el agente económico con la participación más alta en términos del número de torres de telecomunicaciones de su propiedad que es superior a </w:t>
      </w:r>
      <w:r w:rsidR="0029381D" w:rsidRPr="007D02A7">
        <w:rPr>
          <w:rFonts w:ascii="ITC Avant Garde" w:hAnsi="ITC Avant Garde"/>
          <w:b/>
          <w:bCs/>
          <w:color w:val="0000CC"/>
          <w:sz w:val="19"/>
          <w:szCs w:val="19"/>
          <w:lang w:eastAsia="es-MX"/>
        </w:rPr>
        <w:t>“CONFIDENCIAL POR LEY</w:t>
      </w:r>
      <w:r w:rsidR="00481CDD" w:rsidRPr="007D02A7">
        <w:rPr>
          <w:rFonts w:ascii="ITC Avant Garde" w:hAnsi="ITC Avant Garde"/>
          <w:b/>
          <w:bCs/>
          <w:color w:val="0000CC"/>
          <w:sz w:val="19"/>
          <w:szCs w:val="19"/>
          <w:lang w:eastAsia="es-MX"/>
        </w:rPr>
        <w:t xml:space="preserve"> </w:t>
      </w:r>
      <w:r w:rsidR="00555AB5">
        <w:rPr>
          <w:rFonts w:ascii="ITC Avant Garde" w:hAnsi="ITC Avant Garde"/>
          <w:b/>
          <w:bCs/>
          <w:color w:val="0000CC"/>
          <w:sz w:val="19"/>
          <w:szCs w:val="19"/>
          <w:lang w:eastAsia="es-MX"/>
        </w:rPr>
        <w:t>(</w:t>
      </w:r>
      <w:r w:rsidR="00481CDD" w:rsidRPr="007D02A7">
        <w:rPr>
          <w:rFonts w:ascii="ITC Avant Garde" w:hAnsi="ITC Avant Garde"/>
          <w:b/>
          <w:bCs/>
          <w:color w:val="0000CC"/>
          <w:sz w:val="19"/>
          <w:szCs w:val="19"/>
          <w:lang w:eastAsia="es-MX"/>
        </w:rPr>
        <w:t>70</w:t>
      </w:r>
      <w:r w:rsidR="00555AB5">
        <w:rPr>
          <w:rFonts w:ascii="ITC Avant Garde" w:hAnsi="ITC Avant Garde"/>
          <w:b/>
          <w:bCs/>
          <w:color w:val="0000CC"/>
          <w:sz w:val="19"/>
          <w:szCs w:val="19"/>
          <w:lang w:eastAsia="es-MX"/>
        </w:rPr>
        <w:t>)</w:t>
      </w:r>
      <w:r w:rsidR="0029381D" w:rsidRPr="007D02A7">
        <w:rPr>
          <w:rFonts w:ascii="ITC Avant Garde" w:hAnsi="ITC Avant Garde"/>
          <w:b/>
          <w:bCs/>
          <w:color w:val="0000CC"/>
          <w:sz w:val="19"/>
          <w:szCs w:val="19"/>
          <w:lang w:eastAsia="es-MX"/>
        </w:rPr>
        <w:t>”</w:t>
      </w:r>
      <w:r w:rsidRPr="007D02A7">
        <w:rPr>
          <w:rFonts w:ascii="ITC Avant Garde" w:eastAsiaTheme="minorHAnsi" w:hAnsi="ITC Avant Garde" w:cstheme="minorBidi"/>
          <w:bCs/>
          <w:color w:val="000000"/>
        </w:rPr>
        <w:t>;</w:t>
      </w:r>
    </w:p>
    <w:p w:rsidR="00315C5D" w:rsidRPr="007D02A7" w:rsidRDefault="00315C5D" w:rsidP="00637B96">
      <w:pPr>
        <w:numPr>
          <w:ilvl w:val="0"/>
          <w:numId w:val="14"/>
        </w:numPr>
        <w:tabs>
          <w:tab w:val="left" w:pos="2410"/>
        </w:tabs>
        <w:spacing w:before="120" w:after="120"/>
        <w:ind w:left="363"/>
        <w:jc w:val="both"/>
        <w:rPr>
          <w:rFonts w:ascii="ITC Avant Garde" w:eastAsia="Times New Roman" w:hAnsi="ITC Avant Garde"/>
          <w:bCs/>
          <w:color w:val="000000"/>
          <w:lang w:eastAsia="es-MX"/>
        </w:rPr>
      </w:pPr>
      <w:r w:rsidRPr="007D02A7">
        <w:rPr>
          <w:rFonts w:ascii="ITC Avant Garde" w:eastAsia="Times New Roman" w:hAnsi="ITC Avant Garde"/>
          <w:bCs/>
          <w:color w:val="000000"/>
          <w:lang w:eastAsia="es-MX"/>
        </w:rPr>
        <w:t>Las 142 (ciento cuarenta y dos) torres de telecomunicaciones en posesión de AXTEL son exclusivamente para su uso; y, después de la Operación, MATC Digital las pondrá a disposición para arrendamiento a todos los operadores, lo que incrementará la oferta torres de telecomunicaciones en el país</w:t>
      </w:r>
      <w:r w:rsidR="00EB26E1" w:rsidRPr="007D02A7">
        <w:rPr>
          <w:rFonts w:ascii="ITC Avant Garde" w:eastAsia="Times New Roman" w:hAnsi="ITC Avant Garde"/>
          <w:bCs/>
          <w:color w:val="000000"/>
          <w:lang w:eastAsia="es-MX"/>
        </w:rPr>
        <w:t xml:space="preserve"> para terceros</w:t>
      </w:r>
      <w:r w:rsidRPr="007D02A7">
        <w:rPr>
          <w:rFonts w:ascii="ITC Avant Garde" w:eastAsia="Times New Roman" w:hAnsi="ITC Avant Garde"/>
          <w:bCs/>
          <w:color w:val="000000"/>
          <w:lang w:eastAsia="es-MX"/>
        </w:rPr>
        <w:t>;</w:t>
      </w:r>
    </w:p>
    <w:p w:rsidR="00315C5D" w:rsidRPr="007D02A7" w:rsidRDefault="00315C5D" w:rsidP="00637B96">
      <w:pPr>
        <w:numPr>
          <w:ilvl w:val="0"/>
          <w:numId w:val="14"/>
        </w:numPr>
        <w:tabs>
          <w:tab w:val="left" w:pos="2410"/>
        </w:tabs>
        <w:spacing w:before="120" w:after="120"/>
        <w:ind w:left="363"/>
        <w:jc w:val="both"/>
        <w:rPr>
          <w:rFonts w:ascii="ITC Avant Garde" w:eastAsia="Times New Roman" w:hAnsi="ITC Avant Garde"/>
          <w:bCs/>
          <w:color w:val="000000"/>
          <w:lang w:eastAsia="es-MX"/>
        </w:rPr>
      </w:pPr>
      <w:r w:rsidRPr="007D02A7">
        <w:rPr>
          <w:rFonts w:ascii="ITC Avant Garde" w:eastAsia="Times New Roman" w:hAnsi="ITC Avant Garde"/>
          <w:bCs/>
          <w:color w:val="000000"/>
          <w:lang w:eastAsia="es-MX"/>
        </w:rPr>
        <w:t>MATC Digital no tiene vínculos corporativos</w:t>
      </w:r>
      <w:r w:rsidRPr="007D02A7" w:rsidDel="007F0916">
        <w:rPr>
          <w:rFonts w:ascii="ITC Avant Garde" w:eastAsia="Times New Roman" w:hAnsi="ITC Avant Garde"/>
          <w:bCs/>
          <w:color w:val="000000"/>
          <w:lang w:eastAsia="es-MX"/>
        </w:rPr>
        <w:t xml:space="preserve"> </w:t>
      </w:r>
      <w:r w:rsidRPr="007D02A7">
        <w:rPr>
          <w:rFonts w:ascii="ITC Avant Garde" w:eastAsia="Times New Roman" w:hAnsi="ITC Avant Garde"/>
          <w:bCs/>
          <w:color w:val="000000"/>
          <w:lang w:eastAsia="es-MX"/>
        </w:rPr>
        <w:t>con operadores de redes públicas de telecomunicaciones en México, lo cual le permite un comportamiento independiente de esos operadores en el arrendamiento de sitios en torres de telecomunicaciones en el territorio nacional.</w:t>
      </w:r>
    </w:p>
    <w:p w:rsidR="00315C5D" w:rsidRPr="007D02A7" w:rsidRDefault="00315C5D" w:rsidP="00637B96">
      <w:pPr>
        <w:tabs>
          <w:tab w:val="left" w:pos="2410"/>
        </w:tabs>
        <w:spacing w:before="120" w:after="120"/>
        <w:jc w:val="both"/>
        <w:rPr>
          <w:rFonts w:ascii="ITC Avant Garde" w:eastAsia="Times New Roman" w:hAnsi="ITC Avant Garde"/>
          <w:bCs/>
          <w:color w:val="000000"/>
          <w:lang w:eastAsia="es-MX"/>
        </w:rPr>
      </w:pPr>
      <w:r w:rsidRPr="007D02A7">
        <w:rPr>
          <w:rFonts w:ascii="ITC Avant Garde" w:eastAsia="Times New Roman" w:hAnsi="ITC Avant Garde"/>
          <w:bCs/>
          <w:color w:val="000000"/>
          <w:lang w:eastAsia="es-MX"/>
        </w:rPr>
        <w:t>En conclusión, no se prevé que la Operación tenga o pueda tener por objeto o efecto conferir poder sustancial a ATC, ni establecer barreras a la entrada, impedir a terceros el acceso al Servicio y/o facilitar el ejercicio de conductas prohibidas por la LFCE.</w:t>
      </w:r>
    </w:p>
    <w:p w:rsidR="00315C5D" w:rsidRPr="007D02A7" w:rsidRDefault="00315C5D" w:rsidP="00637B96">
      <w:pPr>
        <w:spacing w:before="120" w:after="120"/>
        <w:jc w:val="center"/>
        <w:rPr>
          <w:rFonts w:ascii="ITC Avant Garde" w:eastAsia="Times New Roman" w:hAnsi="ITC Avant Garde"/>
          <w:lang w:eastAsia="es-ES"/>
        </w:rPr>
      </w:pPr>
      <w:r w:rsidRPr="007D02A7">
        <w:rPr>
          <w:rFonts w:ascii="ITC Avant Garde" w:eastAsia="Times New Roman" w:hAnsi="ITC Avant Garde"/>
          <w:lang w:eastAsia="es-ES"/>
        </w:rPr>
        <w:t>***</w:t>
      </w:r>
    </w:p>
    <w:p w:rsidR="00315C5D" w:rsidRPr="007D02A7" w:rsidRDefault="00315C5D" w:rsidP="00637B96">
      <w:pPr>
        <w:tabs>
          <w:tab w:val="left" w:pos="2410"/>
        </w:tabs>
        <w:spacing w:before="120" w:after="120"/>
        <w:jc w:val="both"/>
        <w:rPr>
          <w:rFonts w:ascii="ITC Avant Garde" w:eastAsia="Times New Roman" w:hAnsi="ITC Avant Garde"/>
          <w:bCs/>
          <w:color w:val="000000"/>
          <w:highlight w:val="yellow"/>
          <w:lang w:eastAsia="es-MX"/>
        </w:rPr>
      </w:pPr>
      <w:r w:rsidRPr="007D02A7">
        <w:rPr>
          <w:rFonts w:ascii="ITC Avant Garde" w:eastAsia="Times New Roman" w:hAnsi="ITC Avant Garde"/>
          <w:bCs/>
          <w:color w:val="000000"/>
          <w:lang w:eastAsia="es-MX"/>
        </w:rPr>
        <w:t xml:space="preserve">Con base en lo anterior y con fundamento en lo dispuesto por los artículos 28, párrafos décimo cuarto, quinto y décimo sexto, de la Constitución Política de los Estados Unidos Mexicanos; 7, párrafos primero a tercero, de la Ley Federal de Telecomunicaciones y Radiodifusión; 1, 2, 4, 5, párrafo primero, 12, fracciones I, X y XXX, 18, párrafo séptimo, 58, 59, 61, 63, 64, 86, fracción III, 87, 88, 89, 90 y 120, párrafo tercero, de la Ley Federal de Competencia Económica; 1, 5, 6, 7, 8, 14, 15, 16, 22 y 23, de las Disposiciones Regulatorias </w:t>
      </w:r>
      <w:r w:rsidRPr="007D02A7">
        <w:rPr>
          <w:rFonts w:ascii="ITC Avant Garde" w:eastAsia="Times New Roman" w:hAnsi="ITC Avant Garde"/>
          <w:bCs/>
          <w:color w:val="000000"/>
          <w:lang w:eastAsia="es-MX"/>
        </w:rPr>
        <w:lastRenderedPageBreak/>
        <w:t>de la Ley Federal de Competencia Económica para los sectores de telecomunicaciones y radiodifusión; y 1, párrafos primero y tercero, 2, fracción X, 4, fracción I, 6, fracción XXXVII, 7 y 8, del Estatuto Orgánico del Instituto Federal de Telecomunicaciones, el Pleno del Instituto Federal de Telecomunicaciones resuelve lo siguiente:</w:t>
      </w:r>
    </w:p>
    <w:p w:rsidR="00315C5D" w:rsidRPr="007D02A7" w:rsidRDefault="00315C5D" w:rsidP="00CF0AFC">
      <w:pPr>
        <w:pStyle w:val="Ttulo2"/>
        <w:spacing w:before="360" w:after="360"/>
        <w:jc w:val="center"/>
        <w:rPr>
          <w:rStyle w:val="NormalIFTCar"/>
          <w:rFonts w:eastAsia="Calibri"/>
          <w:bCs w:val="0"/>
          <w:color w:val="auto"/>
          <w:sz w:val="22"/>
          <w:szCs w:val="22"/>
          <w:lang w:val="es-MX"/>
        </w:rPr>
      </w:pPr>
      <w:bookmarkStart w:id="40" w:name="_Toc435697339"/>
      <w:bookmarkStart w:id="41" w:name="_Toc435697415"/>
      <w:r w:rsidRPr="007D02A7">
        <w:rPr>
          <w:rStyle w:val="NormalIFTCar"/>
          <w:rFonts w:eastAsia="Calibri"/>
          <w:bCs w:val="0"/>
          <w:color w:val="auto"/>
          <w:sz w:val="22"/>
          <w:szCs w:val="22"/>
          <w:lang w:val="es-MX"/>
        </w:rPr>
        <w:t>III. RESOLUTIVOS</w:t>
      </w:r>
      <w:bookmarkEnd w:id="40"/>
      <w:bookmarkEnd w:id="41"/>
    </w:p>
    <w:p w:rsidR="00315C5D" w:rsidRPr="007D02A7" w:rsidRDefault="00315C5D" w:rsidP="00637B96">
      <w:pPr>
        <w:tabs>
          <w:tab w:val="left" w:pos="2410"/>
        </w:tabs>
        <w:spacing w:before="120" w:after="120"/>
        <w:jc w:val="both"/>
        <w:rPr>
          <w:rFonts w:ascii="ITC Avant Garde" w:eastAsia="Times New Roman" w:hAnsi="ITC Avant Garde"/>
          <w:bCs/>
          <w:color w:val="000000"/>
          <w:lang w:eastAsia="es-MX"/>
        </w:rPr>
      </w:pPr>
      <w:r w:rsidRPr="007D02A7">
        <w:rPr>
          <w:rFonts w:ascii="ITC Avant Garde" w:eastAsia="Times New Roman" w:hAnsi="ITC Avant Garde"/>
          <w:b/>
          <w:bCs/>
          <w:color w:val="000000"/>
          <w:lang w:eastAsia="es-MX"/>
        </w:rPr>
        <w:t>PRIMERO.</w:t>
      </w:r>
      <w:r w:rsidRPr="007D02A7">
        <w:rPr>
          <w:rFonts w:ascii="ITC Avant Garde" w:eastAsia="Times New Roman" w:hAnsi="ITC Avant Garde"/>
          <w:bCs/>
          <w:color w:val="000000"/>
          <w:lang w:eastAsia="es-MX"/>
        </w:rPr>
        <w:t xml:space="preserve"> Se autoriza llevar a cabo la Operación notificada por AXTEL, S.A.B. de C.V. y MATC Digital, S. de R.L. de C.V.</w:t>
      </w:r>
    </w:p>
    <w:p w:rsidR="00315C5D" w:rsidRPr="007D02A7" w:rsidRDefault="00315C5D" w:rsidP="00637B96">
      <w:pPr>
        <w:tabs>
          <w:tab w:val="left" w:pos="2410"/>
        </w:tabs>
        <w:spacing w:before="120" w:after="120"/>
        <w:jc w:val="both"/>
        <w:rPr>
          <w:rFonts w:ascii="ITC Avant Garde" w:eastAsia="Times New Roman" w:hAnsi="ITC Avant Garde"/>
          <w:bCs/>
          <w:color w:val="000000"/>
          <w:lang w:eastAsia="es-MX"/>
        </w:rPr>
      </w:pPr>
      <w:r w:rsidRPr="007D02A7">
        <w:rPr>
          <w:rFonts w:ascii="ITC Avant Garde" w:eastAsia="Times New Roman" w:hAnsi="ITC Avant Garde"/>
          <w:b/>
          <w:bCs/>
          <w:color w:val="000000"/>
          <w:lang w:eastAsia="es-MX"/>
        </w:rPr>
        <w:t>SEGUNDO.</w:t>
      </w:r>
      <w:r w:rsidRPr="007D02A7">
        <w:rPr>
          <w:rFonts w:ascii="ITC Avant Garde" w:eastAsia="Times New Roman" w:hAnsi="ITC Avant Garde"/>
          <w:bCs/>
          <w:color w:val="000000"/>
          <w:lang w:eastAsia="es-MX"/>
        </w:rPr>
        <w:t xml:space="preserve"> La autorización a que se refiere el resolutivo PRIMERO tendrá una vigencia de 6 (seis) meses contados a partir de que surta efectos la notificación de la presente resolución.</w:t>
      </w:r>
    </w:p>
    <w:p w:rsidR="00315C5D" w:rsidRPr="007D02A7" w:rsidRDefault="00315C5D" w:rsidP="00637B96">
      <w:pPr>
        <w:tabs>
          <w:tab w:val="left" w:pos="2410"/>
        </w:tabs>
        <w:spacing w:before="120" w:after="120"/>
        <w:jc w:val="both"/>
        <w:rPr>
          <w:rFonts w:ascii="ITC Avant Garde" w:eastAsia="Times New Roman" w:hAnsi="ITC Avant Garde"/>
          <w:bCs/>
          <w:color w:val="000000"/>
          <w:lang w:eastAsia="es-MX"/>
        </w:rPr>
      </w:pPr>
      <w:r w:rsidRPr="007D02A7">
        <w:rPr>
          <w:rFonts w:ascii="ITC Avant Garde" w:eastAsia="Times New Roman" w:hAnsi="ITC Avant Garde"/>
          <w:b/>
          <w:bCs/>
          <w:color w:val="000000"/>
          <w:lang w:eastAsia="es-MX"/>
        </w:rPr>
        <w:t>TERCERO.</w:t>
      </w:r>
      <w:r w:rsidRPr="007D02A7">
        <w:rPr>
          <w:rFonts w:ascii="ITC Avant Garde" w:eastAsia="Times New Roman" w:hAnsi="ITC Avant Garde"/>
          <w:bCs/>
          <w:color w:val="000000"/>
          <w:lang w:eastAsia="es-MX"/>
        </w:rPr>
        <w:t xml:space="preserve"> AXTEL, S.A.B. de C.V. y MATC Digital, S. de R.L. de C.V. deberán presentar ante este Instituto Federal de Telecomunicaciones la documentación que acredite la realización de la Operación, dentro de un plazo de 30 (treinta) días naturales contados a partir de la fecha de su realización, misma que tendrá que ocurrir dentro de la vigencia a que se refiere el resolutivo SEGUNDO.</w:t>
      </w:r>
      <w:r w:rsidR="007177DE" w:rsidRPr="007D02A7">
        <w:rPr>
          <w:rFonts w:ascii="ITC Avant Garde" w:eastAsia="Times New Roman" w:hAnsi="ITC Avant Garde"/>
          <w:bCs/>
          <w:color w:val="000000"/>
          <w:lang w:eastAsia="es-MX"/>
        </w:rPr>
        <w:t xml:space="preserve"> </w:t>
      </w:r>
    </w:p>
    <w:p w:rsidR="00315C5D" w:rsidRPr="007D02A7" w:rsidRDefault="00315C5D" w:rsidP="00637B96">
      <w:pPr>
        <w:tabs>
          <w:tab w:val="left" w:pos="2410"/>
        </w:tabs>
        <w:spacing w:before="120" w:after="120"/>
        <w:jc w:val="both"/>
        <w:rPr>
          <w:rFonts w:ascii="ITC Avant Garde" w:eastAsia="Times New Roman" w:hAnsi="ITC Avant Garde"/>
          <w:bCs/>
          <w:color w:val="000000"/>
          <w:lang w:eastAsia="es-MX"/>
        </w:rPr>
      </w:pPr>
      <w:r w:rsidRPr="007D02A7">
        <w:rPr>
          <w:rFonts w:ascii="ITC Avant Garde" w:eastAsia="Times New Roman" w:hAnsi="ITC Avant Garde"/>
          <w:b/>
          <w:bCs/>
          <w:color w:val="000000"/>
          <w:lang w:eastAsia="es-MX"/>
        </w:rPr>
        <w:t>CUARTO.</w:t>
      </w:r>
      <w:r w:rsidRPr="007D02A7">
        <w:rPr>
          <w:rFonts w:ascii="ITC Avant Garde" w:eastAsia="Times New Roman" w:hAnsi="ITC Avant Garde"/>
          <w:bCs/>
          <w:color w:val="000000"/>
          <w:lang w:eastAsia="es-MX"/>
        </w:rPr>
        <w:t xml:space="preserve"> La presente resolución se otorga en el ámbito de competencia del Instituto Federal de Telecomunicaciones conforme a lo establecido en los artículos 90 de la Ley Federal de Competencia Económica, 28, párrafos décimo quinto y décimo sexto, de la Constitución Política de los Estados Unidos Mexicanos, sin prejuzgar sobre otras autorizaciones que en su caso AXTEL, S.A.B. de C.V. y MATC Digital, S. de R.L. de C.V. deban obtener de este Instituto u otra autoridad competente, ni sobre otros procedimientos en curso ante esta u otras autoridades. </w:t>
      </w:r>
    </w:p>
    <w:p w:rsidR="00315C5D" w:rsidRPr="007D02A7" w:rsidRDefault="00315C5D" w:rsidP="00637B96">
      <w:pPr>
        <w:tabs>
          <w:tab w:val="left" w:pos="2410"/>
        </w:tabs>
        <w:spacing w:before="120" w:after="120"/>
        <w:jc w:val="both"/>
        <w:rPr>
          <w:rFonts w:ascii="ITC Avant Garde" w:eastAsia="Times New Roman" w:hAnsi="ITC Avant Garde"/>
          <w:bCs/>
          <w:color w:val="000000"/>
          <w:lang w:eastAsia="es-MX"/>
        </w:rPr>
      </w:pPr>
      <w:r w:rsidRPr="007D02A7">
        <w:rPr>
          <w:rFonts w:ascii="ITC Avant Garde" w:eastAsia="Times New Roman" w:hAnsi="ITC Avant Garde"/>
          <w:bCs/>
          <w:color w:val="000000"/>
          <w:lang w:eastAsia="es-MX"/>
        </w:rPr>
        <w:t>La presente resolución tampoco prejuzga sobre convenios privados celebrados por las Partes, violaciones a la Ley Federal de Competencia Económica, la Ley Federal de Telecomunicaciones y Radiodifusión u otros ordenamientos, en que pudiera haber incurrido, o pudiera incurrir, alguno de los agentes involucrados a través de alguna otra transacción.</w:t>
      </w:r>
    </w:p>
    <w:p w:rsidR="007177DE" w:rsidRPr="007D02A7" w:rsidRDefault="00315C5D" w:rsidP="00637B96">
      <w:pPr>
        <w:tabs>
          <w:tab w:val="left" w:pos="2410"/>
        </w:tabs>
        <w:spacing w:before="120" w:after="120"/>
        <w:jc w:val="both"/>
        <w:rPr>
          <w:rFonts w:ascii="ITC Avant Garde" w:hAnsi="ITC Avant Garde"/>
        </w:rPr>
      </w:pPr>
      <w:r w:rsidRPr="007D02A7">
        <w:rPr>
          <w:rFonts w:ascii="ITC Avant Garde" w:eastAsia="Times New Roman" w:hAnsi="ITC Avant Garde"/>
          <w:b/>
          <w:bCs/>
          <w:color w:val="000000"/>
          <w:lang w:eastAsia="es-MX"/>
        </w:rPr>
        <w:t>QUINTO.</w:t>
      </w:r>
      <w:r w:rsidRPr="007D02A7">
        <w:rPr>
          <w:rFonts w:ascii="ITC Avant Garde" w:eastAsia="Times New Roman" w:hAnsi="ITC Avant Garde"/>
          <w:bCs/>
          <w:color w:val="000000"/>
          <w:lang w:eastAsia="es-MX"/>
        </w:rPr>
        <w:t xml:space="preserve"> </w:t>
      </w:r>
      <w:r w:rsidRPr="007D02A7">
        <w:rPr>
          <w:rFonts w:ascii="ITC Avant Garde" w:hAnsi="ITC Avant Garde"/>
        </w:rPr>
        <w:t>Notifíquese personalmente la presente resolución a AXTEL, S.A.B. de C.V. y MATC Digital, S. de R.L. de C.V. a través de su representante común.</w:t>
      </w:r>
    </w:p>
    <w:p w:rsidR="00C01173" w:rsidRPr="007D02A7" w:rsidRDefault="00C01173" w:rsidP="000F7E62">
      <w:pPr>
        <w:spacing w:after="0" w:line="240" w:lineRule="auto"/>
        <w:jc w:val="both"/>
        <w:rPr>
          <w:rFonts w:ascii="ITC Avant Garde" w:eastAsiaTheme="minorHAnsi" w:hAnsi="ITC Avant Garde"/>
          <w:sz w:val="13"/>
          <w:szCs w:val="13"/>
          <w:lang w:val="es-ES_tradnl"/>
        </w:rPr>
      </w:pPr>
      <w:r w:rsidRPr="007D02A7">
        <w:rPr>
          <w:rFonts w:ascii="ITC Avant Garde" w:hAnsi="ITC Avant Garde"/>
          <w:sz w:val="13"/>
          <w:szCs w:val="13"/>
          <w:lang w:val="es-ES"/>
        </w:rPr>
        <w:t xml:space="preserve">La presente Resolución fue aprobada por el Pleno del Instituto Federal de Telecomunicaciones en su XLI Sesión Ordinaria celebrada el 18 de octubre de 2017, </w:t>
      </w:r>
      <w:r w:rsidRPr="007D02A7">
        <w:rPr>
          <w:rFonts w:ascii="ITC Avant Garde" w:hAnsi="ITC Avant Garde"/>
          <w:bCs/>
          <w:sz w:val="13"/>
          <w:szCs w:val="13"/>
          <w:lang w:val="es-ES"/>
        </w:rPr>
        <w:t>por unanimidad</w:t>
      </w:r>
      <w:r w:rsidRPr="007D02A7">
        <w:rPr>
          <w:rFonts w:ascii="ITC Avant Garde" w:hAnsi="ITC Avant Garde"/>
          <w:sz w:val="13"/>
          <w:szCs w:val="13"/>
          <w:lang w:val="es-ES"/>
        </w:rPr>
        <w:t xml:space="preserve"> de votos de los Comisionados Gabriel Oswaldo Contreras Saldívar, Adriana Sofía </w:t>
      </w:r>
      <w:proofErr w:type="spellStart"/>
      <w:r w:rsidRPr="007D02A7">
        <w:rPr>
          <w:rFonts w:ascii="ITC Avant Garde" w:hAnsi="ITC Avant Garde"/>
          <w:sz w:val="13"/>
          <w:szCs w:val="13"/>
          <w:lang w:val="es-ES"/>
        </w:rPr>
        <w:t>Labardini</w:t>
      </w:r>
      <w:proofErr w:type="spellEnd"/>
      <w:r w:rsidRPr="007D02A7">
        <w:rPr>
          <w:rFonts w:ascii="ITC Avant Garde" w:hAnsi="ITC Avant Garde"/>
          <w:sz w:val="13"/>
          <w:szCs w:val="13"/>
          <w:lang w:val="es-ES"/>
        </w:rPr>
        <w:t xml:space="preserve"> </w:t>
      </w:r>
      <w:proofErr w:type="spellStart"/>
      <w:r w:rsidRPr="007D02A7">
        <w:rPr>
          <w:rFonts w:ascii="ITC Avant Garde" w:hAnsi="ITC Avant Garde"/>
          <w:sz w:val="13"/>
          <w:szCs w:val="13"/>
          <w:lang w:val="es-ES"/>
        </w:rPr>
        <w:t>Inzunza</w:t>
      </w:r>
      <w:proofErr w:type="spellEnd"/>
      <w:r w:rsidRPr="007D02A7">
        <w:rPr>
          <w:rFonts w:ascii="ITC Avant Garde" w:hAnsi="ITC Avant Garde"/>
          <w:sz w:val="13"/>
          <w:szCs w:val="13"/>
          <w:lang w:val="es-ES"/>
        </w:rPr>
        <w:t xml:space="preserve">, María Elena </w:t>
      </w:r>
      <w:proofErr w:type="spellStart"/>
      <w:r w:rsidRPr="007D02A7">
        <w:rPr>
          <w:rFonts w:ascii="ITC Avant Garde" w:hAnsi="ITC Avant Garde"/>
          <w:sz w:val="13"/>
          <w:szCs w:val="13"/>
          <w:lang w:val="es-ES"/>
        </w:rPr>
        <w:t>Estavillo</w:t>
      </w:r>
      <w:proofErr w:type="spellEnd"/>
      <w:r w:rsidRPr="007D02A7">
        <w:rPr>
          <w:rFonts w:ascii="ITC Avant Garde" w:hAnsi="ITC Avant Garde"/>
          <w:sz w:val="13"/>
          <w:szCs w:val="13"/>
          <w:lang w:val="es-ES"/>
        </w:rPr>
        <w:t xml:space="preserve"> Flores, Mario Germán </w:t>
      </w:r>
      <w:proofErr w:type="spellStart"/>
      <w:r w:rsidRPr="007D02A7">
        <w:rPr>
          <w:rFonts w:ascii="ITC Avant Garde" w:hAnsi="ITC Avant Garde"/>
          <w:sz w:val="13"/>
          <w:szCs w:val="13"/>
          <w:lang w:val="es-ES"/>
        </w:rPr>
        <w:t>Fromow</w:t>
      </w:r>
      <w:proofErr w:type="spellEnd"/>
      <w:r w:rsidRPr="007D02A7">
        <w:rPr>
          <w:rFonts w:ascii="ITC Avant Garde" w:hAnsi="ITC Avant Garde"/>
          <w:sz w:val="13"/>
          <w:szCs w:val="13"/>
          <w:lang w:val="es-ES"/>
        </w:rPr>
        <w:t xml:space="preserve"> Rangel, Adolfo Cuevas Teja, Javier Juárez Mojica y Arturo Robles </w:t>
      </w:r>
      <w:proofErr w:type="spellStart"/>
      <w:r w:rsidRPr="007D02A7">
        <w:rPr>
          <w:rFonts w:ascii="ITC Avant Garde" w:hAnsi="ITC Avant Garde"/>
          <w:sz w:val="13"/>
          <w:szCs w:val="13"/>
          <w:lang w:val="es-ES"/>
        </w:rPr>
        <w:t>Rovalo</w:t>
      </w:r>
      <w:proofErr w:type="spellEnd"/>
      <w:r w:rsidRPr="007D02A7">
        <w:rPr>
          <w:rFonts w:ascii="ITC Avant Garde" w:hAnsi="ITC Avant Garde"/>
          <w:sz w:val="13"/>
          <w:szCs w:val="13"/>
          <w:lang w:val="es-ES"/>
        </w:rPr>
        <w:t>; con fundamento en los párrafos vigésimo, fracciones I y III; y vigésimo primero, del artículo 28 de la Constitución Política de los Estados Unidos Mexicanos; artículos 7, 16 y 45 de la Ley Federal de Telecomunicaciones y Radiodifusión; 5 y 18 de la Ley Federal de Competencia Económica; así como en los artículos 1, 7, 8 y 12 del Estatuto Orgánico</w:t>
      </w:r>
      <w:r w:rsidR="0084445A" w:rsidRPr="007D02A7">
        <w:rPr>
          <w:rFonts w:ascii="ITC Avant Garde" w:hAnsi="ITC Avant Garde"/>
          <w:sz w:val="13"/>
          <w:szCs w:val="13"/>
          <w:lang w:val="es-ES"/>
        </w:rPr>
        <w:t xml:space="preserve"> </w:t>
      </w:r>
      <w:r w:rsidRPr="007D02A7">
        <w:rPr>
          <w:rFonts w:ascii="ITC Avant Garde" w:hAnsi="ITC Avant Garde"/>
          <w:sz w:val="13"/>
          <w:szCs w:val="13"/>
          <w:lang w:val="es-ES"/>
        </w:rPr>
        <w:t>del Instituto Federal de Telecomunicaciones, mediante Acuerdo P/IFT/181017/651.</w:t>
      </w:r>
    </w:p>
    <w:p w:rsidR="00E15B1F" w:rsidRPr="007D02A7" w:rsidRDefault="00C01173" w:rsidP="00ED0631">
      <w:pPr>
        <w:pStyle w:val="N1IFT"/>
        <w:spacing w:before="120" w:after="0" w:line="240" w:lineRule="auto"/>
        <w:rPr>
          <w:b w:val="0"/>
          <w:bCs w:val="0"/>
          <w:sz w:val="13"/>
          <w:szCs w:val="13"/>
          <w:lang w:val="es-ES"/>
        </w:rPr>
      </w:pPr>
      <w:r w:rsidRPr="007D02A7">
        <w:rPr>
          <w:b w:val="0"/>
          <w:bCs w:val="0"/>
          <w:sz w:val="13"/>
          <w:szCs w:val="13"/>
          <w:lang w:val="es-ES"/>
        </w:rPr>
        <w:t>El Comisionado Javier Juárez Mojica previendo su ausencia justificada a la sesión, emitió su voto razonado por escrito, en términos de los artículos 18 segundo párrafo de la Ley Federal de Competencia Económica; y 8 segundo párrafo del Estatuto Orgánico del Instituto Federal de Telecomunicaciones.</w:t>
      </w:r>
    </w:p>
    <w:p w:rsidR="004B1EA5" w:rsidRPr="007D02A7" w:rsidRDefault="00E15B1F" w:rsidP="00E15B1F">
      <w:pPr>
        <w:pBdr>
          <w:bottom w:val="single" w:sz="12" w:space="1" w:color="auto"/>
        </w:pBdr>
        <w:rPr>
          <w:rFonts w:ascii="ITC Avant Garde" w:eastAsiaTheme="minorHAnsi" w:hAnsi="ITC Avant Garde" w:cstheme="minorBidi"/>
          <w:color w:val="000000"/>
          <w:lang w:val="es-ES" w:eastAsia="es-ES"/>
        </w:rPr>
      </w:pPr>
      <w:r w:rsidRPr="007D02A7">
        <w:rPr>
          <w:rFonts w:ascii="ITC Avant Garde" w:hAnsi="ITC Avant Garde"/>
          <w:lang w:val="es-ES"/>
        </w:rPr>
        <w:br w:type="page"/>
      </w:r>
    </w:p>
    <w:p w:rsidR="00953945" w:rsidRPr="007D02A7" w:rsidRDefault="00953945" w:rsidP="004B1EA5">
      <w:pPr>
        <w:spacing w:before="120" w:after="120" w:line="240" w:lineRule="auto"/>
        <w:jc w:val="center"/>
        <w:rPr>
          <w:rFonts w:ascii="ITC Avant Garde" w:hAnsi="ITC Avant Garde"/>
          <w:b/>
        </w:rPr>
      </w:pPr>
      <w:r w:rsidRPr="007D02A7">
        <w:rPr>
          <w:rFonts w:ascii="ITC Avant Garde" w:hAnsi="ITC Avant Garde"/>
          <w:b/>
        </w:rPr>
        <w:lastRenderedPageBreak/>
        <w:t>______________________________________________________________________________________</w:t>
      </w:r>
    </w:p>
    <w:p w:rsidR="004B1EA5" w:rsidRPr="005373C2" w:rsidRDefault="00E15B1F" w:rsidP="004B1EA5">
      <w:pPr>
        <w:spacing w:before="120" w:after="120" w:line="240" w:lineRule="auto"/>
        <w:jc w:val="center"/>
        <w:rPr>
          <w:rFonts w:ascii="ITC Avant Garde" w:hAnsi="ITC Avant Garde"/>
          <w:b/>
          <w:sz w:val="18"/>
          <w:szCs w:val="18"/>
        </w:rPr>
      </w:pPr>
      <w:r w:rsidRPr="005373C2">
        <w:rPr>
          <w:rFonts w:ascii="ITC Avant Garde" w:hAnsi="ITC Avant Garde"/>
          <w:b/>
          <w:sz w:val="18"/>
          <w:szCs w:val="18"/>
        </w:rPr>
        <w:t>REFERENCIAS TESTADAS EN ESTA VERSIÓN PÚBLICA</w:t>
      </w:r>
    </w:p>
    <w:p w:rsidR="004B1EA5" w:rsidRPr="005373C2" w:rsidRDefault="00E15B1F" w:rsidP="004B1EA5">
      <w:pPr>
        <w:spacing w:before="120" w:after="120" w:line="240" w:lineRule="auto"/>
        <w:jc w:val="both"/>
        <w:rPr>
          <w:rFonts w:ascii="ITC Avant Garde" w:hAnsi="ITC Avant Garde"/>
          <w:sz w:val="18"/>
          <w:szCs w:val="18"/>
        </w:rPr>
      </w:pPr>
      <w:r w:rsidRPr="005373C2">
        <w:rPr>
          <w:rFonts w:ascii="ITC Avant Garde" w:hAnsi="ITC Avant Garde"/>
          <w:sz w:val="18"/>
          <w:szCs w:val="18"/>
        </w:rPr>
        <w:t xml:space="preserve">En el presente documento se testan 70 referencias, mismas que reúnen supuestos de confidencialidad en términos de lo previsto en los artículos 3, fracción IX, 124 y 125 de la Ley Federal de Competencia Económica; 116 de la Ley General de Transparencia y Acceso a la Información Pública; 113 de la Ley Federal de Transparencia y Acceso a la Información Pública, y Lineamiento Cuadragésimo del </w:t>
      </w:r>
      <w:r w:rsidRPr="005373C2">
        <w:rPr>
          <w:rFonts w:ascii="ITC Avant Garde" w:hAnsi="ITC Avant Garde"/>
          <w:i/>
          <w:sz w:val="18"/>
          <w:szCs w:val="18"/>
        </w:rPr>
        <w:t>“ACUERDO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w:t>
      </w:r>
      <w:r w:rsidRPr="005373C2">
        <w:rPr>
          <w:rFonts w:ascii="ITC Avant Garde" w:hAnsi="ITC Avant Garde"/>
          <w:sz w:val="18"/>
          <w:szCs w:val="18"/>
        </w:rPr>
        <w:t xml:space="preserve">  </w:t>
      </w:r>
    </w:p>
    <w:p w:rsidR="004B1EA5" w:rsidRPr="007D02A7" w:rsidRDefault="00E15B1F" w:rsidP="004B1EA5">
      <w:pPr>
        <w:spacing w:before="120" w:after="120" w:line="240" w:lineRule="auto"/>
        <w:jc w:val="both"/>
        <w:rPr>
          <w:rFonts w:ascii="ITC Avant Garde" w:hAnsi="ITC Avant Garde"/>
        </w:rPr>
      </w:pPr>
      <w:r w:rsidRPr="005373C2">
        <w:rPr>
          <w:rFonts w:ascii="ITC Avant Garde" w:hAnsi="ITC Avant Garde"/>
          <w:sz w:val="18"/>
          <w:szCs w:val="18"/>
        </w:rPr>
        <w:t>La información testada incluye referencias a, entre otras cuestiones: datos personales concernientes a persona(s) identificada(s) o identificable(s), patrimonio de personas físicas y/o morales, así como hechos y actos de carácter económico, contable, jurídico o administrativo relativos a una o diversas personas, que pudieran ser útiles para un competidor, de acuerdo con lo siguiente:</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(1). Se testa nombre de persona física.</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 xml:space="preserve">Referencia (2). Se testa nombre de persona física. </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(3). Se testa nombre de persona física.</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(4). Monto correspondiente al primer cierre de la transacción. Información patrimonial.</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(5). Monto correspondiente al segundo cierre de la transacción. Información patrimonial.</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(6). Monto correspondiente al tercer cierre de la transacción. Información patrimonial.</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(7). Monto total de la transacción. Información patrimonial.</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(8). Monto acumulado del primer y segundo cierre de la transacción. Información patrimonial.</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(9). Monto acumulado del primer y segundo cierre de la transacción. Información patrimonial.</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(10). Número de torres de telecomunicaciones involucradas en la transacción por Municipio.</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(11). Número de torres de telecomunicaciones involucradas en la transacción por Municipio.</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 xml:space="preserve">Referencia (12). Información de planes de negocio y crecimiento. </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(13). Monto total de acumulación después de la transacción en dólares. Información patrimonial.</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(14). Monto total de acumulación después de la transacción en pesos. Información patrimonial.</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(15). Monto de activos. Información patrimonial.</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(16). Monto por sitio involucrado en la transacción. Información patrimonial.</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(17). Monto de ingresos, utilidades y activos. Información patrimonial.</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(18). Se testa porcentaje de tenencia accionaria.</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(19). Se testa porcentaje de tenencia accionaria.</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(20). Se testa porcentaje de tenencia accionaria.</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(21). Se testa porcentaje de tenencia accionaria.</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(22). Se testa porcentaje de tenencia accionaria.</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(23). Se testa porcentaje de tenencia accionaria.</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(24). Se testa porcentaje de tenencia accionaria.</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(25). Se testa porcentaje de tenencia accionaria.</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(26). Se testa porcentaje de tenencia accionaria.</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(27). Se testa porcentaje de tenencia accionaria.</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(28). Se testa porcentaje de tenencia accionaria.</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(29). Se testa porcentaje de tenencia accionaria.</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 xml:space="preserve">Referencia (30). Se testa porcentaje de tenencia accionaria. </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(31). Se testa porcentaje de tenencia accionaria.</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(32). Se testa porcentaje de tenencia accionaria.</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(33). Se testa porcentaje de tenencia accionaria.</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(34). Se testa porcentaje de tenencia accionaria.</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(35). Se testa porcentaje de tenencia accionaria.</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(36). Se testa porcentaje de tenencia accionaria.</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(37). Se testa porcentaje de tenencia accionaria.</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(38). Se testa porcentaje de tenencia accionaria.</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(39). Se testa porcentaje de tenencia accionaria.</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(40). Se testa porcentaje de tenencia accionaria.</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lastRenderedPageBreak/>
        <w:t>Referencia (41). Se testa porcentaje de tenencia accionaria.</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(42). Se testa porcentaje de tenencia accionaria.</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(43). Se testa porcentaje de tenencia accionaria.</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(44). Se testa porcentaje de tenencia accionaria.</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(45). Se testa porcentaje de tenencia accionaria.</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(46). Número total de torres de telecomunicaciones propiedad de AXTEL.</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(47). Clientes principales de MATC Digital.</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 xml:space="preserve">Referencia (48). Porcentaje de ingresos que representan los principales clientes de MATC Digital. </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(49). Número de torres de telecomunicaciones de AXTEL involucradas en la transacción por Municipio.</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(50). Número de torres de telecomunicaciones de MATC Digital en los municipios involucrados en la transacción.</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(51). Clientes principales de MATC Digital.</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(52). Porcentaje de ingresos que representan los principales clientes de MATC Digital.</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(53). Se testa participación de mercado.</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(54). Número de torres que se incrementaron en la localidad.</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(55). Se testa participación de mercado.</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(56). Número de torres que se incrementaron por municipio.</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(57). Número de torres de telecomunicaciones a nivel nacional y participación de mercado.</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 xml:space="preserve">Referencia (58). Número de torres de telecomunicaciones de </w:t>
      </w:r>
      <w:proofErr w:type="spellStart"/>
      <w:r w:rsidRPr="005373C2">
        <w:rPr>
          <w:rFonts w:ascii="ITC Avant Garde" w:hAnsi="ITC Avant Garde"/>
          <w:sz w:val="18"/>
          <w:szCs w:val="18"/>
        </w:rPr>
        <w:t>Telesites</w:t>
      </w:r>
      <w:proofErr w:type="spellEnd"/>
      <w:r w:rsidRPr="005373C2">
        <w:rPr>
          <w:rFonts w:ascii="ITC Avant Garde" w:hAnsi="ITC Avant Garde"/>
          <w:sz w:val="18"/>
          <w:szCs w:val="18"/>
        </w:rPr>
        <w:t>.</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(59). Número de torres de telecomunicaciones de MATC Digital.</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(60). Número de torres de telecomunicaciones de MATC Digital.</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(61). Se testa participación de mercado.</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(62). Se testa participación de mercado.</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(63). Número de torres de telecomunicaciones después de la transacción.</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(64). Se testa participación de mercado.</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(65). Se testa participación de mercado.</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(66). Se testa incremento de participación de mercado.</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(67). Se testa participación de mercado.</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(68). Se testa participación de mercado.</w:t>
      </w:r>
    </w:p>
    <w:p w:rsidR="00E15B1F" w:rsidRPr="005373C2" w:rsidRDefault="00E15B1F" w:rsidP="00E15B1F">
      <w:pPr>
        <w:spacing w:after="0" w:line="240" w:lineRule="auto"/>
        <w:jc w:val="both"/>
        <w:rPr>
          <w:rFonts w:ascii="ITC Avant Garde" w:hAnsi="ITC Avant Garde"/>
          <w:sz w:val="18"/>
          <w:szCs w:val="18"/>
        </w:rPr>
      </w:pPr>
      <w:r w:rsidRPr="005373C2">
        <w:rPr>
          <w:rFonts w:ascii="ITC Avant Garde" w:hAnsi="ITC Avant Garde"/>
          <w:sz w:val="18"/>
          <w:szCs w:val="18"/>
        </w:rPr>
        <w:t>Referencia (69). Se testa incremento de participación de mercado.</w:t>
      </w:r>
    </w:p>
    <w:p w:rsidR="00E15B1F" w:rsidRPr="000F7E62" w:rsidRDefault="00E15B1F" w:rsidP="000F7E62">
      <w:pPr>
        <w:spacing w:after="0" w:line="240" w:lineRule="auto"/>
        <w:jc w:val="both"/>
        <w:rPr>
          <w:rFonts w:ascii="ITC Avant Garde" w:hAnsi="ITC Avant Garde"/>
          <w:sz w:val="20"/>
          <w:szCs w:val="20"/>
        </w:rPr>
      </w:pPr>
      <w:r w:rsidRPr="005373C2">
        <w:rPr>
          <w:rFonts w:ascii="ITC Avant Garde" w:hAnsi="ITC Avant Garde"/>
          <w:sz w:val="18"/>
          <w:szCs w:val="18"/>
        </w:rPr>
        <w:t>Referencia (70). Se testa participación de mercado.</w:t>
      </w:r>
    </w:p>
    <w:sectPr w:rsidR="00E15B1F" w:rsidRPr="000F7E62" w:rsidSect="0017207B">
      <w:headerReference w:type="default" r:id="rId15"/>
      <w:footerReference w:type="even" r:id="rId16"/>
      <w:headerReference w:type="first" r:id="rId17"/>
      <w:pgSz w:w="12240" w:h="15840"/>
      <w:pgMar w:top="1985" w:right="1361" w:bottom="1361" w:left="136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EAC253" w16cid:durableId="1D85AF7B"/>
  <w16cid:commentId w16cid:paraId="262D9B28" w16cid:durableId="1D85AF7C"/>
  <w16cid:commentId w16cid:paraId="3EA61F6E" w16cid:durableId="1D85AF7D"/>
  <w16cid:commentId w16cid:paraId="06109DE6" w16cid:durableId="1D85AF7E"/>
  <w16cid:commentId w16cid:paraId="4686395A" w16cid:durableId="1D85AF7F"/>
  <w16cid:commentId w16cid:paraId="2652FF66" w16cid:durableId="1D85AF80"/>
  <w16cid:commentId w16cid:paraId="591CAD64" w16cid:durableId="1D85AF81"/>
  <w16cid:commentId w16cid:paraId="3C34BE27" w16cid:durableId="1D85AF82"/>
  <w16cid:commentId w16cid:paraId="2F9C8EC5" w16cid:durableId="1D85AF84"/>
  <w16cid:commentId w16cid:paraId="2A59DF9B" w16cid:durableId="1D85AF85"/>
  <w16cid:commentId w16cid:paraId="54E3F91A" w16cid:durableId="1D85AF86"/>
  <w16cid:commentId w16cid:paraId="48D83256" w16cid:durableId="1D85AF87"/>
  <w16cid:commentId w16cid:paraId="290FE98E" w16cid:durableId="1D85AF88"/>
  <w16cid:commentId w16cid:paraId="59AA23C1" w16cid:durableId="1D85AF89"/>
  <w16cid:commentId w16cid:paraId="6F2A7DB3" w16cid:durableId="1D85AF8A"/>
  <w16cid:commentId w16cid:paraId="4C252D05" w16cid:durableId="1D85AF8B"/>
  <w16cid:commentId w16cid:paraId="493CEF5C" w16cid:durableId="1D85AF8C"/>
  <w16cid:commentId w16cid:paraId="41B76E65" w16cid:durableId="1D85AF8D"/>
  <w16cid:commentId w16cid:paraId="3512E798" w16cid:durableId="1D85AF8E"/>
  <w16cid:commentId w16cid:paraId="314B6FF6" w16cid:durableId="1D85AF8F"/>
  <w16cid:commentId w16cid:paraId="3612FD9F" w16cid:durableId="1D85AF90"/>
  <w16cid:commentId w16cid:paraId="00203493" w16cid:durableId="1D85AF91"/>
  <w16cid:commentId w16cid:paraId="6E8DA0F9" w16cid:durableId="1D85AF92"/>
  <w16cid:commentId w16cid:paraId="4A656BCA" w16cid:durableId="1D85AF93"/>
  <w16cid:commentId w16cid:paraId="2FE50BDC" w16cid:durableId="1D85AF94"/>
  <w16cid:commentId w16cid:paraId="0104CAD9" w16cid:durableId="1D85AF95"/>
  <w16cid:commentId w16cid:paraId="2FE684BB" w16cid:durableId="1D85B21A"/>
  <w16cid:commentId w16cid:paraId="397E6494" w16cid:durableId="1D85C04A"/>
  <w16cid:commentId w16cid:paraId="70910F4D" w16cid:durableId="1D85BF76"/>
  <w16cid:commentId w16cid:paraId="397EBF9E" w16cid:durableId="1D85AF96"/>
  <w16cid:commentId w16cid:paraId="4E89F2E4" w16cid:durableId="1D85AF97"/>
  <w16cid:commentId w16cid:paraId="1D37F8EF" w16cid:durableId="1D85AF98"/>
  <w16cid:commentId w16cid:paraId="0755B614" w16cid:durableId="1D85AF99"/>
  <w16cid:commentId w16cid:paraId="7E36DB27" w16cid:durableId="1D85AF9A"/>
  <w16cid:commentId w16cid:paraId="198268B9" w16cid:durableId="1D85AF9B"/>
  <w16cid:commentId w16cid:paraId="3AF836EE" w16cid:durableId="1D85AF9C"/>
  <w16cid:commentId w16cid:paraId="5F602B5D" w16cid:durableId="1D85AF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EAB" w:rsidRDefault="00DD1EAB" w:rsidP="008A39CF">
      <w:pPr>
        <w:spacing w:after="0" w:line="240" w:lineRule="auto"/>
      </w:pPr>
      <w:r>
        <w:separator/>
      </w:r>
    </w:p>
    <w:p w:rsidR="00DD1EAB" w:rsidRDefault="00DD1EAB"/>
  </w:endnote>
  <w:endnote w:type="continuationSeparator" w:id="0">
    <w:p w:rsidR="00DD1EAB" w:rsidRDefault="00DD1EAB" w:rsidP="008A39CF">
      <w:pPr>
        <w:spacing w:after="0" w:line="240" w:lineRule="auto"/>
      </w:pPr>
      <w:r>
        <w:continuationSeparator/>
      </w:r>
    </w:p>
    <w:p w:rsidR="00DD1EAB" w:rsidRDefault="00DD1EAB"/>
  </w:endnote>
  <w:endnote w:type="continuationNotice" w:id="1">
    <w:p w:rsidR="00DD1EAB" w:rsidRDefault="00DD1E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Book">
    <w:altName w:val="Century Gothic"/>
    <w:panose1 w:val="020B0402020203020304"/>
    <w:charset w:val="00"/>
    <w:family w:val="auto"/>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ITC Avant Garde Demi">
    <w:altName w:val="Segoe UI Semibold"/>
    <w:panose1 w:val="020B0702020203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2FA" w:rsidRPr="00440DB9" w:rsidRDefault="00EE12FA">
    <w:pPr>
      <w:pStyle w:val="Piedepgina"/>
      <w:jc w:val="right"/>
      <w:rPr>
        <w:rFonts w:ascii="ITC Avant Garde" w:hAnsi="ITC Avant Garde"/>
        <w:sz w:val="20"/>
        <w:szCs w:val="20"/>
      </w:rPr>
    </w:pPr>
    <w:r w:rsidRPr="00440DB9">
      <w:rPr>
        <w:rFonts w:ascii="ITC Avant Garde" w:hAnsi="ITC Avant Garde"/>
        <w:sz w:val="20"/>
        <w:szCs w:val="20"/>
      </w:rPr>
      <w:fldChar w:fldCharType="begin"/>
    </w:r>
    <w:r w:rsidRPr="00440DB9">
      <w:rPr>
        <w:rFonts w:ascii="ITC Avant Garde" w:hAnsi="ITC Avant Garde"/>
        <w:sz w:val="20"/>
        <w:szCs w:val="20"/>
      </w:rPr>
      <w:instrText>PAGE   \* MERGEFORMAT</w:instrText>
    </w:r>
    <w:r w:rsidRPr="00440DB9">
      <w:rPr>
        <w:rFonts w:ascii="ITC Avant Garde" w:hAnsi="ITC Avant Garde"/>
        <w:sz w:val="20"/>
        <w:szCs w:val="20"/>
      </w:rPr>
      <w:fldChar w:fldCharType="separate"/>
    </w:r>
    <w:r w:rsidR="000F7E62" w:rsidRPr="000F7E62">
      <w:rPr>
        <w:rFonts w:ascii="ITC Avant Garde" w:hAnsi="ITC Avant Garde"/>
        <w:noProof/>
        <w:sz w:val="20"/>
        <w:szCs w:val="20"/>
        <w:lang w:val="es-ES"/>
      </w:rPr>
      <w:t>27</w:t>
    </w:r>
    <w:r w:rsidRPr="00440DB9">
      <w:rPr>
        <w:rFonts w:ascii="ITC Avant Garde" w:hAnsi="ITC Avant Garde"/>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2FA" w:rsidRDefault="00EE12FA">
    <w:pPr>
      <w:pStyle w:val="Piedepgina"/>
    </w:pPr>
  </w:p>
  <w:p w:rsidR="00EE12FA" w:rsidRDefault="00EE12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EAB" w:rsidRDefault="00DD1EAB" w:rsidP="00AD17F3">
      <w:pPr>
        <w:spacing w:after="0" w:line="240" w:lineRule="auto"/>
      </w:pPr>
      <w:r>
        <w:separator/>
      </w:r>
    </w:p>
  </w:footnote>
  <w:footnote w:type="continuationSeparator" w:id="0">
    <w:p w:rsidR="00DD1EAB" w:rsidRDefault="00DD1EAB" w:rsidP="008A39CF">
      <w:pPr>
        <w:spacing w:after="0" w:line="240" w:lineRule="auto"/>
      </w:pPr>
      <w:r>
        <w:continuationSeparator/>
      </w:r>
    </w:p>
    <w:p w:rsidR="00DD1EAB" w:rsidRDefault="00DD1EAB"/>
  </w:footnote>
  <w:footnote w:type="continuationNotice" w:id="1">
    <w:p w:rsidR="00DD1EAB" w:rsidRDefault="00DD1EAB">
      <w:pPr>
        <w:spacing w:after="0" w:line="240" w:lineRule="auto"/>
      </w:pPr>
    </w:p>
  </w:footnote>
  <w:footnote w:id="2">
    <w:p w:rsidR="00EE12FA" w:rsidRPr="007D02A7" w:rsidRDefault="00EE12FA" w:rsidP="008B076E">
      <w:pPr>
        <w:pStyle w:val="Textonotapie"/>
        <w:jc w:val="both"/>
        <w:rPr>
          <w:rFonts w:ascii="ITC Avant Garde" w:hAnsi="ITC Avant Garde"/>
          <w:sz w:val="16"/>
          <w:szCs w:val="16"/>
        </w:rPr>
      </w:pPr>
      <w:r w:rsidRPr="007D02A7">
        <w:rPr>
          <w:rStyle w:val="Refdenotaalpie"/>
          <w:rFonts w:ascii="ITC Avant Garde" w:hAnsi="ITC Avant Garde"/>
          <w:sz w:val="16"/>
          <w:szCs w:val="16"/>
        </w:rPr>
        <w:footnoteRef/>
      </w:r>
      <w:r w:rsidRPr="007D02A7">
        <w:rPr>
          <w:rFonts w:ascii="ITC Avant Garde" w:hAnsi="ITC Avant Garde"/>
          <w:sz w:val="16"/>
          <w:szCs w:val="16"/>
        </w:rPr>
        <w:t xml:space="preserve"> Conforme a lo define la LFTR en su artículo 3, fracción XXVII, la infraestructura pasiva consiste en elementos accesorios que proporcionan soporte a la infraestructura activa, entre otros, bastidores, cableado subterráneo y aéreo, canalizaciones, construcciones, ductos, obras, postes, sistemas de suministro y respaldo de energía eléctrica, sistemas de climatización, sitios, torres y demás aditamentos, incluyendo derechos de vía, que sean necesarios para la instalación y operación de las redes, así como para la prestación de servicios de telecomunicaciones y radiodifusión.</w:t>
      </w:r>
    </w:p>
  </w:footnote>
  <w:footnote w:id="3">
    <w:p w:rsidR="00EE12FA" w:rsidRPr="007D02A7" w:rsidRDefault="00EE12FA" w:rsidP="004D3D9B">
      <w:pPr>
        <w:pStyle w:val="Textonotapie"/>
        <w:jc w:val="both"/>
        <w:rPr>
          <w:rFonts w:ascii="ITC Avant Garde" w:hAnsi="ITC Avant Garde"/>
          <w:sz w:val="16"/>
          <w:szCs w:val="16"/>
        </w:rPr>
      </w:pPr>
      <w:r w:rsidRPr="007D02A7">
        <w:rPr>
          <w:rStyle w:val="Refdenotaalpie"/>
          <w:rFonts w:ascii="ITC Avant Garde" w:hAnsi="ITC Avant Garde"/>
          <w:sz w:val="16"/>
          <w:szCs w:val="16"/>
        </w:rPr>
        <w:footnoteRef/>
      </w:r>
      <w:r w:rsidRPr="007D02A7">
        <w:rPr>
          <w:rFonts w:ascii="ITC Avant Garde" w:hAnsi="ITC Avant Garde"/>
          <w:sz w:val="16"/>
          <w:szCs w:val="16"/>
        </w:rPr>
        <w:t xml:space="preserve"> Fuente: Anexo d.1.c. del Escrito de Notificación, contenido en las Fojas 15 y 55-60 del Expediente.</w:t>
      </w:r>
    </w:p>
  </w:footnote>
  <w:footnote w:id="4">
    <w:p w:rsidR="00EE12FA" w:rsidRPr="007D02A7" w:rsidRDefault="00EE12FA" w:rsidP="00DE2444">
      <w:pPr>
        <w:pStyle w:val="Textonotapie"/>
        <w:jc w:val="both"/>
        <w:rPr>
          <w:rFonts w:ascii="ITC Avant Garde" w:hAnsi="ITC Avant Garde"/>
          <w:sz w:val="16"/>
          <w:szCs w:val="16"/>
        </w:rPr>
      </w:pPr>
      <w:r w:rsidRPr="007D02A7">
        <w:rPr>
          <w:rStyle w:val="Refdenotaalpie"/>
          <w:rFonts w:ascii="ITC Avant Garde" w:hAnsi="ITC Avant Garde"/>
          <w:sz w:val="16"/>
          <w:szCs w:val="16"/>
        </w:rPr>
        <w:footnoteRef/>
      </w:r>
      <w:r w:rsidRPr="007D02A7">
        <w:rPr>
          <w:rFonts w:ascii="ITC Avant Garde" w:hAnsi="ITC Avant Garde"/>
          <w:sz w:val="16"/>
          <w:szCs w:val="16"/>
        </w:rPr>
        <w:t xml:space="preserve"> Cifra equivalente a </w:t>
      </w:r>
      <w:r w:rsidRPr="00BB3A3C">
        <w:rPr>
          <w:rFonts w:ascii="ITC Avant Garde" w:hAnsi="ITC Avant Garde"/>
          <w:b/>
          <w:bCs/>
          <w:color w:val="0000CC"/>
          <w:sz w:val="14"/>
          <w:szCs w:val="14"/>
          <w:lang w:eastAsia="es-MX"/>
        </w:rPr>
        <w:t>“CONFIDENCIAL POR LEY (9)”</w:t>
      </w:r>
      <w:r w:rsidRPr="007D02A7">
        <w:rPr>
          <w:rFonts w:ascii="ITC Avant Garde" w:hAnsi="ITC Avant Garde"/>
          <w:sz w:val="16"/>
          <w:szCs w:val="16"/>
        </w:rPr>
        <w:t xml:space="preserve"> USD. Se utilizó un tipo de cambio de 17.6893 pesos por USD que corresponde al más bajo empleado para solventar obligaciones denominadas en moneda extranjera pagaderas en la República Mexicana, publicado por el Banco de México durante los cinco días anteriores al 31 de julio de 2017, fecha en la que se realizó la notificación de la Operación. Ello, de conformidad con el artículo 15, párrafo segundo, de las Disposiciones Regulatorias.</w:t>
      </w:r>
    </w:p>
  </w:footnote>
  <w:footnote w:id="5">
    <w:p w:rsidR="00EE12FA" w:rsidRPr="007D02A7" w:rsidRDefault="00EE12FA" w:rsidP="00896412">
      <w:pPr>
        <w:pStyle w:val="Textonotapie"/>
        <w:jc w:val="both"/>
        <w:rPr>
          <w:rFonts w:ascii="ITC Avant Garde" w:hAnsi="ITC Avant Garde"/>
          <w:sz w:val="16"/>
          <w:szCs w:val="16"/>
        </w:rPr>
      </w:pPr>
      <w:r w:rsidRPr="007D02A7">
        <w:rPr>
          <w:rStyle w:val="Refdenotaalpie"/>
          <w:rFonts w:ascii="ITC Avant Garde" w:hAnsi="ITC Avant Garde"/>
          <w:sz w:val="16"/>
          <w:szCs w:val="16"/>
        </w:rPr>
        <w:footnoteRef/>
      </w:r>
      <w:r w:rsidRPr="007D02A7">
        <w:rPr>
          <w:rFonts w:ascii="ITC Avant Garde" w:hAnsi="ITC Avant Garde"/>
          <w:sz w:val="16"/>
          <w:szCs w:val="16"/>
        </w:rPr>
        <w:t xml:space="preserve"> De conformidad con el artículo Tercero transitorio del “</w:t>
      </w:r>
      <w:r w:rsidRPr="007D02A7">
        <w:rPr>
          <w:rFonts w:ascii="ITC Avant Garde" w:hAnsi="ITC Avant Garde"/>
          <w:i/>
          <w:sz w:val="16"/>
          <w:szCs w:val="16"/>
        </w:rPr>
        <w:t>DECRETO por el que se declara reformadas y adicionadas diversas disposiciones de la Constitución Política de los Estados Unidos Mexicanos, en materia de desindexación del salario mínimo</w:t>
      </w:r>
      <w:r w:rsidRPr="007D02A7">
        <w:rPr>
          <w:rFonts w:ascii="ITC Avant Garde" w:hAnsi="ITC Avant Garde"/>
          <w:sz w:val="16"/>
          <w:szCs w:val="16"/>
        </w:rPr>
        <w:t>”, publicado en el Diario Oficial de la Federación el 27 de enero de 2016 y disponible en</w:t>
      </w:r>
    </w:p>
    <w:p w:rsidR="00EE12FA" w:rsidRPr="007D02A7" w:rsidRDefault="00EE12FA" w:rsidP="00896412">
      <w:pPr>
        <w:pStyle w:val="Textonotapie"/>
        <w:jc w:val="both"/>
        <w:rPr>
          <w:rFonts w:ascii="ITC Avant Garde" w:hAnsi="ITC Avant Garde"/>
          <w:sz w:val="16"/>
          <w:szCs w:val="16"/>
        </w:rPr>
      </w:pPr>
      <w:r w:rsidRPr="007D02A7">
        <w:rPr>
          <w:rFonts w:ascii="ITC Avant Garde" w:hAnsi="ITC Avant Garde"/>
          <w:sz w:val="16"/>
          <w:szCs w:val="16"/>
        </w:rPr>
        <w:t>http://www.dof.mx/nota_detalle.php?codigo=5423663&amp;fecha=27/01/2016, que establece:</w:t>
      </w:r>
    </w:p>
    <w:p w:rsidR="00EE12FA" w:rsidRPr="007D02A7" w:rsidRDefault="00EE12FA" w:rsidP="00896412">
      <w:pPr>
        <w:pStyle w:val="Textonotapie"/>
        <w:ind w:left="567"/>
        <w:jc w:val="both"/>
        <w:rPr>
          <w:rFonts w:ascii="ITC Avant Garde" w:hAnsi="ITC Avant Garde"/>
          <w:sz w:val="16"/>
          <w:szCs w:val="16"/>
        </w:rPr>
      </w:pPr>
      <w:r w:rsidRPr="007D02A7">
        <w:rPr>
          <w:rFonts w:ascii="ITC Avant Garde" w:hAnsi="ITC Avant Garde"/>
          <w:sz w:val="16"/>
          <w:szCs w:val="16"/>
        </w:rPr>
        <w:t>“</w:t>
      </w:r>
      <w:r w:rsidRPr="007D02A7">
        <w:rPr>
          <w:rFonts w:ascii="ITC Avant Garde" w:hAnsi="ITC Avant Garde"/>
          <w:i/>
          <w:sz w:val="16"/>
          <w:szCs w:val="16"/>
        </w:rPr>
        <w:t>Tercero.-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r w:rsidRPr="007D02A7">
        <w:rPr>
          <w:rFonts w:ascii="ITC Avant Garde" w:hAnsi="ITC Avant Garde"/>
          <w:sz w:val="16"/>
          <w:szCs w:val="16"/>
        </w:rPr>
        <w:t>”</w:t>
      </w:r>
    </w:p>
  </w:footnote>
  <w:footnote w:id="6">
    <w:p w:rsidR="00EE12FA" w:rsidRPr="007D02A7" w:rsidRDefault="00EE12FA" w:rsidP="00E13CE1">
      <w:pPr>
        <w:pStyle w:val="Textonotapie"/>
        <w:jc w:val="both"/>
        <w:rPr>
          <w:rFonts w:ascii="ITC Avant Garde" w:hAnsi="ITC Avant Garde"/>
          <w:sz w:val="16"/>
          <w:szCs w:val="16"/>
        </w:rPr>
      </w:pPr>
      <w:r w:rsidRPr="007D02A7">
        <w:rPr>
          <w:rStyle w:val="Refdenotaalpie"/>
          <w:rFonts w:ascii="ITC Avant Garde" w:hAnsi="ITC Avant Garde"/>
          <w:sz w:val="16"/>
          <w:szCs w:val="16"/>
        </w:rPr>
        <w:footnoteRef/>
      </w:r>
      <w:r w:rsidRPr="007D02A7">
        <w:rPr>
          <w:rFonts w:ascii="ITC Avant Garde" w:hAnsi="ITC Avant Garde"/>
          <w:sz w:val="16"/>
          <w:szCs w:val="16"/>
        </w:rPr>
        <w:t xml:space="preserve"> Cifra equivalente a ocho millones cuatrocientas mil veces el valor diario de la Unidad de Medida y Actualización, de acuerdo con la fracción III, artículo 86, de la LFCE. </w:t>
      </w:r>
    </w:p>
    <w:p w:rsidR="00EE12FA" w:rsidRPr="007D02A7" w:rsidRDefault="00EE12FA" w:rsidP="00E13CE1">
      <w:pPr>
        <w:pStyle w:val="Textonotapie"/>
        <w:jc w:val="both"/>
        <w:rPr>
          <w:rFonts w:ascii="ITC Avant Garde" w:hAnsi="ITC Avant Garde"/>
          <w:sz w:val="16"/>
          <w:szCs w:val="16"/>
        </w:rPr>
      </w:pPr>
      <w:r w:rsidRPr="007D02A7">
        <w:rPr>
          <w:rFonts w:ascii="ITC Avant Garde" w:hAnsi="ITC Avant Garde"/>
          <w:sz w:val="16"/>
          <w:szCs w:val="16"/>
        </w:rPr>
        <w:t>Fuente: Anexo d.1.c. del Escrito de Notificación, contenido en las Fojas 15 y 55-60 del Expediente.</w:t>
      </w:r>
    </w:p>
  </w:footnote>
  <w:footnote w:id="7">
    <w:p w:rsidR="00EE12FA" w:rsidRPr="007D02A7" w:rsidRDefault="00EE12FA" w:rsidP="004D3D9B">
      <w:pPr>
        <w:pStyle w:val="Textonotapie"/>
        <w:jc w:val="both"/>
        <w:rPr>
          <w:rFonts w:ascii="ITC Avant Garde" w:hAnsi="ITC Avant Garde"/>
          <w:sz w:val="16"/>
          <w:szCs w:val="16"/>
        </w:rPr>
      </w:pPr>
      <w:r w:rsidRPr="007D02A7">
        <w:rPr>
          <w:rStyle w:val="Refdenotaalpie"/>
          <w:rFonts w:ascii="ITC Avant Garde" w:hAnsi="ITC Avant Garde"/>
          <w:sz w:val="16"/>
          <w:szCs w:val="16"/>
        </w:rPr>
        <w:footnoteRef/>
      </w:r>
      <w:r w:rsidRPr="007D02A7">
        <w:rPr>
          <w:rFonts w:ascii="ITC Avant Garde" w:hAnsi="ITC Avant Garde"/>
          <w:sz w:val="16"/>
          <w:szCs w:val="16"/>
        </w:rPr>
        <w:t xml:space="preserve"> Fuente: Fojas 2 y 3 del Expediente.</w:t>
      </w:r>
    </w:p>
  </w:footnote>
  <w:footnote w:id="8">
    <w:p w:rsidR="00EE12FA" w:rsidRPr="007D02A7" w:rsidRDefault="00EE12FA" w:rsidP="006A704E">
      <w:pPr>
        <w:pStyle w:val="Textonotapie"/>
        <w:jc w:val="both"/>
        <w:rPr>
          <w:rFonts w:ascii="ITC Avant Garde" w:hAnsi="ITC Avant Garde"/>
          <w:sz w:val="16"/>
          <w:szCs w:val="16"/>
        </w:rPr>
      </w:pPr>
      <w:r w:rsidRPr="007D02A7">
        <w:rPr>
          <w:rStyle w:val="Refdenotaalpie"/>
          <w:rFonts w:ascii="ITC Avant Garde" w:hAnsi="ITC Avant Garde"/>
          <w:sz w:val="16"/>
          <w:szCs w:val="16"/>
        </w:rPr>
        <w:footnoteRef/>
      </w:r>
      <w:r w:rsidRPr="007D02A7">
        <w:rPr>
          <w:rFonts w:ascii="ITC Avant Garde" w:hAnsi="ITC Avant Garde"/>
          <w:sz w:val="16"/>
          <w:szCs w:val="16"/>
        </w:rPr>
        <w:t xml:space="preserve"> </w:t>
      </w:r>
      <w:r w:rsidRPr="00AA6DC4">
        <w:rPr>
          <w:rFonts w:ascii="ITC Avant Garde" w:hAnsi="ITC Avant Garde"/>
          <w:b/>
          <w:bCs/>
          <w:color w:val="0000CC"/>
          <w:sz w:val="14"/>
          <w:szCs w:val="14"/>
          <w:lang w:eastAsia="es-MX"/>
        </w:rPr>
        <w:t>“CONFIDENCIAL POR LEY (16)”</w:t>
      </w:r>
      <w:r w:rsidRPr="007D02A7">
        <w:rPr>
          <w:rFonts w:ascii="ITC Avant Garde" w:hAnsi="ITC Avant Garde"/>
          <w:sz w:val="16"/>
          <w:szCs w:val="16"/>
        </w:rPr>
        <w:t>. Fuente: Foja 15 del Expediente.</w:t>
      </w:r>
    </w:p>
  </w:footnote>
  <w:footnote w:id="9">
    <w:p w:rsidR="00EE12FA" w:rsidRPr="007D02A7" w:rsidRDefault="00EE12FA" w:rsidP="006A704E">
      <w:pPr>
        <w:pStyle w:val="Textonotapie"/>
        <w:jc w:val="both"/>
        <w:rPr>
          <w:rFonts w:ascii="ITC Avant Garde" w:hAnsi="ITC Avant Garde"/>
          <w:sz w:val="16"/>
          <w:szCs w:val="16"/>
        </w:rPr>
      </w:pPr>
      <w:r w:rsidRPr="007D02A7">
        <w:rPr>
          <w:rStyle w:val="Refdenotaalpie"/>
          <w:rFonts w:ascii="ITC Avant Garde" w:hAnsi="ITC Avant Garde"/>
          <w:sz w:val="16"/>
          <w:szCs w:val="16"/>
        </w:rPr>
        <w:footnoteRef/>
      </w:r>
      <w:r w:rsidRPr="007D02A7">
        <w:rPr>
          <w:rFonts w:ascii="ITC Avant Garde" w:hAnsi="ITC Avant Garde"/>
          <w:sz w:val="16"/>
          <w:szCs w:val="16"/>
        </w:rPr>
        <w:t xml:space="preserve"> Se utilizó un tipo de cambio de 17.6893 pesos por USD, correspondiente al tipo de cambio para solventar obligaciones denominadas en moneda extranjera pagaderas en la República Mexicana publicado por el Banco de México más bajo durante los cinco días anteriores al 31 de julio de 2017, fecha en la que se realizó la notificación de la Operación. Ello, de conformidad con el artículo 15, párrafo segundo, de las Disposiciones Regulatorias.</w:t>
      </w:r>
    </w:p>
  </w:footnote>
  <w:footnote w:id="10">
    <w:p w:rsidR="00EE12FA" w:rsidRPr="007D02A7" w:rsidRDefault="00EE12FA" w:rsidP="006A704E">
      <w:pPr>
        <w:pStyle w:val="Textonotapie"/>
        <w:jc w:val="both"/>
        <w:rPr>
          <w:rFonts w:ascii="ITC Avant Garde" w:hAnsi="ITC Avant Garde"/>
          <w:sz w:val="16"/>
          <w:szCs w:val="16"/>
        </w:rPr>
      </w:pPr>
      <w:r w:rsidRPr="007D02A7">
        <w:rPr>
          <w:rStyle w:val="Refdenotaalpie"/>
          <w:rFonts w:ascii="ITC Avant Garde" w:hAnsi="ITC Avant Garde"/>
          <w:sz w:val="16"/>
          <w:szCs w:val="16"/>
        </w:rPr>
        <w:footnoteRef/>
      </w:r>
      <w:r w:rsidRPr="007D02A7">
        <w:rPr>
          <w:rFonts w:ascii="ITC Avant Garde" w:hAnsi="ITC Avant Garde"/>
          <w:sz w:val="16"/>
          <w:szCs w:val="16"/>
        </w:rPr>
        <w:t xml:space="preserve"> De conformidad con el artículo Tercero transitorio del “</w:t>
      </w:r>
      <w:r w:rsidRPr="007D02A7">
        <w:rPr>
          <w:rFonts w:ascii="ITC Avant Garde" w:hAnsi="ITC Avant Garde"/>
          <w:i/>
          <w:sz w:val="16"/>
          <w:szCs w:val="16"/>
        </w:rPr>
        <w:t>DECRETO por el que se declara reformadas y adicionadas diversas disposiciones de la Constitución Política de los Estados Unidos Mexicanos, en materia de desindexación del salario mínimo</w:t>
      </w:r>
      <w:r w:rsidRPr="007D02A7">
        <w:rPr>
          <w:rFonts w:ascii="ITC Avant Garde" w:hAnsi="ITC Avant Garde"/>
          <w:sz w:val="16"/>
          <w:szCs w:val="16"/>
        </w:rPr>
        <w:t>”, publicado en el Diario Oficial de la Federación el 27 de enero de 2016 y disponible en</w:t>
      </w:r>
    </w:p>
    <w:p w:rsidR="00EE12FA" w:rsidRPr="007D02A7" w:rsidRDefault="00EE12FA" w:rsidP="006A704E">
      <w:pPr>
        <w:pStyle w:val="Textonotapie"/>
        <w:jc w:val="both"/>
        <w:rPr>
          <w:rFonts w:ascii="ITC Avant Garde" w:hAnsi="ITC Avant Garde"/>
          <w:sz w:val="16"/>
          <w:szCs w:val="16"/>
        </w:rPr>
      </w:pPr>
      <w:r w:rsidRPr="007D02A7">
        <w:rPr>
          <w:rFonts w:ascii="ITC Avant Garde" w:hAnsi="ITC Avant Garde"/>
          <w:sz w:val="16"/>
          <w:szCs w:val="16"/>
        </w:rPr>
        <w:t>http://www.dof.mx/nota_detalle.php?codigo=5423663&amp;fecha=27/01/2016, que establece:</w:t>
      </w:r>
    </w:p>
    <w:p w:rsidR="00EE12FA" w:rsidRPr="007D02A7" w:rsidRDefault="00EE12FA" w:rsidP="006A704E">
      <w:pPr>
        <w:pStyle w:val="Textonotapie"/>
        <w:ind w:left="567"/>
        <w:jc w:val="both"/>
        <w:rPr>
          <w:rFonts w:ascii="ITC Avant Garde" w:hAnsi="ITC Avant Garde"/>
          <w:sz w:val="16"/>
          <w:szCs w:val="16"/>
        </w:rPr>
      </w:pPr>
      <w:r w:rsidRPr="007D02A7">
        <w:rPr>
          <w:rFonts w:ascii="ITC Avant Garde" w:hAnsi="ITC Avant Garde"/>
          <w:sz w:val="16"/>
          <w:szCs w:val="16"/>
        </w:rPr>
        <w:t>“</w:t>
      </w:r>
      <w:r w:rsidRPr="007D02A7">
        <w:rPr>
          <w:rFonts w:ascii="ITC Avant Garde" w:hAnsi="ITC Avant Garde"/>
          <w:i/>
          <w:sz w:val="16"/>
          <w:szCs w:val="16"/>
        </w:rPr>
        <w:t>Tercero.-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r w:rsidRPr="007D02A7">
        <w:rPr>
          <w:rFonts w:ascii="ITC Avant Garde" w:hAnsi="ITC Avant Garde"/>
          <w:sz w:val="16"/>
          <w:szCs w:val="16"/>
        </w:rPr>
        <w:t>”</w:t>
      </w:r>
    </w:p>
  </w:footnote>
  <w:footnote w:id="11">
    <w:p w:rsidR="00EE12FA" w:rsidRPr="007D02A7" w:rsidRDefault="00EE12FA" w:rsidP="003017DD">
      <w:pPr>
        <w:pStyle w:val="Textonotapie"/>
        <w:jc w:val="both"/>
        <w:rPr>
          <w:rFonts w:ascii="ITC Avant Garde" w:hAnsi="ITC Avant Garde"/>
          <w:sz w:val="16"/>
          <w:szCs w:val="16"/>
        </w:rPr>
      </w:pPr>
      <w:r w:rsidRPr="007D02A7">
        <w:rPr>
          <w:rStyle w:val="Refdenotaalpie"/>
          <w:rFonts w:ascii="ITC Avant Garde" w:hAnsi="ITC Avant Garde"/>
          <w:sz w:val="16"/>
          <w:szCs w:val="16"/>
        </w:rPr>
        <w:footnoteRef/>
      </w:r>
      <w:r w:rsidRPr="007D02A7">
        <w:rPr>
          <w:rFonts w:ascii="ITC Avant Garde" w:hAnsi="ITC Avant Garde"/>
          <w:sz w:val="16"/>
          <w:szCs w:val="16"/>
        </w:rPr>
        <w:t xml:space="preserve"> El valor diario de la Unidad de Medida y Actualización aplicable es de 75.49 (setenta y cinco punto cuarenta y nueve) pesos, correspondiente al día anterior al 31 de julio de 2017, fecha en la que se realizó la notificación de la Operación. Ello, de conformidad con el artículo 15, párrafo segundo, de las Disposiciones Regulatorias. Ver</w:t>
      </w:r>
    </w:p>
    <w:p w:rsidR="00EE12FA" w:rsidRPr="007D02A7" w:rsidRDefault="00EE12FA" w:rsidP="003017DD">
      <w:pPr>
        <w:pStyle w:val="Textonotapie"/>
        <w:jc w:val="both"/>
        <w:rPr>
          <w:rFonts w:ascii="ITC Avant Garde" w:hAnsi="ITC Avant Garde"/>
          <w:sz w:val="16"/>
          <w:szCs w:val="16"/>
        </w:rPr>
      </w:pPr>
      <w:r w:rsidRPr="007D02A7">
        <w:rPr>
          <w:rFonts w:ascii="ITC Avant Garde" w:hAnsi="ITC Avant Garde"/>
          <w:sz w:val="16"/>
          <w:szCs w:val="16"/>
        </w:rPr>
        <w:t>http://www.inegi.org.mx/est/contenidos/proyectos/uma/default.aspx.</w:t>
      </w:r>
    </w:p>
  </w:footnote>
  <w:footnote w:id="12">
    <w:p w:rsidR="00EE12FA" w:rsidRPr="007D02A7" w:rsidRDefault="00EE12FA" w:rsidP="002053C1">
      <w:pPr>
        <w:pStyle w:val="Textonotapie"/>
        <w:jc w:val="both"/>
        <w:rPr>
          <w:rFonts w:ascii="ITC Avant Garde" w:hAnsi="ITC Avant Garde"/>
          <w:sz w:val="16"/>
          <w:szCs w:val="16"/>
        </w:rPr>
      </w:pPr>
      <w:r w:rsidRPr="007D02A7">
        <w:rPr>
          <w:rStyle w:val="Refdenotaalpie"/>
          <w:rFonts w:ascii="ITC Avant Garde" w:hAnsi="ITC Avant Garde"/>
          <w:sz w:val="16"/>
          <w:szCs w:val="16"/>
        </w:rPr>
        <w:footnoteRef/>
      </w:r>
      <w:r w:rsidRPr="007D02A7">
        <w:rPr>
          <w:rFonts w:ascii="ITC Avant Garde" w:hAnsi="ITC Avant Garde"/>
          <w:sz w:val="16"/>
          <w:szCs w:val="16"/>
        </w:rPr>
        <w:t xml:space="preserve"> Cifra equivalente a ocho millones cuatrocientas mil veces el valor diario de la Unidad de Medida y Actualización, de acuerdo con la fracción III, artículo 86, de la LFCE. </w:t>
      </w:r>
    </w:p>
    <w:p w:rsidR="00EE12FA" w:rsidRPr="007D02A7" w:rsidRDefault="00EE12FA" w:rsidP="002053C1">
      <w:pPr>
        <w:pStyle w:val="Textonotapie"/>
        <w:jc w:val="both"/>
        <w:rPr>
          <w:rFonts w:ascii="ITC Avant Garde" w:hAnsi="ITC Avant Garde"/>
          <w:sz w:val="16"/>
          <w:szCs w:val="16"/>
        </w:rPr>
      </w:pPr>
      <w:r w:rsidRPr="007D02A7">
        <w:rPr>
          <w:rFonts w:ascii="ITC Avant Garde" w:hAnsi="ITC Avant Garde"/>
          <w:sz w:val="16"/>
          <w:szCs w:val="16"/>
        </w:rPr>
        <w:t>Fuente: Anexo d.1.c. del Escrito de Notificación, contenido en las Fojas 15 y 55-60 del Expediente.</w:t>
      </w:r>
    </w:p>
  </w:footnote>
  <w:footnote w:id="13">
    <w:p w:rsidR="00EE12FA" w:rsidRPr="007D02A7" w:rsidRDefault="00EE12FA" w:rsidP="004D3D9B">
      <w:pPr>
        <w:pStyle w:val="Textonotapie"/>
        <w:jc w:val="both"/>
        <w:rPr>
          <w:rFonts w:ascii="ITC Avant Garde" w:hAnsi="ITC Avant Garde"/>
          <w:sz w:val="16"/>
          <w:szCs w:val="16"/>
        </w:rPr>
      </w:pPr>
      <w:r w:rsidRPr="007D02A7">
        <w:rPr>
          <w:rStyle w:val="Refdenotaalpie"/>
          <w:rFonts w:ascii="ITC Avant Garde" w:hAnsi="ITC Avant Garde"/>
          <w:sz w:val="16"/>
          <w:szCs w:val="16"/>
        </w:rPr>
        <w:footnoteRef/>
      </w:r>
      <w:r w:rsidRPr="007D02A7">
        <w:rPr>
          <w:rFonts w:ascii="ITC Avant Garde" w:hAnsi="ITC Avant Garde"/>
          <w:sz w:val="16"/>
          <w:szCs w:val="16"/>
        </w:rPr>
        <w:t xml:space="preserve"> Escritura pública número cuarenta y tres mil novecientos setenta y tres, otorgada ante la fe del licenciado Roberto Núñez y Bandera, entonces titular de la Notaría Pública número uno de la Ciudad de México. Fuente: Fojas 1118-1149 del Expediente.</w:t>
      </w:r>
    </w:p>
  </w:footnote>
  <w:footnote w:id="14">
    <w:p w:rsidR="00EE12FA" w:rsidRPr="007D02A7" w:rsidRDefault="00EE12FA" w:rsidP="00C8443A">
      <w:pPr>
        <w:pStyle w:val="Textonotapie"/>
        <w:jc w:val="both"/>
        <w:rPr>
          <w:rFonts w:ascii="ITC Avant Garde" w:hAnsi="ITC Avant Garde"/>
          <w:sz w:val="16"/>
          <w:szCs w:val="16"/>
        </w:rPr>
      </w:pPr>
      <w:r w:rsidRPr="007D02A7">
        <w:rPr>
          <w:rStyle w:val="Refdenotaalpie"/>
          <w:rFonts w:ascii="ITC Avant Garde" w:hAnsi="ITC Avant Garde"/>
          <w:sz w:val="16"/>
          <w:szCs w:val="16"/>
        </w:rPr>
        <w:footnoteRef/>
      </w:r>
      <w:r w:rsidRPr="007D02A7">
        <w:rPr>
          <w:rFonts w:ascii="ITC Avant Garde" w:hAnsi="ITC Avant Garde"/>
          <w:sz w:val="16"/>
          <w:szCs w:val="16"/>
        </w:rPr>
        <w:t xml:space="preserve"> De acuerdo con información del Expediente, Foja 5, la sociedad ATC Tower </w:t>
      </w:r>
      <w:proofErr w:type="spellStart"/>
      <w:r w:rsidRPr="007D02A7">
        <w:rPr>
          <w:rFonts w:ascii="ITC Avant Garde" w:hAnsi="ITC Avant Garde"/>
          <w:sz w:val="16"/>
          <w:szCs w:val="16"/>
        </w:rPr>
        <w:t>Services</w:t>
      </w:r>
      <w:proofErr w:type="spellEnd"/>
      <w:r w:rsidRPr="007D02A7">
        <w:rPr>
          <w:rFonts w:ascii="ITC Avant Garde" w:hAnsi="ITC Avant Garde"/>
          <w:sz w:val="16"/>
          <w:szCs w:val="16"/>
        </w:rPr>
        <w:t xml:space="preserve"> es una subsidiaria indirecta, </w:t>
      </w:r>
      <w:r w:rsidRPr="00AA6DC4">
        <w:rPr>
          <w:rFonts w:ascii="ITC Avant Garde" w:hAnsi="ITC Avant Garde"/>
          <w:b/>
          <w:bCs/>
          <w:color w:val="0000CC"/>
          <w:sz w:val="14"/>
          <w:szCs w:val="14"/>
          <w:lang w:eastAsia="es-MX"/>
        </w:rPr>
        <w:t>“CONFIDENCIAL POR LEY (19)”</w:t>
      </w:r>
      <w:r w:rsidRPr="007D02A7">
        <w:rPr>
          <w:rFonts w:ascii="ITC Avant Garde" w:hAnsi="ITC Avant Garde"/>
          <w:sz w:val="16"/>
          <w:szCs w:val="16"/>
        </w:rPr>
        <w:t xml:space="preserve"> controlada y propiedad de ATC.</w:t>
      </w:r>
    </w:p>
  </w:footnote>
  <w:footnote w:id="15">
    <w:p w:rsidR="00EE12FA" w:rsidRPr="007D02A7" w:rsidRDefault="00EE12FA" w:rsidP="00C8443A">
      <w:pPr>
        <w:pStyle w:val="Textonotapie"/>
        <w:jc w:val="both"/>
        <w:rPr>
          <w:rFonts w:ascii="ITC Avant Garde" w:hAnsi="ITC Avant Garde"/>
          <w:sz w:val="16"/>
          <w:szCs w:val="16"/>
        </w:rPr>
      </w:pPr>
      <w:r w:rsidRPr="007D02A7">
        <w:rPr>
          <w:rStyle w:val="Refdenotaalpie"/>
          <w:rFonts w:ascii="ITC Avant Garde" w:hAnsi="ITC Avant Garde"/>
          <w:sz w:val="16"/>
          <w:szCs w:val="16"/>
        </w:rPr>
        <w:footnoteRef/>
      </w:r>
      <w:r w:rsidRPr="007D02A7">
        <w:rPr>
          <w:rFonts w:ascii="ITC Avant Garde" w:hAnsi="ITC Avant Garde"/>
          <w:sz w:val="16"/>
          <w:szCs w:val="16"/>
        </w:rPr>
        <w:t xml:space="preserve"> De acuerdo con información del Expediente, Foja 5, la sociedad ATC </w:t>
      </w:r>
      <w:proofErr w:type="spellStart"/>
      <w:r w:rsidRPr="007D02A7">
        <w:rPr>
          <w:rFonts w:ascii="ITC Avant Garde" w:hAnsi="ITC Avant Garde"/>
          <w:sz w:val="16"/>
          <w:szCs w:val="16"/>
        </w:rPr>
        <w:t>Mexhold</w:t>
      </w:r>
      <w:proofErr w:type="spellEnd"/>
      <w:r w:rsidRPr="007D02A7">
        <w:rPr>
          <w:rFonts w:ascii="ITC Avant Garde" w:hAnsi="ITC Avant Garde"/>
          <w:sz w:val="16"/>
          <w:szCs w:val="16"/>
        </w:rPr>
        <w:t xml:space="preserve">, LLC es una subsidiaria indirecta, </w:t>
      </w:r>
      <w:r w:rsidRPr="00AA6DC4">
        <w:rPr>
          <w:rFonts w:ascii="ITC Avant Garde" w:hAnsi="ITC Avant Garde"/>
          <w:b/>
          <w:bCs/>
          <w:color w:val="0000CC"/>
          <w:sz w:val="14"/>
          <w:szCs w:val="14"/>
          <w:lang w:eastAsia="es-MX"/>
        </w:rPr>
        <w:t>“CONFIDENCIAL POR LEY (22)”</w:t>
      </w:r>
      <w:r w:rsidRPr="007D02A7">
        <w:rPr>
          <w:rFonts w:ascii="ITC Avant Garde" w:hAnsi="ITC Avant Garde"/>
          <w:sz w:val="16"/>
          <w:szCs w:val="16"/>
        </w:rPr>
        <w:t xml:space="preserve"> controlada y propiedad de ATC.</w:t>
      </w:r>
    </w:p>
  </w:footnote>
  <w:footnote w:id="16">
    <w:p w:rsidR="00EE12FA" w:rsidRPr="007D02A7" w:rsidRDefault="00EE12FA" w:rsidP="007256A0">
      <w:pPr>
        <w:pStyle w:val="Textonotapie"/>
        <w:rPr>
          <w:rFonts w:ascii="ITC Avant Garde" w:hAnsi="ITC Avant Garde"/>
          <w:sz w:val="16"/>
          <w:szCs w:val="16"/>
        </w:rPr>
      </w:pPr>
      <w:r w:rsidRPr="007D02A7">
        <w:rPr>
          <w:rStyle w:val="Refdenotaalpie"/>
          <w:rFonts w:ascii="ITC Avant Garde" w:hAnsi="ITC Avant Garde"/>
          <w:sz w:val="16"/>
          <w:szCs w:val="16"/>
        </w:rPr>
        <w:footnoteRef/>
      </w:r>
      <w:r w:rsidRPr="007D02A7">
        <w:rPr>
          <w:rFonts w:ascii="ITC Avant Garde" w:hAnsi="ITC Avant Garde"/>
          <w:sz w:val="16"/>
          <w:szCs w:val="16"/>
        </w:rPr>
        <w:t xml:space="preserve"> Información contenida en Foja 5 del Expediente.</w:t>
      </w:r>
    </w:p>
  </w:footnote>
  <w:footnote w:id="17">
    <w:p w:rsidR="00EE12FA" w:rsidRPr="007D02A7" w:rsidRDefault="00EE12FA">
      <w:pPr>
        <w:pStyle w:val="Textonotapie"/>
        <w:rPr>
          <w:rFonts w:ascii="ITC Avant Garde" w:hAnsi="ITC Avant Garde"/>
          <w:sz w:val="16"/>
          <w:szCs w:val="16"/>
        </w:rPr>
      </w:pPr>
      <w:r w:rsidRPr="007D02A7">
        <w:rPr>
          <w:rStyle w:val="Refdenotaalpie"/>
          <w:rFonts w:ascii="ITC Avant Garde" w:hAnsi="ITC Avant Garde"/>
          <w:sz w:val="16"/>
          <w:szCs w:val="16"/>
        </w:rPr>
        <w:footnoteRef/>
      </w:r>
      <w:r w:rsidRPr="007D02A7">
        <w:rPr>
          <w:rFonts w:ascii="ITC Avant Garde" w:hAnsi="ITC Avant Garde"/>
          <w:sz w:val="16"/>
          <w:szCs w:val="16"/>
        </w:rPr>
        <w:t xml:space="preserve"> Información contenida en Foja 80 del Expediente.</w:t>
      </w:r>
    </w:p>
  </w:footnote>
  <w:footnote w:id="18">
    <w:p w:rsidR="00EE12FA" w:rsidRPr="007D02A7" w:rsidRDefault="00EE12FA" w:rsidP="002C6429">
      <w:pPr>
        <w:pStyle w:val="Textonotapie"/>
        <w:jc w:val="both"/>
        <w:rPr>
          <w:rFonts w:ascii="ITC Avant Garde" w:hAnsi="ITC Avant Garde"/>
          <w:sz w:val="16"/>
          <w:szCs w:val="16"/>
        </w:rPr>
      </w:pPr>
      <w:r w:rsidRPr="007D02A7">
        <w:rPr>
          <w:rStyle w:val="Refdenotaalpie"/>
          <w:rFonts w:ascii="ITC Avant Garde" w:hAnsi="ITC Avant Garde"/>
          <w:sz w:val="16"/>
          <w:szCs w:val="16"/>
        </w:rPr>
        <w:footnoteRef/>
      </w:r>
      <w:r w:rsidRPr="007D02A7">
        <w:rPr>
          <w:rFonts w:ascii="ITC Avant Garde" w:hAnsi="ITC Avant Garde"/>
          <w:sz w:val="16"/>
          <w:szCs w:val="16"/>
        </w:rPr>
        <w:t xml:space="preserve"> Constituyen hechos notorios para efectos de este cumplimiento: los acontecimientos de dominio público, el contenido de las páginas web de diversos agentes económicos y la documentación contenida en los expedientes que obren en sus archivos. Sirven de base a lo anterior las siguientes tesis.</w:t>
      </w:r>
    </w:p>
    <w:p w:rsidR="00EE12FA" w:rsidRPr="007D02A7" w:rsidRDefault="00EE12FA" w:rsidP="002C6429">
      <w:pPr>
        <w:spacing w:after="0" w:line="240" w:lineRule="auto"/>
        <w:jc w:val="both"/>
        <w:rPr>
          <w:rFonts w:ascii="ITC Avant Garde" w:hAnsi="ITC Avant Garde"/>
          <w:sz w:val="16"/>
          <w:szCs w:val="16"/>
        </w:rPr>
      </w:pPr>
      <w:r w:rsidRPr="007D02A7">
        <w:rPr>
          <w:rFonts w:ascii="ITC Avant Garde" w:hAnsi="ITC Avant Garde"/>
          <w:sz w:val="16"/>
          <w:szCs w:val="16"/>
        </w:rPr>
        <w:t>HECHOS NOTORIOS. CONCEPTOS GENERAL Y JURÍDICO. Época: Novena Época. Registro: 174899. Instancia: Pleno. Tipo de Tesis: Jurisprudencia. Fuente: Semanario Judicial de la Federación y su Gaceta, Tomo XXIII, Junio de 2006. Materia(s): Común. Tesis: P</w:t>
      </w:r>
      <w:proofErr w:type="gramStart"/>
      <w:r w:rsidRPr="007D02A7">
        <w:rPr>
          <w:rFonts w:ascii="ITC Avant Garde" w:hAnsi="ITC Avant Garde"/>
          <w:sz w:val="16"/>
          <w:szCs w:val="16"/>
        </w:rPr>
        <w:t>./</w:t>
      </w:r>
      <w:proofErr w:type="gramEnd"/>
      <w:r w:rsidRPr="007D02A7">
        <w:rPr>
          <w:rFonts w:ascii="ITC Avant Garde" w:hAnsi="ITC Avant Garde"/>
          <w:sz w:val="16"/>
          <w:szCs w:val="16"/>
        </w:rPr>
        <w:t>J. 74/2006, página 963.</w:t>
      </w:r>
    </w:p>
    <w:p w:rsidR="00EE12FA" w:rsidRPr="007D02A7" w:rsidRDefault="00EE12FA" w:rsidP="002C6429">
      <w:pPr>
        <w:pStyle w:val="Textonotapie"/>
        <w:jc w:val="both"/>
        <w:rPr>
          <w:rFonts w:ascii="ITC Avant Garde" w:hAnsi="ITC Avant Garde"/>
          <w:sz w:val="16"/>
          <w:szCs w:val="16"/>
        </w:rPr>
      </w:pPr>
      <w:r w:rsidRPr="007D02A7">
        <w:rPr>
          <w:rFonts w:ascii="ITC Avant Garde" w:hAnsi="ITC Avant Garde"/>
          <w:sz w:val="16"/>
          <w:szCs w:val="16"/>
        </w:rPr>
        <w:t>HECHOS NOTORIOS, LOS MAGISTRADOS INTEGRANTES DE LOS TRIBUNALES COLEGIADOS DE CIRCUITO PUEDEN INVOCAR CON ESE CARÁCTER LAS EJECUTORIAS QUE EMITIERON Y LOS DIFERENTES DATOS E INFORMACIÓN CONTENIDOS EN DICHAS RESOLUCIONES Y EN LOS ASUNTOS QUE SE SIGAN ANTE LOS PROPIOS ÓRGANOS. Novena Época, Registro número 164049, Primer Tribunal Colegiado en Materias Penal y de Trabajo del Décimo Noveno Circuito, Tesis Jurisprudencia, Semanario Judicial de la Federación y su Gaceta, Tomo XXXII, Agosto de 2010, Materia Común, Tesis: XIX, 1o, PTJ/4, página 2023.</w:t>
      </w:r>
    </w:p>
    <w:p w:rsidR="00EE12FA" w:rsidRPr="007D02A7" w:rsidRDefault="00EE12FA" w:rsidP="002C6429">
      <w:pPr>
        <w:pStyle w:val="Textonotapie"/>
        <w:jc w:val="both"/>
        <w:rPr>
          <w:rFonts w:ascii="ITC Avant Garde" w:hAnsi="ITC Avant Garde"/>
          <w:sz w:val="16"/>
          <w:szCs w:val="16"/>
        </w:rPr>
      </w:pPr>
      <w:r w:rsidRPr="007D02A7">
        <w:rPr>
          <w:rFonts w:ascii="ITC Avant Garde" w:hAnsi="ITC Avant Garde"/>
          <w:sz w:val="16"/>
          <w:szCs w:val="16"/>
        </w:rPr>
        <w:t xml:space="preserve">HECHO NOTORIO. LO CONSTITUYEN LAS RESOLUCIONES DE LOS ÓRGANOS DEL CONSEJO DE LA JUDICATURA FEDERAL QUE SE REGISTRAN EN EL SISTEMA INTEGRAL DE SEGUIMIENTO DE EXPEDIENTES. Décima Época, Registro 2009054, Décimo Tribunal Colegiado en Materia Civil del Primer Circuito, Tesis Aislada, Gaceta del Semanario Judicial de la Federación, Libro 18, Mayo de 2015, Tomo III, Materia Común, Tesis I.10o.C.2 K (10a.), página: 2187. </w:t>
      </w:r>
    </w:p>
    <w:p w:rsidR="00EE12FA" w:rsidRPr="007D02A7" w:rsidRDefault="00EE12FA" w:rsidP="002C6429">
      <w:pPr>
        <w:spacing w:after="0" w:line="240" w:lineRule="auto"/>
        <w:jc w:val="both"/>
        <w:rPr>
          <w:rFonts w:ascii="ITC Avant Garde" w:hAnsi="ITC Avant Garde"/>
          <w:sz w:val="16"/>
          <w:szCs w:val="16"/>
        </w:rPr>
      </w:pPr>
      <w:r w:rsidRPr="007D02A7">
        <w:rPr>
          <w:rFonts w:ascii="ITC Avant Garde" w:hAnsi="ITC Avant Garde"/>
          <w:sz w:val="16"/>
          <w:szCs w:val="16"/>
        </w:rPr>
        <w:t>PÁGINAS WEB O ELECTRÓNICAS. SU CONTENIDO ES UN HECHO NOTORIO Y SUSCEPTIBLE DE SER VALORADO EN UNA DECISIÓN JUDICIAL. Época: Décima Época. Registro: 2004949. Instancia: Tribunales Colegiados de Circuito. Tipo de Tesis: Aislada. Fuente: Semanario Judicial de la Federación y su Gaceta Libro XXVI, Noviembre de 2013, Tomo 2. Materia(s): Civil. Tesis: I.3o.C.35 K (10a.), página 1373.</w:t>
      </w:r>
    </w:p>
  </w:footnote>
  <w:footnote w:id="19">
    <w:p w:rsidR="00EE12FA" w:rsidRPr="007D02A7" w:rsidRDefault="00EE12FA" w:rsidP="002C6429">
      <w:pPr>
        <w:pStyle w:val="Textonotapie"/>
        <w:jc w:val="both"/>
        <w:rPr>
          <w:rFonts w:ascii="ITC Avant Garde" w:hAnsi="ITC Avant Garde"/>
          <w:sz w:val="16"/>
          <w:szCs w:val="16"/>
        </w:rPr>
      </w:pPr>
      <w:r w:rsidRPr="007D02A7">
        <w:rPr>
          <w:rStyle w:val="Refdenotaalpie"/>
          <w:rFonts w:ascii="ITC Avant Garde" w:hAnsi="ITC Avant Garde"/>
          <w:sz w:val="16"/>
          <w:szCs w:val="16"/>
        </w:rPr>
        <w:footnoteRef/>
      </w:r>
      <w:r w:rsidRPr="007D02A7">
        <w:rPr>
          <w:rFonts w:ascii="ITC Avant Garde" w:hAnsi="ITC Avant Garde"/>
          <w:sz w:val="16"/>
          <w:szCs w:val="16"/>
        </w:rPr>
        <w:t xml:space="preserve"> Véase la información contenida en las resoluciones emitidas por el Pleno del Instituto en los expedientes UCE/CNC-003-2014, UCE/CNC-006-2014, UCE/CNC-001-2015 y UCE/OLC-001-2016, cuyas versiones públicas están disponibles en http://apps.ift.org.mx/publicdata/P_IFT_EXT_131114_225_Version_Publica.pdf, http://apps.ift.org.mx/publicdata/P_IFT_EXT_181214_282_Version_Publica.pdf</w:t>
      </w:r>
      <w:r w:rsidRPr="007D02A7">
        <w:rPr>
          <w:rStyle w:val="Hipervnculo"/>
          <w:rFonts w:ascii="ITC Avant Garde" w:hAnsi="ITC Avant Garde"/>
          <w:sz w:val="16"/>
          <w:szCs w:val="16"/>
        </w:rPr>
        <w:t xml:space="preserve"> </w:t>
      </w:r>
      <w:r w:rsidRPr="007D02A7">
        <w:rPr>
          <w:rFonts w:ascii="ITC Avant Garde" w:hAnsi="ITC Avant Garde"/>
          <w:sz w:val="16"/>
          <w:szCs w:val="16"/>
        </w:rPr>
        <w:t>,</w:t>
      </w:r>
    </w:p>
    <w:p w:rsidR="00EE12FA" w:rsidRPr="007D02A7" w:rsidRDefault="00EE12FA" w:rsidP="002C6429">
      <w:pPr>
        <w:pStyle w:val="Textonotapie"/>
        <w:jc w:val="both"/>
        <w:rPr>
          <w:rStyle w:val="Hipervnculo"/>
          <w:rFonts w:ascii="ITC Avant Garde" w:hAnsi="ITC Avant Garde"/>
          <w:sz w:val="16"/>
          <w:szCs w:val="16"/>
        </w:rPr>
      </w:pPr>
      <w:r w:rsidRPr="007D02A7">
        <w:rPr>
          <w:rFonts w:ascii="ITC Avant Garde" w:hAnsi="ITC Avant Garde"/>
          <w:sz w:val="16"/>
          <w:szCs w:val="16"/>
        </w:rPr>
        <w:t>http://www.ift.org.mx/sites/default/files/conocenos/pleno/sesiones/acuerdoliga/versionpublicapiftext29041586.pdf  y http://apps.ift.org.mx/publicdata/Version_Publica_UCE_P_IFT_EXT_131016_25.pdf</w:t>
      </w:r>
      <w:r w:rsidRPr="007D02A7">
        <w:rPr>
          <w:rStyle w:val="Hipervnculo"/>
          <w:rFonts w:ascii="ITC Avant Garde" w:hAnsi="ITC Avant Garde"/>
          <w:sz w:val="16"/>
          <w:szCs w:val="16"/>
        </w:rPr>
        <w:t>.</w:t>
      </w:r>
    </w:p>
    <w:p w:rsidR="00EE12FA" w:rsidRPr="007D02A7" w:rsidRDefault="00EE12FA" w:rsidP="002C6429">
      <w:pPr>
        <w:pStyle w:val="Textonotapie"/>
        <w:jc w:val="both"/>
        <w:rPr>
          <w:rFonts w:ascii="ITC Avant Garde" w:hAnsi="ITC Avant Garde"/>
          <w:sz w:val="16"/>
          <w:szCs w:val="16"/>
        </w:rPr>
      </w:pPr>
      <w:r w:rsidRPr="007D02A7">
        <w:rPr>
          <w:rFonts w:ascii="ITC Avant Garde" w:hAnsi="ITC Avant Garde"/>
          <w:sz w:val="16"/>
          <w:szCs w:val="16"/>
        </w:rPr>
        <w:t xml:space="preserve">En la resolución al expediente UCE/OLC-001-2016, se identificó que </w:t>
      </w:r>
      <w:proofErr w:type="spellStart"/>
      <w:r w:rsidRPr="007D02A7">
        <w:rPr>
          <w:rFonts w:ascii="ITC Avant Garde" w:hAnsi="ITC Avant Garde"/>
          <w:sz w:val="16"/>
          <w:szCs w:val="16"/>
        </w:rPr>
        <w:t>The</w:t>
      </w:r>
      <w:proofErr w:type="spellEnd"/>
      <w:r w:rsidRPr="007D02A7">
        <w:rPr>
          <w:rFonts w:ascii="ITC Avant Garde" w:hAnsi="ITC Avant Garde"/>
          <w:sz w:val="16"/>
          <w:szCs w:val="16"/>
        </w:rPr>
        <w:t xml:space="preserve"> </w:t>
      </w:r>
      <w:proofErr w:type="spellStart"/>
      <w:r w:rsidRPr="007D02A7">
        <w:rPr>
          <w:rFonts w:ascii="ITC Avant Garde" w:hAnsi="ITC Avant Garde"/>
          <w:sz w:val="16"/>
          <w:szCs w:val="16"/>
        </w:rPr>
        <w:t>Vanguard</w:t>
      </w:r>
      <w:proofErr w:type="spellEnd"/>
      <w:r w:rsidRPr="007D02A7">
        <w:rPr>
          <w:rFonts w:ascii="ITC Avant Garde" w:hAnsi="ITC Avant Garde"/>
          <w:sz w:val="16"/>
          <w:szCs w:val="16"/>
        </w:rPr>
        <w:t xml:space="preserve"> </w:t>
      </w:r>
      <w:proofErr w:type="spellStart"/>
      <w:r w:rsidRPr="007D02A7">
        <w:rPr>
          <w:rFonts w:ascii="ITC Avant Garde" w:hAnsi="ITC Avant Garde"/>
          <w:sz w:val="16"/>
          <w:szCs w:val="16"/>
        </w:rPr>
        <w:t>Group</w:t>
      </w:r>
      <w:proofErr w:type="spellEnd"/>
      <w:r w:rsidRPr="007D02A7">
        <w:rPr>
          <w:rFonts w:ascii="ITC Avant Garde" w:hAnsi="ITC Avant Garde"/>
          <w:sz w:val="16"/>
          <w:szCs w:val="16"/>
        </w:rPr>
        <w:t xml:space="preserve"> era accionista de EchoStar </w:t>
      </w:r>
      <w:proofErr w:type="spellStart"/>
      <w:r w:rsidRPr="007D02A7">
        <w:rPr>
          <w:rFonts w:ascii="ITC Avant Garde" w:hAnsi="ITC Avant Garde"/>
          <w:sz w:val="16"/>
          <w:szCs w:val="16"/>
        </w:rPr>
        <w:t>Corporation</w:t>
      </w:r>
      <w:proofErr w:type="spellEnd"/>
      <w:r w:rsidRPr="007D02A7">
        <w:rPr>
          <w:rFonts w:ascii="ITC Avant Garde" w:hAnsi="ITC Avant Garde"/>
          <w:sz w:val="16"/>
          <w:szCs w:val="16"/>
        </w:rPr>
        <w:t xml:space="preserve">, al respecto, en ese documento se señaló que </w:t>
      </w:r>
      <w:proofErr w:type="spellStart"/>
      <w:r w:rsidRPr="007D02A7">
        <w:rPr>
          <w:rFonts w:ascii="ITC Avant Garde" w:hAnsi="ITC Avant Garde"/>
          <w:sz w:val="16"/>
          <w:szCs w:val="16"/>
        </w:rPr>
        <w:t>The</w:t>
      </w:r>
      <w:proofErr w:type="spellEnd"/>
      <w:r w:rsidRPr="007D02A7">
        <w:rPr>
          <w:rFonts w:ascii="ITC Avant Garde" w:hAnsi="ITC Avant Garde"/>
          <w:sz w:val="16"/>
          <w:szCs w:val="16"/>
        </w:rPr>
        <w:t xml:space="preserve"> </w:t>
      </w:r>
      <w:proofErr w:type="spellStart"/>
      <w:r w:rsidRPr="007D02A7">
        <w:rPr>
          <w:rFonts w:ascii="ITC Avant Garde" w:hAnsi="ITC Avant Garde"/>
          <w:sz w:val="16"/>
          <w:szCs w:val="16"/>
        </w:rPr>
        <w:t>Vanguard</w:t>
      </w:r>
      <w:proofErr w:type="spellEnd"/>
      <w:r w:rsidRPr="007D02A7">
        <w:rPr>
          <w:rFonts w:ascii="ITC Avant Garde" w:hAnsi="ITC Avant Garde"/>
          <w:sz w:val="16"/>
          <w:szCs w:val="16"/>
        </w:rPr>
        <w:t xml:space="preserve"> </w:t>
      </w:r>
      <w:proofErr w:type="spellStart"/>
      <w:r w:rsidRPr="007D02A7">
        <w:rPr>
          <w:rFonts w:ascii="ITC Avant Garde" w:hAnsi="ITC Avant Garde"/>
          <w:sz w:val="16"/>
          <w:szCs w:val="16"/>
        </w:rPr>
        <w:t>Group</w:t>
      </w:r>
      <w:proofErr w:type="spellEnd"/>
      <w:r w:rsidRPr="007D02A7">
        <w:rPr>
          <w:rFonts w:ascii="ITC Avant Garde" w:hAnsi="ITC Avant Garde"/>
          <w:sz w:val="16"/>
          <w:szCs w:val="16"/>
        </w:rPr>
        <w:t xml:space="preserve"> no tenía control ni influencia significativa sobre ésta última. </w:t>
      </w:r>
    </w:p>
  </w:footnote>
  <w:footnote w:id="20">
    <w:p w:rsidR="00EE12FA" w:rsidRPr="007D02A7" w:rsidRDefault="00EE12FA" w:rsidP="009326BB">
      <w:pPr>
        <w:pStyle w:val="Textonotapie"/>
        <w:jc w:val="both"/>
        <w:rPr>
          <w:rFonts w:ascii="ITC Avant Garde" w:hAnsi="ITC Avant Garde"/>
          <w:sz w:val="16"/>
          <w:szCs w:val="16"/>
        </w:rPr>
      </w:pPr>
      <w:r w:rsidRPr="007D02A7">
        <w:rPr>
          <w:rStyle w:val="Refdenotaalpie"/>
          <w:rFonts w:ascii="ITC Avant Garde" w:hAnsi="ITC Avant Garde"/>
          <w:sz w:val="16"/>
          <w:szCs w:val="16"/>
        </w:rPr>
        <w:footnoteRef/>
      </w:r>
      <w:r w:rsidRPr="007D02A7">
        <w:rPr>
          <w:rFonts w:ascii="ITC Avant Garde" w:hAnsi="ITC Avant Garde"/>
          <w:sz w:val="16"/>
          <w:szCs w:val="16"/>
        </w:rPr>
        <w:t xml:space="preserve"> Información disponible en: http://apps.ift.org.mx/publicdata/P_IFT_EXT_131114_225_Version_Publica.pdf, http://apps.ift.org.mx/publicdata/P_IFT_EXT_181214_282_Version_Publica.pdf,</w:t>
      </w:r>
    </w:p>
    <w:p w:rsidR="00EE12FA" w:rsidRPr="007D02A7" w:rsidRDefault="00EE12FA" w:rsidP="009326BB">
      <w:pPr>
        <w:pStyle w:val="Textonotapie"/>
        <w:jc w:val="both"/>
        <w:rPr>
          <w:rFonts w:ascii="ITC Avant Garde" w:hAnsi="ITC Avant Garde"/>
          <w:color w:val="0000FF"/>
          <w:sz w:val="16"/>
          <w:szCs w:val="16"/>
          <w:u w:val="single"/>
        </w:rPr>
      </w:pPr>
      <w:r w:rsidRPr="007D02A7">
        <w:rPr>
          <w:rFonts w:ascii="ITC Avant Garde" w:hAnsi="ITC Avant Garde"/>
          <w:sz w:val="16"/>
          <w:szCs w:val="16"/>
        </w:rPr>
        <w:t>http://www.ift.org.mx/sites/default/files/conocenos/pleno/sesiones/acuerdoliga/versionpublicapiftext29041586.pdf  y http://apps.ift.org.mx/publicdata/Version_Publica_UCE_P_IFT_EXT_131016_25.pdf</w:t>
      </w:r>
      <w:r w:rsidRPr="007D02A7">
        <w:rPr>
          <w:rStyle w:val="Hipervnculo"/>
          <w:rFonts w:ascii="ITC Avant Garde" w:hAnsi="ITC Avant Garde"/>
          <w:sz w:val="16"/>
          <w:szCs w:val="16"/>
        </w:rPr>
        <w:t>.</w:t>
      </w:r>
    </w:p>
  </w:footnote>
  <w:footnote w:id="21">
    <w:p w:rsidR="00EE12FA" w:rsidRPr="007D02A7" w:rsidRDefault="00EE12FA" w:rsidP="002C6429">
      <w:pPr>
        <w:pStyle w:val="Textonotapie"/>
        <w:rPr>
          <w:rFonts w:ascii="ITC Avant Garde" w:hAnsi="ITC Avant Garde"/>
          <w:sz w:val="16"/>
          <w:szCs w:val="16"/>
        </w:rPr>
      </w:pPr>
      <w:r w:rsidRPr="007D02A7">
        <w:rPr>
          <w:rStyle w:val="Refdenotaalpie"/>
          <w:rFonts w:ascii="ITC Avant Garde" w:hAnsi="ITC Avant Garde"/>
          <w:sz w:val="16"/>
          <w:szCs w:val="16"/>
        </w:rPr>
        <w:footnoteRef/>
      </w:r>
      <w:r w:rsidRPr="007D02A7">
        <w:rPr>
          <w:rFonts w:ascii="ITC Avant Garde" w:hAnsi="ITC Avant Garde"/>
          <w:sz w:val="16"/>
          <w:szCs w:val="16"/>
        </w:rPr>
        <w:t xml:space="preserve"> Información disponible en https://www.vanguard.com/funds/reports/q400.pdf. </w:t>
      </w:r>
    </w:p>
  </w:footnote>
  <w:footnote w:id="22">
    <w:p w:rsidR="00EE12FA" w:rsidRPr="007D02A7" w:rsidRDefault="00EE12FA" w:rsidP="005A5E95">
      <w:pPr>
        <w:pStyle w:val="Textonotapie"/>
        <w:jc w:val="both"/>
        <w:rPr>
          <w:rFonts w:ascii="ITC Avant Garde" w:hAnsi="ITC Avant Garde"/>
          <w:sz w:val="16"/>
          <w:szCs w:val="16"/>
        </w:rPr>
      </w:pPr>
      <w:r w:rsidRPr="007D02A7">
        <w:rPr>
          <w:rStyle w:val="Refdenotaalpie"/>
          <w:rFonts w:ascii="ITC Avant Garde" w:hAnsi="ITC Avant Garde"/>
          <w:sz w:val="16"/>
          <w:szCs w:val="16"/>
        </w:rPr>
        <w:footnoteRef/>
      </w:r>
      <w:r w:rsidRPr="007D02A7">
        <w:rPr>
          <w:rFonts w:ascii="ITC Avant Garde" w:hAnsi="ITC Avant Garde"/>
          <w:sz w:val="16"/>
          <w:szCs w:val="16"/>
        </w:rPr>
        <w:t xml:space="preserve"> De acuerdo con información del Expediente, Foja 5, la sociedad ATC </w:t>
      </w:r>
      <w:proofErr w:type="spellStart"/>
      <w:r w:rsidRPr="007D02A7">
        <w:rPr>
          <w:rFonts w:ascii="ITC Avant Garde" w:hAnsi="ITC Avant Garde"/>
          <w:sz w:val="16"/>
          <w:szCs w:val="16"/>
        </w:rPr>
        <w:t>Mexico</w:t>
      </w:r>
      <w:proofErr w:type="spellEnd"/>
      <w:r w:rsidRPr="007D02A7">
        <w:rPr>
          <w:rFonts w:ascii="ITC Avant Garde" w:hAnsi="ITC Avant Garde"/>
          <w:sz w:val="16"/>
          <w:szCs w:val="16"/>
        </w:rPr>
        <w:t xml:space="preserve"> Holding, LLC es una subsidiaria indirecta, </w:t>
      </w:r>
      <w:r w:rsidRPr="00AA6DC4">
        <w:rPr>
          <w:rFonts w:ascii="ITC Avant Garde" w:hAnsi="ITC Avant Garde"/>
          <w:b/>
          <w:bCs/>
          <w:color w:val="0000CC"/>
          <w:sz w:val="14"/>
          <w:szCs w:val="14"/>
          <w:lang w:eastAsia="es-MX"/>
        </w:rPr>
        <w:t>“CONFIDENCIAL POR LEY (45)”</w:t>
      </w:r>
      <w:r w:rsidRPr="007D02A7">
        <w:rPr>
          <w:rFonts w:ascii="ITC Avant Garde" w:hAnsi="ITC Avant Garde"/>
          <w:sz w:val="16"/>
          <w:szCs w:val="16"/>
        </w:rPr>
        <w:t xml:space="preserve"> controlada y propiedad de ATC.</w:t>
      </w:r>
    </w:p>
  </w:footnote>
  <w:footnote w:id="23">
    <w:p w:rsidR="00EE12FA" w:rsidRPr="007D02A7" w:rsidRDefault="00EE12FA" w:rsidP="009E6F95">
      <w:pPr>
        <w:pStyle w:val="Textonotapie"/>
        <w:jc w:val="both"/>
        <w:rPr>
          <w:rFonts w:ascii="ITC Avant Garde" w:hAnsi="ITC Avant Garde"/>
          <w:sz w:val="16"/>
          <w:szCs w:val="16"/>
        </w:rPr>
      </w:pPr>
      <w:r w:rsidRPr="007D02A7">
        <w:rPr>
          <w:rStyle w:val="Refdenotaalpie"/>
          <w:rFonts w:ascii="ITC Avant Garde" w:hAnsi="ITC Avant Garde"/>
          <w:sz w:val="16"/>
          <w:szCs w:val="16"/>
        </w:rPr>
        <w:footnoteRef/>
      </w:r>
      <w:r w:rsidRPr="007D02A7">
        <w:rPr>
          <w:rFonts w:ascii="ITC Avant Garde" w:hAnsi="ITC Avant Garde"/>
          <w:sz w:val="16"/>
          <w:szCs w:val="16"/>
        </w:rPr>
        <w:t xml:space="preserve"> Información pública de ATC, disponible en http://www.americantower.com/corporateus/company/index.htm.</w:t>
      </w:r>
    </w:p>
  </w:footnote>
  <w:footnote w:id="24">
    <w:p w:rsidR="00EE12FA" w:rsidRPr="007D02A7" w:rsidRDefault="00EE12FA" w:rsidP="009E6F95">
      <w:pPr>
        <w:pStyle w:val="Textonotapie"/>
        <w:jc w:val="both"/>
        <w:rPr>
          <w:rFonts w:ascii="ITC Avant Garde" w:hAnsi="ITC Avant Garde"/>
          <w:sz w:val="16"/>
          <w:szCs w:val="16"/>
        </w:rPr>
      </w:pPr>
      <w:r w:rsidRPr="007D02A7">
        <w:rPr>
          <w:rStyle w:val="Refdenotaalpie"/>
          <w:rFonts w:ascii="ITC Avant Garde" w:hAnsi="ITC Avant Garde"/>
          <w:sz w:val="16"/>
          <w:szCs w:val="16"/>
        </w:rPr>
        <w:footnoteRef/>
      </w:r>
      <w:r w:rsidRPr="007D02A7">
        <w:rPr>
          <w:rFonts w:ascii="ITC Avant Garde" w:hAnsi="ITC Avant Garde"/>
          <w:sz w:val="16"/>
          <w:szCs w:val="16"/>
        </w:rPr>
        <w:t xml:space="preserve"> </w:t>
      </w:r>
      <w:proofErr w:type="spellStart"/>
      <w:r w:rsidRPr="007D02A7">
        <w:rPr>
          <w:rFonts w:ascii="ITC Avant Garde" w:hAnsi="ITC Avant Garde"/>
          <w:sz w:val="16"/>
          <w:szCs w:val="16"/>
        </w:rPr>
        <w:t>Ibíd</w:t>
      </w:r>
      <w:proofErr w:type="spellEnd"/>
    </w:p>
  </w:footnote>
  <w:footnote w:id="25">
    <w:p w:rsidR="00EE12FA" w:rsidRPr="007D02A7" w:rsidRDefault="00EE12FA" w:rsidP="009E6F95">
      <w:pPr>
        <w:pStyle w:val="Textonotapie"/>
        <w:jc w:val="both"/>
        <w:rPr>
          <w:rFonts w:ascii="ITC Avant Garde" w:hAnsi="ITC Avant Garde"/>
          <w:sz w:val="16"/>
          <w:szCs w:val="16"/>
        </w:rPr>
      </w:pPr>
      <w:r w:rsidRPr="007D02A7">
        <w:rPr>
          <w:rStyle w:val="Refdenotaalpie"/>
          <w:rFonts w:ascii="ITC Avant Garde" w:hAnsi="ITC Avant Garde"/>
          <w:sz w:val="16"/>
          <w:szCs w:val="16"/>
        </w:rPr>
        <w:footnoteRef/>
      </w:r>
      <w:r w:rsidRPr="007D02A7">
        <w:rPr>
          <w:rFonts w:ascii="ITC Avant Garde" w:hAnsi="ITC Avant Garde"/>
          <w:sz w:val="16"/>
          <w:szCs w:val="16"/>
        </w:rPr>
        <w:t xml:space="preserve"> </w:t>
      </w:r>
      <w:proofErr w:type="spellStart"/>
      <w:r w:rsidRPr="007D02A7">
        <w:rPr>
          <w:rFonts w:ascii="ITC Avant Garde" w:hAnsi="ITC Avant Garde"/>
          <w:sz w:val="16"/>
          <w:szCs w:val="16"/>
        </w:rPr>
        <w:t>Ibíd</w:t>
      </w:r>
      <w:proofErr w:type="spellEnd"/>
    </w:p>
  </w:footnote>
  <w:footnote w:id="26">
    <w:p w:rsidR="00EE12FA" w:rsidRPr="007D02A7" w:rsidRDefault="00EE12FA" w:rsidP="001B10DF">
      <w:pPr>
        <w:pStyle w:val="Textonotapie"/>
        <w:spacing w:before="60"/>
        <w:rPr>
          <w:rFonts w:ascii="ITC Avant Garde" w:hAnsi="ITC Avant Garde"/>
          <w:sz w:val="16"/>
          <w:szCs w:val="16"/>
        </w:rPr>
      </w:pPr>
      <w:r w:rsidRPr="007D02A7">
        <w:rPr>
          <w:rStyle w:val="Refdenotaalpie"/>
          <w:rFonts w:ascii="ITC Avant Garde" w:hAnsi="ITC Avant Garde"/>
          <w:sz w:val="16"/>
          <w:szCs w:val="16"/>
        </w:rPr>
        <w:footnoteRef/>
      </w:r>
      <w:r w:rsidRPr="007D02A7">
        <w:rPr>
          <w:rFonts w:ascii="ITC Avant Garde" w:hAnsi="ITC Avant Garde"/>
          <w:sz w:val="16"/>
          <w:szCs w:val="16"/>
        </w:rPr>
        <w:t xml:space="preserve"> Versión pública disponible en: </w:t>
      </w:r>
      <w:r w:rsidRPr="007D02A7">
        <w:rPr>
          <w:rFonts w:ascii="ITC Avant Garde" w:hAnsi="ITC Avant Garde"/>
          <w:sz w:val="16"/>
          <w:szCs w:val="16"/>
          <w:u w:val="single"/>
        </w:rPr>
        <w:t>http://www.cofece.mx:8080/cfcresoluciones/docs/Concentraciones/V438/19/1699083.pdf#search= MATC Digital</w:t>
      </w:r>
    </w:p>
  </w:footnote>
  <w:footnote w:id="27">
    <w:p w:rsidR="00EE12FA" w:rsidRPr="007D02A7" w:rsidRDefault="00EE12FA" w:rsidP="001122BC">
      <w:pPr>
        <w:pStyle w:val="Textonotapie"/>
        <w:rPr>
          <w:rFonts w:ascii="ITC Avant Garde" w:hAnsi="ITC Avant Garde"/>
          <w:sz w:val="16"/>
          <w:szCs w:val="16"/>
        </w:rPr>
      </w:pPr>
      <w:r w:rsidRPr="007D02A7">
        <w:rPr>
          <w:rStyle w:val="Refdenotaalpie"/>
          <w:rFonts w:ascii="ITC Avant Garde" w:hAnsi="ITC Avant Garde"/>
          <w:sz w:val="16"/>
          <w:szCs w:val="16"/>
        </w:rPr>
        <w:footnoteRef/>
      </w:r>
      <w:r w:rsidRPr="007D02A7">
        <w:rPr>
          <w:rFonts w:ascii="ITC Avant Garde" w:hAnsi="ITC Avant Garde"/>
          <w:sz w:val="16"/>
          <w:szCs w:val="16"/>
        </w:rPr>
        <w:t xml:space="preserve"> Versión pública disponible en: </w:t>
      </w:r>
      <w:r w:rsidRPr="007D02A7">
        <w:rPr>
          <w:rFonts w:ascii="ITC Avant Garde" w:hAnsi="ITC Avant Garde"/>
          <w:sz w:val="16"/>
          <w:szCs w:val="16"/>
          <w:u w:val="single"/>
        </w:rPr>
        <w:t>http://www.cofece.mx:8080/cfcresoluciones/docs/Concentraciones/V438/19/1699024.pdf#search= MATC Digital</w:t>
      </w:r>
    </w:p>
  </w:footnote>
  <w:footnote w:id="28">
    <w:p w:rsidR="00EE12FA" w:rsidRPr="007D02A7" w:rsidRDefault="00EE12FA" w:rsidP="00472A33">
      <w:pPr>
        <w:pStyle w:val="Textonotapie"/>
        <w:rPr>
          <w:rFonts w:ascii="ITC Avant Garde" w:hAnsi="ITC Avant Garde"/>
          <w:sz w:val="16"/>
          <w:szCs w:val="16"/>
          <w:u w:val="single"/>
        </w:rPr>
      </w:pPr>
      <w:r w:rsidRPr="007D02A7">
        <w:rPr>
          <w:rStyle w:val="Refdenotaalpie"/>
          <w:rFonts w:ascii="ITC Avant Garde" w:hAnsi="ITC Avant Garde"/>
          <w:sz w:val="16"/>
          <w:szCs w:val="16"/>
        </w:rPr>
        <w:footnoteRef/>
      </w:r>
      <w:r w:rsidRPr="007D02A7">
        <w:rPr>
          <w:rFonts w:ascii="ITC Avant Garde" w:hAnsi="ITC Avant Garde"/>
          <w:sz w:val="16"/>
          <w:szCs w:val="16"/>
        </w:rPr>
        <w:t xml:space="preserve"> Versión pública disponible en: http://www.cofece.mx:8080/cfcresoluciones/docs/Concentraciones/V498/42/1772888.pdf</w:t>
      </w:r>
    </w:p>
  </w:footnote>
  <w:footnote w:id="29">
    <w:p w:rsidR="00EE12FA" w:rsidRPr="007D02A7" w:rsidRDefault="00EE12FA" w:rsidP="00020E07">
      <w:pPr>
        <w:pStyle w:val="Textonotapie"/>
        <w:jc w:val="both"/>
        <w:rPr>
          <w:rFonts w:ascii="ITC Avant Garde" w:hAnsi="ITC Avant Garde"/>
          <w:sz w:val="16"/>
          <w:szCs w:val="16"/>
        </w:rPr>
      </w:pPr>
      <w:r w:rsidRPr="007D02A7">
        <w:rPr>
          <w:rStyle w:val="Refdenotaalpie"/>
          <w:rFonts w:ascii="ITC Avant Garde" w:hAnsi="ITC Avant Garde"/>
          <w:sz w:val="16"/>
          <w:szCs w:val="16"/>
        </w:rPr>
        <w:footnoteRef/>
      </w:r>
      <w:r w:rsidRPr="007D02A7">
        <w:rPr>
          <w:rFonts w:ascii="ITC Avant Garde" w:hAnsi="ITC Avant Garde"/>
          <w:sz w:val="16"/>
          <w:szCs w:val="16"/>
        </w:rPr>
        <w:t xml:space="preserve"> Escritura pública número tres mil seiscientos ochenta, otorgada ante la fe del licenciado Rodolfo Vela de León, entonces titular de la Notaría Pública número ochenta de la ciudad de Monterrey, Nuevo León. Fuente: Foja 3 del Expediente.</w:t>
      </w:r>
    </w:p>
  </w:footnote>
  <w:footnote w:id="30">
    <w:p w:rsidR="00EE12FA" w:rsidRPr="007D02A7" w:rsidRDefault="00EE12FA" w:rsidP="002C3DA2">
      <w:pPr>
        <w:pStyle w:val="Textonotapie"/>
        <w:jc w:val="both"/>
        <w:rPr>
          <w:rFonts w:ascii="ITC Avant Garde" w:hAnsi="ITC Avant Garde"/>
          <w:sz w:val="16"/>
          <w:szCs w:val="16"/>
        </w:rPr>
      </w:pPr>
      <w:r w:rsidRPr="007D02A7">
        <w:rPr>
          <w:rStyle w:val="Refdenotaalpie"/>
          <w:rFonts w:ascii="ITC Avant Garde" w:hAnsi="ITC Avant Garde"/>
          <w:sz w:val="16"/>
          <w:szCs w:val="16"/>
        </w:rPr>
        <w:footnoteRef/>
      </w:r>
      <w:r w:rsidRPr="007D02A7">
        <w:rPr>
          <w:rFonts w:ascii="ITC Avant Garde" w:hAnsi="ITC Avant Garde"/>
          <w:sz w:val="16"/>
          <w:szCs w:val="16"/>
        </w:rPr>
        <w:t xml:space="preserve"> Expediente relativo al Aviso de Concentración por Fusión conforme al artículo Noveno Transitorio de la LFTR, de AXTEL y </w:t>
      </w:r>
      <w:proofErr w:type="spellStart"/>
      <w:r w:rsidRPr="007D02A7">
        <w:rPr>
          <w:rFonts w:ascii="ITC Avant Garde" w:hAnsi="ITC Avant Garde"/>
          <w:sz w:val="16"/>
          <w:szCs w:val="16"/>
        </w:rPr>
        <w:t>Onexa</w:t>
      </w:r>
      <w:proofErr w:type="spellEnd"/>
      <w:r w:rsidRPr="007D02A7">
        <w:rPr>
          <w:rFonts w:ascii="ITC Avant Garde" w:hAnsi="ITC Avant Garde"/>
          <w:sz w:val="16"/>
          <w:szCs w:val="16"/>
        </w:rPr>
        <w:t>, S.A. de C.V., esta última, antes de la fusión, era subsidiaria de Alfa.</w:t>
      </w:r>
    </w:p>
  </w:footnote>
  <w:footnote w:id="31">
    <w:p w:rsidR="00EE12FA" w:rsidRPr="007D02A7" w:rsidRDefault="00EE12FA">
      <w:pPr>
        <w:pStyle w:val="Textonotapie"/>
        <w:rPr>
          <w:rFonts w:ascii="ITC Avant Garde" w:hAnsi="ITC Avant Garde"/>
          <w:sz w:val="16"/>
          <w:szCs w:val="16"/>
        </w:rPr>
      </w:pPr>
      <w:r w:rsidRPr="007D02A7">
        <w:rPr>
          <w:rStyle w:val="Refdenotaalpie"/>
          <w:rFonts w:ascii="ITC Avant Garde" w:hAnsi="ITC Avant Garde"/>
          <w:sz w:val="16"/>
          <w:szCs w:val="16"/>
        </w:rPr>
        <w:footnoteRef/>
      </w:r>
      <w:r w:rsidRPr="007D02A7">
        <w:rPr>
          <w:rFonts w:ascii="ITC Avant Garde" w:hAnsi="ITC Avant Garde"/>
          <w:sz w:val="16"/>
          <w:szCs w:val="16"/>
        </w:rPr>
        <w:t xml:space="preserve"> Mediante Acuerdo P/IFT/EXT/170616/16 emitido en la IX Sesión Extraordinaria. Versión pública disponible en http://www.ift.org.mx/sites/default/files/conocenos/pleno/sesiones/acuerdoliga/versionpublicaucepiftext17061616.pdf. </w:t>
      </w:r>
    </w:p>
  </w:footnote>
  <w:footnote w:id="32">
    <w:p w:rsidR="00EE12FA" w:rsidRPr="007D02A7" w:rsidRDefault="00EE12FA">
      <w:pPr>
        <w:pStyle w:val="Textonotapie"/>
        <w:rPr>
          <w:rFonts w:ascii="ITC Avant Garde" w:hAnsi="ITC Avant Garde"/>
          <w:sz w:val="16"/>
          <w:szCs w:val="16"/>
        </w:rPr>
      </w:pPr>
      <w:r w:rsidRPr="007D02A7">
        <w:rPr>
          <w:rStyle w:val="Refdenotaalpie"/>
          <w:rFonts w:ascii="ITC Avant Garde" w:hAnsi="ITC Avant Garde"/>
          <w:sz w:val="16"/>
          <w:szCs w:val="16"/>
        </w:rPr>
        <w:footnoteRef/>
      </w:r>
      <w:r w:rsidRPr="007D02A7">
        <w:rPr>
          <w:rFonts w:ascii="ITC Avant Garde" w:hAnsi="ITC Avant Garde"/>
          <w:sz w:val="16"/>
          <w:szCs w:val="16"/>
        </w:rPr>
        <w:t xml:space="preserve"> Mediante Acuerdo P/IFT/251016/585 emitido en su XXXV Sesión Ordinaria. Versión pública disponible en http://apps.ift.org.mx/publicdata/Publica_AI_P_IFT_251016_585.pdf. </w:t>
      </w:r>
    </w:p>
  </w:footnote>
  <w:footnote w:id="33">
    <w:p w:rsidR="00EE12FA" w:rsidRPr="007D02A7" w:rsidRDefault="00EE12FA" w:rsidP="00FE2699">
      <w:pPr>
        <w:pStyle w:val="Textonotapie"/>
        <w:jc w:val="both"/>
        <w:rPr>
          <w:rFonts w:ascii="ITC Avant Garde" w:hAnsi="ITC Avant Garde"/>
          <w:sz w:val="16"/>
          <w:szCs w:val="16"/>
        </w:rPr>
      </w:pPr>
      <w:r w:rsidRPr="007D02A7">
        <w:rPr>
          <w:rStyle w:val="Refdenotaalpie"/>
          <w:rFonts w:ascii="ITC Avant Garde" w:hAnsi="ITC Avant Garde"/>
          <w:sz w:val="16"/>
          <w:szCs w:val="16"/>
        </w:rPr>
        <w:footnoteRef/>
      </w:r>
      <w:r w:rsidRPr="007D02A7">
        <w:rPr>
          <w:rFonts w:ascii="ITC Avant Garde" w:hAnsi="ITC Avant Garde"/>
          <w:sz w:val="16"/>
          <w:szCs w:val="16"/>
        </w:rPr>
        <w:t xml:space="preserve"> Escritura pública número diecisiete mil ochocientos cincuenta y tres, otorgada ante la fe del licenciado Carlos Montaño Pedraza, entonces titular de la Notaría Pública número ciento treinta de la ciudad de Monterrey, Nuevo León. Fuente: Fojas 3 y 15 del Expediente.</w:t>
      </w:r>
    </w:p>
  </w:footnote>
  <w:footnote w:id="34">
    <w:p w:rsidR="00EE12FA" w:rsidRPr="007D02A7" w:rsidRDefault="00EE12FA" w:rsidP="00B21389">
      <w:pPr>
        <w:pStyle w:val="Textonotapie"/>
        <w:rPr>
          <w:rFonts w:ascii="ITC Avant Garde" w:hAnsi="ITC Avant Garde"/>
          <w:sz w:val="16"/>
          <w:szCs w:val="16"/>
        </w:rPr>
      </w:pPr>
      <w:r w:rsidRPr="007D02A7">
        <w:rPr>
          <w:rStyle w:val="Refdenotaalpie"/>
          <w:rFonts w:ascii="ITC Avant Garde" w:hAnsi="ITC Avant Garde"/>
          <w:sz w:val="16"/>
          <w:szCs w:val="16"/>
        </w:rPr>
        <w:footnoteRef/>
      </w:r>
      <w:r w:rsidRPr="007D02A7">
        <w:rPr>
          <w:rFonts w:ascii="ITC Avant Garde" w:hAnsi="ITC Avant Garde"/>
          <w:sz w:val="16"/>
          <w:szCs w:val="16"/>
        </w:rPr>
        <w:t xml:space="preserve"> Información presentada por las Partes, contenida en el expediente AVC-001-2016 y del RPC del Instituto.</w:t>
      </w:r>
    </w:p>
  </w:footnote>
  <w:footnote w:id="35">
    <w:p w:rsidR="00EE12FA" w:rsidRPr="007D02A7" w:rsidRDefault="00EE12FA" w:rsidP="00221C44">
      <w:pPr>
        <w:pStyle w:val="Textonotapie"/>
        <w:jc w:val="both"/>
        <w:rPr>
          <w:rFonts w:ascii="ITC Avant Garde" w:hAnsi="ITC Avant Garde"/>
          <w:sz w:val="16"/>
          <w:szCs w:val="16"/>
        </w:rPr>
      </w:pPr>
      <w:r w:rsidRPr="007D02A7">
        <w:rPr>
          <w:rStyle w:val="Refdenotaalpie"/>
          <w:rFonts w:ascii="ITC Avant Garde" w:hAnsi="ITC Avant Garde"/>
          <w:sz w:val="16"/>
          <w:szCs w:val="16"/>
        </w:rPr>
        <w:footnoteRef/>
      </w:r>
      <w:r w:rsidRPr="007D02A7">
        <w:rPr>
          <w:rFonts w:ascii="ITC Avant Garde" w:hAnsi="ITC Avant Garde"/>
          <w:sz w:val="16"/>
          <w:szCs w:val="16"/>
        </w:rPr>
        <w:t xml:space="preserve"> En el entendido que la determinación del GIE controlado por ATC en esta Resolución no prejuzga sobre la dimensión e integrantes de tal Agente Económico en otras decisiones o resoluciones emitidas por el Instituto. </w:t>
      </w:r>
    </w:p>
  </w:footnote>
  <w:footnote w:id="36">
    <w:p w:rsidR="00EE12FA" w:rsidRPr="007D02A7" w:rsidRDefault="00EE12FA" w:rsidP="00221C44">
      <w:pPr>
        <w:pStyle w:val="Textonotapie"/>
        <w:rPr>
          <w:rFonts w:ascii="ITC Avant Garde" w:hAnsi="ITC Avant Garde"/>
          <w:sz w:val="16"/>
          <w:szCs w:val="16"/>
        </w:rPr>
      </w:pPr>
      <w:r w:rsidRPr="007D02A7">
        <w:rPr>
          <w:rStyle w:val="Refdenotaalpie"/>
          <w:rFonts w:ascii="ITC Avant Garde" w:hAnsi="ITC Avant Garde"/>
          <w:sz w:val="16"/>
          <w:szCs w:val="16"/>
        </w:rPr>
        <w:footnoteRef/>
      </w:r>
      <w:r w:rsidRPr="007D02A7">
        <w:rPr>
          <w:rFonts w:ascii="ITC Avant Garde" w:hAnsi="ITC Avant Garde"/>
          <w:sz w:val="16"/>
          <w:szCs w:val="16"/>
        </w:rPr>
        <w:t xml:space="preserve"> Por ejemplo, de la Dirección</w:t>
      </w:r>
      <w:r w:rsidRPr="007D02A7">
        <w:rPr>
          <w:rFonts w:ascii="ITC Avant Garde" w:eastAsia="Times New Roman" w:hAnsi="ITC Avant Garde"/>
          <w:bCs/>
          <w:color w:val="000000"/>
          <w:sz w:val="16"/>
          <w:szCs w:val="16"/>
          <w:lang w:eastAsia="es-MX"/>
        </w:rPr>
        <w:t xml:space="preserve"> General de Aeronáutica Civil o el Instituto Nacional de Antropología e Historia. </w:t>
      </w:r>
    </w:p>
  </w:footnote>
  <w:footnote w:id="37">
    <w:p w:rsidR="00EE12FA" w:rsidRPr="007D02A7" w:rsidRDefault="00EE12FA" w:rsidP="00221C44">
      <w:pPr>
        <w:pStyle w:val="Textonotapie"/>
        <w:rPr>
          <w:rFonts w:ascii="ITC Avant Garde" w:hAnsi="ITC Avant Garde"/>
          <w:sz w:val="16"/>
          <w:szCs w:val="16"/>
        </w:rPr>
      </w:pPr>
      <w:r w:rsidRPr="007D02A7">
        <w:rPr>
          <w:rStyle w:val="Refdenotaalpie"/>
          <w:rFonts w:ascii="ITC Avant Garde" w:hAnsi="ITC Avant Garde"/>
          <w:sz w:val="16"/>
          <w:szCs w:val="16"/>
        </w:rPr>
        <w:footnoteRef/>
      </w:r>
      <w:r w:rsidRPr="007D02A7">
        <w:rPr>
          <w:rFonts w:ascii="ITC Avant Garde" w:hAnsi="ITC Avant Garde"/>
          <w:sz w:val="16"/>
          <w:szCs w:val="16"/>
        </w:rPr>
        <w:t xml:space="preserve"> T</w:t>
      </w:r>
      <w:r w:rsidRPr="007D02A7">
        <w:rPr>
          <w:rFonts w:ascii="ITC Avant Garde" w:eastAsia="Times New Roman" w:hAnsi="ITC Avant Garde"/>
          <w:bCs/>
          <w:color w:val="000000"/>
          <w:sz w:val="16"/>
          <w:szCs w:val="16"/>
          <w:lang w:eastAsia="es-MX"/>
        </w:rPr>
        <w:t xml:space="preserve">ales como licencias de uso de suelo, permisos de construcción, anuencias vecinales o de juntas ejidales, según el tipo de terreno y la configuración del sitio en cuestión. </w:t>
      </w:r>
    </w:p>
  </w:footnote>
  <w:footnote w:id="38">
    <w:p w:rsidR="00EE12FA" w:rsidRPr="007D02A7" w:rsidRDefault="00EE12FA" w:rsidP="00DF094B">
      <w:pPr>
        <w:pStyle w:val="Textonotapie"/>
        <w:jc w:val="both"/>
        <w:rPr>
          <w:rFonts w:ascii="ITC Avant Garde" w:hAnsi="ITC Avant Garde"/>
          <w:sz w:val="16"/>
          <w:szCs w:val="16"/>
        </w:rPr>
      </w:pPr>
      <w:r w:rsidRPr="007D02A7">
        <w:rPr>
          <w:rStyle w:val="Refdenotaalpie"/>
          <w:rFonts w:ascii="ITC Avant Garde" w:hAnsi="ITC Avant Garde"/>
          <w:sz w:val="16"/>
          <w:szCs w:val="16"/>
        </w:rPr>
        <w:footnoteRef/>
      </w:r>
      <w:r w:rsidRPr="007D02A7">
        <w:rPr>
          <w:rFonts w:ascii="ITC Avant Garde" w:hAnsi="ITC Avant Garde"/>
          <w:sz w:val="16"/>
          <w:szCs w:val="16"/>
        </w:rPr>
        <w:t xml:space="preserve"> Ver “</w:t>
      </w:r>
      <w:r w:rsidRPr="007D02A7">
        <w:rPr>
          <w:rFonts w:ascii="ITC Avant Garde" w:hAnsi="ITC Avant Garde"/>
          <w:i/>
          <w:sz w:val="16"/>
          <w:szCs w:val="16"/>
        </w:rPr>
        <w:t xml:space="preserve">Resolución mediante la cual el Pleno del Instituto Federal de Telecomunicaciones determina al grupo de interés económico del que forma parte América Móvil, S.A.B. de C.V., Teléfonos de México, S.A.B. de C.V., Teléfonos del Noroeste, S.A. de C.V., </w:t>
      </w:r>
      <w:proofErr w:type="spellStart"/>
      <w:r w:rsidRPr="007D02A7">
        <w:rPr>
          <w:rFonts w:ascii="ITC Avant Garde" w:hAnsi="ITC Avant Garde"/>
          <w:i/>
          <w:sz w:val="16"/>
          <w:szCs w:val="16"/>
        </w:rPr>
        <w:t>Radiomóvil</w:t>
      </w:r>
      <w:proofErr w:type="spellEnd"/>
      <w:r w:rsidRPr="007D02A7">
        <w:rPr>
          <w:rFonts w:ascii="ITC Avant Garde" w:hAnsi="ITC Avant Garde"/>
          <w:i/>
          <w:sz w:val="16"/>
          <w:szCs w:val="16"/>
        </w:rPr>
        <w:t xml:space="preserve"> </w:t>
      </w:r>
      <w:proofErr w:type="spellStart"/>
      <w:r w:rsidRPr="007D02A7">
        <w:rPr>
          <w:rFonts w:ascii="ITC Avant Garde" w:hAnsi="ITC Avant Garde"/>
          <w:i/>
          <w:sz w:val="16"/>
          <w:szCs w:val="16"/>
        </w:rPr>
        <w:t>Dipsa</w:t>
      </w:r>
      <w:proofErr w:type="spellEnd"/>
      <w:r w:rsidRPr="007D02A7">
        <w:rPr>
          <w:rFonts w:ascii="ITC Avant Garde" w:hAnsi="ITC Avant Garde"/>
          <w:i/>
          <w:sz w:val="16"/>
          <w:szCs w:val="16"/>
        </w:rPr>
        <w:t>, S.A. de C.V., Grupo Carso, S.A.B. de C.V., y Grupo Financiero Inbursa, S.A.B. de C.V., como Agente Económico Preponderante en el sector de telecomunicaciones y le impone las medidas necesarias para evitar que se afecte la competencia y libre concurrencia</w:t>
      </w:r>
      <w:r w:rsidRPr="007D02A7">
        <w:rPr>
          <w:rFonts w:ascii="ITC Avant Garde" w:hAnsi="ITC Avant Garde"/>
          <w:sz w:val="16"/>
          <w:szCs w:val="16"/>
        </w:rPr>
        <w:t xml:space="preserve">” (Resolución de Preponderancia en Telecomunicaciones), disponible en: http://www.ift.org.mx/sites/default/files/p_ift_ext_060314_76_version_publica_hoja.pdf. </w:t>
      </w:r>
    </w:p>
  </w:footnote>
  <w:footnote w:id="39">
    <w:p w:rsidR="00EE12FA" w:rsidRPr="007D02A7" w:rsidRDefault="00EE12FA" w:rsidP="00DF094B">
      <w:pPr>
        <w:pStyle w:val="Textonotapie"/>
        <w:jc w:val="both"/>
        <w:rPr>
          <w:rFonts w:ascii="ITC Avant Garde" w:hAnsi="ITC Avant Garde"/>
          <w:sz w:val="16"/>
          <w:szCs w:val="16"/>
        </w:rPr>
      </w:pPr>
      <w:r w:rsidRPr="007D02A7">
        <w:rPr>
          <w:rStyle w:val="Refdenotaalpie"/>
          <w:rFonts w:ascii="ITC Avant Garde" w:hAnsi="ITC Avant Garde"/>
          <w:sz w:val="16"/>
          <w:szCs w:val="16"/>
        </w:rPr>
        <w:footnoteRef/>
      </w:r>
      <w:r w:rsidRPr="007D02A7">
        <w:rPr>
          <w:rFonts w:ascii="ITC Avant Garde" w:hAnsi="ITC Avant Garde"/>
          <w:sz w:val="16"/>
          <w:szCs w:val="16"/>
        </w:rPr>
        <w:t xml:space="preserve"> En términos de la medida Septuagésima del anexo que contiene las medidas para servicios de telecomunicaciones móviles que debe cumplir el AEPT, de la Resolución de Preponderancia en Telecomunicaciones, el Instituto se comprometió a realizar una evaluación del impacto de los medidas establecidas en términos de competencia económica cada 2 (dos) años a efecto de suprimir, modificar o en su caso establecer nuevas medidas. Derivado de esa revisión, el veintisiete de febrero de dos mil diecisiete, se emitió la “</w:t>
      </w:r>
      <w:r w:rsidRPr="007D02A7">
        <w:rPr>
          <w:rFonts w:ascii="ITC Avant Garde" w:hAnsi="ITC Avant Garde"/>
          <w:i/>
          <w:sz w:val="16"/>
          <w:szCs w:val="16"/>
        </w:rPr>
        <w:t>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P/IFT/EXT/060314/76</w:t>
      </w:r>
      <w:r w:rsidRPr="007D02A7">
        <w:rPr>
          <w:rFonts w:ascii="ITC Avant Garde" w:hAnsi="ITC Avant Garde"/>
          <w:sz w:val="16"/>
          <w:szCs w:val="16"/>
        </w:rPr>
        <w:t>”. Resolución disponible en:</w:t>
      </w:r>
    </w:p>
    <w:p w:rsidR="00EE12FA" w:rsidRPr="007D02A7" w:rsidRDefault="00EE12FA" w:rsidP="00DF094B">
      <w:pPr>
        <w:pStyle w:val="Textonotapie"/>
        <w:jc w:val="both"/>
        <w:rPr>
          <w:rFonts w:ascii="ITC Avant Garde" w:hAnsi="ITC Avant Garde"/>
          <w:sz w:val="16"/>
          <w:szCs w:val="16"/>
        </w:rPr>
      </w:pPr>
      <w:r w:rsidRPr="007D02A7">
        <w:rPr>
          <w:rFonts w:ascii="ITC Avant Garde" w:hAnsi="ITC Avant Garde"/>
          <w:sz w:val="16"/>
          <w:szCs w:val="16"/>
        </w:rPr>
        <w:t>http://www.ift.org.mx/sites/default/files/conocenos/pleno/sesiones/acuerdoliga/pitfext270217119verpub_2.pdf.</w:t>
      </w:r>
    </w:p>
  </w:footnote>
  <w:footnote w:id="40">
    <w:p w:rsidR="00EE12FA" w:rsidRPr="007D02A7" w:rsidRDefault="00EE12FA" w:rsidP="00221C44">
      <w:pPr>
        <w:pStyle w:val="Textonotapie"/>
        <w:jc w:val="both"/>
        <w:rPr>
          <w:rFonts w:ascii="ITC Avant Garde" w:hAnsi="ITC Avant Garde"/>
          <w:sz w:val="16"/>
          <w:szCs w:val="16"/>
        </w:rPr>
      </w:pPr>
      <w:r w:rsidRPr="007D02A7">
        <w:rPr>
          <w:rStyle w:val="Refdenotaalpie"/>
          <w:rFonts w:ascii="ITC Avant Garde" w:hAnsi="ITC Avant Garde"/>
          <w:sz w:val="16"/>
          <w:szCs w:val="16"/>
        </w:rPr>
        <w:footnoteRef/>
      </w:r>
      <w:r w:rsidRPr="007D02A7">
        <w:rPr>
          <w:rFonts w:ascii="ITC Avant Garde" w:hAnsi="ITC Avant Garde"/>
          <w:sz w:val="16"/>
          <w:szCs w:val="16"/>
        </w:rPr>
        <w:t xml:space="preserve"> Fuente: Foja 6 del Expediente.</w:t>
      </w:r>
    </w:p>
  </w:footnote>
  <w:footnote w:id="41">
    <w:p w:rsidR="00EE12FA" w:rsidRPr="007D02A7" w:rsidRDefault="00EE12FA" w:rsidP="00E77856">
      <w:pPr>
        <w:pStyle w:val="Textonotapie"/>
        <w:rPr>
          <w:rFonts w:ascii="ITC Avant Garde" w:hAnsi="ITC Avant Garde"/>
          <w:sz w:val="16"/>
          <w:szCs w:val="16"/>
        </w:rPr>
      </w:pPr>
      <w:r w:rsidRPr="007D02A7">
        <w:rPr>
          <w:rStyle w:val="Refdenotaalpie"/>
          <w:rFonts w:ascii="ITC Avant Garde" w:hAnsi="ITC Avant Garde"/>
          <w:sz w:val="16"/>
          <w:szCs w:val="16"/>
        </w:rPr>
        <w:footnoteRef/>
      </w:r>
      <w:r w:rsidRPr="007D02A7">
        <w:rPr>
          <w:rFonts w:ascii="ITC Avant Garde" w:hAnsi="ITC Avant Garde"/>
          <w:sz w:val="16"/>
          <w:szCs w:val="16"/>
        </w:rPr>
        <w:t xml:space="preserve"> Información contenida en Fojas 82 y135 del Expediente.</w:t>
      </w:r>
    </w:p>
  </w:footnote>
  <w:footnote w:id="42">
    <w:p w:rsidR="00EE12FA" w:rsidRPr="007D02A7" w:rsidRDefault="00EE12FA" w:rsidP="00315C5D">
      <w:pPr>
        <w:pStyle w:val="Default"/>
        <w:jc w:val="both"/>
        <w:rPr>
          <w:rFonts w:ascii="ITC Avant Garde" w:hAnsi="ITC Avant Garde"/>
          <w:sz w:val="16"/>
          <w:szCs w:val="16"/>
        </w:rPr>
      </w:pPr>
      <w:r w:rsidRPr="007D02A7">
        <w:rPr>
          <w:rStyle w:val="Refdenotaalpie"/>
          <w:rFonts w:ascii="ITC Avant Garde" w:hAnsi="ITC Avant Garde"/>
          <w:sz w:val="16"/>
          <w:szCs w:val="16"/>
        </w:rPr>
        <w:footnoteRef/>
      </w:r>
      <w:r w:rsidRPr="007D02A7">
        <w:rPr>
          <w:rFonts w:ascii="ITC Avant Garde" w:hAnsi="ITC Avant Garde"/>
          <w:sz w:val="16"/>
          <w:szCs w:val="16"/>
        </w:rPr>
        <w:t xml:space="preserve"> Información pública de su página de internet, en su 1er. Reporte Trimestral 2017, disponible en: https://www.telesites.com.mx/pdf/Telesites/Informacion-Inversionistas/Reportes-Trimestrales/2017/SITES-1ER-TRIM-2017.pdf. Información pública </w:t>
      </w:r>
    </w:p>
  </w:footnote>
  <w:footnote w:id="43">
    <w:p w:rsidR="00EE12FA" w:rsidRPr="007D02A7" w:rsidRDefault="00EE12FA" w:rsidP="00027824">
      <w:pPr>
        <w:pStyle w:val="Textonotapie"/>
        <w:jc w:val="both"/>
        <w:rPr>
          <w:rFonts w:ascii="ITC Avant Garde" w:hAnsi="ITC Avant Garde"/>
          <w:sz w:val="16"/>
          <w:szCs w:val="16"/>
        </w:rPr>
      </w:pPr>
      <w:r w:rsidRPr="007D02A7">
        <w:rPr>
          <w:rStyle w:val="Refdenotaalpie"/>
          <w:rFonts w:ascii="ITC Avant Garde" w:hAnsi="ITC Avant Garde"/>
          <w:sz w:val="16"/>
          <w:szCs w:val="16"/>
        </w:rPr>
        <w:footnoteRef/>
      </w:r>
      <w:r w:rsidRPr="007D02A7">
        <w:rPr>
          <w:rFonts w:ascii="ITC Avant Garde" w:hAnsi="ITC Avant Garde"/>
          <w:sz w:val="16"/>
          <w:szCs w:val="16"/>
        </w:rPr>
        <w:t xml:space="preserve"> Ver “</w:t>
      </w:r>
      <w:r w:rsidRPr="007D02A7">
        <w:rPr>
          <w:rFonts w:ascii="ITC Avant Garde" w:hAnsi="ITC Avant Garde"/>
          <w:i/>
          <w:sz w:val="16"/>
          <w:szCs w:val="16"/>
        </w:rPr>
        <w:t xml:space="preserve">Resolución mediante la cual el Pleno del Instituto Federal de Telecomunicaciones autoriza que se realice la concentración radicada bajo el expediente No. UCE/CNC-007-2014, notificada por </w:t>
      </w:r>
      <w:proofErr w:type="spellStart"/>
      <w:r w:rsidRPr="007D02A7">
        <w:rPr>
          <w:rFonts w:ascii="ITC Avant Garde" w:hAnsi="ITC Avant Garde"/>
          <w:i/>
          <w:sz w:val="16"/>
          <w:szCs w:val="16"/>
        </w:rPr>
        <w:t>Mexico</w:t>
      </w:r>
      <w:proofErr w:type="spellEnd"/>
      <w:r w:rsidRPr="007D02A7">
        <w:rPr>
          <w:rFonts w:ascii="ITC Avant Garde" w:hAnsi="ITC Avant Garde"/>
          <w:i/>
          <w:sz w:val="16"/>
          <w:szCs w:val="16"/>
        </w:rPr>
        <w:t xml:space="preserve"> Tower </w:t>
      </w:r>
      <w:proofErr w:type="spellStart"/>
      <w:r w:rsidRPr="007D02A7">
        <w:rPr>
          <w:rFonts w:ascii="ITC Avant Garde" w:hAnsi="ITC Avant Garde"/>
          <w:i/>
          <w:sz w:val="16"/>
          <w:szCs w:val="16"/>
        </w:rPr>
        <w:t>Partners</w:t>
      </w:r>
      <w:proofErr w:type="spellEnd"/>
      <w:r w:rsidRPr="007D02A7">
        <w:rPr>
          <w:rFonts w:ascii="ITC Avant Garde" w:hAnsi="ITC Avant Garde"/>
          <w:i/>
          <w:sz w:val="16"/>
          <w:szCs w:val="16"/>
        </w:rPr>
        <w:t xml:space="preserve">, S.A.P.I. de C.V. y TGA Tower </w:t>
      </w:r>
      <w:proofErr w:type="spellStart"/>
      <w:r w:rsidRPr="007D02A7">
        <w:rPr>
          <w:rFonts w:ascii="ITC Avant Garde" w:hAnsi="ITC Avant Garde"/>
          <w:i/>
          <w:sz w:val="16"/>
          <w:szCs w:val="16"/>
        </w:rPr>
        <w:t>Ventures</w:t>
      </w:r>
      <w:proofErr w:type="spellEnd"/>
      <w:r w:rsidRPr="007D02A7">
        <w:rPr>
          <w:rFonts w:ascii="ITC Avant Garde" w:hAnsi="ITC Avant Garde"/>
          <w:i/>
          <w:sz w:val="16"/>
          <w:szCs w:val="16"/>
        </w:rPr>
        <w:t>, S.A. de C.V.</w:t>
      </w:r>
      <w:r w:rsidRPr="007D02A7">
        <w:rPr>
          <w:rFonts w:ascii="ITC Avant Garde" w:hAnsi="ITC Avant Garde"/>
          <w:sz w:val="16"/>
          <w:szCs w:val="16"/>
        </w:rPr>
        <w:t xml:space="preserve">”, disponible en: http://apps.ift.org.mx/publicdata/vppift18031593.pdf. </w:t>
      </w:r>
    </w:p>
  </w:footnote>
  <w:footnote w:id="44">
    <w:p w:rsidR="00EE12FA" w:rsidRPr="007D02A7" w:rsidRDefault="00EE12FA" w:rsidP="00315C5D">
      <w:pPr>
        <w:pStyle w:val="Textonotapie"/>
        <w:jc w:val="both"/>
        <w:rPr>
          <w:rFonts w:ascii="ITC Avant Garde" w:hAnsi="ITC Avant Garde"/>
          <w:sz w:val="16"/>
          <w:szCs w:val="16"/>
        </w:rPr>
      </w:pPr>
      <w:r w:rsidRPr="007D02A7">
        <w:rPr>
          <w:rStyle w:val="Refdenotaalpie"/>
          <w:rFonts w:ascii="ITC Avant Garde" w:hAnsi="ITC Avant Garde"/>
          <w:sz w:val="16"/>
          <w:szCs w:val="16"/>
        </w:rPr>
        <w:footnoteRef/>
      </w:r>
      <w:r w:rsidRPr="007D02A7">
        <w:rPr>
          <w:rFonts w:ascii="ITC Avant Garde" w:hAnsi="ITC Avant Garde"/>
          <w:sz w:val="16"/>
          <w:szCs w:val="16"/>
        </w:rPr>
        <w:t xml:space="preserve"> Conforme al “ACUERDO mediante el cual el Pleno del Instituto Federal de Telecomunicaciones expide el criterio técnico para el cálculo y aplicación de un índice cuantitativo a fin de determinar el grado de concentración en los mercados y servicios correspondientes a los sectores de telecomunicaciones y radiodifusión”, emitido por Instituto Federal de Telecomunicaciones y publicado en el Diario Oficial de la Federación el once de abril de 2016 (Criterio Técnico):</w:t>
      </w:r>
    </w:p>
    <w:p w:rsidR="00EE12FA" w:rsidRPr="007D02A7" w:rsidRDefault="00EE12FA" w:rsidP="00315C5D">
      <w:pPr>
        <w:pStyle w:val="Textonotapie"/>
        <w:jc w:val="both"/>
        <w:rPr>
          <w:rFonts w:ascii="ITC Avant Garde" w:hAnsi="ITC Avant Garde"/>
          <w:sz w:val="16"/>
          <w:szCs w:val="16"/>
        </w:rPr>
      </w:pPr>
      <w:r w:rsidRPr="007D02A7">
        <w:rPr>
          <w:rFonts w:ascii="ITC Avant Garde" w:hAnsi="ITC Avant Garde"/>
          <w:sz w:val="16"/>
          <w:szCs w:val="16"/>
        </w:rPr>
        <w:t xml:space="preserve">“(…) </w:t>
      </w:r>
    </w:p>
    <w:p w:rsidR="00EE12FA" w:rsidRPr="007D02A7" w:rsidRDefault="00EE12FA" w:rsidP="00315C5D">
      <w:pPr>
        <w:pStyle w:val="Textonotapie"/>
        <w:jc w:val="both"/>
        <w:rPr>
          <w:rFonts w:ascii="ITC Avant Garde" w:hAnsi="ITC Avant Garde"/>
          <w:sz w:val="16"/>
          <w:szCs w:val="16"/>
        </w:rPr>
      </w:pPr>
      <w:r w:rsidRPr="007D02A7">
        <w:rPr>
          <w:rFonts w:ascii="ITC Avant Garde" w:hAnsi="ITC Avant Garde"/>
          <w:sz w:val="16"/>
          <w:szCs w:val="16"/>
        </w:rPr>
        <w:t xml:space="preserve">Artículo 3. El Instituto utilizará el índice de concentración conocido en la literatura especializada como índice de </w:t>
      </w:r>
      <w:proofErr w:type="spellStart"/>
      <w:r w:rsidRPr="007D02A7">
        <w:rPr>
          <w:rFonts w:ascii="ITC Avant Garde" w:hAnsi="ITC Avant Garde"/>
          <w:sz w:val="16"/>
          <w:szCs w:val="16"/>
        </w:rPr>
        <w:t>Herfindahl-Hirschman</w:t>
      </w:r>
      <w:proofErr w:type="spellEnd"/>
      <w:r w:rsidRPr="007D02A7">
        <w:rPr>
          <w:rFonts w:ascii="ITC Avant Garde" w:hAnsi="ITC Avant Garde"/>
          <w:sz w:val="16"/>
          <w:szCs w:val="16"/>
        </w:rPr>
        <w:t xml:space="preserve"> (IHH), el cual se calcula a partir de las participaciones de los agentes económicos.</w:t>
      </w:r>
    </w:p>
    <w:p w:rsidR="00EE12FA" w:rsidRPr="007D02A7" w:rsidRDefault="00EE12FA" w:rsidP="00315C5D">
      <w:pPr>
        <w:pStyle w:val="Textonotapie"/>
        <w:jc w:val="both"/>
        <w:rPr>
          <w:rFonts w:ascii="ITC Avant Garde" w:hAnsi="ITC Avant Garde"/>
          <w:sz w:val="16"/>
          <w:szCs w:val="16"/>
        </w:rPr>
      </w:pPr>
      <w:r w:rsidRPr="007D02A7">
        <w:rPr>
          <w:rFonts w:ascii="ITC Avant Garde" w:hAnsi="ITC Avant Garde"/>
          <w:sz w:val="16"/>
          <w:szCs w:val="16"/>
        </w:rPr>
        <w:t xml:space="preserve">Las participaciones se calcularán a partir de variables que el Instituto considere pertinentes para el caso particular de estudio, que incluyen sin limitar: el número de usuarios, suscripciones, audiencia, tráfico en las redes, número de frecuencias o estaciones, capacidad instalada, valor o volumen de las ventas. </w:t>
      </w:r>
    </w:p>
    <w:p w:rsidR="00EE12FA" w:rsidRPr="007D02A7" w:rsidRDefault="00EE12FA" w:rsidP="00315C5D">
      <w:pPr>
        <w:pStyle w:val="Textonotapie"/>
        <w:jc w:val="both"/>
        <w:rPr>
          <w:rFonts w:ascii="ITC Avant Garde" w:hAnsi="ITC Avant Garde"/>
          <w:sz w:val="16"/>
          <w:szCs w:val="16"/>
        </w:rPr>
      </w:pPr>
      <w:r w:rsidRPr="007D02A7">
        <w:rPr>
          <w:rFonts w:ascii="ITC Avant Garde" w:hAnsi="ITC Avant Garde"/>
          <w:sz w:val="16"/>
          <w:szCs w:val="16"/>
        </w:rPr>
        <w:t xml:space="preserve">(…) </w:t>
      </w:r>
    </w:p>
    <w:p w:rsidR="00EE12FA" w:rsidRPr="007D02A7" w:rsidRDefault="00EE12FA" w:rsidP="00315C5D">
      <w:pPr>
        <w:pStyle w:val="Textonotapie"/>
        <w:jc w:val="both"/>
        <w:rPr>
          <w:rFonts w:ascii="ITC Avant Garde" w:hAnsi="ITC Avant Garde"/>
          <w:sz w:val="16"/>
          <w:szCs w:val="16"/>
        </w:rPr>
      </w:pPr>
      <w:r w:rsidRPr="007D02A7">
        <w:rPr>
          <w:rFonts w:ascii="ITC Avant Garde" w:hAnsi="ITC Avant Garde"/>
          <w:sz w:val="16"/>
          <w:szCs w:val="16"/>
        </w:rPr>
        <w:t>Artículo 6. El Instituto considerará que es poco probable que una concentración tiene por objeto o efecto obstaculizar, disminuir, dañar o impedir la competencia y la libre concurrencia, cuando posteriormente a ésta suceda alguna de las siguientes situaciones:</w:t>
      </w:r>
    </w:p>
    <w:p w:rsidR="00EE12FA" w:rsidRPr="007D02A7" w:rsidRDefault="00EE12FA" w:rsidP="00315C5D">
      <w:pPr>
        <w:pStyle w:val="Textonotapie"/>
        <w:jc w:val="both"/>
        <w:rPr>
          <w:rFonts w:ascii="ITC Avant Garde" w:hAnsi="ITC Avant Garde"/>
          <w:sz w:val="16"/>
          <w:szCs w:val="16"/>
        </w:rPr>
      </w:pPr>
      <w:r w:rsidRPr="007D02A7">
        <w:rPr>
          <w:rFonts w:ascii="ITC Avant Garde" w:hAnsi="ITC Avant Garde"/>
          <w:sz w:val="16"/>
          <w:szCs w:val="16"/>
        </w:rPr>
        <w:t>a)</w:t>
      </w:r>
      <w:r w:rsidRPr="007D02A7">
        <w:rPr>
          <w:rFonts w:ascii="ITC Avant Garde" w:hAnsi="ITC Avant Garde"/>
          <w:sz w:val="16"/>
          <w:szCs w:val="16"/>
        </w:rPr>
        <w:tab/>
        <w:t>IHH ≤ 2,000 puntos;</w:t>
      </w:r>
    </w:p>
    <w:p w:rsidR="00EE12FA" w:rsidRPr="007D02A7" w:rsidRDefault="00EE12FA" w:rsidP="00315C5D">
      <w:pPr>
        <w:pStyle w:val="Textonotapie"/>
        <w:jc w:val="both"/>
        <w:rPr>
          <w:rFonts w:ascii="ITC Avant Garde" w:hAnsi="ITC Avant Garde"/>
          <w:sz w:val="16"/>
          <w:szCs w:val="16"/>
        </w:rPr>
      </w:pPr>
      <w:r w:rsidRPr="007D02A7">
        <w:rPr>
          <w:rFonts w:ascii="ITC Avant Garde" w:hAnsi="ITC Avant Garde"/>
          <w:sz w:val="16"/>
          <w:szCs w:val="16"/>
        </w:rPr>
        <w:t>b)</w:t>
      </w:r>
      <w:r w:rsidRPr="007D02A7">
        <w:rPr>
          <w:rFonts w:ascii="ITC Avant Garde" w:hAnsi="ITC Avant Garde"/>
          <w:sz w:val="16"/>
          <w:szCs w:val="16"/>
        </w:rPr>
        <w:tab/>
        <w:t>2,000 &lt; IHH≤ 3,000 y ∆HH≤150 puntos; o</w:t>
      </w:r>
    </w:p>
    <w:p w:rsidR="00EE12FA" w:rsidRPr="007D02A7" w:rsidRDefault="00EE12FA" w:rsidP="00315C5D">
      <w:pPr>
        <w:pStyle w:val="Textonotapie"/>
        <w:jc w:val="both"/>
        <w:rPr>
          <w:rFonts w:ascii="ITC Avant Garde" w:hAnsi="ITC Avant Garde"/>
          <w:sz w:val="16"/>
          <w:szCs w:val="16"/>
        </w:rPr>
      </w:pPr>
      <w:r w:rsidRPr="007D02A7">
        <w:rPr>
          <w:rFonts w:ascii="ITC Avant Garde" w:hAnsi="ITC Avant Garde"/>
          <w:sz w:val="16"/>
          <w:szCs w:val="16"/>
        </w:rPr>
        <w:t>c)</w:t>
      </w:r>
      <w:r w:rsidRPr="007D02A7">
        <w:rPr>
          <w:rFonts w:ascii="ITC Avant Garde" w:hAnsi="ITC Avant Garde"/>
          <w:sz w:val="16"/>
          <w:szCs w:val="16"/>
        </w:rPr>
        <w:tab/>
        <w:t>IHH &gt; 3,000 y ∆HH ≤ 100 puntos.</w:t>
      </w:r>
    </w:p>
    <w:p w:rsidR="00EE12FA" w:rsidRPr="007D02A7" w:rsidRDefault="00EE12FA" w:rsidP="00315C5D">
      <w:pPr>
        <w:pStyle w:val="Default"/>
        <w:jc w:val="both"/>
        <w:rPr>
          <w:rFonts w:ascii="ITC Avant Garde" w:hAnsi="ITC Avant Garde"/>
          <w:sz w:val="16"/>
          <w:szCs w:val="16"/>
        </w:rPr>
      </w:pPr>
      <w:r w:rsidRPr="007D02A7">
        <w:rPr>
          <w:rFonts w:ascii="ITC Avant Garde" w:hAnsi="ITC Avant Garde"/>
          <w:sz w:val="16"/>
          <w:szCs w:val="16"/>
        </w:rPr>
        <w:t>(…).”</w:t>
      </w:r>
    </w:p>
    <w:p w:rsidR="00EE12FA" w:rsidRPr="007D02A7" w:rsidRDefault="00EE12FA" w:rsidP="00315C5D">
      <w:pPr>
        <w:pStyle w:val="Default"/>
        <w:jc w:val="both"/>
        <w:rPr>
          <w:rFonts w:ascii="ITC Avant Garde" w:hAnsi="ITC Avant Garde"/>
          <w:sz w:val="16"/>
          <w:szCs w:val="16"/>
          <w:lang w:val="es-ES"/>
        </w:rPr>
      </w:pPr>
      <w:r w:rsidRPr="007D02A7">
        <w:rPr>
          <w:rFonts w:ascii="ITC Avant Garde" w:hAnsi="ITC Avant Garde"/>
          <w:sz w:val="16"/>
          <w:szCs w:val="16"/>
        </w:rPr>
        <w:t>Disponible en http://www.dof.gob.mx/nota_detalle.php?codigo=5432595&amp;fecha=11/04/2016.</w:t>
      </w:r>
    </w:p>
  </w:footnote>
  <w:footnote w:id="45">
    <w:p w:rsidR="00EE12FA" w:rsidRPr="007D02A7" w:rsidRDefault="00EE12FA" w:rsidP="00315C5D">
      <w:pPr>
        <w:pStyle w:val="Textonotapie"/>
        <w:jc w:val="both"/>
        <w:rPr>
          <w:rFonts w:ascii="ITC Avant Garde" w:hAnsi="ITC Avant Garde"/>
          <w:sz w:val="16"/>
          <w:szCs w:val="16"/>
        </w:rPr>
      </w:pPr>
      <w:r w:rsidRPr="007D02A7">
        <w:rPr>
          <w:rStyle w:val="Refdenotaalpie"/>
          <w:rFonts w:ascii="ITC Avant Garde" w:hAnsi="ITC Avant Garde"/>
          <w:sz w:val="16"/>
          <w:szCs w:val="16"/>
        </w:rPr>
        <w:footnoteRef/>
      </w:r>
      <w:r w:rsidRPr="007D02A7">
        <w:rPr>
          <w:rFonts w:ascii="ITC Avant Garde" w:hAnsi="ITC Avant Garde"/>
          <w:sz w:val="16"/>
          <w:szCs w:val="16"/>
        </w:rPr>
        <w:t xml:space="preserve"> Información pública disponible en: http://sistemas.indaabin.gob.mx/ares/#no-back-button. Información pública disponible en: https://www.gob.mx/indaabin/acciones-y-programas/arrendamiento-de-espacios.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2FA" w:rsidRDefault="00EE12FA">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3"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2FA" w:rsidRDefault="00EE12FA">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2"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2FA" w:rsidRDefault="00EE12F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2FA" w:rsidRPr="00E15B1F" w:rsidRDefault="00EE12FA" w:rsidP="00E15B1F">
    <w:pPr>
      <w:spacing w:after="0" w:line="240" w:lineRule="auto"/>
      <w:jc w:val="both"/>
      <w:rPr>
        <w:rFonts w:ascii="ITC Avant Garde Demi" w:hAnsi="ITC Avant Garde Demi"/>
        <w:b/>
        <w:color w:val="0000FF"/>
        <w:sz w:val="20"/>
        <w:szCs w:val="20"/>
      </w:rPr>
    </w:pPr>
    <w:r w:rsidRPr="00E15B1F">
      <w:rPr>
        <w:rFonts w:ascii="ITC Avant Garde Demi" w:hAnsi="ITC Avant Garde Demi"/>
        <w:b/>
        <w:color w:val="0000FF"/>
        <w:sz w:val="20"/>
        <w:szCs w:val="20"/>
      </w:rPr>
      <w:t>Los textos que aparecen testados en el presente documento corresponden a información clasificada como confidencial, de conformidad con los supuestos previstos en los artículos 3, fracción IX, 124 y 125 de la Ley Federal de Competencia Económica; 116 de la Ley General de Transparencia y Acceso a la Información Pública; 113 de la Ley Federal de Transparencia y Acceso a la Información Pública, y Lineamiento Cuadragésimo del “ACUERDO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0D40"/>
    <w:multiLevelType w:val="hybridMultilevel"/>
    <w:tmpl w:val="17C2DB46"/>
    <w:lvl w:ilvl="0" w:tplc="9EF83BF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5E019B"/>
    <w:multiLevelType w:val="multilevel"/>
    <w:tmpl w:val="D2AA7F64"/>
    <w:lvl w:ilvl="0">
      <w:start w:val="1"/>
      <w:numFmt w:val="decimal"/>
      <w:pStyle w:val="Prrafonumerado"/>
      <w:lvlText w:val="%1."/>
      <w:lvlJc w:val="left"/>
      <w:pPr>
        <w:ind w:left="360" w:hanging="360"/>
      </w:pPr>
      <w:rPr>
        <w:rFonts w:ascii="ITC Avant Garde" w:eastAsia="Times New Roman" w:hAnsi="ITC Avant Garde" w:cs="Times New Roman"/>
        <w:b w:val="0"/>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708617F"/>
    <w:multiLevelType w:val="hybridMultilevel"/>
    <w:tmpl w:val="3982A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377DAB"/>
    <w:multiLevelType w:val="hybridMultilevel"/>
    <w:tmpl w:val="ACE68A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E67E19"/>
    <w:multiLevelType w:val="hybridMultilevel"/>
    <w:tmpl w:val="AB1AA42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7E0230"/>
    <w:multiLevelType w:val="multilevel"/>
    <w:tmpl w:val="1514223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C647D42"/>
    <w:multiLevelType w:val="hybridMultilevel"/>
    <w:tmpl w:val="42D0945C"/>
    <w:lvl w:ilvl="0" w:tplc="AA0E840A">
      <w:start w:val="10"/>
      <w:numFmt w:val="decimal"/>
      <w:suff w:val="space"/>
      <w:lvlText w:val="Cuadro %1."/>
      <w:lvlJc w:val="left"/>
      <w:pPr>
        <w:ind w:left="213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FD02D7"/>
    <w:multiLevelType w:val="multilevel"/>
    <w:tmpl w:val="5B72A746"/>
    <w:lvl w:ilvl="0">
      <w:start w:val="2"/>
      <w:numFmt w:val="decimal"/>
      <w:lvlText w:val="%1."/>
      <w:lvlJc w:val="left"/>
      <w:pPr>
        <w:ind w:left="420" w:hanging="420"/>
      </w:pPr>
      <w:rPr>
        <w:rFonts w:hint="default"/>
      </w:rPr>
    </w:lvl>
    <w:lvl w:ilvl="1">
      <w:start w:val="2"/>
      <w:numFmt w:val="decimal"/>
      <w:lvlText w:val="%1.%2."/>
      <w:lvlJc w:val="left"/>
      <w:pPr>
        <w:ind w:left="1712"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9736" w:hanging="1800"/>
      </w:pPr>
      <w:rPr>
        <w:rFonts w:hint="default"/>
      </w:rPr>
    </w:lvl>
  </w:abstractNum>
  <w:abstractNum w:abstractNumId="8" w15:restartNumberingAfterBreak="0">
    <w:nsid w:val="10AA7741"/>
    <w:multiLevelType w:val="hybridMultilevel"/>
    <w:tmpl w:val="AD12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E72B85"/>
    <w:multiLevelType w:val="hybridMultilevel"/>
    <w:tmpl w:val="86722AA8"/>
    <w:lvl w:ilvl="0" w:tplc="C2142848">
      <w:start w:val="1"/>
      <w:numFmt w:val="ordinalText"/>
      <w:suff w:val="space"/>
      <w:lvlText w:val="%1.- "/>
      <w:lvlJc w:val="left"/>
      <w:pPr>
        <w:ind w:left="0" w:firstLine="0"/>
      </w:pPr>
      <w:rPr>
        <w:rFonts w:ascii="ITC Avant Garde" w:hAnsi="ITC Avant Garde" w:hint="default"/>
        <w:b/>
        <w:i w:val="0"/>
        <w:caps w:val="0"/>
        <w:strike w:val="0"/>
        <w:dstrike w:val="0"/>
        <w:vanish w:val="0"/>
        <w:sz w:val="22"/>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625271"/>
    <w:multiLevelType w:val="hybridMultilevel"/>
    <w:tmpl w:val="E1C4D260"/>
    <w:lvl w:ilvl="0" w:tplc="F04C43A0">
      <w:start w:val="1"/>
      <w:numFmt w:val="ordinalText"/>
      <w:suff w:val="space"/>
      <w:lvlText w:val="%1.- "/>
      <w:lvlJc w:val="left"/>
      <w:pPr>
        <w:ind w:left="0" w:firstLine="0"/>
      </w:pPr>
      <w:rPr>
        <w:rFonts w:ascii="ITC Avant Garde" w:hAnsi="ITC Avant Garde" w:hint="default"/>
        <w:b/>
        <w:i w:val="0"/>
        <w:caps w:val="0"/>
        <w:strike w:val="0"/>
        <w:dstrike w:val="0"/>
        <w:vanish w:val="0"/>
        <w:sz w:val="22"/>
        <w:vertAlign w:val="baseli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611ADA"/>
    <w:multiLevelType w:val="hybridMultilevel"/>
    <w:tmpl w:val="43C8D230"/>
    <w:lvl w:ilvl="0" w:tplc="B98E0872">
      <w:start w:val="1"/>
      <w:numFmt w:val="decimal"/>
      <w:suff w:val="space"/>
      <w:lvlText w:val="Gráfico %1."/>
      <w:lvlJc w:val="left"/>
      <w:pPr>
        <w:ind w:left="2138" w:hanging="360"/>
      </w:pPr>
      <w:rPr>
        <w:rFonts w:ascii="ITC Avant Garde" w:hAnsi="ITC Avant Garde" w:hint="default"/>
        <w:b/>
        <w:i w:val="0"/>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AA1871"/>
    <w:multiLevelType w:val="multilevel"/>
    <w:tmpl w:val="B8EEF386"/>
    <w:lvl w:ilvl="0">
      <w:start w:val="5"/>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3" w15:restartNumberingAfterBreak="0">
    <w:nsid w:val="22FA05FE"/>
    <w:multiLevelType w:val="hybridMultilevel"/>
    <w:tmpl w:val="304C43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A4456B"/>
    <w:multiLevelType w:val="hybridMultilevel"/>
    <w:tmpl w:val="AE5A2952"/>
    <w:lvl w:ilvl="0" w:tplc="73DAD106">
      <w:start w:val="1"/>
      <w:numFmt w:val="decimal"/>
      <w:lvlText w:val="%1)"/>
      <w:lvlJc w:val="left"/>
      <w:pPr>
        <w:ind w:left="360" w:hanging="360"/>
      </w:pPr>
      <w:rPr>
        <w:i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8210CA8"/>
    <w:multiLevelType w:val="hybridMultilevel"/>
    <w:tmpl w:val="04BAB5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317DE3"/>
    <w:multiLevelType w:val="hybridMultilevel"/>
    <w:tmpl w:val="80DE3CD4"/>
    <w:lvl w:ilvl="0" w:tplc="1E865336">
      <w:start w:val="1"/>
      <w:numFmt w:val="decimal"/>
      <w:pStyle w:val="Figura"/>
      <w:suff w:val="space"/>
      <w:lvlText w:val="Figura %1. "/>
      <w:lvlJc w:val="left"/>
      <w:pPr>
        <w:ind w:left="4690" w:hanging="1854"/>
      </w:pPr>
      <w:rPr>
        <w:rFonts w:ascii="ITC Avant Garde" w:hAnsi="ITC Avant Garde" w:cs="Times New Roman" w:hint="default"/>
        <w:b/>
        <w:bCs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A0019" w:tentative="1">
      <w:start w:val="1"/>
      <w:numFmt w:val="lowerLetter"/>
      <w:lvlText w:val="%2."/>
      <w:lvlJc w:val="left"/>
      <w:pPr>
        <w:ind w:left="5410" w:hanging="360"/>
      </w:pPr>
    </w:lvl>
    <w:lvl w:ilvl="2" w:tplc="080A001B" w:tentative="1">
      <w:start w:val="1"/>
      <w:numFmt w:val="lowerRoman"/>
      <w:lvlText w:val="%3."/>
      <w:lvlJc w:val="right"/>
      <w:pPr>
        <w:ind w:left="6130" w:hanging="180"/>
      </w:pPr>
    </w:lvl>
    <w:lvl w:ilvl="3" w:tplc="080A000F" w:tentative="1">
      <w:start w:val="1"/>
      <w:numFmt w:val="decimal"/>
      <w:lvlText w:val="%4."/>
      <w:lvlJc w:val="left"/>
      <w:pPr>
        <w:ind w:left="6850" w:hanging="360"/>
      </w:pPr>
    </w:lvl>
    <w:lvl w:ilvl="4" w:tplc="080A0019" w:tentative="1">
      <w:start w:val="1"/>
      <w:numFmt w:val="lowerLetter"/>
      <w:lvlText w:val="%5."/>
      <w:lvlJc w:val="left"/>
      <w:pPr>
        <w:ind w:left="7570" w:hanging="360"/>
      </w:pPr>
    </w:lvl>
    <w:lvl w:ilvl="5" w:tplc="080A001B" w:tentative="1">
      <w:start w:val="1"/>
      <w:numFmt w:val="lowerRoman"/>
      <w:lvlText w:val="%6."/>
      <w:lvlJc w:val="right"/>
      <w:pPr>
        <w:ind w:left="8290" w:hanging="180"/>
      </w:pPr>
    </w:lvl>
    <w:lvl w:ilvl="6" w:tplc="080A000F" w:tentative="1">
      <w:start w:val="1"/>
      <w:numFmt w:val="decimal"/>
      <w:lvlText w:val="%7."/>
      <w:lvlJc w:val="left"/>
      <w:pPr>
        <w:ind w:left="9010" w:hanging="360"/>
      </w:pPr>
    </w:lvl>
    <w:lvl w:ilvl="7" w:tplc="080A0019" w:tentative="1">
      <w:start w:val="1"/>
      <w:numFmt w:val="lowerLetter"/>
      <w:lvlText w:val="%8."/>
      <w:lvlJc w:val="left"/>
      <w:pPr>
        <w:ind w:left="9730" w:hanging="360"/>
      </w:pPr>
    </w:lvl>
    <w:lvl w:ilvl="8" w:tplc="080A001B" w:tentative="1">
      <w:start w:val="1"/>
      <w:numFmt w:val="lowerRoman"/>
      <w:lvlText w:val="%9."/>
      <w:lvlJc w:val="right"/>
      <w:pPr>
        <w:ind w:left="10450" w:hanging="180"/>
      </w:pPr>
    </w:lvl>
  </w:abstractNum>
  <w:abstractNum w:abstractNumId="17" w15:restartNumberingAfterBreak="0">
    <w:nsid w:val="38D617C8"/>
    <w:multiLevelType w:val="hybridMultilevel"/>
    <w:tmpl w:val="8EFE108C"/>
    <w:lvl w:ilvl="0" w:tplc="9EF83BF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A56420"/>
    <w:multiLevelType w:val="hybridMultilevel"/>
    <w:tmpl w:val="A816F8E0"/>
    <w:lvl w:ilvl="0" w:tplc="2E90914E">
      <w:start w:val="1"/>
      <w:numFmt w:val="decimal"/>
      <w:pStyle w:val="MayusIFT"/>
      <w:lvlText w:val="%1."/>
      <w:lvlJc w:val="left"/>
      <w:pPr>
        <w:tabs>
          <w:tab w:val="num" w:pos="417"/>
        </w:tabs>
        <w:ind w:left="417" w:hanging="360"/>
      </w:pPr>
      <w:rPr>
        <w:rFonts w:hint="default"/>
      </w:rPr>
    </w:lvl>
    <w:lvl w:ilvl="1" w:tplc="23EC71D6">
      <w:start w:val="1"/>
      <w:numFmt w:val="upperLetter"/>
      <w:lvlText w:val="%2."/>
      <w:lvlJc w:val="left"/>
      <w:pPr>
        <w:tabs>
          <w:tab w:val="num" w:pos="1137"/>
        </w:tabs>
        <w:ind w:left="1137" w:hanging="360"/>
      </w:pPr>
      <w:rPr>
        <w:rFonts w:hint="default"/>
      </w:rPr>
    </w:lvl>
    <w:lvl w:ilvl="2" w:tplc="D8CA7F2A">
      <w:start w:val="100"/>
      <w:numFmt w:val="decimal"/>
      <w:lvlText w:val="%3."/>
      <w:lvlJc w:val="left"/>
      <w:pPr>
        <w:tabs>
          <w:tab w:val="num" w:pos="2397"/>
        </w:tabs>
        <w:ind w:left="2397" w:hanging="720"/>
      </w:pPr>
      <w:rPr>
        <w:rFonts w:hint="default"/>
        <w:b w:val="0"/>
        <w:sz w:val="20"/>
      </w:rPr>
    </w:lvl>
    <w:lvl w:ilvl="3" w:tplc="0C0A000F" w:tentative="1">
      <w:start w:val="1"/>
      <w:numFmt w:val="decimal"/>
      <w:lvlText w:val="%4."/>
      <w:lvlJc w:val="left"/>
      <w:pPr>
        <w:tabs>
          <w:tab w:val="num" w:pos="2577"/>
        </w:tabs>
        <w:ind w:left="2577" w:hanging="360"/>
      </w:pPr>
    </w:lvl>
    <w:lvl w:ilvl="4" w:tplc="0C0A0019" w:tentative="1">
      <w:start w:val="1"/>
      <w:numFmt w:val="lowerLetter"/>
      <w:lvlText w:val="%5."/>
      <w:lvlJc w:val="left"/>
      <w:pPr>
        <w:tabs>
          <w:tab w:val="num" w:pos="3297"/>
        </w:tabs>
        <w:ind w:left="3297" w:hanging="360"/>
      </w:pPr>
    </w:lvl>
    <w:lvl w:ilvl="5" w:tplc="0C0A001B" w:tentative="1">
      <w:start w:val="1"/>
      <w:numFmt w:val="lowerRoman"/>
      <w:lvlText w:val="%6."/>
      <w:lvlJc w:val="right"/>
      <w:pPr>
        <w:tabs>
          <w:tab w:val="num" w:pos="4017"/>
        </w:tabs>
        <w:ind w:left="4017" w:hanging="180"/>
      </w:pPr>
    </w:lvl>
    <w:lvl w:ilvl="6" w:tplc="0C0A000F" w:tentative="1">
      <w:start w:val="1"/>
      <w:numFmt w:val="decimal"/>
      <w:lvlText w:val="%7."/>
      <w:lvlJc w:val="left"/>
      <w:pPr>
        <w:tabs>
          <w:tab w:val="num" w:pos="4737"/>
        </w:tabs>
        <w:ind w:left="4737" w:hanging="360"/>
      </w:pPr>
    </w:lvl>
    <w:lvl w:ilvl="7" w:tplc="0C0A0019" w:tentative="1">
      <w:start w:val="1"/>
      <w:numFmt w:val="lowerLetter"/>
      <w:lvlText w:val="%8."/>
      <w:lvlJc w:val="left"/>
      <w:pPr>
        <w:tabs>
          <w:tab w:val="num" w:pos="5457"/>
        </w:tabs>
        <w:ind w:left="5457" w:hanging="360"/>
      </w:pPr>
    </w:lvl>
    <w:lvl w:ilvl="8" w:tplc="0C0A001B" w:tentative="1">
      <w:start w:val="1"/>
      <w:numFmt w:val="lowerRoman"/>
      <w:lvlText w:val="%9."/>
      <w:lvlJc w:val="right"/>
      <w:pPr>
        <w:tabs>
          <w:tab w:val="num" w:pos="6177"/>
        </w:tabs>
        <w:ind w:left="6177" w:hanging="180"/>
      </w:pPr>
    </w:lvl>
  </w:abstractNum>
  <w:abstractNum w:abstractNumId="19" w15:restartNumberingAfterBreak="0">
    <w:nsid w:val="52816D04"/>
    <w:multiLevelType w:val="hybridMultilevel"/>
    <w:tmpl w:val="7124F37A"/>
    <w:lvl w:ilvl="0" w:tplc="6B169C7A">
      <w:start w:val="1"/>
      <w:numFmt w:val="decimal"/>
      <w:suff w:val="space"/>
      <w:lvlText w:val="Cuadro %1."/>
      <w:lvlJc w:val="left"/>
      <w:pPr>
        <w:ind w:left="2138" w:hanging="360"/>
      </w:pPr>
      <w:rPr>
        <w:rFonts w:hint="default"/>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20" w15:restartNumberingAfterBreak="0">
    <w:nsid w:val="531E5F3A"/>
    <w:multiLevelType w:val="hybridMultilevel"/>
    <w:tmpl w:val="DBC6CA52"/>
    <w:lvl w:ilvl="0" w:tplc="ECF62CA8">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CE7BA9"/>
    <w:multiLevelType w:val="hybridMultilevel"/>
    <w:tmpl w:val="96EE9D36"/>
    <w:lvl w:ilvl="0" w:tplc="174C072E">
      <w:start w:val="9"/>
      <w:numFmt w:val="decimal"/>
      <w:lvlText w:val="Cuadro %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FD81A8D"/>
    <w:multiLevelType w:val="hybridMultilevel"/>
    <w:tmpl w:val="D4847A8A"/>
    <w:lvl w:ilvl="0" w:tplc="080A0001">
      <w:start w:val="1"/>
      <w:numFmt w:val="bullet"/>
      <w:lvlText w:val=""/>
      <w:lvlJc w:val="left"/>
      <w:pPr>
        <w:ind w:left="360" w:hanging="360"/>
      </w:pPr>
      <w:rPr>
        <w:rFonts w:ascii="Symbol" w:hAnsi="Symbol" w:hint="default"/>
      </w:rPr>
    </w:lvl>
    <w:lvl w:ilvl="1" w:tplc="8E9C6DA8">
      <w:start w:val="1"/>
      <w:numFmt w:val="bullet"/>
      <w:lvlText w:val="-"/>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61C475C1"/>
    <w:multiLevelType w:val="hybridMultilevel"/>
    <w:tmpl w:val="62944AD6"/>
    <w:lvl w:ilvl="0" w:tplc="F2A2F9FC">
      <w:start w:val="1"/>
      <w:numFmt w:val="upperRoman"/>
      <w:pStyle w:val="NormalIFT"/>
      <w:lvlText w:val="%1."/>
      <w:lvlJc w:val="right"/>
      <w:pPr>
        <w:ind w:left="720" w:hanging="360"/>
      </w:pPr>
      <w:rPr>
        <w:rFonts w:ascii="Times New Roman" w:hAnsi="Times New Roman" w:cs="Times New Roman" w:hint="default"/>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2DC397D"/>
    <w:multiLevelType w:val="hybridMultilevel"/>
    <w:tmpl w:val="0BC6E6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3CE0672"/>
    <w:multiLevelType w:val="multilevel"/>
    <w:tmpl w:val="046C1C26"/>
    <w:lvl w:ilvl="0">
      <w:start w:val="6"/>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9130E9F"/>
    <w:multiLevelType w:val="hybridMultilevel"/>
    <w:tmpl w:val="25D6C95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7AE56D24"/>
    <w:multiLevelType w:val="hybridMultilevel"/>
    <w:tmpl w:val="BED6A7C6"/>
    <w:lvl w:ilvl="0" w:tplc="E182BD5E">
      <w:start w:val="1"/>
      <w:numFmt w:val="decimal"/>
      <w:pStyle w:val="Cuadros"/>
      <w:suff w:val="space"/>
      <w:lvlText w:val="Cuadro %1. "/>
      <w:lvlJc w:val="left"/>
      <w:pPr>
        <w:ind w:left="1134" w:firstLine="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A0019">
      <w:start w:val="1"/>
      <w:numFmt w:val="lowerLetter"/>
      <w:lvlText w:val="%2."/>
      <w:lvlJc w:val="left"/>
      <w:pPr>
        <w:ind w:left="3600" w:hanging="360"/>
      </w:pPr>
    </w:lvl>
    <w:lvl w:ilvl="2" w:tplc="080A001B">
      <w:start w:val="1"/>
      <w:numFmt w:val="lowerRoman"/>
      <w:lvlText w:val="%3."/>
      <w:lvlJc w:val="right"/>
      <w:pPr>
        <w:ind w:left="4320" w:hanging="180"/>
      </w:pPr>
    </w:lvl>
    <w:lvl w:ilvl="3" w:tplc="080A000F">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num w:numId="1">
    <w:abstractNumId w:val="23"/>
  </w:num>
  <w:num w:numId="2">
    <w:abstractNumId w:val="5"/>
  </w:num>
  <w:num w:numId="3">
    <w:abstractNumId w:val="22"/>
  </w:num>
  <w:num w:numId="4">
    <w:abstractNumId w:val="14"/>
  </w:num>
  <w:num w:numId="5">
    <w:abstractNumId w:val="25"/>
  </w:num>
  <w:num w:numId="6">
    <w:abstractNumId w:val="27"/>
  </w:num>
  <w:num w:numId="7">
    <w:abstractNumId w:val="9"/>
  </w:num>
  <w:num w:numId="8">
    <w:abstractNumId w:val="16"/>
  </w:num>
  <w:num w:numId="9">
    <w:abstractNumId w:val="10"/>
  </w:num>
  <w:num w:numId="10">
    <w:abstractNumId w:val="1"/>
  </w:num>
  <w:num w:numId="11">
    <w:abstractNumId w:val="18"/>
  </w:num>
  <w:num w:numId="12">
    <w:abstractNumId w:val="24"/>
  </w:num>
  <w:num w:numId="13">
    <w:abstractNumId w:val="19"/>
  </w:num>
  <w:num w:numId="14">
    <w:abstractNumId w:val="8"/>
  </w:num>
  <w:num w:numId="15">
    <w:abstractNumId w:val="2"/>
  </w:num>
  <w:num w:numId="16">
    <w:abstractNumId w:val="26"/>
  </w:num>
  <w:num w:numId="17">
    <w:abstractNumId w:val="20"/>
  </w:num>
  <w:num w:numId="18">
    <w:abstractNumId w:val="3"/>
  </w:num>
  <w:num w:numId="19">
    <w:abstractNumId w:val="0"/>
  </w:num>
  <w:num w:numId="20">
    <w:abstractNumId w:val="7"/>
  </w:num>
  <w:num w:numId="21">
    <w:abstractNumId w:val="4"/>
  </w:num>
  <w:num w:numId="22">
    <w:abstractNumId w:val="12"/>
  </w:num>
  <w:num w:numId="23">
    <w:abstractNumId w:val="13"/>
  </w:num>
  <w:num w:numId="24">
    <w:abstractNumId w:val="11"/>
  </w:num>
  <w:num w:numId="25">
    <w:abstractNumId w:val="15"/>
  </w:num>
  <w:num w:numId="26">
    <w:abstractNumId w:val="17"/>
  </w:num>
  <w:num w:numId="27">
    <w:abstractNumId w:val="21"/>
  </w:num>
  <w:num w:numId="28">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CF"/>
    <w:rsid w:val="000009FB"/>
    <w:rsid w:val="00000DA5"/>
    <w:rsid w:val="000010B8"/>
    <w:rsid w:val="00001E08"/>
    <w:rsid w:val="0000247F"/>
    <w:rsid w:val="000028CD"/>
    <w:rsid w:val="00002E68"/>
    <w:rsid w:val="00003B4B"/>
    <w:rsid w:val="00004063"/>
    <w:rsid w:val="000045E5"/>
    <w:rsid w:val="00004B67"/>
    <w:rsid w:val="00004BA6"/>
    <w:rsid w:val="00005A78"/>
    <w:rsid w:val="00005B9A"/>
    <w:rsid w:val="0000653D"/>
    <w:rsid w:val="000067BD"/>
    <w:rsid w:val="00006861"/>
    <w:rsid w:val="00006F39"/>
    <w:rsid w:val="00007966"/>
    <w:rsid w:val="00007DB7"/>
    <w:rsid w:val="000104E2"/>
    <w:rsid w:val="0001062D"/>
    <w:rsid w:val="00010698"/>
    <w:rsid w:val="00010E00"/>
    <w:rsid w:val="00010FF2"/>
    <w:rsid w:val="00011DED"/>
    <w:rsid w:val="00012386"/>
    <w:rsid w:val="000124C8"/>
    <w:rsid w:val="000135D2"/>
    <w:rsid w:val="000143BF"/>
    <w:rsid w:val="00016B01"/>
    <w:rsid w:val="00017765"/>
    <w:rsid w:val="00020C2A"/>
    <w:rsid w:val="00020E07"/>
    <w:rsid w:val="00021217"/>
    <w:rsid w:val="00021593"/>
    <w:rsid w:val="00021638"/>
    <w:rsid w:val="00022A04"/>
    <w:rsid w:val="0002360A"/>
    <w:rsid w:val="00023C54"/>
    <w:rsid w:val="00023DB9"/>
    <w:rsid w:val="0002448D"/>
    <w:rsid w:val="0002461B"/>
    <w:rsid w:val="00024668"/>
    <w:rsid w:val="000249AD"/>
    <w:rsid w:val="00024AED"/>
    <w:rsid w:val="00024AF7"/>
    <w:rsid w:val="000251B3"/>
    <w:rsid w:val="00025A61"/>
    <w:rsid w:val="00025DC5"/>
    <w:rsid w:val="00027824"/>
    <w:rsid w:val="000302A3"/>
    <w:rsid w:val="000305A4"/>
    <w:rsid w:val="00032B8D"/>
    <w:rsid w:val="00032D32"/>
    <w:rsid w:val="00033035"/>
    <w:rsid w:val="0003362A"/>
    <w:rsid w:val="00033979"/>
    <w:rsid w:val="00034263"/>
    <w:rsid w:val="000349B1"/>
    <w:rsid w:val="00034A77"/>
    <w:rsid w:val="00035118"/>
    <w:rsid w:val="00035B91"/>
    <w:rsid w:val="00035DF7"/>
    <w:rsid w:val="000362C7"/>
    <w:rsid w:val="00036D0E"/>
    <w:rsid w:val="00036D55"/>
    <w:rsid w:val="000373FE"/>
    <w:rsid w:val="00037CA6"/>
    <w:rsid w:val="00037D62"/>
    <w:rsid w:val="0004084B"/>
    <w:rsid w:val="00040A7C"/>
    <w:rsid w:val="00041329"/>
    <w:rsid w:val="000415BC"/>
    <w:rsid w:val="00041A8A"/>
    <w:rsid w:val="00041AE8"/>
    <w:rsid w:val="00042198"/>
    <w:rsid w:val="00042B25"/>
    <w:rsid w:val="0004325F"/>
    <w:rsid w:val="000437A6"/>
    <w:rsid w:val="00043AB9"/>
    <w:rsid w:val="00043AC9"/>
    <w:rsid w:val="00043E1D"/>
    <w:rsid w:val="00044064"/>
    <w:rsid w:val="000440D1"/>
    <w:rsid w:val="0004443C"/>
    <w:rsid w:val="0004465A"/>
    <w:rsid w:val="00044784"/>
    <w:rsid w:val="0004481D"/>
    <w:rsid w:val="000454AD"/>
    <w:rsid w:val="00046418"/>
    <w:rsid w:val="0004787D"/>
    <w:rsid w:val="00050422"/>
    <w:rsid w:val="00050838"/>
    <w:rsid w:val="00051641"/>
    <w:rsid w:val="000518A5"/>
    <w:rsid w:val="000519FA"/>
    <w:rsid w:val="00051B22"/>
    <w:rsid w:val="0005275F"/>
    <w:rsid w:val="0005283A"/>
    <w:rsid w:val="00052EEF"/>
    <w:rsid w:val="000534E3"/>
    <w:rsid w:val="000545E9"/>
    <w:rsid w:val="00054909"/>
    <w:rsid w:val="00055EFD"/>
    <w:rsid w:val="000578D1"/>
    <w:rsid w:val="00061434"/>
    <w:rsid w:val="000618D8"/>
    <w:rsid w:val="00061EB8"/>
    <w:rsid w:val="000624A3"/>
    <w:rsid w:val="0006298E"/>
    <w:rsid w:val="00062ABC"/>
    <w:rsid w:val="00064591"/>
    <w:rsid w:val="0006498C"/>
    <w:rsid w:val="00065D30"/>
    <w:rsid w:val="00065EFA"/>
    <w:rsid w:val="000672CE"/>
    <w:rsid w:val="00067316"/>
    <w:rsid w:val="00067794"/>
    <w:rsid w:val="00067D30"/>
    <w:rsid w:val="00070046"/>
    <w:rsid w:val="000707F9"/>
    <w:rsid w:val="00070A43"/>
    <w:rsid w:val="00070F1D"/>
    <w:rsid w:val="00070F89"/>
    <w:rsid w:val="00072146"/>
    <w:rsid w:val="000736F2"/>
    <w:rsid w:val="00073DCC"/>
    <w:rsid w:val="00073F15"/>
    <w:rsid w:val="0007404D"/>
    <w:rsid w:val="0007557E"/>
    <w:rsid w:val="000760C8"/>
    <w:rsid w:val="000765BB"/>
    <w:rsid w:val="00076E43"/>
    <w:rsid w:val="0007754F"/>
    <w:rsid w:val="00077B14"/>
    <w:rsid w:val="000816B4"/>
    <w:rsid w:val="00081BBA"/>
    <w:rsid w:val="00081FB1"/>
    <w:rsid w:val="0008283B"/>
    <w:rsid w:val="00083308"/>
    <w:rsid w:val="00083EEF"/>
    <w:rsid w:val="00084AB6"/>
    <w:rsid w:val="00084BEC"/>
    <w:rsid w:val="00084EDE"/>
    <w:rsid w:val="00084F1C"/>
    <w:rsid w:val="00084FF6"/>
    <w:rsid w:val="000850A3"/>
    <w:rsid w:val="000868D8"/>
    <w:rsid w:val="000902F7"/>
    <w:rsid w:val="00091C65"/>
    <w:rsid w:val="00092B1E"/>
    <w:rsid w:val="0009378D"/>
    <w:rsid w:val="00093A05"/>
    <w:rsid w:val="00093C7E"/>
    <w:rsid w:val="00094D3F"/>
    <w:rsid w:val="00094E7B"/>
    <w:rsid w:val="00095198"/>
    <w:rsid w:val="00095801"/>
    <w:rsid w:val="0009593F"/>
    <w:rsid w:val="000961B4"/>
    <w:rsid w:val="00096D31"/>
    <w:rsid w:val="000972D0"/>
    <w:rsid w:val="00097352"/>
    <w:rsid w:val="000A0635"/>
    <w:rsid w:val="000A066F"/>
    <w:rsid w:val="000A12A6"/>
    <w:rsid w:val="000A1C9B"/>
    <w:rsid w:val="000A391C"/>
    <w:rsid w:val="000A3EC7"/>
    <w:rsid w:val="000A5EFF"/>
    <w:rsid w:val="000A67C4"/>
    <w:rsid w:val="000A6E26"/>
    <w:rsid w:val="000A75E6"/>
    <w:rsid w:val="000B00B2"/>
    <w:rsid w:val="000B06D3"/>
    <w:rsid w:val="000B0DC3"/>
    <w:rsid w:val="000B1A2D"/>
    <w:rsid w:val="000B2248"/>
    <w:rsid w:val="000B3972"/>
    <w:rsid w:val="000B3FB5"/>
    <w:rsid w:val="000B69B4"/>
    <w:rsid w:val="000B6A01"/>
    <w:rsid w:val="000B6C6B"/>
    <w:rsid w:val="000B6CB6"/>
    <w:rsid w:val="000B6D54"/>
    <w:rsid w:val="000B710C"/>
    <w:rsid w:val="000B7D7C"/>
    <w:rsid w:val="000B7FBF"/>
    <w:rsid w:val="000C036C"/>
    <w:rsid w:val="000C0C5D"/>
    <w:rsid w:val="000C119B"/>
    <w:rsid w:val="000C1993"/>
    <w:rsid w:val="000C1FEC"/>
    <w:rsid w:val="000C20F7"/>
    <w:rsid w:val="000C2B6B"/>
    <w:rsid w:val="000C33D6"/>
    <w:rsid w:val="000C50A0"/>
    <w:rsid w:val="000C5501"/>
    <w:rsid w:val="000C5E23"/>
    <w:rsid w:val="000C5ED5"/>
    <w:rsid w:val="000C7257"/>
    <w:rsid w:val="000C760F"/>
    <w:rsid w:val="000C7AFD"/>
    <w:rsid w:val="000D16AB"/>
    <w:rsid w:val="000D1B48"/>
    <w:rsid w:val="000D1CEC"/>
    <w:rsid w:val="000D2234"/>
    <w:rsid w:val="000D2662"/>
    <w:rsid w:val="000D29D0"/>
    <w:rsid w:val="000D34F5"/>
    <w:rsid w:val="000D362D"/>
    <w:rsid w:val="000D4698"/>
    <w:rsid w:val="000D4D16"/>
    <w:rsid w:val="000D4D74"/>
    <w:rsid w:val="000D52F3"/>
    <w:rsid w:val="000D5789"/>
    <w:rsid w:val="000D5C30"/>
    <w:rsid w:val="000D64B5"/>
    <w:rsid w:val="000D6F64"/>
    <w:rsid w:val="000D7A75"/>
    <w:rsid w:val="000D7BDB"/>
    <w:rsid w:val="000D7D94"/>
    <w:rsid w:val="000E0B9C"/>
    <w:rsid w:val="000E14E0"/>
    <w:rsid w:val="000E152E"/>
    <w:rsid w:val="000E17B8"/>
    <w:rsid w:val="000E1B0A"/>
    <w:rsid w:val="000E237C"/>
    <w:rsid w:val="000E26A5"/>
    <w:rsid w:val="000E26BF"/>
    <w:rsid w:val="000E2BD1"/>
    <w:rsid w:val="000E398B"/>
    <w:rsid w:val="000E4596"/>
    <w:rsid w:val="000E4906"/>
    <w:rsid w:val="000E5026"/>
    <w:rsid w:val="000E502D"/>
    <w:rsid w:val="000E5B53"/>
    <w:rsid w:val="000E69E8"/>
    <w:rsid w:val="000E766C"/>
    <w:rsid w:val="000E7717"/>
    <w:rsid w:val="000E777F"/>
    <w:rsid w:val="000F02F4"/>
    <w:rsid w:val="000F0475"/>
    <w:rsid w:val="000F0B6D"/>
    <w:rsid w:val="000F0F32"/>
    <w:rsid w:val="000F108D"/>
    <w:rsid w:val="000F117A"/>
    <w:rsid w:val="000F164A"/>
    <w:rsid w:val="000F1947"/>
    <w:rsid w:val="000F1C26"/>
    <w:rsid w:val="000F1D7B"/>
    <w:rsid w:val="000F20C8"/>
    <w:rsid w:val="000F22DA"/>
    <w:rsid w:val="000F3AB8"/>
    <w:rsid w:val="000F3D9A"/>
    <w:rsid w:val="000F5546"/>
    <w:rsid w:val="000F5C10"/>
    <w:rsid w:val="000F5DCE"/>
    <w:rsid w:val="000F5DDD"/>
    <w:rsid w:val="000F619C"/>
    <w:rsid w:val="000F6ABE"/>
    <w:rsid w:val="000F75E7"/>
    <w:rsid w:val="000F7B08"/>
    <w:rsid w:val="000F7E62"/>
    <w:rsid w:val="001001BA"/>
    <w:rsid w:val="00100AEB"/>
    <w:rsid w:val="001017D9"/>
    <w:rsid w:val="00102096"/>
    <w:rsid w:val="001022A3"/>
    <w:rsid w:val="001023A2"/>
    <w:rsid w:val="00102F60"/>
    <w:rsid w:val="001035BE"/>
    <w:rsid w:val="00103829"/>
    <w:rsid w:val="00103CAA"/>
    <w:rsid w:val="00104BB9"/>
    <w:rsid w:val="001051F6"/>
    <w:rsid w:val="00105411"/>
    <w:rsid w:val="0010553E"/>
    <w:rsid w:val="00105568"/>
    <w:rsid w:val="00105F97"/>
    <w:rsid w:val="00107ADB"/>
    <w:rsid w:val="00107B4A"/>
    <w:rsid w:val="00107CA6"/>
    <w:rsid w:val="0011042A"/>
    <w:rsid w:val="0011217F"/>
    <w:rsid w:val="001122BC"/>
    <w:rsid w:val="001126C8"/>
    <w:rsid w:val="00112BC6"/>
    <w:rsid w:val="00112CC2"/>
    <w:rsid w:val="00113085"/>
    <w:rsid w:val="001142C6"/>
    <w:rsid w:val="00114BE4"/>
    <w:rsid w:val="0011556D"/>
    <w:rsid w:val="0011566E"/>
    <w:rsid w:val="0011656A"/>
    <w:rsid w:val="001166F3"/>
    <w:rsid w:val="00116B51"/>
    <w:rsid w:val="00116EB4"/>
    <w:rsid w:val="0011718F"/>
    <w:rsid w:val="001173CC"/>
    <w:rsid w:val="00117E45"/>
    <w:rsid w:val="0012032E"/>
    <w:rsid w:val="00121E6E"/>
    <w:rsid w:val="001229D4"/>
    <w:rsid w:val="00122AB2"/>
    <w:rsid w:val="00122D92"/>
    <w:rsid w:val="001237E0"/>
    <w:rsid w:val="00123A08"/>
    <w:rsid w:val="0012444C"/>
    <w:rsid w:val="00124BDC"/>
    <w:rsid w:val="00125042"/>
    <w:rsid w:val="001252A0"/>
    <w:rsid w:val="0012549E"/>
    <w:rsid w:val="0012599D"/>
    <w:rsid w:val="00126558"/>
    <w:rsid w:val="0012662E"/>
    <w:rsid w:val="0012684F"/>
    <w:rsid w:val="001274B4"/>
    <w:rsid w:val="00130AA9"/>
    <w:rsid w:val="001319D5"/>
    <w:rsid w:val="00131BEE"/>
    <w:rsid w:val="00131C9B"/>
    <w:rsid w:val="00132C8A"/>
    <w:rsid w:val="00132FF5"/>
    <w:rsid w:val="001339C6"/>
    <w:rsid w:val="00134786"/>
    <w:rsid w:val="00134CE1"/>
    <w:rsid w:val="00136D03"/>
    <w:rsid w:val="00137437"/>
    <w:rsid w:val="001375E4"/>
    <w:rsid w:val="00137D9A"/>
    <w:rsid w:val="00137EA6"/>
    <w:rsid w:val="00140085"/>
    <w:rsid w:val="001401AB"/>
    <w:rsid w:val="00140360"/>
    <w:rsid w:val="00140AA5"/>
    <w:rsid w:val="00141BEC"/>
    <w:rsid w:val="001423A0"/>
    <w:rsid w:val="00142448"/>
    <w:rsid w:val="001437E9"/>
    <w:rsid w:val="0014380A"/>
    <w:rsid w:val="001439CF"/>
    <w:rsid w:val="00143A79"/>
    <w:rsid w:val="00144B06"/>
    <w:rsid w:val="00144C0D"/>
    <w:rsid w:val="00144FFA"/>
    <w:rsid w:val="00145538"/>
    <w:rsid w:val="00145C8C"/>
    <w:rsid w:val="00145D10"/>
    <w:rsid w:val="00146420"/>
    <w:rsid w:val="0014660D"/>
    <w:rsid w:val="001467B0"/>
    <w:rsid w:val="00146E55"/>
    <w:rsid w:val="001472E4"/>
    <w:rsid w:val="00150482"/>
    <w:rsid w:val="001509D8"/>
    <w:rsid w:val="001513A2"/>
    <w:rsid w:val="001517D0"/>
    <w:rsid w:val="00151BF1"/>
    <w:rsid w:val="00151DFB"/>
    <w:rsid w:val="00152067"/>
    <w:rsid w:val="00152100"/>
    <w:rsid w:val="0015227E"/>
    <w:rsid w:val="00152536"/>
    <w:rsid w:val="00152624"/>
    <w:rsid w:val="001526C6"/>
    <w:rsid w:val="00152DA7"/>
    <w:rsid w:val="00153B90"/>
    <w:rsid w:val="001551C7"/>
    <w:rsid w:val="00155B98"/>
    <w:rsid w:val="00155F1F"/>
    <w:rsid w:val="001567D8"/>
    <w:rsid w:val="00157107"/>
    <w:rsid w:val="00160167"/>
    <w:rsid w:val="00160560"/>
    <w:rsid w:val="00160ECC"/>
    <w:rsid w:val="00161E57"/>
    <w:rsid w:val="00162153"/>
    <w:rsid w:val="001629CF"/>
    <w:rsid w:val="00163547"/>
    <w:rsid w:val="001644A0"/>
    <w:rsid w:val="0016456B"/>
    <w:rsid w:val="001653E5"/>
    <w:rsid w:val="00165601"/>
    <w:rsid w:val="001659E3"/>
    <w:rsid w:val="0016728D"/>
    <w:rsid w:val="001679ED"/>
    <w:rsid w:val="001701D7"/>
    <w:rsid w:val="00170454"/>
    <w:rsid w:val="001709F1"/>
    <w:rsid w:val="00170CC5"/>
    <w:rsid w:val="001718D6"/>
    <w:rsid w:val="00171D22"/>
    <w:rsid w:val="00171DDA"/>
    <w:rsid w:val="00171E35"/>
    <w:rsid w:val="0017207B"/>
    <w:rsid w:val="001728B8"/>
    <w:rsid w:val="00172BCA"/>
    <w:rsid w:val="00172C69"/>
    <w:rsid w:val="00173866"/>
    <w:rsid w:val="00174A78"/>
    <w:rsid w:val="00174ED0"/>
    <w:rsid w:val="001756DD"/>
    <w:rsid w:val="00176DC7"/>
    <w:rsid w:val="001771F3"/>
    <w:rsid w:val="001772AE"/>
    <w:rsid w:val="00177445"/>
    <w:rsid w:val="00177E1D"/>
    <w:rsid w:val="001804E1"/>
    <w:rsid w:val="0018060B"/>
    <w:rsid w:val="00180990"/>
    <w:rsid w:val="00180C7A"/>
    <w:rsid w:val="00180D43"/>
    <w:rsid w:val="00181262"/>
    <w:rsid w:val="0018199B"/>
    <w:rsid w:val="00181FC7"/>
    <w:rsid w:val="0018236C"/>
    <w:rsid w:val="001828DD"/>
    <w:rsid w:val="00182A90"/>
    <w:rsid w:val="00182D09"/>
    <w:rsid w:val="00182F30"/>
    <w:rsid w:val="0018378B"/>
    <w:rsid w:val="00183BCF"/>
    <w:rsid w:val="00184A23"/>
    <w:rsid w:val="00184D48"/>
    <w:rsid w:val="001850A5"/>
    <w:rsid w:val="00185679"/>
    <w:rsid w:val="00185A29"/>
    <w:rsid w:val="00187045"/>
    <w:rsid w:val="00187128"/>
    <w:rsid w:val="0018733D"/>
    <w:rsid w:val="00187A06"/>
    <w:rsid w:val="00190F90"/>
    <w:rsid w:val="001916C8"/>
    <w:rsid w:val="00191D02"/>
    <w:rsid w:val="00192507"/>
    <w:rsid w:val="00192908"/>
    <w:rsid w:val="001931AF"/>
    <w:rsid w:val="001933BF"/>
    <w:rsid w:val="00193CEE"/>
    <w:rsid w:val="001942C6"/>
    <w:rsid w:val="00194880"/>
    <w:rsid w:val="00194C1D"/>
    <w:rsid w:val="00194D80"/>
    <w:rsid w:val="00194E7A"/>
    <w:rsid w:val="00195136"/>
    <w:rsid w:val="00196223"/>
    <w:rsid w:val="00197335"/>
    <w:rsid w:val="001977F5"/>
    <w:rsid w:val="00197920"/>
    <w:rsid w:val="00197DA5"/>
    <w:rsid w:val="001A01F3"/>
    <w:rsid w:val="001A029D"/>
    <w:rsid w:val="001A0626"/>
    <w:rsid w:val="001A0A74"/>
    <w:rsid w:val="001A0FAA"/>
    <w:rsid w:val="001A1A90"/>
    <w:rsid w:val="001A256C"/>
    <w:rsid w:val="001A2C8E"/>
    <w:rsid w:val="001A3873"/>
    <w:rsid w:val="001A3A60"/>
    <w:rsid w:val="001A4F70"/>
    <w:rsid w:val="001A5331"/>
    <w:rsid w:val="001A54A1"/>
    <w:rsid w:val="001A54E4"/>
    <w:rsid w:val="001A5E04"/>
    <w:rsid w:val="001A6D66"/>
    <w:rsid w:val="001B0390"/>
    <w:rsid w:val="001B0B2B"/>
    <w:rsid w:val="001B10DF"/>
    <w:rsid w:val="001B133F"/>
    <w:rsid w:val="001B142D"/>
    <w:rsid w:val="001B2B56"/>
    <w:rsid w:val="001B386A"/>
    <w:rsid w:val="001B5B77"/>
    <w:rsid w:val="001B5D4C"/>
    <w:rsid w:val="001B5F85"/>
    <w:rsid w:val="001B61C0"/>
    <w:rsid w:val="001B71C8"/>
    <w:rsid w:val="001B75C9"/>
    <w:rsid w:val="001C0D1B"/>
    <w:rsid w:val="001C0D6F"/>
    <w:rsid w:val="001C17F0"/>
    <w:rsid w:val="001C1FAC"/>
    <w:rsid w:val="001C28AF"/>
    <w:rsid w:val="001C3437"/>
    <w:rsid w:val="001C3950"/>
    <w:rsid w:val="001C4D96"/>
    <w:rsid w:val="001C4DAA"/>
    <w:rsid w:val="001C4FA5"/>
    <w:rsid w:val="001C59A8"/>
    <w:rsid w:val="001C5B21"/>
    <w:rsid w:val="001C689A"/>
    <w:rsid w:val="001C697A"/>
    <w:rsid w:val="001C6C61"/>
    <w:rsid w:val="001C7EB5"/>
    <w:rsid w:val="001D05BF"/>
    <w:rsid w:val="001D0BA4"/>
    <w:rsid w:val="001D1297"/>
    <w:rsid w:val="001D2402"/>
    <w:rsid w:val="001D24FD"/>
    <w:rsid w:val="001D291C"/>
    <w:rsid w:val="001D2933"/>
    <w:rsid w:val="001D344E"/>
    <w:rsid w:val="001D3887"/>
    <w:rsid w:val="001D3B43"/>
    <w:rsid w:val="001D580B"/>
    <w:rsid w:val="001D6592"/>
    <w:rsid w:val="001D698E"/>
    <w:rsid w:val="001D74A8"/>
    <w:rsid w:val="001D74ED"/>
    <w:rsid w:val="001E041F"/>
    <w:rsid w:val="001E050E"/>
    <w:rsid w:val="001E06EC"/>
    <w:rsid w:val="001E0795"/>
    <w:rsid w:val="001E1018"/>
    <w:rsid w:val="001E11D2"/>
    <w:rsid w:val="001E49A1"/>
    <w:rsid w:val="001E4BB7"/>
    <w:rsid w:val="001E54C8"/>
    <w:rsid w:val="001E565E"/>
    <w:rsid w:val="001E59FE"/>
    <w:rsid w:val="001E5EB5"/>
    <w:rsid w:val="001E6BF9"/>
    <w:rsid w:val="001E6D52"/>
    <w:rsid w:val="001E6FFD"/>
    <w:rsid w:val="001E709A"/>
    <w:rsid w:val="001E716E"/>
    <w:rsid w:val="001E7FA1"/>
    <w:rsid w:val="001F0411"/>
    <w:rsid w:val="001F0CA2"/>
    <w:rsid w:val="001F10A1"/>
    <w:rsid w:val="001F1524"/>
    <w:rsid w:val="001F1AA0"/>
    <w:rsid w:val="001F2F7A"/>
    <w:rsid w:val="001F35A7"/>
    <w:rsid w:val="001F3A70"/>
    <w:rsid w:val="001F4AC5"/>
    <w:rsid w:val="001F5A0F"/>
    <w:rsid w:val="001F6467"/>
    <w:rsid w:val="001F6553"/>
    <w:rsid w:val="001F6A0E"/>
    <w:rsid w:val="001F7167"/>
    <w:rsid w:val="001F7962"/>
    <w:rsid w:val="001F7981"/>
    <w:rsid w:val="001F7C05"/>
    <w:rsid w:val="0020031E"/>
    <w:rsid w:val="002008AE"/>
    <w:rsid w:val="00200EEB"/>
    <w:rsid w:val="0020163E"/>
    <w:rsid w:val="00201B5C"/>
    <w:rsid w:val="00201E4E"/>
    <w:rsid w:val="00201F8F"/>
    <w:rsid w:val="00202510"/>
    <w:rsid w:val="0020255C"/>
    <w:rsid w:val="002029E4"/>
    <w:rsid w:val="00202B25"/>
    <w:rsid w:val="0020355F"/>
    <w:rsid w:val="00203795"/>
    <w:rsid w:val="002042CA"/>
    <w:rsid w:val="00204B07"/>
    <w:rsid w:val="002053C1"/>
    <w:rsid w:val="00205A64"/>
    <w:rsid w:val="0020640F"/>
    <w:rsid w:val="0020653D"/>
    <w:rsid w:val="00206541"/>
    <w:rsid w:val="00206A41"/>
    <w:rsid w:val="00210735"/>
    <w:rsid w:val="00211578"/>
    <w:rsid w:val="002121A7"/>
    <w:rsid w:val="002128C4"/>
    <w:rsid w:val="00213CCE"/>
    <w:rsid w:val="00213E0C"/>
    <w:rsid w:val="00214517"/>
    <w:rsid w:val="002146F2"/>
    <w:rsid w:val="00214EC8"/>
    <w:rsid w:val="00215390"/>
    <w:rsid w:val="00216D4A"/>
    <w:rsid w:val="00216F91"/>
    <w:rsid w:val="00217CB1"/>
    <w:rsid w:val="00217CB2"/>
    <w:rsid w:val="00221228"/>
    <w:rsid w:val="0022184B"/>
    <w:rsid w:val="00221C44"/>
    <w:rsid w:val="00222887"/>
    <w:rsid w:val="0022289A"/>
    <w:rsid w:val="002228E8"/>
    <w:rsid w:val="00222913"/>
    <w:rsid w:val="0022306A"/>
    <w:rsid w:val="00223C9F"/>
    <w:rsid w:val="00223FB4"/>
    <w:rsid w:val="00224C60"/>
    <w:rsid w:val="00224DB1"/>
    <w:rsid w:val="00225150"/>
    <w:rsid w:val="00225773"/>
    <w:rsid w:val="00225851"/>
    <w:rsid w:val="00225FA2"/>
    <w:rsid w:val="00226A54"/>
    <w:rsid w:val="00226BFE"/>
    <w:rsid w:val="00226CE1"/>
    <w:rsid w:val="002270E9"/>
    <w:rsid w:val="0022750A"/>
    <w:rsid w:val="00230016"/>
    <w:rsid w:val="00230441"/>
    <w:rsid w:val="00232109"/>
    <w:rsid w:val="00232D72"/>
    <w:rsid w:val="00232F79"/>
    <w:rsid w:val="0023336D"/>
    <w:rsid w:val="00234536"/>
    <w:rsid w:val="002347C2"/>
    <w:rsid w:val="00234D4B"/>
    <w:rsid w:val="00235502"/>
    <w:rsid w:val="00236654"/>
    <w:rsid w:val="002371A7"/>
    <w:rsid w:val="002375E2"/>
    <w:rsid w:val="00237799"/>
    <w:rsid w:val="00237988"/>
    <w:rsid w:val="002400DA"/>
    <w:rsid w:val="0024041F"/>
    <w:rsid w:val="00241B54"/>
    <w:rsid w:val="00241C12"/>
    <w:rsid w:val="00241E85"/>
    <w:rsid w:val="00241FF3"/>
    <w:rsid w:val="00243913"/>
    <w:rsid w:val="00243C9A"/>
    <w:rsid w:val="00244203"/>
    <w:rsid w:val="00244504"/>
    <w:rsid w:val="0024471F"/>
    <w:rsid w:val="00244A21"/>
    <w:rsid w:val="00244AC9"/>
    <w:rsid w:val="00244E43"/>
    <w:rsid w:val="00245B0A"/>
    <w:rsid w:val="00245C11"/>
    <w:rsid w:val="00246232"/>
    <w:rsid w:val="002462FB"/>
    <w:rsid w:val="002470CF"/>
    <w:rsid w:val="00247EFF"/>
    <w:rsid w:val="0025018B"/>
    <w:rsid w:val="00250328"/>
    <w:rsid w:val="00250347"/>
    <w:rsid w:val="00250511"/>
    <w:rsid w:val="00250FD0"/>
    <w:rsid w:val="002517B9"/>
    <w:rsid w:val="00251B5B"/>
    <w:rsid w:val="00251C1E"/>
    <w:rsid w:val="00251DCC"/>
    <w:rsid w:val="00252C30"/>
    <w:rsid w:val="00252CFA"/>
    <w:rsid w:val="0025349E"/>
    <w:rsid w:val="00253BEE"/>
    <w:rsid w:val="00253CF5"/>
    <w:rsid w:val="00254A4E"/>
    <w:rsid w:val="00255458"/>
    <w:rsid w:val="00255762"/>
    <w:rsid w:val="002558EF"/>
    <w:rsid w:val="002559DE"/>
    <w:rsid w:val="002569A4"/>
    <w:rsid w:val="00256BA3"/>
    <w:rsid w:val="0025770E"/>
    <w:rsid w:val="00260675"/>
    <w:rsid w:val="00260C73"/>
    <w:rsid w:val="00260CC7"/>
    <w:rsid w:val="00261EBE"/>
    <w:rsid w:val="002620DE"/>
    <w:rsid w:val="002625A6"/>
    <w:rsid w:val="00262E5B"/>
    <w:rsid w:val="00262F46"/>
    <w:rsid w:val="002639A3"/>
    <w:rsid w:val="00264051"/>
    <w:rsid w:val="00264952"/>
    <w:rsid w:val="00264C24"/>
    <w:rsid w:val="00264C7D"/>
    <w:rsid w:val="00264E57"/>
    <w:rsid w:val="0026544A"/>
    <w:rsid w:val="00265470"/>
    <w:rsid w:val="00265F05"/>
    <w:rsid w:val="0026678B"/>
    <w:rsid w:val="00266882"/>
    <w:rsid w:val="00266F77"/>
    <w:rsid w:val="002673C4"/>
    <w:rsid w:val="00267E72"/>
    <w:rsid w:val="002705D5"/>
    <w:rsid w:val="002714B6"/>
    <w:rsid w:val="00272092"/>
    <w:rsid w:val="00272142"/>
    <w:rsid w:val="002724C9"/>
    <w:rsid w:val="00272681"/>
    <w:rsid w:val="00272C9B"/>
    <w:rsid w:val="002730CF"/>
    <w:rsid w:val="00274146"/>
    <w:rsid w:val="0027455C"/>
    <w:rsid w:val="00274C62"/>
    <w:rsid w:val="00275607"/>
    <w:rsid w:val="002758B2"/>
    <w:rsid w:val="00276331"/>
    <w:rsid w:val="0027644C"/>
    <w:rsid w:val="00276B2E"/>
    <w:rsid w:val="0027728B"/>
    <w:rsid w:val="00277489"/>
    <w:rsid w:val="00277D08"/>
    <w:rsid w:val="00280B81"/>
    <w:rsid w:val="00280BBC"/>
    <w:rsid w:val="00280BEF"/>
    <w:rsid w:val="00282D6D"/>
    <w:rsid w:val="0028315B"/>
    <w:rsid w:val="00283637"/>
    <w:rsid w:val="00283694"/>
    <w:rsid w:val="00283CB5"/>
    <w:rsid w:val="00283CC5"/>
    <w:rsid w:val="002843CA"/>
    <w:rsid w:val="0028468D"/>
    <w:rsid w:val="00284D4E"/>
    <w:rsid w:val="00286D5A"/>
    <w:rsid w:val="002879D9"/>
    <w:rsid w:val="00287F35"/>
    <w:rsid w:val="002902C5"/>
    <w:rsid w:val="00290447"/>
    <w:rsid w:val="00290802"/>
    <w:rsid w:val="00290A22"/>
    <w:rsid w:val="00291BDC"/>
    <w:rsid w:val="00292013"/>
    <w:rsid w:val="002921E4"/>
    <w:rsid w:val="002921FE"/>
    <w:rsid w:val="00292354"/>
    <w:rsid w:val="002931E1"/>
    <w:rsid w:val="0029381D"/>
    <w:rsid w:val="00294293"/>
    <w:rsid w:val="002949EA"/>
    <w:rsid w:val="00294D10"/>
    <w:rsid w:val="00295303"/>
    <w:rsid w:val="00296347"/>
    <w:rsid w:val="002964BF"/>
    <w:rsid w:val="00296658"/>
    <w:rsid w:val="00297855"/>
    <w:rsid w:val="002A082E"/>
    <w:rsid w:val="002A0A39"/>
    <w:rsid w:val="002A0AAE"/>
    <w:rsid w:val="002A120A"/>
    <w:rsid w:val="002A1753"/>
    <w:rsid w:val="002A1A68"/>
    <w:rsid w:val="002A22E3"/>
    <w:rsid w:val="002A29E7"/>
    <w:rsid w:val="002A370F"/>
    <w:rsid w:val="002A4CC8"/>
    <w:rsid w:val="002A4F7D"/>
    <w:rsid w:val="002A5195"/>
    <w:rsid w:val="002A601E"/>
    <w:rsid w:val="002A6E31"/>
    <w:rsid w:val="002A76C0"/>
    <w:rsid w:val="002A7EAD"/>
    <w:rsid w:val="002B02D3"/>
    <w:rsid w:val="002B073A"/>
    <w:rsid w:val="002B0746"/>
    <w:rsid w:val="002B07F1"/>
    <w:rsid w:val="002B09FC"/>
    <w:rsid w:val="002B0CC8"/>
    <w:rsid w:val="002B10CB"/>
    <w:rsid w:val="002B1309"/>
    <w:rsid w:val="002B3483"/>
    <w:rsid w:val="002B39EA"/>
    <w:rsid w:val="002B3AE1"/>
    <w:rsid w:val="002B473F"/>
    <w:rsid w:val="002B48A8"/>
    <w:rsid w:val="002B4C3F"/>
    <w:rsid w:val="002B51C3"/>
    <w:rsid w:val="002B59B1"/>
    <w:rsid w:val="002B620E"/>
    <w:rsid w:val="002B6279"/>
    <w:rsid w:val="002B6D91"/>
    <w:rsid w:val="002B6E90"/>
    <w:rsid w:val="002B6FD1"/>
    <w:rsid w:val="002B727C"/>
    <w:rsid w:val="002B7932"/>
    <w:rsid w:val="002B7EF7"/>
    <w:rsid w:val="002B7F70"/>
    <w:rsid w:val="002C05D0"/>
    <w:rsid w:val="002C1886"/>
    <w:rsid w:val="002C2079"/>
    <w:rsid w:val="002C24DE"/>
    <w:rsid w:val="002C2A63"/>
    <w:rsid w:val="002C2E3C"/>
    <w:rsid w:val="002C2F28"/>
    <w:rsid w:val="002C32E9"/>
    <w:rsid w:val="002C3935"/>
    <w:rsid w:val="002C3DA2"/>
    <w:rsid w:val="002C3F49"/>
    <w:rsid w:val="002C42D5"/>
    <w:rsid w:val="002C5457"/>
    <w:rsid w:val="002C6429"/>
    <w:rsid w:val="002C6EA6"/>
    <w:rsid w:val="002C7DCE"/>
    <w:rsid w:val="002D031E"/>
    <w:rsid w:val="002D078C"/>
    <w:rsid w:val="002D0C31"/>
    <w:rsid w:val="002D0D18"/>
    <w:rsid w:val="002D1268"/>
    <w:rsid w:val="002D17E1"/>
    <w:rsid w:val="002D19A5"/>
    <w:rsid w:val="002D242D"/>
    <w:rsid w:val="002D24C1"/>
    <w:rsid w:val="002D2541"/>
    <w:rsid w:val="002D269A"/>
    <w:rsid w:val="002D2B27"/>
    <w:rsid w:val="002D2E39"/>
    <w:rsid w:val="002D3138"/>
    <w:rsid w:val="002D3199"/>
    <w:rsid w:val="002D3AE6"/>
    <w:rsid w:val="002D421F"/>
    <w:rsid w:val="002D443D"/>
    <w:rsid w:val="002D47E2"/>
    <w:rsid w:val="002D47F6"/>
    <w:rsid w:val="002D4EE2"/>
    <w:rsid w:val="002D50C3"/>
    <w:rsid w:val="002D61C0"/>
    <w:rsid w:val="002D6803"/>
    <w:rsid w:val="002D68B3"/>
    <w:rsid w:val="002D6DEF"/>
    <w:rsid w:val="002D7EE0"/>
    <w:rsid w:val="002E0AC1"/>
    <w:rsid w:val="002E263D"/>
    <w:rsid w:val="002E3596"/>
    <w:rsid w:val="002E4195"/>
    <w:rsid w:val="002E436E"/>
    <w:rsid w:val="002E48C9"/>
    <w:rsid w:val="002E4D1F"/>
    <w:rsid w:val="002E4F68"/>
    <w:rsid w:val="002E5238"/>
    <w:rsid w:val="002E63B1"/>
    <w:rsid w:val="002E6C33"/>
    <w:rsid w:val="002E6C95"/>
    <w:rsid w:val="002E6CE8"/>
    <w:rsid w:val="002E79B1"/>
    <w:rsid w:val="002F0040"/>
    <w:rsid w:val="002F0166"/>
    <w:rsid w:val="002F0557"/>
    <w:rsid w:val="002F15A1"/>
    <w:rsid w:val="002F1AC5"/>
    <w:rsid w:val="002F22E2"/>
    <w:rsid w:val="002F2925"/>
    <w:rsid w:val="002F5719"/>
    <w:rsid w:val="002F5B56"/>
    <w:rsid w:val="002F66F5"/>
    <w:rsid w:val="002F7275"/>
    <w:rsid w:val="002F744C"/>
    <w:rsid w:val="002F7503"/>
    <w:rsid w:val="002F77EA"/>
    <w:rsid w:val="00300A75"/>
    <w:rsid w:val="00300AD0"/>
    <w:rsid w:val="003017DD"/>
    <w:rsid w:val="00301BA5"/>
    <w:rsid w:val="00301FDD"/>
    <w:rsid w:val="003036D3"/>
    <w:rsid w:val="003039E7"/>
    <w:rsid w:val="00303B6D"/>
    <w:rsid w:val="00303CA3"/>
    <w:rsid w:val="00303D29"/>
    <w:rsid w:val="00303E6C"/>
    <w:rsid w:val="00305945"/>
    <w:rsid w:val="003059DE"/>
    <w:rsid w:val="00305FB3"/>
    <w:rsid w:val="00306324"/>
    <w:rsid w:val="00306AB5"/>
    <w:rsid w:val="00307331"/>
    <w:rsid w:val="00307DE9"/>
    <w:rsid w:val="00310437"/>
    <w:rsid w:val="00310D98"/>
    <w:rsid w:val="00311040"/>
    <w:rsid w:val="00311D54"/>
    <w:rsid w:val="00311F2B"/>
    <w:rsid w:val="00312289"/>
    <w:rsid w:val="00312A6D"/>
    <w:rsid w:val="0031356D"/>
    <w:rsid w:val="00313E6E"/>
    <w:rsid w:val="00313E6F"/>
    <w:rsid w:val="003145A8"/>
    <w:rsid w:val="00314E21"/>
    <w:rsid w:val="00315803"/>
    <w:rsid w:val="00315C5D"/>
    <w:rsid w:val="003160F3"/>
    <w:rsid w:val="00316205"/>
    <w:rsid w:val="003163EF"/>
    <w:rsid w:val="00316B93"/>
    <w:rsid w:val="00316CF7"/>
    <w:rsid w:val="00316F62"/>
    <w:rsid w:val="00320C8E"/>
    <w:rsid w:val="0032139D"/>
    <w:rsid w:val="00321491"/>
    <w:rsid w:val="00322233"/>
    <w:rsid w:val="0032316A"/>
    <w:rsid w:val="003242A6"/>
    <w:rsid w:val="00324A69"/>
    <w:rsid w:val="00324F73"/>
    <w:rsid w:val="00325069"/>
    <w:rsid w:val="00325732"/>
    <w:rsid w:val="00325868"/>
    <w:rsid w:val="00325A56"/>
    <w:rsid w:val="00326707"/>
    <w:rsid w:val="00326C3F"/>
    <w:rsid w:val="00327290"/>
    <w:rsid w:val="0032748D"/>
    <w:rsid w:val="003278C5"/>
    <w:rsid w:val="00331001"/>
    <w:rsid w:val="00332A00"/>
    <w:rsid w:val="0033350F"/>
    <w:rsid w:val="00333848"/>
    <w:rsid w:val="00334540"/>
    <w:rsid w:val="00335164"/>
    <w:rsid w:val="00335BBA"/>
    <w:rsid w:val="0033655A"/>
    <w:rsid w:val="0033697C"/>
    <w:rsid w:val="00336A2D"/>
    <w:rsid w:val="00336A8F"/>
    <w:rsid w:val="00336D5B"/>
    <w:rsid w:val="00336F42"/>
    <w:rsid w:val="00336F5E"/>
    <w:rsid w:val="0033736B"/>
    <w:rsid w:val="0033752F"/>
    <w:rsid w:val="003400DB"/>
    <w:rsid w:val="003409E8"/>
    <w:rsid w:val="00340C2A"/>
    <w:rsid w:val="00341195"/>
    <w:rsid w:val="00341225"/>
    <w:rsid w:val="00341342"/>
    <w:rsid w:val="00341473"/>
    <w:rsid w:val="003422BD"/>
    <w:rsid w:val="00342377"/>
    <w:rsid w:val="00342FE5"/>
    <w:rsid w:val="00343B77"/>
    <w:rsid w:val="00343CFA"/>
    <w:rsid w:val="00343E8D"/>
    <w:rsid w:val="00343F29"/>
    <w:rsid w:val="0034471F"/>
    <w:rsid w:val="003460B4"/>
    <w:rsid w:val="003463A2"/>
    <w:rsid w:val="00346D5C"/>
    <w:rsid w:val="00346E07"/>
    <w:rsid w:val="00347A47"/>
    <w:rsid w:val="0035185E"/>
    <w:rsid w:val="00351FD3"/>
    <w:rsid w:val="003525BC"/>
    <w:rsid w:val="003527B9"/>
    <w:rsid w:val="00353566"/>
    <w:rsid w:val="003536CA"/>
    <w:rsid w:val="00353C17"/>
    <w:rsid w:val="00354420"/>
    <w:rsid w:val="00354BFE"/>
    <w:rsid w:val="00354F18"/>
    <w:rsid w:val="003551FC"/>
    <w:rsid w:val="00355E0A"/>
    <w:rsid w:val="00355E0F"/>
    <w:rsid w:val="00356E55"/>
    <w:rsid w:val="00357586"/>
    <w:rsid w:val="00357C22"/>
    <w:rsid w:val="00360176"/>
    <w:rsid w:val="00361788"/>
    <w:rsid w:val="00361FAF"/>
    <w:rsid w:val="00362073"/>
    <w:rsid w:val="00362499"/>
    <w:rsid w:val="00362D03"/>
    <w:rsid w:val="00362F26"/>
    <w:rsid w:val="00363297"/>
    <w:rsid w:val="0036381E"/>
    <w:rsid w:val="00363820"/>
    <w:rsid w:val="00363EC7"/>
    <w:rsid w:val="003665C2"/>
    <w:rsid w:val="00366BE8"/>
    <w:rsid w:val="0036728E"/>
    <w:rsid w:val="00367492"/>
    <w:rsid w:val="00367E97"/>
    <w:rsid w:val="003700E0"/>
    <w:rsid w:val="00370E74"/>
    <w:rsid w:val="00371919"/>
    <w:rsid w:val="0037205E"/>
    <w:rsid w:val="0037350D"/>
    <w:rsid w:val="003735A9"/>
    <w:rsid w:val="00373C2E"/>
    <w:rsid w:val="00373D69"/>
    <w:rsid w:val="00374817"/>
    <w:rsid w:val="00374D19"/>
    <w:rsid w:val="00375683"/>
    <w:rsid w:val="00375CCA"/>
    <w:rsid w:val="003763AD"/>
    <w:rsid w:val="00376707"/>
    <w:rsid w:val="00376A48"/>
    <w:rsid w:val="00377883"/>
    <w:rsid w:val="00377E6A"/>
    <w:rsid w:val="00380DAD"/>
    <w:rsid w:val="003819E1"/>
    <w:rsid w:val="00381D3F"/>
    <w:rsid w:val="00382443"/>
    <w:rsid w:val="003827E3"/>
    <w:rsid w:val="0038284A"/>
    <w:rsid w:val="00384178"/>
    <w:rsid w:val="0038446F"/>
    <w:rsid w:val="00384554"/>
    <w:rsid w:val="003845EB"/>
    <w:rsid w:val="003849A6"/>
    <w:rsid w:val="00384B7D"/>
    <w:rsid w:val="00384C05"/>
    <w:rsid w:val="003857C7"/>
    <w:rsid w:val="0038580A"/>
    <w:rsid w:val="00385C49"/>
    <w:rsid w:val="00385C97"/>
    <w:rsid w:val="00386259"/>
    <w:rsid w:val="0038760B"/>
    <w:rsid w:val="003876B3"/>
    <w:rsid w:val="00387C47"/>
    <w:rsid w:val="00387FEA"/>
    <w:rsid w:val="003900F5"/>
    <w:rsid w:val="0039067D"/>
    <w:rsid w:val="0039184A"/>
    <w:rsid w:val="00392519"/>
    <w:rsid w:val="00393019"/>
    <w:rsid w:val="003930D8"/>
    <w:rsid w:val="00394622"/>
    <w:rsid w:val="00396255"/>
    <w:rsid w:val="00396578"/>
    <w:rsid w:val="00396A80"/>
    <w:rsid w:val="00396F26"/>
    <w:rsid w:val="00397790"/>
    <w:rsid w:val="003A04F3"/>
    <w:rsid w:val="003A0516"/>
    <w:rsid w:val="003A0A1E"/>
    <w:rsid w:val="003A0A2E"/>
    <w:rsid w:val="003A0FE0"/>
    <w:rsid w:val="003A1438"/>
    <w:rsid w:val="003A2251"/>
    <w:rsid w:val="003A25C8"/>
    <w:rsid w:val="003A3208"/>
    <w:rsid w:val="003A33AD"/>
    <w:rsid w:val="003A3692"/>
    <w:rsid w:val="003A3AA7"/>
    <w:rsid w:val="003A4347"/>
    <w:rsid w:val="003A5541"/>
    <w:rsid w:val="003A5C3D"/>
    <w:rsid w:val="003A5FF0"/>
    <w:rsid w:val="003A605F"/>
    <w:rsid w:val="003A6486"/>
    <w:rsid w:val="003A6535"/>
    <w:rsid w:val="003A6E21"/>
    <w:rsid w:val="003A792E"/>
    <w:rsid w:val="003A79DA"/>
    <w:rsid w:val="003B00EF"/>
    <w:rsid w:val="003B02C3"/>
    <w:rsid w:val="003B06C5"/>
    <w:rsid w:val="003B0F67"/>
    <w:rsid w:val="003B119A"/>
    <w:rsid w:val="003B16F5"/>
    <w:rsid w:val="003B1AF1"/>
    <w:rsid w:val="003B1C79"/>
    <w:rsid w:val="003B1FD0"/>
    <w:rsid w:val="003B254F"/>
    <w:rsid w:val="003B42DF"/>
    <w:rsid w:val="003B486D"/>
    <w:rsid w:val="003B4E70"/>
    <w:rsid w:val="003B55B2"/>
    <w:rsid w:val="003B690A"/>
    <w:rsid w:val="003B7442"/>
    <w:rsid w:val="003B7993"/>
    <w:rsid w:val="003B7F75"/>
    <w:rsid w:val="003B7FCF"/>
    <w:rsid w:val="003C0574"/>
    <w:rsid w:val="003C0590"/>
    <w:rsid w:val="003C0D4C"/>
    <w:rsid w:val="003C1399"/>
    <w:rsid w:val="003C13AD"/>
    <w:rsid w:val="003C17CD"/>
    <w:rsid w:val="003C214A"/>
    <w:rsid w:val="003C2634"/>
    <w:rsid w:val="003C2CB7"/>
    <w:rsid w:val="003C33FC"/>
    <w:rsid w:val="003C3D10"/>
    <w:rsid w:val="003C4140"/>
    <w:rsid w:val="003C42E7"/>
    <w:rsid w:val="003C4356"/>
    <w:rsid w:val="003C45C5"/>
    <w:rsid w:val="003C4A78"/>
    <w:rsid w:val="003C4F7B"/>
    <w:rsid w:val="003C511B"/>
    <w:rsid w:val="003C52BE"/>
    <w:rsid w:val="003C579C"/>
    <w:rsid w:val="003C5DCE"/>
    <w:rsid w:val="003C6619"/>
    <w:rsid w:val="003C6CCC"/>
    <w:rsid w:val="003C7218"/>
    <w:rsid w:val="003C7736"/>
    <w:rsid w:val="003C791C"/>
    <w:rsid w:val="003C7A7E"/>
    <w:rsid w:val="003C7B26"/>
    <w:rsid w:val="003D11F8"/>
    <w:rsid w:val="003D46F8"/>
    <w:rsid w:val="003D4A0F"/>
    <w:rsid w:val="003D68EF"/>
    <w:rsid w:val="003D75E4"/>
    <w:rsid w:val="003D794F"/>
    <w:rsid w:val="003D7F1F"/>
    <w:rsid w:val="003E09DC"/>
    <w:rsid w:val="003E0BEE"/>
    <w:rsid w:val="003E1102"/>
    <w:rsid w:val="003E11E0"/>
    <w:rsid w:val="003E12EB"/>
    <w:rsid w:val="003E1440"/>
    <w:rsid w:val="003E1F3F"/>
    <w:rsid w:val="003E1FCE"/>
    <w:rsid w:val="003E3AE8"/>
    <w:rsid w:val="003E5749"/>
    <w:rsid w:val="003E57A3"/>
    <w:rsid w:val="003E5AE9"/>
    <w:rsid w:val="003E5BB7"/>
    <w:rsid w:val="003E5F04"/>
    <w:rsid w:val="003E6EED"/>
    <w:rsid w:val="003E7472"/>
    <w:rsid w:val="003E74A0"/>
    <w:rsid w:val="003E7B36"/>
    <w:rsid w:val="003F09B1"/>
    <w:rsid w:val="003F102A"/>
    <w:rsid w:val="003F2149"/>
    <w:rsid w:val="003F22AE"/>
    <w:rsid w:val="003F22F2"/>
    <w:rsid w:val="003F2C6A"/>
    <w:rsid w:val="003F30B8"/>
    <w:rsid w:val="003F311B"/>
    <w:rsid w:val="003F3342"/>
    <w:rsid w:val="003F43BD"/>
    <w:rsid w:val="003F4A68"/>
    <w:rsid w:val="003F5247"/>
    <w:rsid w:val="003F6E64"/>
    <w:rsid w:val="003F6F96"/>
    <w:rsid w:val="003F706D"/>
    <w:rsid w:val="003F7477"/>
    <w:rsid w:val="003F747D"/>
    <w:rsid w:val="003F7676"/>
    <w:rsid w:val="003F7830"/>
    <w:rsid w:val="003F7A6D"/>
    <w:rsid w:val="003F7BCA"/>
    <w:rsid w:val="0040062E"/>
    <w:rsid w:val="00400875"/>
    <w:rsid w:val="00400D08"/>
    <w:rsid w:val="00400DB3"/>
    <w:rsid w:val="00400E55"/>
    <w:rsid w:val="0040158B"/>
    <w:rsid w:val="0040188F"/>
    <w:rsid w:val="004033D8"/>
    <w:rsid w:val="004034AD"/>
    <w:rsid w:val="004042CC"/>
    <w:rsid w:val="00404526"/>
    <w:rsid w:val="004048A2"/>
    <w:rsid w:val="004049D7"/>
    <w:rsid w:val="00405195"/>
    <w:rsid w:val="00405FDD"/>
    <w:rsid w:val="00407490"/>
    <w:rsid w:val="0040751B"/>
    <w:rsid w:val="004077D4"/>
    <w:rsid w:val="00407C0A"/>
    <w:rsid w:val="00410023"/>
    <w:rsid w:val="00410664"/>
    <w:rsid w:val="00410A87"/>
    <w:rsid w:val="0041109B"/>
    <w:rsid w:val="004113BB"/>
    <w:rsid w:val="0041198A"/>
    <w:rsid w:val="00411A0D"/>
    <w:rsid w:val="0041216D"/>
    <w:rsid w:val="0041220B"/>
    <w:rsid w:val="00413586"/>
    <w:rsid w:val="0041429B"/>
    <w:rsid w:val="004148E9"/>
    <w:rsid w:val="00414F29"/>
    <w:rsid w:val="00415D2F"/>
    <w:rsid w:val="00416298"/>
    <w:rsid w:val="00416F53"/>
    <w:rsid w:val="00417261"/>
    <w:rsid w:val="0041746A"/>
    <w:rsid w:val="0041758C"/>
    <w:rsid w:val="00417978"/>
    <w:rsid w:val="004201AB"/>
    <w:rsid w:val="00420284"/>
    <w:rsid w:val="00420394"/>
    <w:rsid w:val="00420634"/>
    <w:rsid w:val="00420CA2"/>
    <w:rsid w:val="00420E0D"/>
    <w:rsid w:val="0042127D"/>
    <w:rsid w:val="0042153B"/>
    <w:rsid w:val="00421D08"/>
    <w:rsid w:val="0042208A"/>
    <w:rsid w:val="004229C7"/>
    <w:rsid w:val="00422B2A"/>
    <w:rsid w:val="00423482"/>
    <w:rsid w:val="004238A1"/>
    <w:rsid w:val="00423D75"/>
    <w:rsid w:val="0042423D"/>
    <w:rsid w:val="0042566F"/>
    <w:rsid w:val="00425785"/>
    <w:rsid w:val="00425849"/>
    <w:rsid w:val="0042659D"/>
    <w:rsid w:val="00426AF5"/>
    <w:rsid w:val="00426C4D"/>
    <w:rsid w:val="00427156"/>
    <w:rsid w:val="00427415"/>
    <w:rsid w:val="00427962"/>
    <w:rsid w:val="00427A0D"/>
    <w:rsid w:val="00427D72"/>
    <w:rsid w:val="00427E28"/>
    <w:rsid w:val="00432558"/>
    <w:rsid w:val="004329D2"/>
    <w:rsid w:val="00432FAB"/>
    <w:rsid w:val="00433421"/>
    <w:rsid w:val="0043357E"/>
    <w:rsid w:val="00433DBE"/>
    <w:rsid w:val="004352F2"/>
    <w:rsid w:val="00436E65"/>
    <w:rsid w:val="00437046"/>
    <w:rsid w:val="00437A91"/>
    <w:rsid w:val="0044082B"/>
    <w:rsid w:val="004413AB"/>
    <w:rsid w:val="004425DA"/>
    <w:rsid w:val="004428AE"/>
    <w:rsid w:val="00442912"/>
    <w:rsid w:val="00442A49"/>
    <w:rsid w:val="004436BD"/>
    <w:rsid w:val="00443905"/>
    <w:rsid w:val="00443EEE"/>
    <w:rsid w:val="00445493"/>
    <w:rsid w:val="004461B3"/>
    <w:rsid w:val="00446512"/>
    <w:rsid w:val="004468A1"/>
    <w:rsid w:val="00446BAE"/>
    <w:rsid w:val="00446C15"/>
    <w:rsid w:val="00446D79"/>
    <w:rsid w:val="00451B7E"/>
    <w:rsid w:val="00451E55"/>
    <w:rsid w:val="00452454"/>
    <w:rsid w:val="004524D5"/>
    <w:rsid w:val="00453168"/>
    <w:rsid w:val="00453301"/>
    <w:rsid w:val="004534A6"/>
    <w:rsid w:val="00453781"/>
    <w:rsid w:val="00453FEF"/>
    <w:rsid w:val="00454009"/>
    <w:rsid w:val="00454EC7"/>
    <w:rsid w:val="004551D3"/>
    <w:rsid w:val="00455793"/>
    <w:rsid w:val="00455E29"/>
    <w:rsid w:val="00456534"/>
    <w:rsid w:val="00456F45"/>
    <w:rsid w:val="004572F1"/>
    <w:rsid w:val="0045745B"/>
    <w:rsid w:val="00457FDF"/>
    <w:rsid w:val="00460187"/>
    <w:rsid w:val="004601E5"/>
    <w:rsid w:val="00460C12"/>
    <w:rsid w:val="00460C9F"/>
    <w:rsid w:val="00461193"/>
    <w:rsid w:val="00461AEB"/>
    <w:rsid w:val="00461DE3"/>
    <w:rsid w:val="00462902"/>
    <w:rsid w:val="004632C6"/>
    <w:rsid w:val="00463EAE"/>
    <w:rsid w:val="004647E6"/>
    <w:rsid w:val="004649DC"/>
    <w:rsid w:val="004657BE"/>
    <w:rsid w:val="00466244"/>
    <w:rsid w:val="004665A5"/>
    <w:rsid w:val="004668D2"/>
    <w:rsid w:val="00466926"/>
    <w:rsid w:val="00467581"/>
    <w:rsid w:val="00470E56"/>
    <w:rsid w:val="004717F2"/>
    <w:rsid w:val="00472A33"/>
    <w:rsid w:val="00472B0C"/>
    <w:rsid w:val="00472DB6"/>
    <w:rsid w:val="00472DD3"/>
    <w:rsid w:val="0047326A"/>
    <w:rsid w:val="004733BE"/>
    <w:rsid w:val="004736BB"/>
    <w:rsid w:val="00473CD3"/>
    <w:rsid w:val="00473D5E"/>
    <w:rsid w:val="004746F2"/>
    <w:rsid w:val="00474BAC"/>
    <w:rsid w:val="00474D16"/>
    <w:rsid w:val="00475431"/>
    <w:rsid w:val="004756B9"/>
    <w:rsid w:val="00475A79"/>
    <w:rsid w:val="00475C26"/>
    <w:rsid w:val="00477228"/>
    <w:rsid w:val="00480359"/>
    <w:rsid w:val="004804DB"/>
    <w:rsid w:val="00480B49"/>
    <w:rsid w:val="004816AE"/>
    <w:rsid w:val="00481CDD"/>
    <w:rsid w:val="00481F6F"/>
    <w:rsid w:val="00482568"/>
    <w:rsid w:val="00483F95"/>
    <w:rsid w:val="0048459D"/>
    <w:rsid w:val="00484867"/>
    <w:rsid w:val="00485050"/>
    <w:rsid w:val="004861BA"/>
    <w:rsid w:val="00486CD3"/>
    <w:rsid w:val="00487F65"/>
    <w:rsid w:val="0049000C"/>
    <w:rsid w:val="00490404"/>
    <w:rsid w:val="004908A3"/>
    <w:rsid w:val="00491621"/>
    <w:rsid w:val="00491A7F"/>
    <w:rsid w:val="004943DC"/>
    <w:rsid w:val="004945EA"/>
    <w:rsid w:val="00495740"/>
    <w:rsid w:val="00495ACF"/>
    <w:rsid w:val="00495F1F"/>
    <w:rsid w:val="004968FE"/>
    <w:rsid w:val="00496E3F"/>
    <w:rsid w:val="0049724D"/>
    <w:rsid w:val="004977E7"/>
    <w:rsid w:val="00497CB5"/>
    <w:rsid w:val="004A062E"/>
    <w:rsid w:val="004A1315"/>
    <w:rsid w:val="004A14AE"/>
    <w:rsid w:val="004A1595"/>
    <w:rsid w:val="004A18C9"/>
    <w:rsid w:val="004A1B5B"/>
    <w:rsid w:val="004A27AB"/>
    <w:rsid w:val="004A2CF7"/>
    <w:rsid w:val="004A31B0"/>
    <w:rsid w:val="004A368E"/>
    <w:rsid w:val="004A3C54"/>
    <w:rsid w:val="004A4E59"/>
    <w:rsid w:val="004A5EED"/>
    <w:rsid w:val="004A645E"/>
    <w:rsid w:val="004A6FB2"/>
    <w:rsid w:val="004A7041"/>
    <w:rsid w:val="004A7448"/>
    <w:rsid w:val="004A7A07"/>
    <w:rsid w:val="004B01AD"/>
    <w:rsid w:val="004B194B"/>
    <w:rsid w:val="004B1EA5"/>
    <w:rsid w:val="004B201D"/>
    <w:rsid w:val="004B28C8"/>
    <w:rsid w:val="004B3498"/>
    <w:rsid w:val="004B383E"/>
    <w:rsid w:val="004B392A"/>
    <w:rsid w:val="004B3DFE"/>
    <w:rsid w:val="004B3F23"/>
    <w:rsid w:val="004B4755"/>
    <w:rsid w:val="004B5FB9"/>
    <w:rsid w:val="004B60A9"/>
    <w:rsid w:val="004B6A87"/>
    <w:rsid w:val="004B6B3E"/>
    <w:rsid w:val="004B7601"/>
    <w:rsid w:val="004B760D"/>
    <w:rsid w:val="004B78E8"/>
    <w:rsid w:val="004B7D08"/>
    <w:rsid w:val="004C0069"/>
    <w:rsid w:val="004C1977"/>
    <w:rsid w:val="004C3029"/>
    <w:rsid w:val="004C3327"/>
    <w:rsid w:val="004C3FE3"/>
    <w:rsid w:val="004C56CE"/>
    <w:rsid w:val="004C6672"/>
    <w:rsid w:val="004C692F"/>
    <w:rsid w:val="004C779B"/>
    <w:rsid w:val="004C79CC"/>
    <w:rsid w:val="004C7B31"/>
    <w:rsid w:val="004D0464"/>
    <w:rsid w:val="004D12C3"/>
    <w:rsid w:val="004D18DB"/>
    <w:rsid w:val="004D195D"/>
    <w:rsid w:val="004D1FEC"/>
    <w:rsid w:val="004D2221"/>
    <w:rsid w:val="004D289A"/>
    <w:rsid w:val="004D29C4"/>
    <w:rsid w:val="004D2D14"/>
    <w:rsid w:val="004D2DA3"/>
    <w:rsid w:val="004D3334"/>
    <w:rsid w:val="004D367E"/>
    <w:rsid w:val="004D3D9B"/>
    <w:rsid w:val="004D4D35"/>
    <w:rsid w:val="004D56BB"/>
    <w:rsid w:val="004D5884"/>
    <w:rsid w:val="004D5D84"/>
    <w:rsid w:val="004D6052"/>
    <w:rsid w:val="004D6CEE"/>
    <w:rsid w:val="004D78FE"/>
    <w:rsid w:val="004D79F8"/>
    <w:rsid w:val="004E01AE"/>
    <w:rsid w:val="004E0610"/>
    <w:rsid w:val="004E0830"/>
    <w:rsid w:val="004E0A4D"/>
    <w:rsid w:val="004E1824"/>
    <w:rsid w:val="004E1DFA"/>
    <w:rsid w:val="004E1FC9"/>
    <w:rsid w:val="004E25D6"/>
    <w:rsid w:val="004E2736"/>
    <w:rsid w:val="004E2906"/>
    <w:rsid w:val="004E2C3A"/>
    <w:rsid w:val="004E2CF0"/>
    <w:rsid w:val="004E3D60"/>
    <w:rsid w:val="004E40A2"/>
    <w:rsid w:val="004E4708"/>
    <w:rsid w:val="004E4F5F"/>
    <w:rsid w:val="004E5270"/>
    <w:rsid w:val="004E533A"/>
    <w:rsid w:val="004E664C"/>
    <w:rsid w:val="004E7106"/>
    <w:rsid w:val="004E78CD"/>
    <w:rsid w:val="004E7F8C"/>
    <w:rsid w:val="004F09A0"/>
    <w:rsid w:val="004F0A16"/>
    <w:rsid w:val="004F0B0A"/>
    <w:rsid w:val="004F0B64"/>
    <w:rsid w:val="004F15FE"/>
    <w:rsid w:val="004F18CF"/>
    <w:rsid w:val="004F1CDB"/>
    <w:rsid w:val="004F2759"/>
    <w:rsid w:val="004F28E1"/>
    <w:rsid w:val="004F2979"/>
    <w:rsid w:val="004F3F78"/>
    <w:rsid w:val="004F47CE"/>
    <w:rsid w:val="004F54B3"/>
    <w:rsid w:val="004F555A"/>
    <w:rsid w:val="004F6FA0"/>
    <w:rsid w:val="004F704A"/>
    <w:rsid w:val="004F79DE"/>
    <w:rsid w:val="0050074A"/>
    <w:rsid w:val="005007BE"/>
    <w:rsid w:val="00500DFE"/>
    <w:rsid w:val="00501349"/>
    <w:rsid w:val="00501D4D"/>
    <w:rsid w:val="00501EE8"/>
    <w:rsid w:val="0050220B"/>
    <w:rsid w:val="0050232F"/>
    <w:rsid w:val="00502393"/>
    <w:rsid w:val="00502CCB"/>
    <w:rsid w:val="00503511"/>
    <w:rsid w:val="00504776"/>
    <w:rsid w:val="00504C49"/>
    <w:rsid w:val="005051B4"/>
    <w:rsid w:val="00505E74"/>
    <w:rsid w:val="005062C7"/>
    <w:rsid w:val="005062D5"/>
    <w:rsid w:val="00506600"/>
    <w:rsid w:val="005068DE"/>
    <w:rsid w:val="00506EA1"/>
    <w:rsid w:val="00507907"/>
    <w:rsid w:val="00510473"/>
    <w:rsid w:val="005108C3"/>
    <w:rsid w:val="00510DBE"/>
    <w:rsid w:val="00510E0D"/>
    <w:rsid w:val="00511EA1"/>
    <w:rsid w:val="00513C4C"/>
    <w:rsid w:val="00514F28"/>
    <w:rsid w:val="00515189"/>
    <w:rsid w:val="00515784"/>
    <w:rsid w:val="00515B29"/>
    <w:rsid w:val="00515E79"/>
    <w:rsid w:val="00516538"/>
    <w:rsid w:val="00516B6F"/>
    <w:rsid w:val="00516CB8"/>
    <w:rsid w:val="00517D53"/>
    <w:rsid w:val="00520180"/>
    <w:rsid w:val="00521088"/>
    <w:rsid w:val="0052129B"/>
    <w:rsid w:val="00521300"/>
    <w:rsid w:val="00521DA2"/>
    <w:rsid w:val="005226B1"/>
    <w:rsid w:val="00522DED"/>
    <w:rsid w:val="00523B19"/>
    <w:rsid w:val="005242B1"/>
    <w:rsid w:val="0052490B"/>
    <w:rsid w:val="00525CE5"/>
    <w:rsid w:val="0052714F"/>
    <w:rsid w:val="005273B7"/>
    <w:rsid w:val="0052777A"/>
    <w:rsid w:val="005277D1"/>
    <w:rsid w:val="005279D6"/>
    <w:rsid w:val="00527F70"/>
    <w:rsid w:val="005303EE"/>
    <w:rsid w:val="005312CB"/>
    <w:rsid w:val="0053170A"/>
    <w:rsid w:val="005321A2"/>
    <w:rsid w:val="00532B4B"/>
    <w:rsid w:val="005330D2"/>
    <w:rsid w:val="00533AC4"/>
    <w:rsid w:val="00533EB8"/>
    <w:rsid w:val="005340AD"/>
    <w:rsid w:val="00534533"/>
    <w:rsid w:val="00534DE3"/>
    <w:rsid w:val="00534EBA"/>
    <w:rsid w:val="00535B17"/>
    <w:rsid w:val="005360F2"/>
    <w:rsid w:val="00536268"/>
    <w:rsid w:val="005373C2"/>
    <w:rsid w:val="00537B5C"/>
    <w:rsid w:val="00537E46"/>
    <w:rsid w:val="00537F64"/>
    <w:rsid w:val="005404DA"/>
    <w:rsid w:val="005406DC"/>
    <w:rsid w:val="00541D86"/>
    <w:rsid w:val="00541E15"/>
    <w:rsid w:val="0054253E"/>
    <w:rsid w:val="00542BC8"/>
    <w:rsid w:val="00543047"/>
    <w:rsid w:val="0054370C"/>
    <w:rsid w:val="00543858"/>
    <w:rsid w:val="005438BC"/>
    <w:rsid w:val="0054496D"/>
    <w:rsid w:val="00544B67"/>
    <w:rsid w:val="00544BF4"/>
    <w:rsid w:val="00545244"/>
    <w:rsid w:val="0054541C"/>
    <w:rsid w:val="00545D20"/>
    <w:rsid w:val="00547740"/>
    <w:rsid w:val="00547B6D"/>
    <w:rsid w:val="00552698"/>
    <w:rsid w:val="00552DB1"/>
    <w:rsid w:val="00552E25"/>
    <w:rsid w:val="00552F06"/>
    <w:rsid w:val="00555AB5"/>
    <w:rsid w:val="00555DF8"/>
    <w:rsid w:val="00555F70"/>
    <w:rsid w:val="00557830"/>
    <w:rsid w:val="00560083"/>
    <w:rsid w:val="0056100F"/>
    <w:rsid w:val="00561071"/>
    <w:rsid w:val="005612C0"/>
    <w:rsid w:val="0056192D"/>
    <w:rsid w:val="005619E0"/>
    <w:rsid w:val="00561A65"/>
    <w:rsid w:val="00562759"/>
    <w:rsid w:val="0056317D"/>
    <w:rsid w:val="005632CB"/>
    <w:rsid w:val="00563313"/>
    <w:rsid w:val="00564DBB"/>
    <w:rsid w:val="0056576D"/>
    <w:rsid w:val="00565AF2"/>
    <w:rsid w:val="00565D41"/>
    <w:rsid w:val="00565E0E"/>
    <w:rsid w:val="005667FB"/>
    <w:rsid w:val="00566918"/>
    <w:rsid w:val="0056699B"/>
    <w:rsid w:val="0056718F"/>
    <w:rsid w:val="005671DC"/>
    <w:rsid w:val="005678B7"/>
    <w:rsid w:val="00567D77"/>
    <w:rsid w:val="00570FD9"/>
    <w:rsid w:val="0057139E"/>
    <w:rsid w:val="00571C9E"/>
    <w:rsid w:val="00572C8D"/>
    <w:rsid w:val="00572F60"/>
    <w:rsid w:val="00572F85"/>
    <w:rsid w:val="005730A1"/>
    <w:rsid w:val="00573260"/>
    <w:rsid w:val="00573E93"/>
    <w:rsid w:val="005757B7"/>
    <w:rsid w:val="00575C7D"/>
    <w:rsid w:val="00576310"/>
    <w:rsid w:val="00577A56"/>
    <w:rsid w:val="00577FF5"/>
    <w:rsid w:val="00580758"/>
    <w:rsid w:val="00581408"/>
    <w:rsid w:val="00581A4C"/>
    <w:rsid w:val="00581EB7"/>
    <w:rsid w:val="00582280"/>
    <w:rsid w:val="00582468"/>
    <w:rsid w:val="0058263F"/>
    <w:rsid w:val="005828DB"/>
    <w:rsid w:val="00582FB3"/>
    <w:rsid w:val="00583165"/>
    <w:rsid w:val="0058330A"/>
    <w:rsid w:val="005833FD"/>
    <w:rsid w:val="005838BC"/>
    <w:rsid w:val="005839B8"/>
    <w:rsid w:val="00583E9A"/>
    <w:rsid w:val="00583EF4"/>
    <w:rsid w:val="005849F4"/>
    <w:rsid w:val="00584E71"/>
    <w:rsid w:val="00585CAE"/>
    <w:rsid w:val="00585DA7"/>
    <w:rsid w:val="0058642B"/>
    <w:rsid w:val="0058667C"/>
    <w:rsid w:val="005872BB"/>
    <w:rsid w:val="00587382"/>
    <w:rsid w:val="00591D8F"/>
    <w:rsid w:val="00592764"/>
    <w:rsid w:val="0059310E"/>
    <w:rsid w:val="00594482"/>
    <w:rsid w:val="00594547"/>
    <w:rsid w:val="005945E3"/>
    <w:rsid w:val="00594E60"/>
    <w:rsid w:val="00595113"/>
    <w:rsid w:val="00596209"/>
    <w:rsid w:val="005963FF"/>
    <w:rsid w:val="00596D47"/>
    <w:rsid w:val="0059783B"/>
    <w:rsid w:val="005A0422"/>
    <w:rsid w:val="005A05F2"/>
    <w:rsid w:val="005A0C17"/>
    <w:rsid w:val="005A0FD2"/>
    <w:rsid w:val="005A1A28"/>
    <w:rsid w:val="005A2563"/>
    <w:rsid w:val="005A25B6"/>
    <w:rsid w:val="005A2BB7"/>
    <w:rsid w:val="005A2CC0"/>
    <w:rsid w:val="005A3613"/>
    <w:rsid w:val="005A3A27"/>
    <w:rsid w:val="005A3BEB"/>
    <w:rsid w:val="005A3D44"/>
    <w:rsid w:val="005A4060"/>
    <w:rsid w:val="005A4127"/>
    <w:rsid w:val="005A47CF"/>
    <w:rsid w:val="005A4A62"/>
    <w:rsid w:val="005A5E95"/>
    <w:rsid w:val="005A5FDA"/>
    <w:rsid w:val="005A646A"/>
    <w:rsid w:val="005A6E5C"/>
    <w:rsid w:val="005A7899"/>
    <w:rsid w:val="005B0355"/>
    <w:rsid w:val="005B0BB9"/>
    <w:rsid w:val="005B0E7D"/>
    <w:rsid w:val="005B0F2F"/>
    <w:rsid w:val="005B27DB"/>
    <w:rsid w:val="005B343F"/>
    <w:rsid w:val="005B4582"/>
    <w:rsid w:val="005B5529"/>
    <w:rsid w:val="005B5D20"/>
    <w:rsid w:val="005B63FA"/>
    <w:rsid w:val="005B7293"/>
    <w:rsid w:val="005B7C2F"/>
    <w:rsid w:val="005B7C48"/>
    <w:rsid w:val="005B7E6F"/>
    <w:rsid w:val="005B7EE3"/>
    <w:rsid w:val="005C1762"/>
    <w:rsid w:val="005C2102"/>
    <w:rsid w:val="005C2294"/>
    <w:rsid w:val="005C42A3"/>
    <w:rsid w:val="005C50EE"/>
    <w:rsid w:val="005C5D14"/>
    <w:rsid w:val="005C5D5D"/>
    <w:rsid w:val="005C64BF"/>
    <w:rsid w:val="005C75DC"/>
    <w:rsid w:val="005C7C24"/>
    <w:rsid w:val="005C7F87"/>
    <w:rsid w:val="005D038D"/>
    <w:rsid w:val="005D0BBC"/>
    <w:rsid w:val="005D174B"/>
    <w:rsid w:val="005D26BF"/>
    <w:rsid w:val="005D2ADF"/>
    <w:rsid w:val="005D34D4"/>
    <w:rsid w:val="005D4A1E"/>
    <w:rsid w:val="005D4B8D"/>
    <w:rsid w:val="005D4F86"/>
    <w:rsid w:val="005D54D7"/>
    <w:rsid w:val="005D5766"/>
    <w:rsid w:val="005D5E5C"/>
    <w:rsid w:val="005D5F2C"/>
    <w:rsid w:val="005D621F"/>
    <w:rsid w:val="005D65FF"/>
    <w:rsid w:val="005D7339"/>
    <w:rsid w:val="005D7698"/>
    <w:rsid w:val="005E0313"/>
    <w:rsid w:val="005E129D"/>
    <w:rsid w:val="005E179E"/>
    <w:rsid w:val="005E17E5"/>
    <w:rsid w:val="005E195D"/>
    <w:rsid w:val="005E1B47"/>
    <w:rsid w:val="005E2678"/>
    <w:rsid w:val="005E2708"/>
    <w:rsid w:val="005E2859"/>
    <w:rsid w:val="005E2A24"/>
    <w:rsid w:val="005E2EB1"/>
    <w:rsid w:val="005E32BE"/>
    <w:rsid w:val="005E38DE"/>
    <w:rsid w:val="005E405B"/>
    <w:rsid w:val="005E424C"/>
    <w:rsid w:val="005E44A3"/>
    <w:rsid w:val="005E4957"/>
    <w:rsid w:val="005E4D3C"/>
    <w:rsid w:val="005E4D97"/>
    <w:rsid w:val="005E6CF7"/>
    <w:rsid w:val="005E7244"/>
    <w:rsid w:val="005E72A1"/>
    <w:rsid w:val="005F0C85"/>
    <w:rsid w:val="005F0F0B"/>
    <w:rsid w:val="005F0F3E"/>
    <w:rsid w:val="005F14DF"/>
    <w:rsid w:val="005F1C46"/>
    <w:rsid w:val="005F2555"/>
    <w:rsid w:val="005F3D2D"/>
    <w:rsid w:val="005F4A08"/>
    <w:rsid w:val="005F4FA0"/>
    <w:rsid w:val="005F5145"/>
    <w:rsid w:val="005F55B3"/>
    <w:rsid w:val="005F5704"/>
    <w:rsid w:val="005F5CFE"/>
    <w:rsid w:val="005F5FC5"/>
    <w:rsid w:val="005F6149"/>
    <w:rsid w:val="005F6F41"/>
    <w:rsid w:val="005F7DDF"/>
    <w:rsid w:val="00600F8A"/>
    <w:rsid w:val="0060122E"/>
    <w:rsid w:val="006017D7"/>
    <w:rsid w:val="00601F02"/>
    <w:rsid w:val="0060222B"/>
    <w:rsid w:val="006027E2"/>
    <w:rsid w:val="00602A75"/>
    <w:rsid w:val="00602B0F"/>
    <w:rsid w:val="00604C1A"/>
    <w:rsid w:val="00605C10"/>
    <w:rsid w:val="00605EE9"/>
    <w:rsid w:val="006068B7"/>
    <w:rsid w:val="006069E0"/>
    <w:rsid w:val="00606F9C"/>
    <w:rsid w:val="006075BD"/>
    <w:rsid w:val="00607C6F"/>
    <w:rsid w:val="00607D53"/>
    <w:rsid w:val="0061026E"/>
    <w:rsid w:val="00610364"/>
    <w:rsid w:val="0061064C"/>
    <w:rsid w:val="0061118E"/>
    <w:rsid w:val="00611277"/>
    <w:rsid w:val="006117E3"/>
    <w:rsid w:val="00611ECA"/>
    <w:rsid w:val="00612293"/>
    <w:rsid w:val="00612A31"/>
    <w:rsid w:val="00612A88"/>
    <w:rsid w:val="00612E5F"/>
    <w:rsid w:val="00613198"/>
    <w:rsid w:val="0061349A"/>
    <w:rsid w:val="00613A3D"/>
    <w:rsid w:val="00614900"/>
    <w:rsid w:val="00614A71"/>
    <w:rsid w:val="006154ED"/>
    <w:rsid w:val="006159DC"/>
    <w:rsid w:val="0061654A"/>
    <w:rsid w:val="00616BAC"/>
    <w:rsid w:val="0062048D"/>
    <w:rsid w:val="006206BA"/>
    <w:rsid w:val="00620D57"/>
    <w:rsid w:val="00620FF9"/>
    <w:rsid w:val="00621317"/>
    <w:rsid w:val="00621B5A"/>
    <w:rsid w:val="006224D1"/>
    <w:rsid w:val="00622696"/>
    <w:rsid w:val="00622D57"/>
    <w:rsid w:val="006235B7"/>
    <w:rsid w:val="006238C6"/>
    <w:rsid w:val="00623E0A"/>
    <w:rsid w:val="00624484"/>
    <w:rsid w:val="00624680"/>
    <w:rsid w:val="00624F7F"/>
    <w:rsid w:val="006255B7"/>
    <w:rsid w:val="00625AFE"/>
    <w:rsid w:val="00625DC0"/>
    <w:rsid w:val="00625E2E"/>
    <w:rsid w:val="006260D7"/>
    <w:rsid w:val="0062659D"/>
    <w:rsid w:val="00626E50"/>
    <w:rsid w:val="00626F60"/>
    <w:rsid w:val="006272B7"/>
    <w:rsid w:val="00627FE4"/>
    <w:rsid w:val="006303A3"/>
    <w:rsid w:val="0063222C"/>
    <w:rsid w:val="00632374"/>
    <w:rsid w:val="00632607"/>
    <w:rsid w:val="00632B54"/>
    <w:rsid w:val="00632BEC"/>
    <w:rsid w:val="00633833"/>
    <w:rsid w:val="006340FC"/>
    <w:rsid w:val="00634725"/>
    <w:rsid w:val="00634894"/>
    <w:rsid w:val="00634EDC"/>
    <w:rsid w:val="0063502D"/>
    <w:rsid w:val="006355BC"/>
    <w:rsid w:val="006363CE"/>
    <w:rsid w:val="006363DF"/>
    <w:rsid w:val="00636EDC"/>
    <w:rsid w:val="00637640"/>
    <w:rsid w:val="00637B96"/>
    <w:rsid w:val="00641E15"/>
    <w:rsid w:val="00642389"/>
    <w:rsid w:val="00642B87"/>
    <w:rsid w:val="00643FAE"/>
    <w:rsid w:val="006440B0"/>
    <w:rsid w:val="0064509D"/>
    <w:rsid w:val="006454D1"/>
    <w:rsid w:val="0064567F"/>
    <w:rsid w:val="006457E5"/>
    <w:rsid w:val="00645D46"/>
    <w:rsid w:val="006464DA"/>
    <w:rsid w:val="00646965"/>
    <w:rsid w:val="00646E0D"/>
    <w:rsid w:val="006501D8"/>
    <w:rsid w:val="006501FC"/>
    <w:rsid w:val="00650D38"/>
    <w:rsid w:val="0065160B"/>
    <w:rsid w:val="00651EAA"/>
    <w:rsid w:val="00651EFF"/>
    <w:rsid w:val="006523CF"/>
    <w:rsid w:val="006526D1"/>
    <w:rsid w:val="00652EE5"/>
    <w:rsid w:val="0065333D"/>
    <w:rsid w:val="00653986"/>
    <w:rsid w:val="00653CAA"/>
    <w:rsid w:val="00653F3F"/>
    <w:rsid w:val="0065426A"/>
    <w:rsid w:val="00654A4B"/>
    <w:rsid w:val="006555F2"/>
    <w:rsid w:val="006556B1"/>
    <w:rsid w:val="00656D5C"/>
    <w:rsid w:val="006577AC"/>
    <w:rsid w:val="00657F10"/>
    <w:rsid w:val="0066076D"/>
    <w:rsid w:val="00660A08"/>
    <w:rsid w:val="00661705"/>
    <w:rsid w:val="00662CCF"/>
    <w:rsid w:val="00663A96"/>
    <w:rsid w:val="00663C21"/>
    <w:rsid w:val="00663FBF"/>
    <w:rsid w:val="00665178"/>
    <w:rsid w:val="006656BC"/>
    <w:rsid w:val="00665D39"/>
    <w:rsid w:val="006667F0"/>
    <w:rsid w:val="00666AF3"/>
    <w:rsid w:val="00666C5D"/>
    <w:rsid w:val="006670DF"/>
    <w:rsid w:val="0067155D"/>
    <w:rsid w:val="00671B78"/>
    <w:rsid w:val="00672659"/>
    <w:rsid w:val="00672746"/>
    <w:rsid w:val="00672B5E"/>
    <w:rsid w:val="00672CA5"/>
    <w:rsid w:val="0067395F"/>
    <w:rsid w:val="00674AD8"/>
    <w:rsid w:val="00675D3B"/>
    <w:rsid w:val="006760B1"/>
    <w:rsid w:val="00676210"/>
    <w:rsid w:val="006769BC"/>
    <w:rsid w:val="00677E5F"/>
    <w:rsid w:val="00677F9D"/>
    <w:rsid w:val="0068053A"/>
    <w:rsid w:val="00680595"/>
    <w:rsid w:val="006805FA"/>
    <w:rsid w:val="0068079D"/>
    <w:rsid w:val="00680956"/>
    <w:rsid w:val="00680CD6"/>
    <w:rsid w:val="0068140A"/>
    <w:rsid w:val="00681543"/>
    <w:rsid w:val="006817FB"/>
    <w:rsid w:val="00682073"/>
    <w:rsid w:val="0068212F"/>
    <w:rsid w:val="00682723"/>
    <w:rsid w:val="006829FA"/>
    <w:rsid w:val="00682BC1"/>
    <w:rsid w:val="00682E6C"/>
    <w:rsid w:val="0068409A"/>
    <w:rsid w:val="00684991"/>
    <w:rsid w:val="00685144"/>
    <w:rsid w:val="006861EA"/>
    <w:rsid w:val="00686630"/>
    <w:rsid w:val="00686986"/>
    <w:rsid w:val="00687234"/>
    <w:rsid w:val="00687333"/>
    <w:rsid w:val="0068753F"/>
    <w:rsid w:val="00687ED1"/>
    <w:rsid w:val="00687F0D"/>
    <w:rsid w:val="00690765"/>
    <w:rsid w:val="00690797"/>
    <w:rsid w:val="006913E8"/>
    <w:rsid w:val="0069217F"/>
    <w:rsid w:val="006924D7"/>
    <w:rsid w:val="00692A1C"/>
    <w:rsid w:val="006936AF"/>
    <w:rsid w:val="00694340"/>
    <w:rsid w:val="006945C1"/>
    <w:rsid w:val="00694BAC"/>
    <w:rsid w:val="00694CF7"/>
    <w:rsid w:val="00694D9E"/>
    <w:rsid w:val="00695750"/>
    <w:rsid w:val="006963F1"/>
    <w:rsid w:val="00697D77"/>
    <w:rsid w:val="006A1A9F"/>
    <w:rsid w:val="006A1D51"/>
    <w:rsid w:val="006A1E8E"/>
    <w:rsid w:val="006A2F3F"/>
    <w:rsid w:val="006A3218"/>
    <w:rsid w:val="006A36BC"/>
    <w:rsid w:val="006A4710"/>
    <w:rsid w:val="006A50A9"/>
    <w:rsid w:val="006A66A0"/>
    <w:rsid w:val="006A67D1"/>
    <w:rsid w:val="006A6B57"/>
    <w:rsid w:val="006A6D85"/>
    <w:rsid w:val="006A7022"/>
    <w:rsid w:val="006A704E"/>
    <w:rsid w:val="006A775D"/>
    <w:rsid w:val="006A7E0F"/>
    <w:rsid w:val="006B002D"/>
    <w:rsid w:val="006B008B"/>
    <w:rsid w:val="006B00EF"/>
    <w:rsid w:val="006B071C"/>
    <w:rsid w:val="006B0A6C"/>
    <w:rsid w:val="006B176E"/>
    <w:rsid w:val="006B2137"/>
    <w:rsid w:val="006B24C0"/>
    <w:rsid w:val="006B25AE"/>
    <w:rsid w:val="006B2A15"/>
    <w:rsid w:val="006B2C25"/>
    <w:rsid w:val="006B3E82"/>
    <w:rsid w:val="006B4208"/>
    <w:rsid w:val="006B515F"/>
    <w:rsid w:val="006B5232"/>
    <w:rsid w:val="006B52BC"/>
    <w:rsid w:val="006B5E15"/>
    <w:rsid w:val="006B5F31"/>
    <w:rsid w:val="006B6405"/>
    <w:rsid w:val="006B6619"/>
    <w:rsid w:val="006B68CB"/>
    <w:rsid w:val="006B6BE8"/>
    <w:rsid w:val="006B6F4A"/>
    <w:rsid w:val="006B7071"/>
    <w:rsid w:val="006B7D6B"/>
    <w:rsid w:val="006C1BB8"/>
    <w:rsid w:val="006C1F69"/>
    <w:rsid w:val="006C3C57"/>
    <w:rsid w:val="006C41F3"/>
    <w:rsid w:val="006C43AE"/>
    <w:rsid w:val="006C59FD"/>
    <w:rsid w:val="006C5C5C"/>
    <w:rsid w:val="006C6090"/>
    <w:rsid w:val="006C6973"/>
    <w:rsid w:val="006C6AE8"/>
    <w:rsid w:val="006C7364"/>
    <w:rsid w:val="006C76DF"/>
    <w:rsid w:val="006C7FC6"/>
    <w:rsid w:val="006D03B4"/>
    <w:rsid w:val="006D0803"/>
    <w:rsid w:val="006D1CB0"/>
    <w:rsid w:val="006D1CEB"/>
    <w:rsid w:val="006D4341"/>
    <w:rsid w:val="006D43F7"/>
    <w:rsid w:val="006D48AC"/>
    <w:rsid w:val="006D5D73"/>
    <w:rsid w:val="006D6D1A"/>
    <w:rsid w:val="006D72AD"/>
    <w:rsid w:val="006D72D2"/>
    <w:rsid w:val="006D7463"/>
    <w:rsid w:val="006D7773"/>
    <w:rsid w:val="006E0118"/>
    <w:rsid w:val="006E115B"/>
    <w:rsid w:val="006E1296"/>
    <w:rsid w:val="006E2C5D"/>
    <w:rsid w:val="006E2FC0"/>
    <w:rsid w:val="006E37E4"/>
    <w:rsid w:val="006E3C38"/>
    <w:rsid w:val="006E5100"/>
    <w:rsid w:val="006E521F"/>
    <w:rsid w:val="006E5E53"/>
    <w:rsid w:val="006E6915"/>
    <w:rsid w:val="006E7570"/>
    <w:rsid w:val="006F040E"/>
    <w:rsid w:val="006F07F7"/>
    <w:rsid w:val="006F08BC"/>
    <w:rsid w:val="006F08D2"/>
    <w:rsid w:val="006F0DC0"/>
    <w:rsid w:val="006F1A0C"/>
    <w:rsid w:val="006F1A42"/>
    <w:rsid w:val="006F1F3F"/>
    <w:rsid w:val="006F2225"/>
    <w:rsid w:val="006F24AD"/>
    <w:rsid w:val="006F328C"/>
    <w:rsid w:val="006F377B"/>
    <w:rsid w:val="006F3C3B"/>
    <w:rsid w:val="006F44AA"/>
    <w:rsid w:val="006F4CD0"/>
    <w:rsid w:val="006F5E25"/>
    <w:rsid w:val="006F5E57"/>
    <w:rsid w:val="006F6620"/>
    <w:rsid w:val="006F666D"/>
    <w:rsid w:val="006F6723"/>
    <w:rsid w:val="006F6E4C"/>
    <w:rsid w:val="006F7586"/>
    <w:rsid w:val="006F7960"/>
    <w:rsid w:val="00700AAE"/>
    <w:rsid w:val="00700C03"/>
    <w:rsid w:val="00702287"/>
    <w:rsid w:val="00702BC9"/>
    <w:rsid w:val="00702E39"/>
    <w:rsid w:val="007032E0"/>
    <w:rsid w:val="00703C34"/>
    <w:rsid w:val="00704F08"/>
    <w:rsid w:val="00704F4B"/>
    <w:rsid w:val="00704F66"/>
    <w:rsid w:val="007051F6"/>
    <w:rsid w:val="00705F43"/>
    <w:rsid w:val="00705FEA"/>
    <w:rsid w:val="0070629C"/>
    <w:rsid w:val="00706772"/>
    <w:rsid w:val="00706793"/>
    <w:rsid w:val="0070700F"/>
    <w:rsid w:val="00707B5D"/>
    <w:rsid w:val="00710101"/>
    <w:rsid w:val="0071014A"/>
    <w:rsid w:val="007107C0"/>
    <w:rsid w:val="00710B81"/>
    <w:rsid w:val="00710E9C"/>
    <w:rsid w:val="00710F50"/>
    <w:rsid w:val="00711218"/>
    <w:rsid w:val="00711D82"/>
    <w:rsid w:val="007125ED"/>
    <w:rsid w:val="00713038"/>
    <w:rsid w:val="0071325C"/>
    <w:rsid w:val="007132D5"/>
    <w:rsid w:val="007136D3"/>
    <w:rsid w:val="00713AC0"/>
    <w:rsid w:val="0071409C"/>
    <w:rsid w:val="00714589"/>
    <w:rsid w:val="00714F74"/>
    <w:rsid w:val="00715248"/>
    <w:rsid w:val="00716037"/>
    <w:rsid w:val="007160E6"/>
    <w:rsid w:val="00716B3E"/>
    <w:rsid w:val="00717060"/>
    <w:rsid w:val="007177DE"/>
    <w:rsid w:val="00717A1B"/>
    <w:rsid w:val="00721000"/>
    <w:rsid w:val="007212EB"/>
    <w:rsid w:val="0072169C"/>
    <w:rsid w:val="00721857"/>
    <w:rsid w:val="00721F25"/>
    <w:rsid w:val="0072295F"/>
    <w:rsid w:val="007230E7"/>
    <w:rsid w:val="007235FE"/>
    <w:rsid w:val="00723D3F"/>
    <w:rsid w:val="00724459"/>
    <w:rsid w:val="00724BBE"/>
    <w:rsid w:val="00724DE8"/>
    <w:rsid w:val="00724EED"/>
    <w:rsid w:val="007256A0"/>
    <w:rsid w:val="00725F47"/>
    <w:rsid w:val="007263A4"/>
    <w:rsid w:val="0072717C"/>
    <w:rsid w:val="00727471"/>
    <w:rsid w:val="00727D45"/>
    <w:rsid w:val="00730CE5"/>
    <w:rsid w:val="00730EF4"/>
    <w:rsid w:val="007313AE"/>
    <w:rsid w:val="00731423"/>
    <w:rsid w:val="00731944"/>
    <w:rsid w:val="00731970"/>
    <w:rsid w:val="00731B2D"/>
    <w:rsid w:val="0073231D"/>
    <w:rsid w:val="007328FC"/>
    <w:rsid w:val="007337D9"/>
    <w:rsid w:val="007338D1"/>
    <w:rsid w:val="0073390B"/>
    <w:rsid w:val="00733A15"/>
    <w:rsid w:val="00734175"/>
    <w:rsid w:val="00734397"/>
    <w:rsid w:val="007347F3"/>
    <w:rsid w:val="00734FE0"/>
    <w:rsid w:val="007358D7"/>
    <w:rsid w:val="007359ED"/>
    <w:rsid w:val="00735AA9"/>
    <w:rsid w:val="00735B19"/>
    <w:rsid w:val="00735BBD"/>
    <w:rsid w:val="00737F68"/>
    <w:rsid w:val="007405AC"/>
    <w:rsid w:val="007407DD"/>
    <w:rsid w:val="00740D02"/>
    <w:rsid w:val="00741A94"/>
    <w:rsid w:val="007423FD"/>
    <w:rsid w:val="00742DB4"/>
    <w:rsid w:val="007439C4"/>
    <w:rsid w:val="007443B8"/>
    <w:rsid w:val="00744F92"/>
    <w:rsid w:val="007455D7"/>
    <w:rsid w:val="00745FAD"/>
    <w:rsid w:val="007466BC"/>
    <w:rsid w:val="00746B27"/>
    <w:rsid w:val="00746FC3"/>
    <w:rsid w:val="007502F2"/>
    <w:rsid w:val="007504A3"/>
    <w:rsid w:val="007508F7"/>
    <w:rsid w:val="00750E11"/>
    <w:rsid w:val="007512FD"/>
    <w:rsid w:val="00751A59"/>
    <w:rsid w:val="00751C55"/>
    <w:rsid w:val="00751C8D"/>
    <w:rsid w:val="00751FEF"/>
    <w:rsid w:val="00752E7E"/>
    <w:rsid w:val="00753051"/>
    <w:rsid w:val="007536D8"/>
    <w:rsid w:val="00754ABE"/>
    <w:rsid w:val="00754D81"/>
    <w:rsid w:val="00756228"/>
    <w:rsid w:val="007562E0"/>
    <w:rsid w:val="007562F0"/>
    <w:rsid w:val="00756626"/>
    <w:rsid w:val="007566BA"/>
    <w:rsid w:val="00756813"/>
    <w:rsid w:val="007569E9"/>
    <w:rsid w:val="00756ABB"/>
    <w:rsid w:val="00756E61"/>
    <w:rsid w:val="00756F16"/>
    <w:rsid w:val="00757707"/>
    <w:rsid w:val="00760398"/>
    <w:rsid w:val="0076057A"/>
    <w:rsid w:val="0076063F"/>
    <w:rsid w:val="007607D1"/>
    <w:rsid w:val="00761E7B"/>
    <w:rsid w:val="00762289"/>
    <w:rsid w:val="007631E9"/>
    <w:rsid w:val="00763AA1"/>
    <w:rsid w:val="0076454B"/>
    <w:rsid w:val="00764A42"/>
    <w:rsid w:val="00764F50"/>
    <w:rsid w:val="007658DB"/>
    <w:rsid w:val="00771929"/>
    <w:rsid w:val="00771B08"/>
    <w:rsid w:val="00772251"/>
    <w:rsid w:val="007729DC"/>
    <w:rsid w:val="00772EB1"/>
    <w:rsid w:val="00774114"/>
    <w:rsid w:val="007743C1"/>
    <w:rsid w:val="00774CA4"/>
    <w:rsid w:val="00775EB3"/>
    <w:rsid w:val="00776C5E"/>
    <w:rsid w:val="00777249"/>
    <w:rsid w:val="007779E5"/>
    <w:rsid w:val="007800AC"/>
    <w:rsid w:val="007809B9"/>
    <w:rsid w:val="00782419"/>
    <w:rsid w:val="00782649"/>
    <w:rsid w:val="00783970"/>
    <w:rsid w:val="0078458C"/>
    <w:rsid w:val="0078478C"/>
    <w:rsid w:val="007854EC"/>
    <w:rsid w:val="007856CC"/>
    <w:rsid w:val="00785996"/>
    <w:rsid w:val="00785C11"/>
    <w:rsid w:val="0078698C"/>
    <w:rsid w:val="007871A7"/>
    <w:rsid w:val="007913D6"/>
    <w:rsid w:val="00791846"/>
    <w:rsid w:val="007933D4"/>
    <w:rsid w:val="0079372A"/>
    <w:rsid w:val="007941E2"/>
    <w:rsid w:val="00794736"/>
    <w:rsid w:val="0079513C"/>
    <w:rsid w:val="00795633"/>
    <w:rsid w:val="00795E8A"/>
    <w:rsid w:val="00796389"/>
    <w:rsid w:val="00796CDC"/>
    <w:rsid w:val="00796EEE"/>
    <w:rsid w:val="00797A09"/>
    <w:rsid w:val="007A03BD"/>
    <w:rsid w:val="007A05C2"/>
    <w:rsid w:val="007A174A"/>
    <w:rsid w:val="007A1B50"/>
    <w:rsid w:val="007A2036"/>
    <w:rsid w:val="007A21FF"/>
    <w:rsid w:val="007A226B"/>
    <w:rsid w:val="007A2D9E"/>
    <w:rsid w:val="007A4598"/>
    <w:rsid w:val="007A46B0"/>
    <w:rsid w:val="007A4757"/>
    <w:rsid w:val="007A5F4F"/>
    <w:rsid w:val="007A5F72"/>
    <w:rsid w:val="007A7866"/>
    <w:rsid w:val="007A7F73"/>
    <w:rsid w:val="007B0BC4"/>
    <w:rsid w:val="007B1ACD"/>
    <w:rsid w:val="007B1BC5"/>
    <w:rsid w:val="007B21FE"/>
    <w:rsid w:val="007B2854"/>
    <w:rsid w:val="007B28BF"/>
    <w:rsid w:val="007B386A"/>
    <w:rsid w:val="007B4557"/>
    <w:rsid w:val="007B4E38"/>
    <w:rsid w:val="007B5C94"/>
    <w:rsid w:val="007B7402"/>
    <w:rsid w:val="007C026C"/>
    <w:rsid w:val="007C0B03"/>
    <w:rsid w:val="007C12DC"/>
    <w:rsid w:val="007C13DF"/>
    <w:rsid w:val="007C18A9"/>
    <w:rsid w:val="007C1AA5"/>
    <w:rsid w:val="007C1CA9"/>
    <w:rsid w:val="007C1F3A"/>
    <w:rsid w:val="007C2086"/>
    <w:rsid w:val="007C2E0F"/>
    <w:rsid w:val="007C37D3"/>
    <w:rsid w:val="007C4393"/>
    <w:rsid w:val="007C4B1B"/>
    <w:rsid w:val="007C4BDB"/>
    <w:rsid w:val="007C5439"/>
    <w:rsid w:val="007C63A0"/>
    <w:rsid w:val="007C6AEE"/>
    <w:rsid w:val="007C6B52"/>
    <w:rsid w:val="007C6CE0"/>
    <w:rsid w:val="007C6EBA"/>
    <w:rsid w:val="007C78F1"/>
    <w:rsid w:val="007C7AC6"/>
    <w:rsid w:val="007C7BE0"/>
    <w:rsid w:val="007C7C07"/>
    <w:rsid w:val="007C7FBD"/>
    <w:rsid w:val="007D02A7"/>
    <w:rsid w:val="007D04DC"/>
    <w:rsid w:val="007D0544"/>
    <w:rsid w:val="007D14C4"/>
    <w:rsid w:val="007D2078"/>
    <w:rsid w:val="007D3233"/>
    <w:rsid w:val="007D325B"/>
    <w:rsid w:val="007D3785"/>
    <w:rsid w:val="007D4905"/>
    <w:rsid w:val="007D4910"/>
    <w:rsid w:val="007D4B74"/>
    <w:rsid w:val="007D6277"/>
    <w:rsid w:val="007D6E79"/>
    <w:rsid w:val="007D6EA6"/>
    <w:rsid w:val="007D7078"/>
    <w:rsid w:val="007D79CD"/>
    <w:rsid w:val="007D7B14"/>
    <w:rsid w:val="007D7B1F"/>
    <w:rsid w:val="007E01D6"/>
    <w:rsid w:val="007E03DE"/>
    <w:rsid w:val="007E2156"/>
    <w:rsid w:val="007E24E7"/>
    <w:rsid w:val="007E2545"/>
    <w:rsid w:val="007E255C"/>
    <w:rsid w:val="007E268F"/>
    <w:rsid w:val="007E3058"/>
    <w:rsid w:val="007E31CA"/>
    <w:rsid w:val="007E3621"/>
    <w:rsid w:val="007E36C5"/>
    <w:rsid w:val="007E473A"/>
    <w:rsid w:val="007E49FF"/>
    <w:rsid w:val="007E72D0"/>
    <w:rsid w:val="007E7E68"/>
    <w:rsid w:val="007F0A41"/>
    <w:rsid w:val="007F1A16"/>
    <w:rsid w:val="007F2246"/>
    <w:rsid w:val="007F242B"/>
    <w:rsid w:val="007F242F"/>
    <w:rsid w:val="007F27F6"/>
    <w:rsid w:val="007F3592"/>
    <w:rsid w:val="007F3A5E"/>
    <w:rsid w:val="007F3DC1"/>
    <w:rsid w:val="007F48BF"/>
    <w:rsid w:val="007F559E"/>
    <w:rsid w:val="007F5DCE"/>
    <w:rsid w:val="007F64CB"/>
    <w:rsid w:val="007F6FED"/>
    <w:rsid w:val="007F7945"/>
    <w:rsid w:val="007F7F63"/>
    <w:rsid w:val="0080135D"/>
    <w:rsid w:val="00801894"/>
    <w:rsid w:val="008018E9"/>
    <w:rsid w:val="00802B68"/>
    <w:rsid w:val="00803669"/>
    <w:rsid w:val="00803F40"/>
    <w:rsid w:val="008041B9"/>
    <w:rsid w:val="00804654"/>
    <w:rsid w:val="008047AE"/>
    <w:rsid w:val="00804837"/>
    <w:rsid w:val="00804AAB"/>
    <w:rsid w:val="00804C12"/>
    <w:rsid w:val="00805E7D"/>
    <w:rsid w:val="00806575"/>
    <w:rsid w:val="00806DE4"/>
    <w:rsid w:val="00806E89"/>
    <w:rsid w:val="00810236"/>
    <w:rsid w:val="00810A8A"/>
    <w:rsid w:val="00810C54"/>
    <w:rsid w:val="00811222"/>
    <w:rsid w:val="00811D55"/>
    <w:rsid w:val="00811EF3"/>
    <w:rsid w:val="00812373"/>
    <w:rsid w:val="00812EB0"/>
    <w:rsid w:val="008130AB"/>
    <w:rsid w:val="0081381A"/>
    <w:rsid w:val="00813D32"/>
    <w:rsid w:val="008147FC"/>
    <w:rsid w:val="00814966"/>
    <w:rsid w:val="00815EBF"/>
    <w:rsid w:val="0081664A"/>
    <w:rsid w:val="00820584"/>
    <w:rsid w:val="00820632"/>
    <w:rsid w:val="00820E49"/>
    <w:rsid w:val="00821327"/>
    <w:rsid w:val="00821C98"/>
    <w:rsid w:val="0082207A"/>
    <w:rsid w:val="00822184"/>
    <w:rsid w:val="008225BD"/>
    <w:rsid w:val="00822B45"/>
    <w:rsid w:val="00823FD7"/>
    <w:rsid w:val="00825B50"/>
    <w:rsid w:val="0082608A"/>
    <w:rsid w:val="00826126"/>
    <w:rsid w:val="008261C4"/>
    <w:rsid w:val="008271B8"/>
    <w:rsid w:val="0083091B"/>
    <w:rsid w:val="00830CA4"/>
    <w:rsid w:val="00831044"/>
    <w:rsid w:val="008319F5"/>
    <w:rsid w:val="00832626"/>
    <w:rsid w:val="00832FC4"/>
    <w:rsid w:val="008331E3"/>
    <w:rsid w:val="008336EA"/>
    <w:rsid w:val="00833A7B"/>
    <w:rsid w:val="00833C28"/>
    <w:rsid w:val="008340D8"/>
    <w:rsid w:val="0083483F"/>
    <w:rsid w:val="00834965"/>
    <w:rsid w:val="00835414"/>
    <w:rsid w:val="00835FDA"/>
    <w:rsid w:val="008366AD"/>
    <w:rsid w:val="0083693A"/>
    <w:rsid w:val="00836A46"/>
    <w:rsid w:val="00837243"/>
    <w:rsid w:val="00837D51"/>
    <w:rsid w:val="00837E4D"/>
    <w:rsid w:val="008403C5"/>
    <w:rsid w:val="00840704"/>
    <w:rsid w:val="0084088E"/>
    <w:rsid w:val="00841068"/>
    <w:rsid w:val="0084138D"/>
    <w:rsid w:val="00841979"/>
    <w:rsid w:val="00841B4D"/>
    <w:rsid w:val="00841C30"/>
    <w:rsid w:val="00841E6D"/>
    <w:rsid w:val="00843098"/>
    <w:rsid w:val="00843B6B"/>
    <w:rsid w:val="0084445A"/>
    <w:rsid w:val="00845290"/>
    <w:rsid w:val="0084537C"/>
    <w:rsid w:val="008455E1"/>
    <w:rsid w:val="00846C93"/>
    <w:rsid w:val="008476E5"/>
    <w:rsid w:val="0085028E"/>
    <w:rsid w:val="00850E23"/>
    <w:rsid w:val="00850F23"/>
    <w:rsid w:val="00851162"/>
    <w:rsid w:val="00852883"/>
    <w:rsid w:val="00853144"/>
    <w:rsid w:val="008532C0"/>
    <w:rsid w:val="00854386"/>
    <w:rsid w:val="008547A5"/>
    <w:rsid w:val="00855480"/>
    <w:rsid w:val="00856392"/>
    <w:rsid w:val="008565F1"/>
    <w:rsid w:val="00856E5E"/>
    <w:rsid w:val="00856E6A"/>
    <w:rsid w:val="0085708B"/>
    <w:rsid w:val="008601DC"/>
    <w:rsid w:val="00860B27"/>
    <w:rsid w:val="00860B4A"/>
    <w:rsid w:val="00861313"/>
    <w:rsid w:val="008616C9"/>
    <w:rsid w:val="008666F4"/>
    <w:rsid w:val="00866A46"/>
    <w:rsid w:val="008676DA"/>
    <w:rsid w:val="008678C8"/>
    <w:rsid w:val="00867CEC"/>
    <w:rsid w:val="0087015B"/>
    <w:rsid w:val="008710A6"/>
    <w:rsid w:val="00871873"/>
    <w:rsid w:val="008724B3"/>
    <w:rsid w:val="008732ED"/>
    <w:rsid w:val="008735AC"/>
    <w:rsid w:val="0087376D"/>
    <w:rsid w:val="008748FA"/>
    <w:rsid w:val="00875023"/>
    <w:rsid w:val="00875670"/>
    <w:rsid w:val="00875FA6"/>
    <w:rsid w:val="008776C7"/>
    <w:rsid w:val="008777C2"/>
    <w:rsid w:val="00877805"/>
    <w:rsid w:val="00877E45"/>
    <w:rsid w:val="008805B5"/>
    <w:rsid w:val="00880622"/>
    <w:rsid w:val="00880657"/>
    <w:rsid w:val="0088068E"/>
    <w:rsid w:val="00880DE3"/>
    <w:rsid w:val="00882193"/>
    <w:rsid w:val="008828CD"/>
    <w:rsid w:val="0088299C"/>
    <w:rsid w:val="00883458"/>
    <w:rsid w:val="00883A92"/>
    <w:rsid w:val="00883C61"/>
    <w:rsid w:val="008844F5"/>
    <w:rsid w:val="00885076"/>
    <w:rsid w:val="0088682E"/>
    <w:rsid w:val="0088746A"/>
    <w:rsid w:val="0088759B"/>
    <w:rsid w:val="00887E34"/>
    <w:rsid w:val="00890242"/>
    <w:rsid w:val="00890918"/>
    <w:rsid w:val="00890A71"/>
    <w:rsid w:val="00890EAD"/>
    <w:rsid w:val="008912B2"/>
    <w:rsid w:val="00891338"/>
    <w:rsid w:val="00891C10"/>
    <w:rsid w:val="00892080"/>
    <w:rsid w:val="008923C9"/>
    <w:rsid w:val="00892786"/>
    <w:rsid w:val="00893237"/>
    <w:rsid w:val="008934FD"/>
    <w:rsid w:val="00893DE4"/>
    <w:rsid w:val="00893ED4"/>
    <w:rsid w:val="00894927"/>
    <w:rsid w:val="00894D99"/>
    <w:rsid w:val="0089506E"/>
    <w:rsid w:val="00895417"/>
    <w:rsid w:val="00895F1F"/>
    <w:rsid w:val="0089609A"/>
    <w:rsid w:val="00896412"/>
    <w:rsid w:val="00896B1B"/>
    <w:rsid w:val="00896F7C"/>
    <w:rsid w:val="008974B2"/>
    <w:rsid w:val="00897734"/>
    <w:rsid w:val="00897E0C"/>
    <w:rsid w:val="00897E67"/>
    <w:rsid w:val="008A1268"/>
    <w:rsid w:val="008A1372"/>
    <w:rsid w:val="008A1A0E"/>
    <w:rsid w:val="008A1AE6"/>
    <w:rsid w:val="008A1ED5"/>
    <w:rsid w:val="008A29DA"/>
    <w:rsid w:val="008A39CF"/>
    <w:rsid w:val="008A43AB"/>
    <w:rsid w:val="008A5122"/>
    <w:rsid w:val="008A60AE"/>
    <w:rsid w:val="008A6641"/>
    <w:rsid w:val="008A7D3A"/>
    <w:rsid w:val="008B0201"/>
    <w:rsid w:val="008B075B"/>
    <w:rsid w:val="008B076E"/>
    <w:rsid w:val="008B11DA"/>
    <w:rsid w:val="008B1876"/>
    <w:rsid w:val="008B2602"/>
    <w:rsid w:val="008B266A"/>
    <w:rsid w:val="008B3F98"/>
    <w:rsid w:val="008B4494"/>
    <w:rsid w:val="008B4867"/>
    <w:rsid w:val="008B48D9"/>
    <w:rsid w:val="008B6C99"/>
    <w:rsid w:val="008B6FF5"/>
    <w:rsid w:val="008B75A5"/>
    <w:rsid w:val="008B7A36"/>
    <w:rsid w:val="008C01C0"/>
    <w:rsid w:val="008C05B3"/>
    <w:rsid w:val="008C0B3C"/>
    <w:rsid w:val="008C1B5E"/>
    <w:rsid w:val="008C2A89"/>
    <w:rsid w:val="008C2FF5"/>
    <w:rsid w:val="008C3831"/>
    <w:rsid w:val="008C3B25"/>
    <w:rsid w:val="008C3C1B"/>
    <w:rsid w:val="008C3D60"/>
    <w:rsid w:val="008C5475"/>
    <w:rsid w:val="008C54B3"/>
    <w:rsid w:val="008C598B"/>
    <w:rsid w:val="008C6117"/>
    <w:rsid w:val="008C6F86"/>
    <w:rsid w:val="008C71B1"/>
    <w:rsid w:val="008D0285"/>
    <w:rsid w:val="008D0304"/>
    <w:rsid w:val="008D17EE"/>
    <w:rsid w:val="008D1B59"/>
    <w:rsid w:val="008D24B5"/>
    <w:rsid w:val="008D2CCA"/>
    <w:rsid w:val="008D3161"/>
    <w:rsid w:val="008D34D4"/>
    <w:rsid w:val="008D40AD"/>
    <w:rsid w:val="008D40AF"/>
    <w:rsid w:val="008D46B2"/>
    <w:rsid w:val="008D4D1B"/>
    <w:rsid w:val="008D5458"/>
    <w:rsid w:val="008D5549"/>
    <w:rsid w:val="008D55A4"/>
    <w:rsid w:val="008D644F"/>
    <w:rsid w:val="008D6BD7"/>
    <w:rsid w:val="008D79D0"/>
    <w:rsid w:val="008D7D26"/>
    <w:rsid w:val="008E0099"/>
    <w:rsid w:val="008E08CF"/>
    <w:rsid w:val="008E09C8"/>
    <w:rsid w:val="008E0DE9"/>
    <w:rsid w:val="008E0E98"/>
    <w:rsid w:val="008E0EC8"/>
    <w:rsid w:val="008E1B6F"/>
    <w:rsid w:val="008E29E4"/>
    <w:rsid w:val="008E30C2"/>
    <w:rsid w:val="008E334B"/>
    <w:rsid w:val="008E4278"/>
    <w:rsid w:val="008E44F8"/>
    <w:rsid w:val="008E4526"/>
    <w:rsid w:val="008E4A41"/>
    <w:rsid w:val="008E5756"/>
    <w:rsid w:val="008E58FB"/>
    <w:rsid w:val="008E5CDE"/>
    <w:rsid w:val="008E6A32"/>
    <w:rsid w:val="008E71CC"/>
    <w:rsid w:val="008F0686"/>
    <w:rsid w:val="008F0AC8"/>
    <w:rsid w:val="008F0B5F"/>
    <w:rsid w:val="008F16E4"/>
    <w:rsid w:val="008F1FE9"/>
    <w:rsid w:val="008F22D7"/>
    <w:rsid w:val="008F278A"/>
    <w:rsid w:val="008F2BC5"/>
    <w:rsid w:val="008F2C79"/>
    <w:rsid w:val="008F4DA4"/>
    <w:rsid w:val="008F6DA3"/>
    <w:rsid w:val="008F7459"/>
    <w:rsid w:val="008F7487"/>
    <w:rsid w:val="008F782D"/>
    <w:rsid w:val="009004A7"/>
    <w:rsid w:val="009004E0"/>
    <w:rsid w:val="009011A5"/>
    <w:rsid w:val="009015B5"/>
    <w:rsid w:val="00901612"/>
    <w:rsid w:val="009030C4"/>
    <w:rsid w:val="009043B1"/>
    <w:rsid w:val="0090478F"/>
    <w:rsid w:val="0090506E"/>
    <w:rsid w:val="00905C9B"/>
    <w:rsid w:val="00905D76"/>
    <w:rsid w:val="00905E23"/>
    <w:rsid w:val="00906375"/>
    <w:rsid w:val="00906529"/>
    <w:rsid w:val="00907272"/>
    <w:rsid w:val="00907428"/>
    <w:rsid w:val="00907540"/>
    <w:rsid w:val="0090771C"/>
    <w:rsid w:val="009104B0"/>
    <w:rsid w:val="0091078A"/>
    <w:rsid w:val="00910806"/>
    <w:rsid w:val="00912AFF"/>
    <w:rsid w:val="009133D7"/>
    <w:rsid w:val="00914C3C"/>
    <w:rsid w:val="00914EF4"/>
    <w:rsid w:val="0091520D"/>
    <w:rsid w:val="0091572C"/>
    <w:rsid w:val="009161BF"/>
    <w:rsid w:val="00916A68"/>
    <w:rsid w:val="00916E43"/>
    <w:rsid w:val="0091768D"/>
    <w:rsid w:val="00920392"/>
    <w:rsid w:val="00920715"/>
    <w:rsid w:val="00920A49"/>
    <w:rsid w:val="00921349"/>
    <w:rsid w:val="009216AF"/>
    <w:rsid w:val="00921C15"/>
    <w:rsid w:val="00921E7F"/>
    <w:rsid w:val="0092208F"/>
    <w:rsid w:val="00922CB6"/>
    <w:rsid w:val="00925CEB"/>
    <w:rsid w:val="00926894"/>
    <w:rsid w:val="0092761E"/>
    <w:rsid w:val="00930348"/>
    <w:rsid w:val="00930BDB"/>
    <w:rsid w:val="00931622"/>
    <w:rsid w:val="0093171F"/>
    <w:rsid w:val="00931CC2"/>
    <w:rsid w:val="00931DB3"/>
    <w:rsid w:val="00931E25"/>
    <w:rsid w:val="009326BB"/>
    <w:rsid w:val="009334A6"/>
    <w:rsid w:val="00934DB3"/>
    <w:rsid w:val="00935B1E"/>
    <w:rsid w:val="00936420"/>
    <w:rsid w:val="00940483"/>
    <w:rsid w:val="00940E84"/>
    <w:rsid w:val="0094341C"/>
    <w:rsid w:val="00944030"/>
    <w:rsid w:val="0094483D"/>
    <w:rsid w:val="0094528A"/>
    <w:rsid w:val="00945767"/>
    <w:rsid w:val="00945E08"/>
    <w:rsid w:val="0094601A"/>
    <w:rsid w:val="00946154"/>
    <w:rsid w:val="00946534"/>
    <w:rsid w:val="00946621"/>
    <w:rsid w:val="0094684F"/>
    <w:rsid w:val="0094748F"/>
    <w:rsid w:val="00947D3B"/>
    <w:rsid w:val="00947DE1"/>
    <w:rsid w:val="009504EF"/>
    <w:rsid w:val="009507C4"/>
    <w:rsid w:val="009508B4"/>
    <w:rsid w:val="0095194F"/>
    <w:rsid w:val="00952661"/>
    <w:rsid w:val="00952BDB"/>
    <w:rsid w:val="00952D9B"/>
    <w:rsid w:val="00953429"/>
    <w:rsid w:val="00953945"/>
    <w:rsid w:val="00953B2F"/>
    <w:rsid w:val="00954E0E"/>
    <w:rsid w:val="00955BD0"/>
    <w:rsid w:val="0095608C"/>
    <w:rsid w:val="009560ED"/>
    <w:rsid w:val="009567C8"/>
    <w:rsid w:val="009572EF"/>
    <w:rsid w:val="009601F9"/>
    <w:rsid w:val="0096072A"/>
    <w:rsid w:val="0096082E"/>
    <w:rsid w:val="0096098F"/>
    <w:rsid w:val="00960AFD"/>
    <w:rsid w:val="00960BF3"/>
    <w:rsid w:val="00960E72"/>
    <w:rsid w:val="00961047"/>
    <w:rsid w:val="00961C47"/>
    <w:rsid w:val="00962894"/>
    <w:rsid w:val="00962921"/>
    <w:rsid w:val="00962EC4"/>
    <w:rsid w:val="00963CF4"/>
    <w:rsid w:val="00963FE5"/>
    <w:rsid w:val="00964248"/>
    <w:rsid w:val="0096491A"/>
    <w:rsid w:val="00964A6C"/>
    <w:rsid w:val="009650D6"/>
    <w:rsid w:val="009654CF"/>
    <w:rsid w:val="0096573A"/>
    <w:rsid w:val="009659AE"/>
    <w:rsid w:val="00966A8E"/>
    <w:rsid w:val="00966D29"/>
    <w:rsid w:val="009679A2"/>
    <w:rsid w:val="00967C57"/>
    <w:rsid w:val="0097112F"/>
    <w:rsid w:val="00971377"/>
    <w:rsid w:val="0097155B"/>
    <w:rsid w:val="009724C4"/>
    <w:rsid w:val="00972723"/>
    <w:rsid w:val="009727DB"/>
    <w:rsid w:val="00972C2A"/>
    <w:rsid w:val="009730EE"/>
    <w:rsid w:val="009732C0"/>
    <w:rsid w:val="0097485F"/>
    <w:rsid w:val="00974B5B"/>
    <w:rsid w:val="00974C70"/>
    <w:rsid w:val="00975408"/>
    <w:rsid w:val="00975B5D"/>
    <w:rsid w:val="00975DDA"/>
    <w:rsid w:val="00975FF0"/>
    <w:rsid w:val="00976144"/>
    <w:rsid w:val="00976B64"/>
    <w:rsid w:val="00976C33"/>
    <w:rsid w:val="00977B96"/>
    <w:rsid w:val="00977E64"/>
    <w:rsid w:val="00980069"/>
    <w:rsid w:val="0098048A"/>
    <w:rsid w:val="00980827"/>
    <w:rsid w:val="00980874"/>
    <w:rsid w:val="0098167F"/>
    <w:rsid w:val="00981775"/>
    <w:rsid w:val="0098270B"/>
    <w:rsid w:val="00982B78"/>
    <w:rsid w:val="00983A13"/>
    <w:rsid w:val="0098499A"/>
    <w:rsid w:val="00985324"/>
    <w:rsid w:val="00985E24"/>
    <w:rsid w:val="0098604A"/>
    <w:rsid w:val="0098652F"/>
    <w:rsid w:val="0098678E"/>
    <w:rsid w:val="00986ECA"/>
    <w:rsid w:val="00990035"/>
    <w:rsid w:val="00992257"/>
    <w:rsid w:val="00992D1E"/>
    <w:rsid w:val="00995896"/>
    <w:rsid w:val="009968FB"/>
    <w:rsid w:val="00996E9A"/>
    <w:rsid w:val="00997045"/>
    <w:rsid w:val="009975ED"/>
    <w:rsid w:val="00997730"/>
    <w:rsid w:val="009979D4"/>
    <w:rsid w:val="00997A3C"/>
    <w:rsid w:val="00997CE5"/>
    <w:rsid w:val="009A0943"/>
    <w:rsid w:val="009A0C61"/>
    <w:rsid w:val="009A11E6"/>
    <w:rsid w:val="009A1FDF"/>
    <w:rsid w:val="009A210F"/>
    <w:rsid w:val="009A22A0"/>
    <w:rsid w:val="009A2710"/>
    <w:rsid w:val="009A2C79"/>
    <w:rsid w:val="009A34F5"/>
    <w:rsid w:val="009A3878"/>
    <w:rsid w:val="009A4D91"/>
    <w:rsid w:val="009A4DE6"/>
    <w:rsid w:val="009A4F12"/>
    <w:rsid w:val="009A51AF"/>
    <w:rsid w:val="009A5A2E"/>
    <w:rsid w:val="009A6843"/>
    <w:rsid w:val="009B00DC"/>
    <w:rsid w:val="009B0219"/>
    <w:rsid w:val="009B022A"/>
    <w:rsid w:val="009B0248"/>
    <w:rsid w:val="009B091F"/>
    <w:rsid w:val="009B0F68"/>
    <w:rsid w:val="009B121E"/>
    <w:rsid w:val="009B14AB"/>
    <w:rsid w:val="009B1500"/>
    <w:rsid w:val="009B1886"/>
    <w:rsid w:val="009B1BD3"/>
    <w:rsid w:val="009B1C63"/>
    <w:rsid w:val="009B1E9F"/>
    <w:rsid w:val="009B2B5E"/>
    <w:rsid w:val="009B2D89"/>
    <w:rsid w:val="009B3AF0"/>
    <w:rsid w:val="009B3BE9"/>
    <w:rsid w:val="009B4412"/>
    <w:rsid w:val="009B469D"/>
    <w:rsid w:val="009B46B6"/>
    <w:rsid w:val="009B46C9"/>
    <w:rsid w:val="009B51F4"/>
    <w:rsid w:val="009B5CBD"/>
    <w:rsid w:val="009B6576"/>
    <w:rsid w:val="009B67EE"/>
    <w:rsid w:val="009B76D2"/>
    <w:rsid w:val="009B76DC"/>
    <w:rsid w:val="009C00EC"/>
    <w:rsid w:val="009C06DE"/>
    <w:rsid w:val="009C090F"/>
    <w:rsid w:val="009C0BF8"/>
    <w:rsid w:val="009C1D49"/>
    <w:rsid w:val="009C1E24"/>
    <w:rsid w:val="009C256E"/>
    <w:rsid w:val="009C2A19"/>
    <w:rsid w:val="009C3795"/>
    <w:rsid w:val="009C55D8"/>
    <w:rsid w:val="009C59BA"/>
    <w:rsid w:val="009C6309"/>
    <w:rsid w:val="009C653F"/>
    <w:rsid w:val="009C6DAD"/>
    <w:rsid w:val="009C6E4E"/>
    <w:rsid w:val="009C7071"/>
    <w:rsid w:val="009C71E9"/>
    <w:rsid w:val="009C7272"/>
    <w:rsid w:val="009C77D6"/>
    <w:rsid w:val="009D036E"/>
    <w:rsid w:val="009D0E57"/>
    <w:rsid w:val="009D15E5"/>
    <w:rsid w:val="009D1EF1"/>
    <w:rsid w:val="009D22FD"/>
    <w:rsid w:val="009D2B1B"/>
    <w:rsid w:val="009D2B79"/>
    <w:rsid w:val="009D2FEA"/>
    <w:rsid w:val="009D353B"/>
    <w:rsid w:val="009D3787"/>
    <w:rsid w:val="009D4964"/>
    <w:rsid w:val="009D5A25"/>
    <w:rsid w:val="009D5FCF"/>
    <w:rsid w:val="009D6465"/>
    <w:rsid w:val="009D697F"/>
    <w:rsid w:val="009D6E03"/>
    <w:rsid w:val="009D72DA"/>
    <w:rsid w:val="009D7426"/>
    <w:rsid w:val="009D7703"/>
    <w:rsid w:val="009E0280"/>
    <w:rsid w:val="009E05BE"/>
    <w:rsid w:val="009E066A"/>
    <w:rsid w:val="009E0AFB"/>
    <w:rsid w:val="009E0F24"/>
    <w:rsid w:val="009E1FF4"/>
    <w:rsid w:val="009E2124"/>
    <w:rsid w:val="009E2704"/>
    <w:rsid w:val="009E285D"/>
    <w:rsid w:val="009E38C7"/>
    <w:rsid w:val="009E3C2C"/>
    <w:rsid w:val="009E3F68"/>
    <w:rsid w:val="009E4823"/>
    <w:rsid w:val="009E4F94"/>
    <w:rsid w:val="009E56F2"/>
    <w:rsid w:val="009E570E"/>
    <w:rsid w:val="009E61A6"/>
    <w:rsid w:val="009E6BDC"/>
    <w:rsid w:val="009E6F95"/>
    <w:rsid w:val="009E7889"/>
    <w:rsid w:val="009F00CC"/>
    <w:rsid w:val="009F0466"/>
    <w:rsid w:val="009F09C7"/>
    <w:rsid w:val="009F1176"/>
    <w:rsid w:val="009F162C"/>
    <w:rsid w:val="009F16EF"/>
    <w:rsid w:val="009F1751"/>
    <w:rsid w:val="009F209C"/>
    <w:rsid w:val="009F22BF"/>
    <w:rsid w:val="009F2658"/>
    <w:rsid w:val="009F3322"/>
    <w:rsid w:val="009F3484"/>
    <w:rsid w:val="009F391B"/>
    <w:rsid w:val="009F3D6A"/>
    <w:rsid w:val="009F3D85"/>
    <w:rsid w:val="009F4297"/>
    <w:rsid w:val="009F4D26"/>
    <w:rsid w:val="009F5323"/>
    <w:rsid w:val="009F56A8"/>
    <w:rsid w:val="009F60CA"/>
    <w:rsid w:val="009F68B0"/>
    <w:rsid w:val="009F6C6E"/>
    <w:rsid w:val="009F6DF6"/>
    <w:rsid w:val="009F7222"/>
    <w:rsid w:val="00A00741"/>
    <w:rsid w:val="00A00C74"/>
    <w:rsid w:val="00A010EF"/>
    <w:rsid w:val="00A01762"/>
    <w:rsid w:val="00A01A8D"/>
    <w:rsid w:val="00A01F43"/>
    <w:rsid w:val="00A02A87"/>
    <w:rsid w:val="00A02B6B"/>
    <w:rsid w:val="00A033C6"/>
    <w:rsid w:val="00A041A4"/>
    <w:rsid w:val="00A043CE"/>
    <w:rsid w:val="00A0453A"/>
    <w:rsid w:val="00A0472F"/>
    <w:rsid w:val="00A05198"/>
    <w:rsid w:val="00A05B83"/>
    <w:rsid w:val="00A06658"/>
    <w:rsid w:val="00A06CC2"/>
    <w:rsid w:val="00A071A7"/>
    <w:rsid w:val="00A07ABA"/>
    <w:rsid w:val="00A07EE4"/>
    <w:rsid w:val="00A1007F"/>
    <w:rsid w:val="00A103B9"/>
    <w:rsid w:val="00A10524"/>
    <w:rsid w:val="00A11321"/>
    <w:rsid w:val="00A1141D"/>
    <w:rsid w:val="00A114A8"/>
    <w:rsid w:val="00A11B38"/>
    <w:rsid w:val="00A122DD"/>
    <w:rsid w:val="00A1287A"/>
    <w:rsid w:val="00A12F5A"/>
    <w:rsid w:val="00A12F63"/>
    <w:rsid w:val="00A13352"/>
    <w:rsid w:val="00A1356D"/>
    <w:rsid w:val="00A135F8"/>
    <w:rsid w:val="00A13AF4"/>
    <w:rsid w:val="00A13ECE"/>
    <w:rsid w:val="00A13F30"/>
    <w:rsid w:val="00A14015"/>
    <w:rsid w:val="00A143F8"/>
    <w:rsid w:val="00A14D4F"/>
    <w:rsid w:val="00A1588D"/>
    <w:rsid w:val="00A15A2F"/>
    <w:rsid w:val="00A169CE"/>
    <w:rsid w:val="00A171C6"/>
    <w:rsid w:val="00A209DE"/>
    <w:rsid w:val="00A20FAB"/>
    <w:rsid w:val="00A210C1"/>
    <w:rsid w:val="00A22A71"/>
    <w:rsid w:val="00A22C9F"/>
    <w:rsid w:val="00A2334D"/>
    <w:rsid w:val="00A238A0"/>
    <w:rsid w:val="00A239E3"/>
    <w:rsid w:val="00A247BB"/>
    <w:rsid w:val="00A24B88"/>
    <w:rsid w:val="00A24D3F"/>
    <w:rsid w:val="00A25481"/>
    <w:rsid w:val="00A2760B"/>
    <w:rsid w:val="00A27613"/>
    <w:rsid w:val="00A27D3A"/>
    <w:rsid w:val="00A30217"/>
    <w:rsid w:val="00A306F3"/>
    <w:rsid w:val="00A31315"/>
    <w:rsid w:val="00A32745"/>
    <w:rsid w:val="00A32BB3"/>
    <w:rsid w:val="00A32BEB"/>
    <w:rsid w:val="00A3362D"/>
    <w:rsid w:val="00A338C9"/>
    <w:rsid w:val="00A33B79"/>
    <w:rsid w:val="00A33D61"/>
    <w:rsid w:val="00A34B34"/>
    <w:rsid w:val="00A35134"/>
    <w:rsid w:val="00A358BD"/>
    <w:rsid w:val="00A35AEE"/>
    <w:rsid w:val="00A361FC"/>
    <w:rsid w:val="00A36278"/>
    <w:rsid w:val="00A36AB9"/>
    <w:rsid w:val="00A37D31"/>
    <w:rsid w:val="00A40522"/>
    <w:rsid w:val="00A407A2"/>
    <w:rsid w:val="00A41236"/>
    <w:rsid w:val="00A413AD"/>
    <w:rsid w:val="00A41434"/>
    <w:rsid w:val="00A41C73"/>
    <w:rsid w:val="00A427BC"/>
    <w:rsid w:val="00A42D82"/>
    <w:rsid w:val="00A43269"/>
    <w:rsid w:val="00A4338D"/>
    <w:rsid w:val="00A43F62"/>
    <w:rsid w:val="00A4477B"/>
    <w:rsid w:val="00A44831"/>
    <w:rsid w:val="00A45207"/>
    <w:rsid w:val="00A45349"/>
    <w:rsid w:val="00A45472"/>
    <w:rsid w:val="00A45476"/>
    <w:rsid w:val="00A45545"/>
    <w:rsid w:val="00A46556"/>
    <w:rsid w:val="00A4764B"/>
    <w:rsid w:val="00A47D45"/>
    <w:rsid w:val="00A47DD7"/>
    <w:rsid w:val="00A503B7"/>
    <w:rsid w:val="00A504EB"/>
    <w:rsid w:val="00A508D3"/>
    <w:rsid w:val="00A50983"/>
    <w:rsid w:val="00A51030"/>
    <w:rsid w:val="00A512B2"/>
    <w:rsid w:val="00A51AE9"/>
    <w:rsid w:val="00A52011"/>
    <w:rsid w:val="00A523A8"/>
    <w:rsid w:val="00A52400"/>
    <w:rsid w:val="00A524F7"/>
    <w:rsid w:val="00A52C02"/>
    <w:rsid w:val="00A53F18"/>
    <w:rsid w:val="00A5553D"/>
    <w:rsid w:val="00A55548"/>
    <w:rsid w:val="00A56321"/>
    <w:rsid w:val="00A56820"/>
    <w:rsid w:val="00A56F0D"/>
    <w:rsid w:val="00A5718E"/>
    <w:rsid w:val="00A57B78"/>
    <w:rsid w:val="00A57E28"/>
    <w:rsid w:val="00A6088A"/>
    <w:rsid w:val="00A62215"/>
    <w:rsid w:val="00A62D73"/>
    <w:rsid w:val="00A63011"/>
    <w:rsid w:val="00A632F6"/>
    <w:rsid w:val="00A63AE5"/>
    <w:rsid w:val="00A63C44"/>
    <w:rsid w:val="00A64027"/>
    <w:rsid w:val="00A649BD"/>
    <w:rsid w:val="00A64C5F"/>
    <w:rsid w:val="00A64ECF"/>
    <w:rsid w:val="00A661C2"/>
    <w:rsid w:val="00A66FE3"/>
    <w:rsid w:val="00A679BF"/>
    <w:rsid w:val="00A70215"/>
    <w:rsid w:val="00A70823"/>
    <w:rsid w:val="00A70EF6"/>
    <w:rsid w:val="00A70FFA"/>
    <w:rsid w:val="00A7134C"/>
    <w:rsid w:val="00A72218"/>
    <w:rsid w:val="00A731B7"/>
    <w:rsid w:val="00A73497"/>
    <w:rsid w:val="00A73A75"/>
    <w:rsid w:val="00A73FDF"/>
    <w:rsid w:val="00A754A4"/>
    <w:rsid w:val="00A7637C"/>
    <w:rsid w:val="00A77747"/>
    <w:rsid w:val="00A77C2D"/>
    <w:rsid w:val="00A77D9A"/>
    <w:rsid w:val="00A77F2D"/>
    <w:rsid w:val="00A80CC4"/>
    <w:rsid w:val="00A80DCF"/>
    <w:rsid w:val="00A8164A"/>
    <w:rsid w:val="00A816C3"/>
    <w:rsid w:val="00A82016"/>
    <w:rsid w:val="00A82B20"/>
    <w:rsid w:val="00A82B61"/>
    <w:rsid w:val="00A83155"/>
    <w:rsid w:val="00A83195"/>
    <w:rsid w:val="00A837FB"/>
    <w:rsid w:val="00A84258"/>
    <w:rsid w:val="00A84608"/>
    <w:rsid w:val="00A85421"/>
    <w:rsid w:val="00A85849"/>
    <w:rsid w:val="00A85923"/>
    <w:rsid w:val="00A8713F"/>
    <w:rsid w:val="00A90004"/>
    <w:rsid w:val="00A92572"/>
    <w:rsid w:val="00A926E5"/>
    <w:rsid w:val="00A927F1"/>
    <w:rsid w:val="00A93495"/>
    <w:rsid w:val="00A93E96"/>
    <w:rsid w:val="00A94006"/>
    <w:rsid w:val="00A95333"/>
    <w:rsid w:val="00A955B8"/>
    <w:rsid w:val="00A95B39"/>
    <w:rsid w:val="00A95F5B"/>
    <w:rsid w:val="00A96921"/>
    <w:rsid w:val="00A978E3"/>
    <w:rsid w:val="00AA0194"/>
    <w:rsid w:val="00AA059A"/>
    <w:rsid w:val="00AA0CF4"/>
    <w:rsid w:val="00AA0DD3"/>
    <w:rsid w:val="00AA0F72"/>
    <w:rsid w:val="00AA2805"/>
    <w:rsid w:val="00AA2B2C"/>
    <w:rsid w:val="00AA2EA4"/>
    <w:rsid w:val="00AA32B4"/>
    <w:rsid w:val="00AA3718"/>
    <w:rsid w:val="00AA39C2"/>
    <w:rsid w:val="00AA490A"/>
    <w:rsid w:val="00AA4D8F"/>
    <w:rsid w:val="00AA4FD6"/>
    <w:rsid w:val="00AA5015"/>
    <w:rsid w:val="00AA6DC4"/>
    <w:rsid w:val="00AA6F0B"/>
    <w:rsid w:val="00AA73E9"/>
    <w:rsid w:val="00AB08C2"/>
    <w:rsid w:val="00AB0CAD"/>
    <w:rsid w:val="00AB126D"/>
    <w:rsid w:val="00AB20A0"/>
    <w:rsid w:val="00AB251D"/>
    <w:rsid w:val="00AB3016"/>
    <w:rsid w:val="00AB321B"/>
    <w:rsid w:val="00AB47E7"/>
    <w:rsid w:val="00AB52C7"/>
    <w:rsid w:val="00AB5982"/>
    <w:rsid w:val="00AB5AB4"/>
    <w:rsid w:val="00AB5BD4"/>
    <w:rsid w:val="00AB61E7"/>
    <w:rsid w:val="00AB67A0"/>
    <w:rsid w:val="00AB6D32"/>
    <w:rsid w:val="00AB7080"/>
    <w:rsid w:val="00AB7598"/>
    <w:rsid w:val="00AB7D8A"/>
    <w:rsid w:val="00AB7DEE"/>
    <w:rsid w:val="00AC0156"/>
    <w:rsid w:val="00AC1198"/>
    <w:rsid w:val="00AC2111"/>
    <w:rsid w:val="00AC2C2C"/>
    <w:rsid w:val="00AC304C"/>
    <w:rsid w:val="00AC310A"/>
    <w:rsid w:val="00AC35C8"/>
    <w:rsid w:val="00AC3BB3"/>
    <w:rsid w:val="00AC3BC7"/>
    <w:rsid w:val="00AC3EB5"/>
    <w:rsid w:val="00AC40D9"/>
    <w:rsid w:val="00AC4820"/>
    <w:rsid w:val="00AC4AAD"/>
    <w:rsid w:val="00AC5607"/>
    <w:rsid w:val="00AC5862"/>
    <w:rsid w:val="00AC614D"/>
    <w:rsid w:val="00AC7957"/>
    <w:rsid w:val="00AC7C90"/>
    <w:rsid w:val="00AC7C98"/>
    <w:rsid w:val="00AD063D"/>
    <w:rsid w:val="00AD0880"/>
    <w:rsid w:val="00AD1008"/>
    <w:rsid w:val="00AD1218"/>
    <w:rsid w:val="00AD165E"/>
    <w:rsid w:val="00AD17F3"/>
    <w:rsid w:val="00AD1A22"/>
    <w:rsid w:val="00AD1B2C"/>
    <w:rsid w:val="00AD2040"/>
    <w:rsid w:val="00AD2533"/>
    <w:rsid w:val="00AD27B6"/>
    <w:rsid w:val="00AD2808"/>
    <w:rsid w:val="00AD2ABC"/>
    <w:rsid w:val="00AD2BCF"/>
    <w:rsid w:val="00AD2F52"/>
    <w:rsid w:val="00AD3508"/>
    <w:rsid w:val="00AD3A5B"/>
    <w:rsid w:val="00AD4602"/>
    <w:rsid w:val="00AD46EA"/>
    <w:rsid w:val="00AD47F9"/>
    <w:rsid w:val="00AD4D79"/>
    <w:rsid w:val="00AD6A87"/>
    <w:rsid w:val="00AD7872"/>
    <w:rsid w:val="00AD78AD"/>
    <w:rsid w:val="00AD7E92"/>
    <w:rsid w:val="00AE090E"/>
    <w:rsid w:val="00AE1E5F"/>
    <w:rsid w:val="00AE2487"/>
    <w:rsid w:val="00AE2536"/>
    <w:rsid w:val="00AE36A6"/>
    <w:rsid w:val="00AE382D"/>
    <w:rsid w:val="00AE3E96"/>
    <w:rsid w:val="00AE460A"/>
    <w:rsid w:val="00AE4B34"/>
    <w:rsid w:val="00AE509A"/>
    <w:rsid w:val="00AE68AE"/>
    <w:rsid w:val="00AE6BE2"/>
    <w:rsid w:val="00AE72BD"/>
    <w:rsid w:val="00AF05CA"/>
    <w:rsid w:val="00AF0B9B"/>
    <w:rsid w:val="00AF105E"/>
    <w:rsid w:val="00AF107C"/>
    <w:rsid w:val="00AF244D"/>
    <w:rsid w:val="00AF25AE"/>
    <w:rsid w:val="00AF27AA"/>
    <w:rsid w:val="00AF2DE5"/>
    <w:rsid w:val="00AF32E2"/>
    <w:rsid w:val="00AF33B2"/>
    <w:rsid w:val="00AF3DF2"/>
    <w:rsid w:val="00AF42CC"/>
    <w:rsid w:val="00AF43DC"/>
    <w:rsid w:val="00AF5FD6"/>
    <w:rsid w:val="00AF6A47"/>
    <w:rsid w:val="00AF7A0C"/>
    <w:rsid w:val="00B000F3"/>
    <w:rsid w:val="00B008D2"/>
    <w:rsid w:val="00B01F7D"/>
    <w:rsid w:val="00B02218"/>
    <w:rsid w:val="00B0237D"/>
    <w:rsid w:val="00B023EA"/>
    <w:rsid w:val="00B0242B"/>
    <w:rsid w:val="00B02448"/>
    <w:rsid w:val="00B02641"/>
    <w:rsid w:val="00B03188"/>
    <w:rsid w:val="00B03430"/>
    <w:rsid w:val="00B03A8E"/>
    <w:rsid w:val="00B03F74"/>
    <w:rsid w:val="00B049AF"/>
    <w:rsid w:val="00B05518"/>
    <w:rsid w:val="00B05BED"/>
    <w:rsid w:val="00B10711"/>
    <w:rsid w:val="00B11291"/>
    <w:rsid w:val="00B1141B"/>
    <w:rsid w:val="00B116F6"/>
    <w:rsid w:val="00B122C0"/>
    <w:rsid w:val="00B12F3C"/>
    <w:rsid w:val="00B13158"/>
    <w:rsid w:val="00B137FD"/>
    <w:rsid w:val="00B13F79"/>
    <w:rsid w:val="00B145BB"/>
    <w:rsid w:val="00B1599C"/>
    <w:rsid w:val="00B15FB7"/>
    <w:rsid w:val="00B1627F"/>
    <w:rsid w:val="00B16D12"/>
    <w:rsid w:val="00B16FBB"/>
    <w:rsid w:val="00B171A8"/>
    <w:rsid w:val="00B20526"/>
    <w:rsid w:val="00B20A90"/>
    <w:rsid w:val="00B21085"/>
    <w:rsid w:val="00B21389"/>
    <w:rsid w:val="00B21697"/>
    <w:rsid w:val="00B218AA"/>
    <w:rsid w:val="00B23BDB"/>
    <w:rsid w:val="00B24818"/>
    <w:rsid w:val="00B25E88"/>
    <w:rsid w:val="00B268B9"/>
    <w:rsid w:val="00B26A8C"/>
    <w:rsid w:val="00B26B3B"/>
    <w:rsid w:val="00B27391"/>
    <w:rsid w:val="00B27EFC"/>
    <w:rsid w:val="00B3036F"/>
    <w:rsid w:val="00B30534"/>
    <w:rsid w:val="00B30C19"/>
    <w:rsid w:val="00B312E6"/>
    <w:rsid w:val="00B31A3E"/>
    <w:rsid w:val="00B31B9D"/>
    <w:rsid w:val="00B3250A"/>
    <w:rsid w:val="00B331A2"/>
    <w:rsid w:val="00B34BAB"/>
    <w:rsid w:val="00B35068"/>
    <w:rsid w:val="00B3525A"/>
    <w:rsid w:val="00B35539"/>
    <w:rsid w:val="00B3715C"/>
    <w:rsid w:val="00B37331"/>
    <w:rsid w:val="00B374B7"/>
    <w:rsid w:val="00B375A4"/>
    <w:rsid w:val="00B378CD"/>
    <w:rsid w:val="00B37BB4"/>
    <w:rsid w:val="00B405A1"/>
    <w:rsid w:val="00B407DC"/>
    <w:rsid w:val="00B40B5D"/>
    <w:rsid w:val="00B41EB8"/>
    <w:rsid w:val="00B42047"/>
    <w:rsid w:val="00B421AF"/>
    <w:rsid w:val="00B42F5C"/>
    <w:rsid w:val="00B439B3"/>
    <w:rsid w:val="00B43C8D"/>
    <w:rsid w:val="00B44926"/>
    <w:rsid w:val="00B457CF"/>
    <w:rsid w:val="00B463CC"/>
    <w:rsid w:val="00B464BD"/>
    <w:rsid w:val="00B4673A"/>
    <w:rsid w:val="00B47399"/>
    <w:rsid w:val="00B501D4"/>
    <w:rsid w:val="00B508A1"/>
    <w:rsid w:val="00B50B89"/>
    <w:rsid w:val="00B518B4"/>
    <w:rsid w:val="00B51CFF"/>
    <w:rsid w:val="00B51E8A"/>
    <w:rsid w:val="00B51E90"/>
    <w:rsid w:val="00B529CC"/>
    <w:rsid w:val="00B52FBB"/>
    <w:rsid w:val="00B53147"/>
    <w:rsid w:val="00B533FF"/>
    <w:rsid w:val="00B5426C"/>
    <w:rsid w:val="00B5433E"/>
    <w:rsid w:val="00B54739"/>
    <w:rsid w:val="00B54791"/>
    <w:rsid w:val="00B548D7"/>
    <w:rsid w:val="00B548EF"/>
    <w:rsid w:val="00B5571A"/>
    <w:rsid w:val="00B557BC"/>
    <w:rsid w:val="00B560B7"/>
    <w:rsid w:val="00B56A61"/>
    <w:rsid w:val="00B575EB"/>
    <w:rsid w:val="00B57C74"/>
    <w:rsid w:val="00B57DFA"/>
    <w:rsid w:val="00B612F9"/>
    <w:rsid w:val="00B6144D"/>
    <w:rsid w:val="00B615ED"/>
    <w:rsid w:val="00B61B90"/>
    <w:rsid w:val="00B628A3"/>
    <w:rsid w:val="00B62F63"/>
    <w:rsid w:val="00B633BB"/>
    <w:rsid w:val="00B63474"/>
    <w:rsid w:val="00B640BE"/>
    <w:rsid w:val="00B64169"/>
    <w:rsid w:val="00B642DB"/>
    <w:rsid w:val="00B648A6"/>
    <w:rsid w:val="00B64A02"/>
    <w:rsid w:val="00B64DC2"/>
    <w:rsid w:val="00B65470"/>
    <w:rsid w:val="00B669AB"/>
    <w:rsid w:val="00B66AB6"/>
    <w:rsid w:val="00B672A6"/>
    <w:rsid w:val="00B67CFE"/>
    <w:rsid w:val="00B7031E"/>
    <w:rsid w:val="00B7054B"/>
    <w:rsid w:val="00B70684"/>
    <w:rsid w:val="00B706A6"/>
    <w:rsid w:val="00B707EF"/>
    <w:rsid w:val="00B70832"/>
    <w:rsid w:val="00B7245F"/>
    <w:rsid w:val="00B7268C"/>
    <w:rsid w:val="00B7285D"/>
    <w:rsid w:val="00B72DFD"/>
    <w:rsid w:val="00B73AB1"/>
    <w:rsid w:val="00B73C45"/>
    <w:rsid w:val="00B73F3C"/>
    <w:rsid w:val="00B7407A"/>
    <w:rsid w:val="00B74368"/>
    <w:rsid w:val="00B7485E"/>
    <w:rsid w:val="00B75D94"/>
    <w:rsid w:val="00B76927"/>
    <w:rsid w:val="00B76DB9"/>
    <w:rsid w:val="00B77198"/>
    <w:rsid w:val="00B772EA"/>
    <w:rsid w:val="00B777B1"/>
    <w:rsid w:val="00B80AA5"/>
    <w:rsid w:val="00B811D8"/>
    <w:rsid w:val="00B8142B"/>
    <w:rsid w:val="00B81465"/>
    <w:rsid w:val="00B81584"/>
    <w:rsid w:val="00B81FB2"/>
    <w:rsid w:val="00B8276C"/>
    <w:rsid w:val="00B82BF8"/>
    <w:rsid w:val="00B82C48"/>
    <w:rsid w:val="00B82D04"/>
    <w:rsid w:val="00B836EF"/>
    <w:rsid w:val="00B840B5"/>
    <w:rsid w:val="00B84353"/>
    <w:rsid w:val="00B851A6"/>
    <w:rsid w:val="00B856A9"/>
    <w:rsid w:val="00B85DCB"/>
    <w:rsid w:val="00B85EA4"/>
    <w:rsid w:val="00B86168"/>
    <w:rsid w:val="00B86906"/>
    <w:rsid w:val="00B875D8"/>
    <w:rsid w:val="00B8764E"/>
    <w:rsid w:val="00B87BA6"/>
    <w:rsid w:val="00B90837"/>
    <w:rsid w:val="00B90FFE"/>
    <w:rsid w:val="00B921CA"/>
    <w:rsid w:val="00B923A2"/>
    <w:rsid w:val="00B93137"/>
    <w:rsid w:val="00B93334"/>
    <w:rsid w:val="00B93904"/>
    <w:rsid w:val="00B9393D"/>
    <w:rsid w:val="00B947F8"/>
    <w:rsid w:val="00B9540A"/>
    <w:rsid w:val="00B9559B"/>
    <w:rsid w:val="00B95926"/>
    <w:rsid w:val="00B95A12"/>
    <w:rsid w:val="00B96886"/>
    <w:rsid w:val="00B97900"/>
    <w:rsid w:val="00BA0050"/>
    <w:rsid w:val="00BA0DEA"/>
    <w:rsid w:val="00BA1222"/>
    <w:rsid w:val="00BA141C"/>
    <w:rsid w:val="00BA1FE8"/>
    <w:rsid w:val="00BA22C4"/>
    <w:rsid w:val="00BA2369"/>
    <w:rsid w:val="00BA36A3"/>
    <w:rsid w:val="00BA4114"/>
    <w:rsid w:val="00BA4DBE"/>
    <w:rsid w:val="00BA56F1"/>
    <w:rsid w:val="00BA57A0"/>
    <w:rsid w:val="00BA67E9"/>
    <w:rsid w:val="00BA691A"/>
    <w:rsid w:val="00BA6DDD"/>
    <w:rsid w:val="00BA708F"/>
    <w:rsid w:val="00BA7608"/>
    <w:rsid w:val="00BA7CE6"/>
    <w:rsid w:val="00BB0370"/>
    <w:rsid w:val="00BB0787"/>
    <w:rsid w:val="00BB07BC"/>
    <w:rsid w:val="00BB2256"/>
    <w:rsid w:val="00BB3481"/>
    <w:rsid w:val="00BB3A3C"/>
    <w:rsid w:val="00BB4105"/>
    <w:rsid w:val="00BB489F"/>
    <w:rsid w:val="00BB54AD"/>
    <w:rsid w:val="00BB5D43"/>
    <w:rsid w:val="00BB6091"/>
    <w:rsid w:val="00BB6134"/>
    <w:rsid w:val="00BB693D"/>
    <w:rsid w:val="00BB6FE5"/>
    <w:rsid w:val="00BB7897"/>
    <w:rsid w:val="00BB7DAC"/>
    <w:rsid w:val="00BC0552"/>
    <w:rsid w:val="00BC0958"/>
    <w:rsid w:val="00BC131F"/>
    <w:rsid w:val="00BC17E9"/>
    <w:rsid w:val="00BC194B"/>
    <w:rsid w:val="00BC1F3B"/>
    <w:rsid w:val="00BC24AB"/>
    <w:rsid w:val="00BC2546"/>
    <w:rsid w:val="00BC2B0C"/>
    <w:rsid w:val="00BC3E3E"/>
    <w:rsid w:val="00BC4193"/>
    <w:rsid w:val="00BC54A8"/>
    <w:rsid w:val="00BC6546"/>
    <w:rsid w:val="00BC6A09"/>
    <w:rsid w:val="00BC7943"/>
    <w:rsid w:val="00BD031A"/>
    <w:rsid w:val="00BD06AF"/>
    <w:rsid w:val="00BD06D5"/>
    <w:rsid w:val="00BD0ACA"/>
    <w:rsid w:val="00BD0DD3"/>
    <w:rsid w:val="00BD2299"/>
    <w:rsid w:val="00BD27DE"/>
    <w:rsid w:val="00BD285C"/>
    <w:rsid w:val="00BD32D0"/>
    <w:rsid w:val="00BD3495"/>
    <w:rsid w:val="00BD3F8C"/>
    <w:rsid w:val="00BD3FCA"/>
    <w:rsid w:val="00BD453E"/>
    <w:rsid w:val="00BD4D64"/>
    <w:rsid w:val="00BD651F"/>
    <w:rsid w:val="00BD68BE"/>
    <w:rsid w:val="00BD766B"/>
    <w:rsid w:val="00BD78CC"/>
    <w:rsid w:val="00BE00C4"/>
    <w:rsid w:val="00BE0A92"/>
    <w:rsid w:val="00BE0B7E"/>
    <w:rsid w:val="00BE0F2C"/>
    <w:rsid w:val="00BE120E"/>
    <w:rsid w:val="00BE1387"/>
    <w:rsid w:val="00BE1EDA"/>
    <w:rsid w:val="00BE2185"/>
    <w:rsid w:val="00BE21E3"/>
    <w:rsid w:val="00BE23F1"/>
    <w:rsid w:val="00BE37D5"/>
    <w:rsid w:val="00BE405E"/>
    <w:rsid w:val="00BE42B7"/>
    <w:rsid w:val="00BE4C9E"/>
    <w:rsid w:val="00BE6671"/>
    <w:rsid w:val="00BE6963"/>
    <w:rsid w:val="00BE7080"/>
    <w:rsid w:val="00BE7BFD"/>
    <w:rsid w:val="00BF0A8F"/>
    <w:rsid w:val="00BF10CD"/>
    <w:rsid w:val="00BF1619"/>
    <w:rsid w:val="00BF1ECA"/>
    <w:rsid w:val="00BF43E5"/>
    <w:rsid w:val="00BF4B23"/>
    <w:rsid w:val="00BF4CF4"/>
    <w:rsid w:val="00BF6C21"/>
    <w:rsid w:val="00BF72A6"/>
    <w:rsid w:val="00C000E7"/>
    <w:rsid w:val="00C00E05"/>
    <w:rsid w:val="00C00E46"/>
    <w:rsid w:val="00C01173"/>
    <w:rsid w:val="00C01433"/>
    <w:rsid w:val="00C0193D"/>
    <w:rsid w:val="00C01DC1"/>
    <w:rsid w:val="00C01F8F"/>
    <w:rsid w:val="00C02104"/>
    <w:rsid w:val="00C023E5"/>
    <w:rsid w:val="00C03B35"/>
    <w:rsid w:val="00C049B5"/>
    <w:rsid w:val="00C04A12"/>
    <w:rsid w:val="00C04CB0"/>
    <w:rsid w:val="00C05829"/>
    <w:rsid w:val="00C05D13"/>
    <w:rsid w:val="00C05F31"/>
    <w:rsid w:val="00C06CEB"/>
    <w:rsid w:val="00C078E8"/>
    <w:rsid w:val="00C107D1"/>
    <w:rsid w:val="00C10818"/>
    <w:rsid w:val="00C10AEA"/>
    <w:rsid w:val="00C10CF3"/>
    <w:rsid w:val="00C1109A"/>
    <w:rsid w:val="00C11420"/>
    <w:rsid w:val="00C119EE"/>
    <w:rsid w:val="00C12E60"/>
    <w:rsid w:val="00C133CB"/>
    <w:rsid w:val="00C13ACF"/>
    <w:rsid w:val="00C1479A"/>
    <w:rsid w:val="00C149F8"/>
    <w:rsid w:val="00C1537A"/>
    <w:rsid w:val="00C16B20"/>
    <w:rsid w:val="00C170A7"/>
    <w:rsid w:val="00C17C3B"/>
    <w:rsid w:val="00C204EC"/>
    <w:rsid w:val="00C20C04"/>
    <w:rsid w:val="00C20CD7"/>
    <w:rsid w:val="00C21079"/>
    <w:rsid w:val="00C218D2"/>
    <w:rsid w:val="00C22153"/>
    <w:rsid w:val="00C22FCD"/>
    <w:rsid w:val="00C23C20"/>
    <w:rsid w:val="00C23D02"/>
    <w:rsid w:val="00C240D1"/>
    <w:rsid w:val="00C2485F"/>
    <w:rsid w:val="00C256A3"/>
    <w:rsid w:val="00C25965"/>
    <w:rsid w:val="00C260B7"/>
    <w:rsid w:val="00C2667A"/>
    <w:rsid w:val="00C26C32"/>
    <w:rsid w:val="00C26DCF"/>
    <w:rsid w:val="00C26F4C"/>
    <w:rsid w:val="00C301F6"/>
    <w:rsid w:val="00C3067C"/>
    <w:rsid w:val="00C30752"/>
    <w:rsid w:val="00C3083A"/>
    <w:rsid w:val="00C30EDD"/>
    <w:rsid w:val="00C3172E"/>
    <w:rsid w:val="00C3213B"/>
    <w:rsid w:val="00C3214C"/>
    <w:rsid w:val="00C3263B"/>
    <w:rsid w:val="00C33237"/>
    <w:rsid w:val="00C33718"/>
    <w:rsid w:val="00C34D96"/>
    <w:rsid w:val="00C352B4"/>
    <w:rsid w:val="00C3583B"/>
    <w:rsid w:val="00C363E7"/>
    <w:rsid w:val="00C36701"/>
    <w:rsid w:val="00C36D50"/>
    <w:rsid w:val="00C36DE3"/>
    <w:rsid w:val="00C372C4"/>
    <w:rsid w:val="00C40F0B"/>
    <w:rsid w:val="00C4182C"/>
    <w:rsid w:val="00C42666"/>
    <w:rsid w:val="00C42E76"/>
    <w:rsid w:val="00C43608"/>
    <w:rsid w:val="00C44F6C"/>
    <w:rsid w:val="00C453E6"/>
    <w:rsid w:val="00C45C74"/>
    <w:rsid w:val="00C46608"/>
    <w:rsid w:val="00C46FF3"/>
    <w:rsid w:val="00C500EF"/>
    <w:rsid w:val="00C509B9"/>
    <w:rsid w:val="00C52133"/>
    <w:rsid w:val="00C5254B"/>
    <w:rsid w:val="00C525F0"/>
    <w:rsid w:val="00C52F41"/>
    <w:rsid w:val="00C53248"/>
    <w:rsid w:val="00C545A5"/>
    <w:rsid w:val="00C547F8"/>
    <w:rsid w:val="00C549DF"/>
    <w:rsid w:val="00C55680"/>
    <w:rsid w:val="00C56307"/>
    <w:rsid w:val="00C5727C"/>
    <w:rsid w:val="00C6046B"/>
    <w:rsid w:val="00C61A8A"/>
    <w:rsid w:val="00C61BB3"/>
    <w:rsid w:val="00C62FAD"/>
    <w:rsid w:val="00C63357"/>
    <w:rsid w:val="00C63399"/>
    <w:rsid w:val="00C63B38"/>
    <w:rsid w:val="00C63FC0"/>
    <w:rsid w:val="00C63FDB"/>
    <w:rsid w:val="00C648AB"/>
    <w:rsid w:val="00C6491E"/>
    <w:rsid w:val="00C64CB6"/>
    <w:rsid w:val="00C6576E"/>
    <w:rsid w:val="00C65B99"/>
    <w:rsid w:val="00C665F9"/>
    <w:rsid w:val="00C66B93"/>
    <w:rsid w:val="00C67515"/>
    <w:rsid w:val="00C67722"/>
    <w:rsid w:val="00C677CA"/>
    <w:rsid w:val="00C677CF"/>
    <w:rsid w:val="00C70903"/>
    <w:rsid w:val="00C70983"/>
    <w:rsid w:val="00C70AFF"/>
    <w:rsid w:val="00C71D3A"/>
    <w:rsid w:val="00C728C8"/>
    <w:rsid w:val="00C72947"/>
    <w:rsid w:val="00C7384C"/>
    <w:rsid w:val="00C74110"/>
    <w:rsid w:val="00C74D10"/>
    <w:rsid w:val="00C7500C"/>
    <w:rsid w:val="00C75989"/>
    <w:rsid w:val="00C766C0"/>
    <w:rsid w:val="00C77303"/>
    <w:rsid w:val="00C778E3"/>
    <w:rsid w:val="00C77CF7"/>
    <w:rsid w:val="00C80830"/>
    <w:rsid w:val="00C80EC4"/>
    <w:rsid w:val="00C82269"/>
    <w:rsid w:val="00C82801"/>
    <w:rsid w:val="00C830FA"/>
    <w:rsid w:val="00C83D40"/>
    <w:rsid w:val="00C8443A"/>
    <w:rsid w:val="00C845ED"/>
    <w:rsid w:val="00C84690"/>
    <w:rsid w:val="00C847B4"/>
    <w:rsid w:val="00C84A97"/>
    <w:rsid w:val="00C85152"/>
    <w:rsid w:val="00C85E01"/>
    <w:rsid w:val="00C86957"/>
    <w:rsid w:val="00C86C0B"/>
    <w:rsid w:val="00C8745B"/>
    <w:rsid w:val="00C87D45"/>
    <w:rsid w:val="00C87EF0"/>
    <w:rsid w:val="00C9031B"/>
    <w:rsid w:val="00C90AFB"/>
    <w:rsid w:val="00C90D3F"/>
    <w:rsid w:val="00C91C14"/>
    <w:rsid w:val="00C9275A"/>
    <w:rsid w:val="00C92DDE"/>
    <w:rsid w:val="00C935E8"/>
    <w:rsid w:val="00C94AE5"/>
    <w:rsid w:val="00C94C5A"/>
    <w:rsid w:val="00C952E6"/>
    <w:rsid w:val="00C966A6"/>
    <w:rsid w:val="00C96DB7"/>
    <w:rsid w:val="00C97426"/>
    <w:rsid w:val="00C9742E"/>
    <w:rsid w:val="00C974C0"/>
    <w:rsid w:val="00CA005D"/>
    <w:rsid w:val="00CA03CA"/>
    <w:rsid w:val="00CA0429"/>
    <w:rsid w:val="00CA0635"/>
    <w:rsid w:val="00CA087A"/>
    <w:rsid w:val="00CA16F7"/>
    <w:rsid w:val="00CA2ABB"/>
    <w:rsid w:val="00CA30AB"/>
    <w:rsid w:val="00CA3280"/>
    <w:rsid w:val="00CA3718"/>
    <w:rsid w:val="00CA4DED"/>
    <w:rsid w:val="00CA4F86"/>
    <w:rsid w:val="00CA50E0"/>
    <w:rsid w:val="00CA5141"/>
    <w:rsid w:val="00CA5D28"/>
    <w:rsid w:val="00CA67C3"/>
    <w:rsid w:val="00CA6FDA"/>
    <w:rsid w:val="00CA7B4C"/>
    <w:rsid w:val="00CB05CB"/>
    <w:rsid w:val="00CB06B5"/>
    <w:rsid w:val="00CB0CEB"/>
    <w:rsid w:val="00CB0FE5"/>
    <w:rsid w:val="00CB1045"/>
    <w:rsid w:val="00CB13A7"/>
    <w:rsid w:val="00CB1572"/>
    <w:rsid w:val="00CB1B27"/>
    <w:rsid w:val="00CB206B"/>
    <w:rsid w:val="00CB21FF"/>
    <w:rsid w:val="00CB2A35"/>
    <w:rsid w:val="00CB2C7F"/>
    <w:rsid w:val="00CB3F89"/>
    <w:rsid w:val="00CB515B"/>
    <w:rsid w:val="00CB5475"/>
    <w:rsid w:val="00CB56D3"/>
    <w:rsid w:val="00CB5E52"/>
    <w:rsid w:val="00CB6259"/>
    <w:rsid w:val="00CB67E3"/>
    <w:rsid w:val="00CB7C8D"/>
    <w:rsid w:val="00CB7D3B"/>
    <w:rsid w:val="00CC04E0"/>
    <w:rsid w:val="00CC060D"/>
    <w:rsid w:val="00CC2778"/>
    <w:rsid w:val="00CC2D1F"/>
    <w:rsid w:val="00CC374D"/>
    <w:rsid w:val="00CC4033"/>
    <w:rsid w:val="00CC4463"/>
    <w:rsid w:val="00CC4496"/>
    <w:rsid w:val="00CC4544"/>
    <w:rsid w:val="00CC634E"/>
    <w:rsid w:val="00CC67E8"/>
    <w:rsid w:val="00CC6992"/>
    <w:rsid w:val="00CC6BE2"/>
    <w:rsid w:val="00CC6E9B"/>
    <w:rsid w:val="00CC7280"/>
    <w:rsid w:val="00CC7348"/>
    <w:rsid w:val="00CC793C"/>
    <w:rsid w:val="00CC7B95"/>
    <w:rsid w:val="00CD2309"/>
    <w:rsid w:val="00CD2F89"/>
    <w:rsid w:val="00CD3034"/>
    <w:rsid w:val="00CD334A"/>
    <w:rsid w:val="00CD428F"/>
    <w:rsid w:val="00CD5227"/>
    <w:rsid w:val="00CD560D"/>
    <w:rsid w:val="00CD7D69"/>
    <w:rsid w:val="00CD7F32"/>
    <w:rsid w:val="00CE0171"/>
    <w:rsid w:val="00CE0866"/>
    <w:rsid w:val="00CE0B0B"/>
    <w:rsid w:val="00CE0B3C"/>
    <w:rsid w:val="00CE1EDA"/>
    <w:rsid w:val="00CE20B3"/>
    <w:rsid w:val="00CE24EE"/>
    <w:rsid w:val="00CE24EF"/>
    <w:rsid w:val="00CE3489"/>
    <w:rsid w:val="00CE39A9"/>
    <w:rsid w:val="00CE3E8F"/>
    <w:rsid w:val="00CE4B48"/>
    <w:rsid w:val="00CE575F"/>
    <w:rsid w:val="00CE5F58"/>
    <w:rsid w:val="00CE67E7"/>
    <w:rsid w:val="00CE6835"/>
    <w:rsid w:val="00CE7F26"/>
    <w:rsid w:val="00CF0571"/>
    <w:rsid w:val="00CF08AA"/>
    <w:rsid w:val="00CF0AFC"/>
    <w:rsid w:val="00CF14F2"/>
    <w:rsid w:val="00CF170C"/>
    <w:rsid w:val="00CF1C2E"/>
    <w:rsid w:val="00CF20D1"/>
    <w:rsid w:val="00CF2A24"/>
    <w:rsid w:val="00CF497C"/>
    <w:rsid w:val="00CF4CB1"/>
    <w:rsid w:val="00CF552D"/>
    <w:rsid w:val="00CF5B96"/>
    <w:rsid w:val="00CF63C8"/>
    <w:rsid w:val="00CF673A"/>
    <w:rsid w:val="00CF6BDC"/>
    <w:rsid w:val="00D021F9"/>
    <w:rsid w:val="00D0279C"/>
    <w:rsid w:val="00D02CF1"/>
    <w:rsid w:val="00D03887"/>
    <w:rsid w:val="00D03A5F"/>
    <w:rsid w:val="00D0438C"/>
    <w:rsid w:val="00D057FC"/>
    <w:rsid w:val="00D058D1"/>
    <w:rsid w:val="00D065AF"/>
    <w:rsid w:val="00D068AD"/>
    <w:rsid w:val="00D06B70"/>
    <w:rsid w:val="00D06C30"/>
    <w:rsid w:val="00D075FC"/>
    <w:rsid w:val="00D07800"/>
    <w:rsid w:val="00D10F4A"/>
    <w:rsid w:val="00D11570"/>
    <w:rsid w:val="00D11BFC"/>
    <w:rsid w:val="00D12544"/>
    <w:rsid w:val="00D13489"/>
    <w:rsid w:val="00D14DD0"/>
    <w:rsid w:val="00D15065"/>
    <w:rsid w:val="00D155DB"/>
    <w:rsid w:val="00D1570D"/>
    <w:rsid w:val="00D15B57"/>
    <w:rsid w:val="00D16580"/>
    <w:rsid w:val="00D16689"/>
    <w:rsid w:val="00D16ABE"/>
    <w:rsid w:val="00D1708E"/>
    <w:rsid w:val="00D17252"/>
    <w:rsid w:val="00D17668"/>
    <w:rsid w:val="00D1771A"/>
    <w:rsid w:val="00D17C8A"/>
    <w:rsid w:val="00D2029D"/>
    <w:rsid w:val="00D203A0"/>
    <w:rsid w:val="00D206E8"/>
    <w:rsid w:val="00D21E21"/>
    <w:rsid w:val="00D22C98"/>
    <w:rsid w:val="00D22FAB"/>
    <w:rsid w:val="00D2368D"/>
    <w:rsid w:val="00D23C3D"/>
    <w:rsid w:val="00D23CCF"/>
    <w:rsid w:val="00D241E0"/>
    <w:rsid w:val="00D2448D"/>
    <w:rsid w:val="00D24AFF"/>
    <w:rsid w:val="00D24CDC"/>
    <w:rsid w:val="00D25529"/>
    <w:rsid w:val="00D26379"/>
    <w:rsid w:val="00D26B91"/>
    <w:rsid w:val="00D27071"/>
    <w:rsid w:val="00D27901"/>
    <w:rsid w:val="00D301A8"/>
    <w:rsid w:val="00D30595"/>
    <w:rsid w:val="00D30D4B"/>
    <w:rsid w:val="00D31628"/>
    <w:rsid w:val="00D31ADB"/>
    <w:rsid w:val="00D31F8D"/>
    <w:rsid w:val="00D32499"/>
    <w:rsid w:val="00D32A13"/>
    <w:rsid w:val="00D3323A"/>
    <w:rsid w:val="00D338C5"/>
    <w:rsid w:val="00D34195"/>
    <w:rsid w:val="00D352C9"/>
    <w:rsid w:val="00D37380"/>
    <w:rsid w:val="00D375F8"/>
    <w:rsid w:val="00D3773F"/>
    <w:rsid w:val="00D37F23"/>
    <w:rsid w:val="00D40493"/>
    <w:rsid w:val="00D4067A"/>
    <w:rsid w:val="00D407E0"/>
    <w:rsid w:val="00D41AF4"/>
    <w:rsid w:val="00D422D9"/>
    <w:rsid w:val="00D4246F"/>
    <w:rsid w:val="00D42A64"/>
    <w:rsid w:val="00D42A87"/>
    <w:rsid w:val="00D435BB"/>
    <w:rsid w:val="00D4369D"/>
    <w:rsid w:val="00D43B1E"/>
    <w:rsid w:val="00D440A9"/>
    <w:rsid w:val="00D46823"/>
    <w:rsid w:val="00D469E7"/>
    <w:rsid w:val="00D46DCF"/>
    <w:rsid w:val="00D510E9"/>
    <w:rsid w:val="00D512F5"/>
    <w:rsid w:val="00D516EF"/>
    <w:rsid w:val="00D51AC8"/>
    <w:rsid w:val="00D51D15"/>
    <w:rsid w:val="00D51F28"/>
    <w:rsid w:val="00D52A21"/>
    <w:rsid w:val="00D536A5"/>
    <w:rsid w:val="00D5387F"/>
    <w:rsid w:val="00D54253"/>
    <w:rsid w:val="00D54B3B"/>
    <w:rsid w:val="00D57317"/>
    <w:rsid w:val="00D57577"/>
    <w:rsid w:val="00D57A96"/>
    <w:rsid w:val="00D57CB1"/>
    <w:rsid w:val="00D57D25"/>
    <w:rsid w:val="00D6086F"/>
    <w:rsid w:val="00D6101F"/>
    <w:rsid w:val="00D61A9A"/>
    <w:rsid w:val="00D61F2B"/>
    <w:rsid w:val="00D62A19"/>
    <w:rsid w:val="00D62DC6"/>
    <w:rsid w:val="00D62EFF"/>
    <w:rsid w:val="00D6312E"/>
    <w:rsid w:val="00D63483"/>
    <w:rsid w:val="00D6435F"/>
    <w:rsid w:val="00D64B18"/>
    <w:rsid w:val="00D64D61"/>
    <w:rsid w:val="00D663A3"/>
    <w:rsid w:val="00D6647D"/>
    <w:rsid w:val="00D666BA"/>
    <w:rsid w:val="00D674D9"/>
    <w:rsid w:val="00D704E9"/>
    <w:rsid w:val="00D70740"/>
    <w:rsid w:val="00D70B6B"/>
    <w:rsid w:val="00D71014"/>
    <w:rsid w:val="00D727AE"/>
    <w:rsid w:val="00D7289F"/>
    <w:rsid w:val="00D72B52"/>
    <w:rsid w:val="00D7311B"/>
    <w:rsid w:val="00D73252"/>
    <w:rsid w:val="00D7428B"/>
    <w:rsid w:val="00D74486"/>
    <w:rsid w:val="00D75284"/>
    <w:rsid w:val="00D754CB"/>
    <w:rsid w:val="00D76B39"/>
    <w:rsid w:val="00D76F79"/>
    <w:rsid w:val="00D772F5"/>
    <w:rsid w:val="00D77AF7"/>
    <w:rsid w:val="00D806E2"/>
    <w:rsid w:val="00D80AB3"/>
    <w:rsid w:val="00D80C0C"/>
    <w:rsid w:val="00D81087"/>
    <w:rsid w:val="00D8193C"/>
    <w:rsid w:val="00D81F75"/>
    <w:rsid w:val="00D820D5"/>
    <w:rsid w:val="00D8265F"/>
    <w:rsid w:val="00D8373B"/>
    <w:rsid w:val="00D8435A"/>
    <w:rsid w:val="00D859F1"/>
    <w:rsid w:val="00D85AE6"/>
    <w:rsid w:val="00D85B0C"/>
    <w:rsid w:val="00D86309"/>
    <w:rsid w:val="00D8673F"/>
    <w:rsid w:val="00D86F81"/>
    <w:rsid w:val="00D876B5"/>
    <w:rsid w:val="00D87901"/>
    <w:rsid w:val="00D9041D"/>
    <w:rsid w:val="00D912EC"/>
    <w:rsid w:val="00D91B84"/>
    <w:rsid w:val="00D9223F"/>
    <w:rsid w:val="00D922C7"/>
    <w:rsid w:val="00D928C3"/>
    <w:rsid w:val="00D92BBB"/>
    <w:rsid w:val="00D93A7D"/>
    <w:rsid w:val="00D94F3B"/>
    <w:rsid w:val="00D94FCC"/>
    <w:rsid w:val="00D95B36"/>
    <w:rsid w:val="00D96278"/>
    <w:rsid w:val="00D96DE7"/>
    <w:rsid w:val="00DA015C"/>
    <w:rsid w:val="00DA035A"/>
    <w:rsid w:val="00DA0DC9"/>
    <w:rsid w:val="00DA0EB2"/>
    <w:rsid w:val="00DA1B28"/>
    <w:rsid w:val="00DA1BDA"/>
    <w:rsid w:val="00DA1CF2"/>
    <w:rsid w:val="00DA1D60"/>
    <w:rsid w:val="00DA3C48"/>
    <w:rsid w:val="00DA3CA4"/>
    <w:rsid w:val="00DA3E63"/>
    <w:rsid w:val="00DA51FE"/>
    <w:rsid w:val="00DA542D"/>
    <w:rsid w:val="00DA579D"/>
    <w:rsid w:val="00DA5D2D"/>
    <w:rsid w:val="00DA601B"/>
    <w:rsid w:val="00DA75EC"/>
    <w:rsid w:val="00DB18FB"/>
    <w:rsid w:val="00DB1EDE"/>
    <w:rsid w:val="00DB3117"/>
    <w:rsid w:val="00DB32FE"/>
    <w:rsid w:val="00DB351F"/>
    <w:rsid w:val="00DB3768"/>
    <w:rsid w:val="00DB5E51"/>
    <w:rsid w:val="00DB5F0E"/>
    <w:rsid w:val="00DB6D9B"/>
    <w:rsid w:val="00DB75F9"/>
    <w:rsid w:val="00DB764B"/>
    <w:rsid w:val="00DC048F"/>
    <w:rsid w:val="00DC0AF4"/>
    <w:rsid w:val="00DC12F6"/>
    <w:rsid w:val="00DC17FA"/>
    <w:rsid w:val="00DC2265"/>
    <w:rsid w:val="00DC254E"/>
    <w:rsid w:val="00DC28DF"/>
    <w:rsid w:val="00DC33AB"/>
    <w:rsid w:val="00DC44F2"/>
    <w:rsid w:val="00DC4EC6"/>
    <w:rsid w:val="00DC5446"/>
    <w:rsid w:val="00DC5571"/>
    <w:rsid w:val="00DC7081"/>
    <w:rsid w:val="00DC74BE"/>
    <w:rsid w:val="00DD09D1"/>
    <w:rsid w:val="00DD0C18"/>
    <w:rsid w:val="00DD0E3F"/>
    <w:rsid w:val="00DD1079"/>
    <w:rsid w:val="00DD1462"/>
    <w:rsid w:val="00DD1A4A"/>
    <w:rsid w:val="00DD1EAB"/>
    <w:rsid w:val="00DD20B1"/>
    <w:rsid w:val="00DD2271"/>
    <w:rsid w:val="00DD2C21"/>
    <w:rsid w:val="00DD3436"/>
    <w:rsid w:val="00DD44EB"/>
    <w:rsid w:val="00DD4B7B"/>
    <w:rsid w:val="00DD4E84"/>
    <w:rsid w:val="00DD4F55"/>
    <w:rsid w:val="00DD5098"/>
    <w:rsid w:val="00DD5245"/>
    <w:rsid w:val="00DD5AA4"/>
    <w:rsid w:val="00DD78A8"/>
    <w:rsid w:val="00DE0328"/>
    <w:rsid w:val="00DE09C3"/>
    <w:rsid w:val="00DE0F0F"/>
    <w:rsid w:val="00DE1896"/>
    <w:rsid w:val="00DE1A40"/>
    <w:rsid w:val="00DE1A62"/>
    <w:rsid w:val="00DE2444"/>
    <w:rsid w:val="00DE24DD"/>
    <w:rsid w:val="00DE3123"/>
    <w:rsid w:val="00DE360E"/>
    <w:rsid w:val="00DE3863"/>
    <w:rsid w:val="00DE3D52"/>
    <w:rsid w:val="00DE4ED1"/>
    <w:rsid w:val="00DE5910"/>
    <w:rsid w:val="00DE592C"/>
    <w:rsid w:val="00DE5B27"/>
    <w:rsid w:val="00DF094B"/>
    <w:rsid w:val="00DF0C68"/>
    <w:rsid w:val="00DF0DF6"/>
    <w:rsid w:val="00DF0E21"/>
    <w:rsid w:val="00DF149E"/>
    <w:rsid w:val="00DF1AFE"/>
    <w:rsid w:val="00DF1E33"/>
    <w:rsid w:val="00DF25B6"/>
    <w:rsid w:val="00DF2A3B"/>
    <w:rsid w:val="00DF2E11"/>
    <w:rsid w:val="00DF305A"/>
    <w:rsid w:val="00DF32B7"/>
    <w:rsid w:val="00DF3652"/>
    <w:rsid w:val="00DF3DB7"/>
    <w:rsid w:val="00DF459E"/>
    <w:rsid w:val="00DF4B09"/>
    <w:rsid w:val="00DF4CEF"/>
    <w:rsid w:val="00DF57C8"/>
    <w:rsid w:val="00DF60E3"/>
    <w:rsid w:val="00DF7008"/>
    <w:rsid w:val="00DF7175"/>
    <w:rsid w:val="00DF7DB7"/>
    <w:rsid w:val="00E002CA"/>
    <w:rsid w:val="00E00445"/>
    <w:rsid w:val="00E006B6"/>
    <w:rsid w:val="00E00DC4"/>
    <w:rsid w:val="00E0111D"/>
    <w:rsid w:val="00E01BBF"/>
    <w:rsid w:val="00E02166"/>
    <w:rsid w:val="00E021F9"/>
    <w:rsid w:val="00E026D5"/>
    <w:rsid w:val="00E02FA4"/>
    <w:rsid w:val="00E046B5"/>
    <w:rsid w:val="00E0500B"/>
    <w:rsid w:val="00E051B7"/>
    <w:rsid w:val="00E05455"/>
    <w:rsid w:val="00E05663"/>
    <w:rsid w:val="00E05721"/>
    <w:rsid w:val="00E0649A"/>
    <w:rsid w:val="00E06F55"/>
    <w:rsid w:val="00E071E0"/>
    <w:rsid w:val="00E073B6"/>
    <w:rsid w:val="00E073DB"/>
    <w:rsid w:val="00E0766E"/>
    <w:rsid w:val="00E07D3A"/>
    <w:rsid w:val="00E07FF6"/>
    <w:rsid w:val="00E108F6"/>
    <w:rsid w:val="00E10D9D"/>
    <w:rsid w:val="00E1109D"/>
    <w:rsid w:val="00E1131C"/>
    <w:rsid w:val="00E1266D"/>
    <w:rsid w:val="00E127B2"/>
    <w:rsid w:val="00E13593"/>
    <w:rsid w:val="00E13857"/>
    <w:rsid w:val="00E13CE1"/>
    <w:rsid w:val="00E14254"/>
    <w:rsid w:val="00E14330"/>
    <w:rsid w:val="00E15107"/>
    <w:rsid w:val="00E159F2"/>
    <w:rsid w:val="00E15B1F"/>
    <w:rsid w:val="00E16121"/>
    <w:rsid w:val="00E17D60"/>
    <w:rsid w:val="00E20530"/>
    <w:rsid w:val="00E20AA2"/>
    <w:rsid w:val="00E2155F"/>
    <w:rsid w:val="00E219D3"/>
    <w:rsid w:val="00E21CD6"/>
    <w:rsid w:val="00E22297"/>
    <w:rsid w:val="00E22918"/>
    <w:rsid w:val="00E22AA2"/>
    <w:rsid w:val="00E232FB"/>
    <w:rsid w:val="00E23C06"/>
    <w:rsid w:val="00E240E4"/>
    <w:rsid w:val="00E245A7"/>
    <w:rsid w:val="00E24658"/>
    <w:rsid w:val="00E247B7"/>
    <w:rsid w:val="00E264E2"/>
    <w:rsid w:val="00E26DA3"/>
    <w:rsid w:val="00E26DEB"/>
    <w:rsid w:val="00E2764A"/>
    <w:rsid w:val="00E305B9"/>
    <w:rsid w:val="00E30A75"/>
    <w:rsid w:val="00E31192"/>
    <w:rsid w:val="00E31366"/>
    <w:rsid w:val="00E31B14"/>
    <w:rsid w:val="00E31BA8"/>
    <w:rsid w:val="00E321AD"/>
    <w:rsid w:val="00E329EB"/>
    <w:rsid w:val="00E32D00"/>
    <w:rsid w:val="00E32F06"/>
    <w:rsid w:val="00E34064"/>
    <w:rsid w:val="00E344B4"/>
    <w:rsid w:val="00E3489D"/>
    <w:rsid w:val="00E34E6D"/>
    <w:rsid w:val="00E352B7"/>
    <w:rsid w:val="00E352E4"/>
    <w:rsid w:val="00E35FF3"/>
    <w:rsid w:val="00E36EF3"/>
    <w:rsid w:val="00E37052"/>
    <w:rsid w:val="00E3729F"/>
    <w:rsid w:val="00E37335"/>
    <w:rsid w:val="00E37B9A"/>
    <w:rsid w:val="00E4116F"/>
    <w:rsid w:val="00E41E29"/>
    <w:rsid w:val="00E424BF"/>
    <w:rsid w:val="00E43426"/>
    <w:rsid w:val="00E43725"/>
    <w:rsid w:val="00E439CA"/>
    <w:rsid w:val="00E44229"/>
    <w:rsid w:val="00E4509D"/>
    <w:rsid w:val="00E45418"/>
    <w:rsid w:val="00E46620"/>
    <w:rsid w:val="00E4733A"/>
    <w:rsid w:val="00E4745B"/>
    <w:rsid w:val="00E47CC4"/>
    <w:rsid w:val="00E515B0"/>
    <w:rsid w:val="00E525F8"/>
    <w:rsid w:val="00E52E92"/>
    <w:rsid w:val="00E54627"/>
    <w:rsid w:val="00E55A1B"/>
    <w:rsid w:val="00E56706"/>
    <w:rsid w:val="00E5709C"/>
    <w:rsid w:val="00E575F8"/>
    <w:rsid w:val="00E57997"/>
    <w:rsid w:val="00E57C15"/>
    <w:rsid w:val="00E57D52"/>
    <w:rsid w:val="00E6078C"/>
    <w:rsid w:val="00E60C28"/>
    <w:rsid w:val="00E60CB7"/>
    <w:rsid w:val="00E61710"/>
    <w:rsid w:val="00E61B48"/>
    <w:rsid w:val="00E62300"/>
    <w:rsid w:val="00E624EE"/>
    <w:rsid w:val="00E62512"/>
    <w:rsid w:val="00E6333F"/>
    <w:rsid w:val="00E63347"/>
    <w:rsid w:val="00E63372"/>
    <w:rsid w:val="00E637CE"/>
    <w:rsid w:val="00E63EC2"/>
    <w:rsid w:val="00E6594D"/>
    <w:rsid w:val="00E669AA"/>
    <w:rsid w:val="00E67280"/>
    <w:rsid w:val="00E675A8"/>
    <w:rsid w:val="00E7093D"/>
    <w:rsid w:val="00E70BE9"/>
    <w:rsid w:val="00E70D63"/>
    <w:rsid w:val="00E724D7"/>
    <w:rsid w:val="00E729BA"/>
    <w:rsid w:val="00E731CE"/>
    <w:rsid w:val="00E73391"/>
    <w:rsid w:val="00E7411D"/>
    <w:rsid w:val="00E75484"/>
    <w:rsid w:val="00E75D37"/>
    <w:rsid w:val="00E7615A"/>
    <w:rsid w:val="00E7620A"/>
    <w:rsid w:val="00E7633F"/>
    <w:rsid w:val="00E76A9C"/>
    <w:rsid w:val="00E77335"/>
    <w:rsid w:val="00E77856"/>
    <w:rsid w:val="00E779C1"/>
    <w:rsid w:val="00E810FE"/>
    <w:rsid w:val="00E812DA"/>
    <w:rsid w:val="00E81C00"/>
    <w:rsid w:val="00E82D19"/>
    <w:rsid w:val="00E82FE0"/>
    <w:rsid w:val="00E831CB"/>
    <w:rsid w:val="00E832D4"/>
    <w:rsid w:val="00E83B06"/>
    <w:rsid w:val="00E84D8B"/>
    <w:rsid w:val="00E84E8E"/>
    <w:rsid w:val="00E852D6"/>
    <w:rsid w:val="00E85C2C"/>
    <w:rsid w:val="00E85F6D"/>
    <w:rsid w:val="00E85FF4"/>
    <w:rsid w:val="00E86141"/>
    <w:rsid w:val="00E861FF"/>
    <w:rsid w:val="00E868B3"/>
    <w:rsid w:val="00E8704A"/>
    <w:rsid w:val="00E872B0"/>
    <w:rsid w:val="00E878F4"/>
    <w:rsid w:val="00E8799F"/>
    <w:rsid w:val="00E87ABE"/>
    <w:rsid w:val="00E87F1B"/>
    <w:rsid w:val="00E87F9F"/>
    <w:rsid w:val="00E87FCA"/>
    <w:rsid w:val="00E900B6"/>
    <w:rsid w:val="00E9035D"/>
    <w:rsid w:val="00E90AA6"/>
    <w:rsid w:val="00E90BC6"/>
    <w:rsid w:val="00E90D2B"/>
    <w:rsid w:val="00E90EBE"/>
    <w:rsid w:val="00E91278"/>
    <w:rsid w:val="00E91444"/>
    <w:rsid w:val="00E92C66"/>
    <w:rsid w:val="00E9535F"/>
    <w:rsid w:val="00E9560A"/>
    <w:rsid w:val="00E95D17"/>
    <w:rsid w:val="00E95DF2"/>
    <w:rsid w:val="00E96AFF"/>
    <w:rsid w:val="00E96B9C"/>
    <w:rsid w:val="00E96C57"/>
    <w:rsid w:val="00E96D84"/>
    <w:rsid w:val="00E97456"/>
    <w:rsid w:val="00E97699"/>
    <w:rsid w:val="00EA03E6"/>
    <w:rsid w:val="00EA08ED"/>
    <w:rsid w:val="00EA0BF7"/>
    <w:rsid w:val="00EA0CF5"/>
    <w:rsid w:val="00EA1343"/>
    <w:rsid w:val="00EA1C09"/>
    <w:rsid w:val="00EA1C5D"/>
    <w:rsid w:val="00EA1DC4"/>
    <w:rsid w:val="00EA24DE"/>
    <w:rsid w:val="00EA2957"/>
    <w:rsid w:val="00EA31D5"/>
    <w:rsid w:val="00EA397E"/>
    <w:rsid w:val="00EA4567"/>
    <w:rsid w:val="00EA48F2"/>
    <w:rsid w:val="00EA4CF7"/>
    <w:rsid w:val="00EA4F63"/>
    <w:rsid w:val="00EA5E22"/>
    <w:rsid w:val="00EA5FC4"/>
    <w:rsid w:val="00EA6729"/>
    <w:rsid w:val="00EB01EC"/>
    <w:rsid w:val="00EB1195"/>
    <w:rsid w:val="00EB1516"/>
    <w:rsid w:val="00EB155D"/>
    <w:rsid w:val="00EB173F"/>
    <w:rsid w:val="00EB1742"/>
    <w:rsid w:val="00EB1888"/>
    <w:rsid w:val="00EB26E1"/>
    <w:rsid w:val="00EB29C3"/>
    <w:rsid w:val="00EB39A0"/>
    <w:rsid w:val="00EB3BAA"/>
    <w:rsid w:val="00EB4140"/>
    <w:rsid w:val="00EB475E"/>
    <w:rsid w:val="00EB5542"/>
    <w:rsid w:val="00EB58D5"/>
    <w:rsid w:val="00EB5DE1"/>
    <w:rsid w:val="00EB5DFD"/>
    <w:rsid w:val="00EB6867"/>
    <w:rsid w:val="00EB6B8B"/>
    <w:rsid w:val="00EB6E06"/>
    <w:rsid w:val="00EB74D0"/>
    <w:rsid w:val="00EB7733"/>
    <w:rsid w:val="00EB7911"/>
    <w:rsid w:val="00EC008F"/>
    <w:rsid w:val="00EC11EC"/>
    <w:rsid w:val="00EC192E"/>
    <w:rsid w:val="00EC3350"/>
    <w:rsid w:val="00EC4DCF"/>
    <w:rsid w:val="00EC5606"/>
    <w:rsid w:val="00EC5626"/>
    <w:rsid w:val="00EC568D"/>
    <w:rsid w:val="00EC612A"/>
    <w:rsid w:val="00EC6519"/>
    <w:rsid w:val="00EC689A"/>
    <w:rsid w:val="00EC6AE7"/>
    <w:rsid w:val="00EC6FED"/>
    <w:rsid w:val="00ED0631"/>
    <w:rsid w:val="00ED0E68"/>
    <w:rsid w:val="00ED1B9A"/>
    <w:rsid w:val="00ED22BB"/>
    <w:rsid w:val="00ED25E6"/>
    <w:rsid w:val="00ED28A1"/>
    <w:rsid w:val="00ED3387"/>
    <w:rsid w:val="00ED3D39"/>
    <w:rsid w:val="00ED3DFD"/>
    <w:rsid w:val="00ED41A3"/>
    <w:rsid w:val="00ED54BE"/>
    <w:rsid w:val="00ED6209"/>
    <w:rsid w:val="00ED62EA"/>
    <w:rsid w:val="00ED635A"/>
    <w:rsid w:val="00ED6587"/>
    <w:rsid w:val="00ED6DEB"/>
    <w:rsid w:val="00ED7CE8"/>
    <w:rsid w:val="00EE03F4"/>
    <w:rsid w:val="00EE0E90"/>
    <w:rsid w:val="00EE12FA"/>
    <w:rsid w:val="00EE265A"/>
    <w:rsid w:val="00EE28B3"/>
    <w:rsid w:val="00EE2AE8"/>
    <w:rsid w:val="00EE3823"/>
    <w:rsid w:val="00EE3C2B"/>
    <w:rsid w:val="00EE3C49"/>
    <w:rsid w:val="00EE44EC"/>
    <w:rsid w:val="00EE5FBE"/>
    <w:rsid w:val="00EE6082"/>
    <w:rsid w:val="00EE67CF"/>
    <w:rsid w:val="00EE69B0"/>
    <w:rsid w:val="00EE6A4E"/>
    <w:rsid w:val="00EF03E9"/>
    <w:rsid w:val="00EF21A5"/>
    <w:rsid w:val="00EF2495"/>
    <w:rsid w:val="00EF261E"/>
    <w:rsid w:val="00EF30D8"/>
    <w:rsid w:val="00EF3141"/>
    <w:rsid w:val="00EF3FC6"/>
    <w:rsid w:val="00EF40AA"/>
    <w:rsid w:val="00EF466F"/>
    <w:rsid w:val="00EF4849"/>
    <w:rsid w:val="00EF4D98"/>
    <w:rsid w:val="00EF4EA6"/>
    <w:rsid w:val="00EF4F62"/>
    <w:rsid w:val="00EF5302"/>
    <w:rsid w:val="00EF59CB"/>
    <w:rsid w:val="00EF5EF6"/>
    <w:rsid w:val="00EF5FBB"/>
    <w:rsid w:val="00EF66D0"/>
    <w:rsid w:val="00EF70B4"/>
    <w:rsid w:val="00EF7235"/>
    <w:rsid w:val="00EF7AE2"/>
    <w:rsid w:val="00F002FE"/>
    <w:rsid w:val="00F004B2"/>
    <w:rsid w:val="00F00607"/>
    <w:rsid w:val="00F009E4"/>
    <w:rsid w:val="00F00A6D"/>
    <w:rsid w:val="00F0180F"/>
    <w:rsid w:val="00F01B0F"/>
    <w:rsid w:val="00F01D5D"/>
    <w:rsid w:val="00F0232B"/>
    <w:rsid w:val="00F024D2"/>
    <w:rsid w:val="00F02A67"/>
    <w:rsid w:val="00F02F44"/>
    <w:rsid w:val="00F03217"/>
    <w:rsid w:val="00F03798"/>
    <w:rsid w:val="00F0382F"/>
    <w:rsid w:val="00F03FA9"/>
    <w:rsid w:val="00F043A1"/>
    <w:rsid w:val="00F049DE"/>
    <w:rsid w:val="00F04FF1"/>
    <w:rsid w:val="00F0559E"/>
    <w:rsid w:val="00F05D20"/>
    <w:rsid w:val="00F06619"/>
    <w:rsid w:val="00F06CD9"/>
    <w:rsid w:val="00F0777B"/>
    <w:rsid w:val="00F10278"/>
    <w:rsid w:val="00F109D1"/>
    <w:rsid w:val="00F10E82"/>
    <w:rsid w:val="00F1137E"/>
    <w:rsid w:val="00F11384"/>
    <w:rsid w:val="00F11ACA"/>
    <w:rsid w:val="00F11AFB"/>
    <w:rsid w:val="00F11F5D"/>
    <w:rsid w:val="00F12132"/>
    <w:rsid w:val="00F12E9F"/>
    <w:rsid w:val="00F13351"/>
    <w:rsid w:val="00F13B31"/>
    <w:rsid w:val="00F145AE"/>
    <w:rsid w:val="00F15338"/>
    <w:rsid w:val="00F16041"/>
    <w:rsid w:val="00F171DD"/>
    <w:rsid w:val="00F17267"/>
    <w:rsid w:val="00F17710"/>
    <w:rsid w:val="00F17F1D"/>
    <w:rsid w:val="00F17F58"/>
    <w:rsid w:val="00F20292"/>
    <w:rsid w:val="00F20915"/>
    <w:rsid w:val="00F21D2E"/>
    <w:rsid w:val="00F221E0"/>
    <w:rsid w:val="00F22A1D"/>
    <w:rsid w:val="00F22FFF"/>
    <w:rsid w:val="00F234EC"/>
    <w:rsid w:val="00F235FF"/>
    <w:rsid w:val="00F23CA9"/>
    <w:rsid w:val="00F23D6A"/>
    <w:rsid w:val="00F2402E"/>
    <w:rsid w:val="00F25113"/>
    <w:rsid w:val="00F25548"/>
    <w:rsid w:val="00F258E2"/>
    <w:rsid w:val="00F25A16"/>
    <w:rsid w:val="00F25D52"/>
    <w:rsid w:val="00F276EF"/>
    <w:rsid w:val="00F27A53"/>
    <w:rsid w:val="00F27B5D"/>
    <w:rsid w:val="00F3007E"/>
    <w:rsid w:val="00F3201E"/>
    <w:rsid w:val="00F320AD"/>
    <w:rsid w:val="00F32190"/>
    <w:rsid w:val="00F32401"/>
    <w:rsid w:val="00F328F5"/>
    <w:rsid w:val="00F33313"/>
    <w:rsid w:val="00F33953"/>
    <w:rsid w:val="00F34D53"/>
    <w:rsid w:val="00F3527B"/>
    <w:rsid w:val="00F35AB7"/>
    <w:rsid w:val="00F36013"/>
    <w:rsid w:val="00F3603E"/>
    <w:rsid w:val="00F3712B"/>
    <w:rsid w:val="00F37705"/>
    <w:rsid w:val="00F401E4"/>
    <w:rsid w:val="00F40A2C"/>
    <w:rsid w:val="00F41EDB"/>
    <w:rsid w:val="00F426FC"/>
    <w:rsid w:val="00F43257"/>
    <w:rsid w:val="00F444DD"/>
    <w:rsid w:val="00F44D15"/>
    <w:rsid w:val="00F44FF4"/>
    <w:rsid w:val="00F4611C"/>
    <w:rsid w:val="00F46272"/>
    <w:rsid w:val="00F47B6E"/>
    <w:rsid w:val="00F47DC8"/>
    <w:rsid w:val="00F50C76"/>
    <w:rsid w:val="00F51397"/>
    <w:rsid w:val="00F51B92"/>
    <w:rsid w:val="00F52D6A"/>
    <w:rsid w:val="00F543E0"/>
    <w:rsid w:val="00F5487C"/>
    <w:rsid w:val="00F55145"/>
    <w:rsid w:val="00F55E2F"/>
    <w:rsid w:val="00F57223"/>
    <w:rsid w:val="00F577B9"/>
    <w:rsid w:val="00F57CB6"/>
    <w:rsid w:val="00F6032A"/>
    <w:rsid w:val="00F60540"/>
    <w:rsid w:val="00F60A5E"/>
    <w:rsid w:val="00F61009"/>
    <w:rsid w:val="00F61886"/>
    <w:rsid w:val="00F61A57"/>
    <w:rsid w:val="00F61D14"/>
    <w:rsid w:val="00F62223"/>
    <w:rsid w:val="00F62E6C"/>
    <w:rsid w:val="00F62FA5"/>
    <w:rsid w:val="00F6322F"/>
    <w:rsid w:val="00F63281"/>
    <w:rsid w:val="00F63613"/>
    <w:rsid w:val="00F642F0"/>
    <w:rsid w:val="00F649A5"/>
    <w:rsid w:val="00F6521B"/>
    <w:rsid w:val="00F652C0"/>
    <w:rsid w:val="00F65CDA"/>
    <w:rsid w:val="00F65DD7"/>
    <w:rsid w:val="00F66619"/>
    <w:rsid w:val="00F67E8E"/>
    <w:rsid w:val="00F7118B"/>
    <w:rsid w:val="00F71209"/>
    <w:rsid w:val="00F71357"/>
    <w:rsid w:val="00F717D1"/>
    <w:rsid w:val="00F71FA3"/>
    <w:rsid w:val="00F7240B"/>
    <w:rsid w:val="00F72D9D"/>
    <w:rsid w:val="00F72F31"/>
    <w:rsid w:val="00F72F32"/>
    <w:rsid w:val="00F73545"/>
    <w:rsid w:val="00F73F32"/>
    <w:rsid w:val="00F74D40"/>
    <w:rsid w:val="00F74F6C"/>
    <w:rsid w:val="00F75404"/>
    <w:rsid w:val="00F7660F"/>
    <w:rsid w:val="00F76729"/>
    <w:rsid w:val="00F769E6"/>
    <w:rsid w:val="00F77945"/>
    <w:rsid w:val="00F80603"/>
    <w:rsid w:val="00F80E56"/>
    <w:rsid w:val="00F81F1A"/>
    <w:rsid w:val="00F83951"/>
    <w:rsid w:val="00F83DDC"/>
    <w:rsid w:val="00F84349"/>
    <w:rsid w:val="00F84E3C"/>
    <w:rsid w:val="00F85667"/>
    <w:rsid w:val="00F860A4"/>
    <w:rsid w:val="00F86218"/>
    <w:rsid w:val="00F8741F"/>
    <w:rsid w:val="00F90ADC"/>
    <w:rsid w:val="00F91D38"/>
    <w:rsid w:val="00F92511"/>
    <w:rsid w:val="00F92DA7"/>
    <w:rsid w:val="00F92E6E"/>
    <w:rsid w:val="00F93DE0"/>
    <w:rsid w:val="00F93FCA"/>
    <w:rsid w:val="00F94443"/>
    <w:rsid w:val="00F947CD"/>
    <w:rsid w:val="00F94E01"/>
    <w:rsid w:val="00F95667"/>
    <w:rsid w:val="00F963FF"/>
    <w:rsid w:val="00F96862"/>
    <w:rsid w:val="00F96FB1"/>
    <w:rsid w:val="00F97EE8"/>
    <w:rsid w:val="00FA1600"/>
    <w:rsid w:val="00FA235D"/>
    <w:rsid w:val="00FA2439"/>
    <w:rsid w:val="00FA2D69"/>
    <w:rsid w:val="00FA318E"/>
    <w:rsid w:val="00FA3548"/>
    <w:rsid w:val="00FA39F5"/>
    <w:rsid w:val="00FA5297"/>
    <w:rsid w:val="00FA5919"/>
    <w:rsid w:val="00FA6263"/>
    <w:rsid w:val="00FA6943"/>
    <w:rsid w:val="00FB05E4"/>
    <w:rsid w:val="00FB08B6"/>
    <w:rsid w:val="00FB099C"/>
    <w:rsid w:val="00FB1399"/>
    <w:rsid w:val="00FB13F6"/>
    <w:rsid w:val="00FB17DA"/>
    <w:rsid w:val="00FB1E72"/>
    <w:rsid w:val="00FB2B3D"/>
    <w:rsid w:val="00FB2C44"/>
    <w:rsid w:val="00FB2DC4"/>
    <w:rsid w:val="00FB2EDA"/>
    <w:rsid w:val="00FB30FD"/>
    <w:rsid w:val="00FB3D7A"/>
    <w:rsid w:val="00FB3E6D"/>
    <w:rsid w:val="00FB40E8"/>
    <w:rsid w:val="00FB449C"/>
    <w:rsid w:val="00FB4541"/>
    <w:rsid w:val="00FB484E"/>
    <w:rsid w:val="00FB4CAE"/>
    <w:rsid w:val="00FB4F66"/>
    <w:rsid w:val="00FB60AD"/>
    <w:rsid w:val="00FB6106"/>
    <w:rsid w:val="00FB633A"/>
    <w:rsid w:val="00FB656E"/>
    <w:rsid w:val="00FB68BD"/>
    <w:rsid w:val="00FB6FE6"/>
    <w:rsid w:val="00FB7287"/>
    <w:rsid w:val="00FB74AC"/>
    <w:rsid w:val="00FB7BBA"/>
    <w:rsid w:val="00FB7C49"/>
    <w:rsid w:val="00FC03FC"/>
    <w:rsid w:val="00FC1068"/>
    <w:rsid w:val="00FC1488"/>
    <w:rsid w:val="00FC18B7"/>
    <w:rsid w:val="00FC2118"/>
    <w:rsid w:val="00FC2810"/>
    <w:rsid w:val="00FC293E"/>
    <w:rsid w:val="00FC2F22"/>
    <w:rsid w:val="00FC3411"/>
    <w:rsid w:val="00FC3CB9"/>
    <w:rsid w:val="00FC5E55"/>
    <w:rsid w:val="00FC7C34"/>
    <w:rsid w:val="00FC7E82"/>
    <w:rsid w:val="00FD02A8"/>
    <w:rsid w:val="00FD040D"/>
    <w:rsid w:val="00FD0CB6"/>
    <w:rsid w:val="00FD0E6B"/>
    <w:rsid w:val="00FD1516"/>
    <w:rsid w:val="00FD1BD3"/>
    <w:rsid w:val="00FD1C47"/>
    <w:rsid w:val="00FD3624"/>
    <w:rsid w:val="00FD43D7"/>
    <w:rsid w:val="00FD48E7"/>
    <w:rsid w:val="00FD4DB5"/>
    <w:rsid w:val="00FD5A1B"/>
    <w:rsid w:val="00FD6A02"/>
    <w:rsid w:val="00FD6CDA"/>
    <w:rsid w:val="00FD6E61"/>
    <w:rsid w:val="00FD7797"/>
    <w:rsid w:val="00FD7E3D"/>
    <w:rsid w:val="00FE0A03"/>
    <w:rsid w:val="00FE0D6C"/>
    <w:rsid w:val="00FE0E4E"/>
    <w:rsid w:val="00FE135F"/>
    <w:rsid w:val="00FE141D"/>
    <w:rsid w:val="00FE16A8"/>
    <w:rsid w:val="00FE1956"/>
    <w:rsid w:val="00FE1BA3"/>
    <w:rsid w:val="00FE1C47"/>
    <w:rsid w:val="00FE1DD2"/>
    <w:rsid w:val="00FE1F02"/>
    <w:rsid w:val="00FE2699"/>
    <w:rsid w:val="00FE38B7"/>
    <w:rsid w:val="00FE4574"/>
    <w:rsid w:val="00FE4747"/>
    <w:rsid w:val="00FF08F7"/>
    <w:rsid w:val="00FF0A1D"/>
    <w:rsid w:val="00FF15D2"/>
    <w:rsid w:val="00FF19A0"/>
    <w:rsid w:val="00FF1F61"/>
    <w:rsid w:val="00FF23B8"/>
    <w:rsid w:val="00FF2886"/>
    <w:rsid w:val="00FF2C6F"/>
    <w:rsid w:val="00FF2DA0"/>
    <w:rsid w:val="00FF2E3C"/>
    <w:rsid w:val="00FF3459"/>
    <w:rsid w:val="00FF379C"/>
    <w:rsid w:val="00FF4C49"/>
    <w:rsid w:val="00FF50A7"/>
    <w:rsid w:val="00FF54E6"/>
    <w:rsid w:val="00FF5647"/>
    <w:rsid w:val="00FF57CD"/>
    <w:rsid w:val="00FF66AA"/>
    <w:rsid w:val="00FF77E4"/>
    <w:rsid w:val="00FF78A7"/>
    <w:rsid w:val="00FF78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FEF"/>
    <w:pPr>
      <w:spacing w:after="200" w:line="276" w:lineRule="auto"/>
    </w:pPr>
    <w:rPr>
      <w:rFonts w:ascii="Calibri" w:eastAsia="Calibri" w:hAnsi="Calibri" w:cs="Times New Roman"/>
    </w:rPr>
  </w:style>
  <w:style w:type="paragraph" w:styleId="Ttulo1">
    <w:name w:val="heading 1"/>
    <w:basedOn w:val="Normal"/>
    <w:next w:val="Normal"/>
    <w:link w:val="Ttulo1Car"/>
    <w:qFormat/>
    <w:rsid w:val="00CF0571"/>
    <w:pPr>
      <w:keepNext/>
      <w:spacing w:before="360" w:after="120"/>
      <w:ind w:left="862" w:hanging="357"/>
      <w:jc w:val="center"/>
      <w:outlineLvl w:val="0"/>
    </w:pPr>
    <w:rPr>
      <w:rFonts w:ascii="ITC Avant Garde" w:hAnsi="ITC Avant Garde"/>
      <w:b/>
      <w:bCs/>
      <w:lang w:eastAsia="es-ES"/>
    </w:rPr>
  </w:style>
  <w:style w:type="paragraph" w:styleId="Ttulo2">
    <w:name w:val="heading 2"/>
    <w:basedOn w:val="Normal"/>
    <w:next w:val="Normal"/>
    <w:link w:val="Ttulo2Car"/>
    <w:uiPriority w:val="9"/>
    <w:unhideWhenUsed/>
    <w:qFormat/>
    <w:rsid w:val="00751FEF"/>
    <w:pPr>
      <w:keepNext/>
      <w:keepLines/>
      <w:autoSpaceDE w:val="0"/>
      <w:autoSpaceDN w:val="0"/>
      <w:adjustRightInd w:val="0"/>
      <w:spacing w:before="240" w:after="240"/>
      <w:jc w:val="both"/>
      <w:outlineLvl w:val="1"/>
    </w:pPr>
    <w:rPr>
      <w:rFonts w:ascii="ITC Avant Garde" w:hAnsi="ITC Avant Garde"/>
      <w:b/>
    </w:rPr>
  </w:style>
  <w:style w:type="paragraph" w:styleId="Ttulo3">
    <w:name w:val="heading 3"/>
    <w:basedOn w:val="Normal"/>
    <w:next w:val="Normal"/>
    <w:link w:val="Ttulo3Car"/>
    <w:uiPriority w:val="9"/>
    <w:unhideWhenUsed/>
    <w:qFormat/>
    <w:rsid w:val="007E36C5"/>
    <w:pPr>
      <w:keepNext/>
      <w:spacing w:before="240" w:after="120"/>
      <w:contextualSpacing/>
      <w:jc w:val="both"/>
      <w:outlineLvl w:val="2"/>
    </w:pPr>
    <w:rPr>
      <w:rFonts w:ascii="ITC Avant Garde" w:hAnsi="ITC Avant Garde"/>
      <w:b/>
      <w:i/>
    </w:rPr>
  </w:style>
  <w:style w:type="paragraph" w:styleId="Ttulo4">
    <w:name w:val="heading 4"/>
    <w:basedOn w:val="Ttulo2"/>
    <w:next w:val="Normal"/>
    <w:link w:val="Ttulo4Car"/>
    <w:uiPriority w:val="9"/>
    <w:unhideWhenUsed/>
    <w:qFormat/>
    <w:rsid w:val="00625AFE"/>
    <w:pPr>
      <w:autoSpaceDE/>
      <w:autoSpaceDN/>
      <w:adjustRightInd/>
      <w:spacing w:line="240" w:lineRule="auto"/>
      <w:ind w:left="658" w:hanging="658"/>
      <w:outlineLvl w:val="3"/>
    </w:pPr>
    <w:rPr>
      <w:rFonts w:eastAsiaTheme="minorHAnsi"/>
    </w:rPr>
  </w:style>
  <w:style w:type="paragraph" w:styleId="Ttulo5">
    <w:name w:val="heading 5"/>
    <w:basedOn w:val="Normal"/>
    <w:next w:val="Normal"/>
    <w:link w:val="Ttulo5Car"/>
    <w:uiPriority w:val="9"/>
    <w:unhideWhenUsed/>
    <w:qFormat/>
    <w:rsid w:val="0034122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F0571"/>
    <w:rPr>
      <w:rFonts w:ascii="ITC Avant Garde" w:eastAsia="Calibri" w:hAnsi="ITC Avant Garde" w:cs="Times New Roman"/>
      <w:b/>
      <w:bCs/>
      <w:lang w:eastAsia="es-ES"/>
    </w:rPr>
  </w:style>
  <w:style w:type="character" w:customStyle="1" w:styleId="Ttulo2Car">
    <w:name w:val="Título 2 Car"/>
    <w:basedOn w:val="Fuentedeprrafopredeter"/>
    <w:link w:val="Ttulo2"/>
    <w:uiPriority w:val="9"/>
    <w:rsid w:val="00751FEF"/>
    <w:rPr>
      <w:rFonts w:ascii="ITC Avant Garde" w:eastAsia="Calibri" w:hAnsi="ITC Avant Garde" w:cs="Times New Roman"/>
      <w:b/>
    </w:rPr>
  </w:style>
  <w:style w:type="character" w:customStyle="1" w:styleId="Ttulo3Car">
    <w:name w:val="Título 3 Car"/>
    <w:basedOn w:val="Fuentedeprrafopredeter"/>
    <w:link w:val="Ttulo3"/>
    <w:uiPriority w:val="9"/>
    <w:rsid w:val="00AD17F3"/>
    <w:rPr>
      <w:rFonts w:ascii="ITC Avant Garde" w:eastAsia="Calibri" w:hAnsi="ITC Avant Garde" w:cs="Times New Roman"/>
      <w:b/>
      <w:i/>
    </w:rPr>
  </w:style>
  <w:style w:type="character" w:customStyle="1" w:styleId="Ttulo4Car">
    <w:name w:val="Título 4 Car"/>
    <w:basedOn w:val="Fuentedeprrafopredeter"/>
    <w:link w:val="Ttulo4"/>
    <w:uiPriority w:val="9"/>
    <w:rsid w:val="00625AFE"/>
    <w:rPr>
      <w:rFonts w:ascii="ITC Avant Garde" w:hAnsi="ITC Avant Garde" w:cs="Times New Roman"/>
      <w:b/>
    </w:rPr>
  </w:style>
  <w:style w:type="paragraph" w:styleId="Encabezado">
    <w:name w:val="header"/>
    <w:basedOn w:val="Normal"/>
    <w:link w:val="EncabezadoCar"/>
    <w:unhideWhenUsed/>
    <w:rsid w:val="008A39CF"/>
    <w:pPr>
      <w:tabs>
        <w:tab w:val="center" w:pos="4419"/>
        <w:tab w:val="right" w:pos="8838"/>
      </w:tabs>
      <w:spacing w:after="0" w:line="240" w:lineRule="auto"/>
    </w:pPr>
  </w:style>
  <w:style w:type="character" w:customStyle="1" w:styleId="EncabezadoCar">
    <w:name w:val="Encabezado Car"/>
    <w:basedOn w:val="Fuentedeprrafopredeter"/>
    <w:link w:val="Encabezado"/>
    <w:rsid w:val="008A39CF"/>
    <w:rPr>
      <w:rFonts w:ascii="Calibri" w:eastAsia="Calibri" w:hAnsi="Calibri" w:cs="Times New Roman"/>
    </w:rPr>
  </w:style>
  <w:style w:type="paragraph" w:styleId="Piedepgina">
    <w:name w:val="footer"/>
    <w:basedOn w:val="Normal"/>
    <w:link w:val="PiedepginaCar"/>
    <w:uiPriority w:val="99"/>
    <w:unhideWhenUsed/>
    <w:rsid w:val="008A39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39CF"/>
    <w:rPr>
      <w:rFonts w:ascii="Calibri" w:eastAsia="Calibri" w:hAnsi="Calibri" w:cs="Times New Roman"/>
    </w:rPr>
  </w:style>
  <w:style w:type="paragraph" w:customStyle="1" w:styleId="estilo30">
    <w:name w:val="estilo30"/>
    <w:basedOn w:val="Normal"/>
    <w:rsid w:val="008A39CF"/>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8A39C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8A39CF"/>
    <w:pPr>
      <w:autoSpaceDE w:val="0"/>
      <w:autoSpaceDN w:val="0"/>
      <w:adjustRightInd w:val="0"/>
      <w:spacing w:after="0" w:line="240" w:lineRule="auto"/>
    </w:pPr>
    <w:rPr>
      <w:rFonts w:ascii="Tahoma" w:eastAsia="Calibri" w:hAnsi="Tahoma" w:cs="Tahoma"/>
      <w:color w:val="000000"/>
      <w:sz w:val="24"/>
      <w:szCs w:val="24"/>
      <w:lang w:eastAsia="es-MX"/>
    </w:rPr>
  </w:style>
  <w:style w:type="character" w:styleId="Refdenotaalpie">
    <w:name w:val="footnote reference"/>
    <w:aliases w:val="Ref,de nota al pie,fr,(NECG) Footnote Reference,o,Appel note de bas de p,Style 12,Style 124,Style 13,Style 3,Style 17,FR,Footnote Reference/,callout,Style 6,Footnote,Style 20,Footnote symbol,Appel note de bas de p + 11 pt,Italic,f"/>
    <w:basedOn w:val="Fuentedeprrafopredeter"/>
    <w:uiPriority w:val="99"/>
    <w:qFormat/>
    <w:rsid w:val="008A39CF"/>
    <w:rPr>
      <w:vertAlign w:val="superscript"/>
    </w:rPr>
  </w:style>
  <w:style w:type="paragraph" w:styleId="Prrafodelista">
    <w:name w:val="List Paragraph"/>
    <w:aliases w:val="4 Viñ 1nivel,Numeración 1,Cuadrícula media 1 - Énfasis 21,Bullet List,FooterText,numbered,List Paragraph1,Paragraphe de liste1,Bulletr List Paragraph,列出段落,列出段落1"/>
    <w:basedOn w:val="Normal"/>
    <w:link w:val="PrrafodelistaCar"/>
    <w:uiPriority w:val="34"/>
    <w:qFormat/>
    <w:rsid w:val="004E2CF0"/>
    <w:pPr>
      <w:spacing w:before="120" w:after="120"/>
      <w:ind w:left="720"/>
    </w:pPr>
    <w:rPr>
      <w:rFonts w:ascii="ITC Avant Garde" w:eastAsiaTheme="minorHAnsi" w:hAnsi="ITC Avant Garde" w:cstheme="minorBidi"/>
    </w:rPr>
  </w:style>
  <w:style w:type="paragraph" w:styleId="Textoindependiente2">
    <w:name w:val="Body Text 2"/>
    <w:basedOn w:val="Normal"/>
    <w:link w:val="Textoindependiente2Car"/>
    <w:semiHidden/>
    <w:rsid w:val="008A39CF"/>
    <w:pPr>
      <w:tabs>
        <w:tab w:val="left" w:pos="0"/>
        <w:tab w:val="left" w:pos="142"/>
      </w:tabs>
      <w:spacing w:after="0" w:line="240" w:lineRule="auto"/>
      <w:jc w:val="both"/>
    </w:pPr>
    <w:rPr>
      <w:rFonts w:ascii="Times New Roman" w:eastAsia="Times New Roman" w:hAnsi="Times New Roman"/>
      <w:sz w:val="24"/>
      <w:szCs w:val="20"/>
      <w:lang w:eastAsia="es-ES"/>
    </w:rPr>
  </w:style>
  <w:style w:type="character" w:customStyle="1" w:styleId="Textoindependiente2Car">
    <w:name w:val="Texto independiente 2 Car"/>
    <w:basedOn w:val="Fuentedeprrafopredeter"/>
    <w:link w:val="Textoindependiente2"/>
    <w:semiHidden/>
    <w:rsid w:val="008A39CF"/>
    <w:rPr>
      <w:rFonts w:ascii="Times New Roman" w:eastAsia="Times New Roman" w:hAnsi="Times New Roman" w:cs="Times New Roman"/>
      <w:sz w:val="24"/>
      <w:szCs w:val="20"/>
      <w:lang w:eastAsia="es-ES"/>
    </w:rPr>
  </w:style>
  <w:style w:type="paragraph" w:customStyle="1" w:styleId="Texto">
    <w:name w:val="Texto"/>
    <w:basedOn w:val="Normal"/>
    <w:link w:val="TextoCar"/>
    <w:rsid w:val="008A39CF"/>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8A39CF"/>
    <w:rPr>
      <w:rFonts w:ascii="Arial" w:eastAsia="Times New Roman" w:hAnsi="Arial" w:cs="Arial"/>
      <w:sz w:val="18"/>
      <w:szCs w:val="20"/>
      <w:lang w:val="es-ES" w:eastAsia="es-ES"/>
    </w:rPr>
  </w:style>
  <w:style w:type="paragraph" w:customStyle="1" w:styleId="Prrafodelista1">
    <w:name w:val="Párrafo de lista1"/>
    <w:basedOn w:val="Normal"/>
    <w:uiPriority w:val="34"/>
    <w:qFormat/>
    <w:rsid w:val="008A39CF"/>
    <w:pPr>
      <w:spacing w:after="0" w:line="240" w:lineRule="auto"/>
      <w:ind w:left="708"/>
    </w:pPr>
    <w:rPr>
      <w:rFonts w:ascii="Arial" w:hAnsi="Arial"/>
    </w:rPr>
  </w:style>
  <w:style w:type="paragraph" w:styleId="Textoindependiente">
    <w:name w:val="Body Text"/>
    <w:basedOn w:val="Normal"/>
    <w:link w:val="TextoindependienteCar"/>
    <w:unhideWhenUsed/>
    <w:rsid w:val="008A39CF"/>
    <w:pPr>
      <w:spacing w:after="120"/>
    </w:pPr>
  </w:style>
  <w:style w:type="character" w:customStyle="1" w:styleId="TextoindependienteCar">
    <w:name w:val="Texto independiente Car"/>
    <w:basedOn w:val="Fuentedeprrafopredeter"/>
    <w:link w:val="Textoindependiente"/>
    <w:rsid w:val="008A39CF"/>
    <w:rPr>
      <w:rFonts w:ascii="Calibri" w:eastAsia="Calibri" w:hAnsi="Calibri" w:cs="Times New Roman"/>
    </w:rPr>
  </w:style>
  <w:style w:type="paragraph" w:styleId="Textodeglobo">
    <w:name w:val="Balloon Text"/>
    <w:basedOn w:val="Normal"/>
    <w:link w:val="TextodegloboCar"/>
    <w:uiPriority w:val="99"/>
    <w:semiHidden/>
    <w:unhideWhenUsed/>
    <w:rsid w:val="008A39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39CF"/>
    <w:rPr>
      <w:rFonts w:ascii="Segoe UI" w:eastAsia="Calibri" w:hAnsi="Segoe UI" w:cs="Segoe UI"/>
      <w:sz w:val="18"/>
      <w:szCs w:val="18"/>
    </w:rPr>
  </w:style>
  <w:style w:type="character" w:styleId="Refdecomentario">
    <w:name w:val="annotation reference"/>
    <w:basedOn w:val="Fuentedeprrafopredeter"/>
    <w:uiPriority w:val="99"/>
    <w:semiHidden/>
    <w:unhideWhenUsed/>
    <w:rsid w:val="008A39CF"/>
    <w:rPr>
      <w:sz w:val="16"/>
      <w:szCs w:val="16"/>
    </w:rPr>
  </w:style>
  <w:style w:type="paragraph" w:styleId="Textocomentario">
    <w:name w:val="annotation text"/>
    <w:basedOn w:val="Normal"/>
    <w:link w:val="TextocomentarioCar"/>
    <w:uiPriority w:val="99"/>
    <w:unhideWhenUsed/>
    <w:rsid w:val="008A39CF"/>
    <w:pPr>
      <w:spacing w:line="240" w:lineRule="auto"/>
    </w:pPr>
    <w:rPr>
      <w:sz w:val="20"/>
      <w:szCs w:val="20"/>
    </w:rPr>
  </w:style>
  <w:style w:type="character" w:customStyle="1" w:styleId="TextocomentarioCar">
    <w:name w:val="Texto comentario Car"/>
    <w:basedOn w:val="Fuentedeprrafopredeter"/>
    <w:link w:val="Textocomentario"/>
    <w:uiPriority w:val="99"/>
    <w:rsid w:val="008A39C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A39CF"/>
    <w:rPr>
      <w:b/>
      <w:bCs/>
    </w:rPr>
  </w:style>
  <w:style w:type="character" w:customStyle="1" w:styleId="AsuntodelcomentarioCar">
    <w:name w:val="Asunto del comentario Car"/>
    <w:basedOn w:val="TextocomentarioCar"/>
    <w:link w:val="Asuntodelcomentario"/>
    <w:uiPriority w:val="99"/>
    <w:semiHidden/>
    <w:rsid w:val="008A39CF"/>
    <w:rPr>
      <w:rFonts w:ascii="Calibri" w:eastAsia="Calibri" w:hAnsi="Calibri" w:cs="Times New Roman"/>
      <w:b/>
      <w:bCs/>
      <w:sz w:val="20"/>
      <w:szCs w:val="20"/>
    </w:rPr>
  </w:style>
  <w:style w:type="table" w:styleId="Tablaconcuadrcula">
    <w:name w:val="Table Grid"/>
    <w:basedOn w:val="Tablanormal"/>
    <w:uiPriority w:val="39"/>
    <w:rsid w:val="008A39CF"/>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8A39CF"/>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8A39CF"/>
    <w:rPr>
      <w:rFonts w:ascii="Calibri" w:eastAsia="Calibri" w:hAnsi="Calibri" w:cs="Times New Roman"/>
      <w:sz w:val="20"/>
      <w:szCs w:val="20"/>
    </w:rPr>
  </w:style>
  <w:style w:type="character" w:styleId="Hipervnculo">
    <w:name w:val="Hyperlink"/>
    <w:basedOn w:val="Fuentedeprrafopredeter"/>
    <w:uiPriority w:val="99"/>
    <w:rsid w:val="008A39CF"/>
    <w:rPr>
      <w:color w:val="0000FF"/>
      <w:u w:val="single"/>
    </w:rPr>
  </w:style>
  <w:style w:type="paragraph" w:styleId="Sinespaciado">
    <w:name w:val="No Spacing"/>
    <w:uiPriority w:val="1"/>
    <w:qFormat/>
    <w:rsid w:val="008A39CF"/>
    <w:pPr>
      <w:spacing w:after="0" w:line="240" w:lineRule="auto"/>
    </w:pPr>
    <w:rPr>
      <w:rFonts w:ascii="Calibri" w:eastAsia="Calibri" w:hAnsi="Calibri" w:cs="Times New Roman"/>
    </w:rPr>
  </w:style>
  <w:style w:type="paragraph" w:styleId="Revisin">
    <w:name w:val="Revision"/>
    <w:hidden/>
    <w:uiPriority w:val="99"/>
    <w:semiHidden/>
    <w:rsid w:val="008A39CF"/>
    <w:pPr>
      <w:spacing w:after="0" w:line="240" w:lineRule="auto"/>
    </w:pPr>
    <w:rPr>
      <w:rFonts w:ascii="Calibri" w:eastAsia="Calibri" w:hAnsi="Calibri" w:cs="Times New Roman"/>
    </w:rPr>
  </w:style>
  <w:style w:type="paragraph" w:customStyle="1" w:styleId="NormalIFT">
    <w:name w:val="Normal IFT"/>
    <w:basedOn w:val="Prrafodelista"/>
    <w:link w:val="NormalIFTCar"/>
    <w:qFormat/>
    <w:rsid w:val="008A39CF"/>
    <w:pPr>
      <w:numPr>
        <w:numId w:val="1"/>
      </w:numPr>
      <w:autoSpaceDE w:val="0"/>
      <w:autoSpaceDN w:val="0"/>
      <w:adjustRightInd w:val="0"/>
      <w:spacing w:after="0" w:line="240" w:lineRule="auto"/>
      <w:jc w:val="both"/>
    </w:pPr>
    <w:rPr>
      <w:rFonts w:eastAsia="Times New Roman" w:cs="Times New Roman"/>
      <w:bCs/>
      <w:color w:val="000000"/>
      <w:sz w:val="24"/>
      <w:szCs w:val="24"/>
      <w:lang w:val="es-ES_tradnl" w:eastAsia="es-ES"/>
    </w:rPr>
  </w:style>
  <w:style w:type="character" w:customStyle="1" w:styleId="NormalIFTCar">
    <w:name w:val="Normal IFT Car"/>
    <w:link w:val="NormalIFT"/>
    <w:rsid w:val="008A39CF"/>
    <w:rPr>
      <w:rFonts w:ascii="ITC Avant Garde" w:eastAsia="Times New Roman" w:hAnsi="ITC Avant Garde" w:cs="Times New Roman"/>
      <w:bCs/>
      <w:color w:val="000000"/>
      <w:sz w:val="24"/>
      <w:szCs w:val="24"/>
      <w:lang w:val="es-ES_tradnl" w:eastAsia="es-ES"/>
    </w:rPr>
  </w:style>
  <w:style w:type="character" w:customStyle="1" w:styleId="apple-converted-space">
    <w:name w:val="apple-converted-space"/>
    <w:rsid w:val="008A39CF"/>
  </w:style>
  <w:style w:type="character" w:styleId="Hipervnculovisitado">
    <w:name w:val="FollowedHyperlink"/>
    <w:basedOn w:val="Fuentedeprrafopredeter"/>
    <w:uiPriority w:val="99"/>
    <w:semiHidden/>
    <w:unhideWhenUsed/>
    <w:rsid w:val="008A39CF"/>
    <w:rPr>
      <w:color w:val="954F72" w:themeColor="followedHyperlink"/>
      <w:u w:val="single"/>
    </w:rPr>
  </w:style>
  <w:style w:type="character" w:customStyle="1" w:styleId="hps">
    <w:name w:val="hps"/>
    <w:basedOn w:val="Fuentedeprrafopredeter"/>
    <w:rsid w:val="008A39CF"/>
  </w:style>
  <w:style w:type="character" w:customStyle="1" w:styleId="atn">
    <w:name w:val="atn"/>
    <w:basedOn w:val="Fuentedeprrafopredeter"/>
    <w:rsid w:val="008A39CF"/>
  </w:style>
  <w:style w:type="table" w:customStyle="1" w:styleId="Tabladecuadrcula4-nfasis51">
    <w:name w:val="Tabla de cuadrícula 4 - Énfasis 51"/>
    <w:basedOn w:val="Tablanormal"/>
    <w:uiPriority w:val="49"/>
    <w:rsid w:val="008A39C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
    <w:link w:val="Prrafodelista"/>
    <w:uiPriority w:val="34"/>
    <w:rsid w:val="004E2CF0"/>
    <w:rPr>
      <w:rFonts w:ascii="ITC Avant Garde" w:hAnsi="ITC Avant Garde"/>
    </w:rPr>
  </w:style>
  <w:style w:type="paragraph" w:customStyle="1" w:styleId="texto0">
    <w:name w:val="texto"/>
    <w:basedOn w:val="Normal"/>
    <w:rsid w:val="004F555A"/>
    <w:pPr>
      <w:spacing w:after="101" w:line="240" w:lineRule="auto"/>
      <w:ind w:firstLine="288"/>
      <w:jc w:val="both"/>
    </w:pPr>
    <w:rPr>
      <w:rFonts w:ascii="Times New Roman" w:eastAsia="Times New Roman" w:hAnsi="Times New Roman"/>
      <w:color w:val="2F2F2F"/>
      <w:sz w:val="18"/>
      <w:szCs w:val="18"/>
      <w:lang w:eastAsia="es-MX"/>
    </w:rPr>
  </w:style>
  <w:style w:type="paragraph" w:customStyle="1" w:styleId="Bullets">
    <w:name w:val="Bullets"/>
    <w:basedOn w:val="Prrafodelista"/>
    <w:link w:val="BulletsCar"/>
    <w:autoRedefine/>
    <w:qFormat/>
    <w:rsid w:val="005C50EE"/>
    <w:pPr>
      <w:spacing w:line="264" w:lineRule="auto"/>
      <w:ind w:left="0"/>
      <w:jc w:val="both"/>
    </w:pPr>
    <w:rPr>
      <w:rFonts w:eastAsia="Calibri" w:cs="Calibri"/>
      <w:sz w:val="24"/>
      <w:szCs w:val="24"/>
    </w:rPr>
  </w:style>
  <w:style w:type="character" w:customStyle="1" w:styleId="BulletsCar">
    <w:name w:val="Bullets Car"/>
    <w:basedOn w:val="PrrafodelistaCar"/>
    <w:link w:val="Bullets"/>
    <w:rsid w:val="005C50EE"/>
    <w:rPr>
      <w:rFonts w:ascii="ITC Avant Garde" w:eastAsia="Calibri" w:hAnsi="ITC Avant Garde" w:cs="Calibri"/>
      <w:sz w:val="24"/>
      <w:szCs w:val="24"/>
    </w:rPr>
  </w:style>
  <w:style w:type="paragraph" w:customStyle="1" w:styleId="Notaalpie">
    <w:name w:val="Nota al pie"/>
    <w:basedOn w:val="Normal"/>
    <w:link w:val="NotaalpieCar"/>
    <w:qFormat/>
    <w:rsid w:val="005C50EE"/>
    <w:pPr>
      <w:spacing w:after="0" w:line="240" w:lineRule="auto"/>
      <w:jc w:val="both"/>
    </w:pPr>
    <w:rPr>
      <w:rFonts w:ascii="ITC Avant Garde" w:eastAsiaTheme="minorHAnsi" w:hAnsi="ITC Avant Garde" w:cstheme="minorBidi"/>
      <w:sz w:val="18"/>
    </w:rPr>
  </w:style>
  <w:style w:type="character" w:customStyle="1" w:styleId="TextocomentarioCar1">
    <w:name w:val="Texto comentario Car1"/>
    <w:uiPriority w:val="99"/>
    <w:locked/>
    <w:rsid w:val="00FB2EDA"/>
    <w:rPr>
      <w:rFonts w:ascii="Calibri" w:eastAsia="Calibri" w:hAnsi="Calibri" w:cs="Times New Roman"/>
      <w:sz w:val="20"/>
      <w:szCs w:val="20"/>
      <w:lang w:val="es-MX" w:eastAsia="ar-SA"/>
    </w:rPr>
  </w:style>
  <w:style w:type="character" w:styleId="Textodelmarcadordeposicin">
    <w:name w:val="Placeholder Text"/>
    <w:basedOn w:val="Fuentedeprrafopredeter"/>
    <w:uiPriority w:val="99"/>
    <w:semiHidden/>
    <w:rsid w:val="00AC40D9"/>
    <w:rPr>
      <w:color w:val="808080"/>
    </w:rPr>
  </w:style>
  <w:style w:type="paragraph" w:styleId="TDC1">
    <w:name w:val="toc 1"/>
    <w:basedOn w:val="Normal"/>
    <w:next w:val="Normal"/>
    <w:autoRedefine/>
    <w:uiPriority w:val="39"/>
    <w:unhideWhenUsed/>
    <w:rsid w:val="006B24C0"/>
    <w:pPr>
      <w:spacing w:after="0" w:line="240" w:lineRule="auto"/>
    </w:pPr>
    <w:rPr>
      <w:rFonts w:ascii="ITC Avant Garde" w:hAnsi="ITC Avant Garde"/>
      <w:sz w:val="18"/>
    </w:rPr>
  </w:style>
  <w:style w:type="paragraph" w:styleId="TDC2">
    <w:name w:val="toc 2"/>
    <w:basedOn w:val="Normal"/>
    <w:next w:val="Normal"/>
    <w:autoRedefine/>
    <w:uiPriority w:val="39"/>
    <w:unhideWhenUsed/>
    <w:rsid w:val="006B24C0"/>
    <w:pPr>
      <w:spacing w:after="0" w:line="240" w:lineRule="auto"/>
      <w:ind w:left="221"/>
    </w:pPr>
    <w:rPr>
      <w:rFonts w:ascii="ITC Avant Garde" w:hAnsi="ITC Avant Garde"/>
      <w:sz w:val="18"/>
    </w:rPr>
  </w:style>
  <w:style w:type="paragraph" w:styleId="TDC3">
    <w:name w:val="toc 3"/>
    <w:basedOn w:val="Normal"/>
    <w:next w:val="Normal"/>
    <w:autoRedefine/>
    <w:uiPriority w:val="39"/>
    <w:unhideWhenUsed/>
    <w:rsid w:val="00721000"/>
    <w:pPr>
      <w:spacing w:after="0"/>
      <w:ind w:left="442"/>
    </w:pPr>
    <w:rPr>
      <w:rFonts w:ascii="ITC Avant Garde" w:hAnsi="ITC Avant Garde"/>
      <w:sz w:val="18"/>
    </w:rPr>
  </w:style>
  <w:style w:type="paragraph" w:styleId="TDC4">
    <w:name w:val="toc 4"/>
    <w:basedOn w:val="Normal"/>
    <w:next w:val="Normal"/>
    <w:autoRedefine/>
    <w:uiPriority w:val="39"/>
    <w:semiHidden/>
    <w:unhideWhenUsed/>
    <w:rsid w:val="00721000"/>
    <w:pPr>
      <w:spacing w:after="0"/>
      <w:ind w:left="658"/>
    </w:pPr>
    <w:rPr>
      <w:rFonts w:ascii="ITC Avant Garde" w:hAnsi="ITC Avant Garde"/>
      <w:sz w:val="18"/>
    </w:rPr>
  </w:style>
  <w:style w:type="paragraph" w:customStyle="1" w:styleId="Prraforproyecto">
    <w:name w:val="Párrafor proyecto"/>
    <w:basedOn w:val="Normal"/>
    <w:link w:val="PrraforproyectoCar"/>
    <w:autoRedefine/>
    <w:qFormat/>
    <w:rsid w:val="00592764"/>
    <w:pPr>
      <w:keepNext/>
      <w:tabs>
        <w:tab w:val="left" w:pos="2410"/>
      </w:tabs>
      <w:spacing w:after="120"/>
      <w:jc w:val="both"/>
    </w:pPr>
    <w:rPr>
      <w:rFonts w:ascii="ITC Avant Garde" w:eastAsia="Times New Roman" w:hAnsi="ITC Avant Garde"/>
      <w:bCs/>
      <w:color w:val="000000"/>
      <w:lang w:eastAsia="es-MX"/>
    </w:rPr>
  </w:style>
  <w:style w:type="paragraph" w:styleId="Cita">
    <w:name w:val="Quote"/>
    <w:basedOn w:val="Normal"/>
    <w:next w:val="Normal"/>
    <w:link w:val="CitaCar"/>
    <w:uiPriority w:val="29"/>
    <w:qFormat/>
    <w:rsid w:val="00AD17F3"/>
    <w:pPr>
      <w:autoSpaceDE w:val="0"/>
      <w:autoSpaceDN w:val="0"/>
      <w:adjustRightInd w:val="0"/>
      <w:spacing w:before="120" w:after="120"/>
      <w:ind w:left="567"/>
      <w:jc w:val="both"/>
    </w:pPr>
    <w:rPr>
      <w:rFonts w:ascii="ITC Avant Garde" w:hAnsi="ITC Avant Garde"/>
      <w:i/>
      <w:sz w:val="20"/>
    </w:rPr>
  </w:style>
  <w:style w:type="character" w:customStyle="1" w:styleId="PrraforproyectoCar">
    <w:name w:val="Párrafor proyecto Car"/>
    <w:basedOn w:val="Fuentedeprrafopredeter"/>
    <w:link w:val="Prraforproyecto"/>
    <w:rsid w:val="00592764"/>
    <w:rPr>
      <w:rFonts w:ascii="ITC Avant Garde" w:eastAsia="Times New Roman" w:hAnsi="ITC Avant Garde" w:cs="Times New Roman"/>
      <w:bCs/>
      <w:color w:val="000000"/>
      <w:lang w:eastAsia="es-MX"/>
    </w:rPr>
  </w:style>
  <w:style w:type="character" w:customStyle="1" w:styleId="CitaCar">
    <w:name w:val="Cita Car"/>
    <w:basedOn w:val="Fuentedeprrafopredeter"/>
    <w:link w:val="Cita"/>
    <w:uiPriority w:val="29"/>
    <w:rsid w:val="00AD17F3"/>
    <w:rPr>
      <w:rFonts w:ascii="ITC Avant Garde" w:eastAsia="Calibri" w:hAnsi="ITC Avant Garde" w:cs="Times New Roman"/>
      <w:i/>
      <w:sz w:val="20"/>
    </w:rPr>
  </w:style>
  <w:style w:type="paragraph" w:customStyle="1" w:styleId="Cuadros">
    <w:name w:val="Cuadros"/>
    <w:basedOn w:val="Prrafodelista"/>
    <w:link w:val="CuadrosCar"/>
    <w:qFormat/>
    <w:rsid w:val="006C59FD"/>
    <w:pPr>
      <w:keepNext/>
      <w:numPr>
        <w:numId w:val="6"/>
      </w:numPr>
      <w:spacing w:after="0"/>
      <w:jc w:val="center"/>
    </w:pPr>
    <w:rPr>
      <w:b/>
      <w:sz w:val="20"/>
    </w:rPr>
  </w:style>
  <w:style w:type="paragraph" w:customStyle="1" w:styleId="Figura">
    <w:name w:val="Figura"/>
    <w:basedOn w:val="Cuadros"/>
    <w:link w:val="FiguraCar"/>
    <w:qFormat/>
    <w:rsid w:val="00721F25"/>
    <w:pPr>
      <w:numPr>
        <w:numId w:val="8"/>
      </w:numPr>
    </w:pPr>
    <w:rPr>
      <w:b w:val="0"/>
    </w:rPr>
  </w:style>
  <w:style w:type="character" w:customStyle="1" w:styleId="FiguraCar">
    <w:name w:val="Figura Car"/>
    <w:basedOn w:val="Fuentedeprrafopredeter"/>
    <w:link w:val="Figura"/>
    <w:rsid w:val="00721F25"/>
    <w:rPr>
      <w:rFonts w:ascii="ITC Avant Garde" w:hAnsi="ITC Avant Garde"/>
      <w:sz w:val="20"/>
    </w:rPr>
  </w:style>
  <w:style w:type="paragraph" w:customStyle="1" w:styleId="Prrafonumerado">
    <w:name w:val="Párrafo numerado"/>
    <w:basedOn w:val="Prrafodelista"/>
    <w:link w:val="PrrafonumeradoCar"/>
    <w:autoRedefine/>
    <w:qFormat/>
    <w:rsid w:val="008C598B"/>
    <w:pPr>
      <w:numPr>
        <w:numId w:val="10"/>
      </w:numPr>
      <w:spacing w:line="264" w:lineRule="auto"/>
      <w:ind w:left="454" w:hanging="454"/>
      <w:jc w:val="both"/>
    </w:pPr>
  </w:style>
  <w:style w:type="character" w:customStyle="1" w:styleId="PrrafonumeradoCar">
    <w:name w:val="Párrafo numerado Car"/>
    <w:basedOn w:val="Fuentedeprrafopredeter"/>
    <w:link w:val="Prrafonumerado"/>
    <w:rsid w:val="008C598B"/>
    <w:rPr>
      <w:rFonts w:ascii="ITC Avant Garde" w:hAnsi="ITC Avant Garde"/>
    </w:rPr>
  </w:style>
  <w:style w:type="character" w:customStyle="1" w:styleId="CuadrosCar">
    <w:name w:val="Cuadros Car"/>
    <w:link w:val="Cuadros"/>
    <w:rsid w:val="00BB489F"/>
    <w:rPr>
      <w:rFonts w:ascii="ITC Avant Garde" w:hAnsi="ITC Avant Garde"/>
      <w:b/>
      <w:sz w:val="20"/>
    </w:rPr>
  </w:style>
  <w:style w:type="paragraph" w:customStyle="1" w:styleId="MayusIFT">
    <w:name w:val="Mayus IFT"/>
    <w:basedOn w:val="Prrafodelista"/>
    <w:qFormat/>
    <w:rsid w:val="006D7773"/>
    <w:pPr>
      <w:numPr>
        <w:numId w:val="11"/>
      </w:numPr>
      <w:autoSpaceDE w:val="0"/>
      <w:autoSpaceDN w:val="0"/>
      <w:adjustRightInd w:val="0"/>
      <w:spacing w:before="0" w:after="0" w:line="240" w:lineRule="auto"/>
      <w:jc w:val="both"/>
    </w:pPr>
    <w:rPr>
      <w:rFonts w:eastAsia="Times New Roman" w:cs="Times New Roman"/>
      <w:bCs/>
      <w:color w:val="000000"/>
      <w:sz w:val="24"/>
      <w:szCs w:val="24"/>
      <w:lang w:val="es-ES_tradnl" w:eastAsia="es-ES"/>
    </w:rPr>
  </w:style>
  <w:style w:type="character" w:customStyle="1" w:styleId="PrrafoInstitucionalCar">
    <w:name w:val="Párrafo Institucional Car"/>
    <w:link w:val="PrrafoInstitucional"/>
    <w:locked/>
    <w:rsid w:val="006D7773"/>
    <w:rPr>
      <w:rFonts w:ascii="ITC Avant Garde Book" w:eastAsia="Times New Roman" w:hAnsi="ITC Avant Garde Book" w:cs="Calibri"/>
      <w:lang w:eastAsia="es-ES"/>
    </w:rPr>
  </w:style>
  <w:style w:type="paragraph" w:customStyle="1" w:styleId="PrrafoInstitucional">
    <w:name w:val="Párrafo Institucional"/>
    <w:basedOn w:val="Normal"/>
    <w:link w:val="PrrafoInstitucionalCar"/>
    <w:qFormat/>
    <w:rsid w:val="006D7773"/>
    <w:pPr>
      <w:spacing w:before="120" w:after="120"/>
      <w:jc w:val="both"/>
    </w:pPr>
    <w:rPr>
      <w:rFonts w:ascii="ITC Avant Garde Book" w:eastAsia="Times New Roman" w:hAnsi="ITC Avant Garde Book" w:cs="Calibri"/>
      <w:lang w:eastAsia="es-ES"/>
    </w:rPr>
  </w:style>
  <w:style w:type="character" w:customStyle="1" w:styleId="NotaalpieCar">
    <w:name w:val="Nota al pie Car"/>
    <w:basedOn w:val="Fuentedeprrafopredeter"/>
    <w:link w:val="Notaalpie"/>
    <w:rsid w:val="00A169CE"/>
    <w:rPr>
      <w:rFonts w:ascii="ITC Avant Garde" w:hAnsi="ITC Avant Garde"/>
      <w:sz w:val="18"/>
    </w:rPr>
  </w:style>
  <w:style w:type="paragraph" w:customStyle="1" w:styleId="Notadecuadro">
    <w:name w:val="Nota de cuadro"/>
    <w:basedOn w:val="Normal"/>
    <w:link w:val="NotadecuadroCar"/>
    <w:qFormat/>
    <w:rsid w:val="00D4369D"/>
    <w:pPr>
      <w:spacing w:before="120" w:after="120"/>
      <w:contextualSpacing/>
      <w:jc w:val="both"/>
    </w:pPr>
    <w:rPr>
      <w:rFonts w:ascii="ITC Avant Garde" w:hAnsi="ITC Avant Garde"/>
      <w:sz w:val="18"/>
    </w:rPr>
  </w:style>
  <w:style w:type="character" w:customStyle="1" w:styleId="NotadecuadroCar">
    <w:name w:val="Nota de cuadro Car"/>
    <w:basedOn w:val="Fuentedeprrafopredeter"/>
    <w:link w:val="Notadecuadro"/>
    <w:rsid w:val="00D4369D"/>
    <w:rPr>
      <w:rFonts w:ascii="ITC Avant Garde" w:eastAsia="Calibri" w:hAnsi="ITC Avant Garde" w:cs="Times New Roman"/>
      <w:sz w:val="18"/>
    </w:rPr>
  </w:style>
  <w:style w:type="paragraph" w:styleId="TDC8">
    <w:name w:val="toc 8"/>
    <w:basedOn w:val="Normal"/>
    <w:next w:val="Normal"/>
    <w:autoRedefine/>
    <w:uiPriority w:val="39"/>
    <w:semiHidden/>
    <w:unhideWhenUsed/>
    <w:rsid w:val="00E14330"/>
    <w:pPr>
      <w:spacing w:after="100"/>
      <w:ind w:left="1540"/>
    </w:pPr>
  </w:style>
  <w:style w:type="character" w:customStyle="1" w:styleId="Cuerpodeltexto">
    <w:name w:val="Cuerpo del texto_"/>
    <w:link w:val="Cuerpodeltexto0"/>
    <w:rsid w:val="008336EA"/>
    <w:rPr>
      <w:rFonts w:ascii="Times New Roman" w:eastAsia="Times New Roman" w:hAnsi="Times New Roman"/>
      <w:sz w:val="23"/>
      <w:szCs w:val="23"/>
      <w:shd w:val="clear" w:color="auto" w:fill="FFFFFF"/>
    </w:rPr>
  </w:style>
  <w:style w:type="paragraph" w:customStyle="1" w:styleId="Cuerpodeltexto0">
    <w:name w:val="Cuerpo del texto"/>
    <w:basedOn w:val="Normal"/>
    <w:link w:val="Cuerpodeltexto"/>
    <w:rsid w:val="008336EA"/>
    <w:pPr>
      <w:shd w:val="clear" w:color="auto" w:fill="FFFFFF"/>
      <w:spacing w:before="240" w:after="600" w:line="0" w:lineRule="atLeast"/>
      <w:ind w:hanging="260"/>
      <w:jc w:val="right"/>
    </w:pPr>
    <w:rPr>
      <w:rFonts w:ascii="Times New Roman" w:eastAsia="Times New Roman" w:hAnsi="Times New Roman" w:cstheme="minorBidi"/>
      <w:sz w:val="23"/>
      <w:szCs w:val="23"/>
    </w:rPr>
  </w:style>
  <w:style w:type="character" w:customStyle="1" w:styleId="Ttulo5Car">
    <w:name w:val="Título 5 Car"/>
    <w:basedOn w:val="Fuentedeprrafopredeter"/>
    <w:link w:val="Ttulo5"/>
    <w:uiPriority w:val="9"/>
    <w:rsid w:val="00341225"/>
    <w:rPr>
      <w:rFonts w:asciiTheme="majorHAnsi" w:eastAsiaTheme="majorEastAsia" w:hAnsiTheme="majorHAnsi" w:cstheme="majorBidi"/>
      <w:color w:val="2E74B5" w:themeColor="accent1" w:themeShade="BF"/>
    </w:rPr>
  </w:style>
  <w:style w:type="character" w:customStyle="1" w:styleId="visitado">
    <w:name w:val="visitado"/>
    <w:basedOn w:val="Fuentedeprrafopredeter"/>
    <w:rsid w:val="00AD1218"/>
  </w:style>
  <w:style w:type="table" w:customStyle="1" w:styleId="Tablanormal41">
    <w:name w:val="Tabla normal 41"/>
    <w:basedOn w:val="Tablanormal"/>
    <w:uiPriority w:val="99"/>
    <w:rsid w:val="001D3B43"/>
    <w:pPr>
      <w:spacing w:after="0" w:line="240" w:lineRule="auto"/>
    </w:pPr>
    <w:rPr>
      <w:lang w:val="en-US" w:bidi="he-I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extobajocuadro">
    <w:name w:val="Texto bajo cuadro"/>
    <w:basedOn w:val="Normal"/>
    <w:link w:val="TextobajocuadroCar"/>
    <w:autoRedefine/>
    <w:uiPriority w:val="1"/>
    <w:qFormat/>
    <w:rsid w:val="00A95B39"/>
    <w:pPr>
      <w:spacing w:after="0" w:line="240" w:lineRule="auto"/>
      <w:ind w:left="-142" w:right="-142"/>
      <w:jc w:val="both"/>
    </w:pPr>
    <w:rPr>
      <w:rFonts w:ascii="ITC Avant Garde" w:eastAsiaTheme="minorHAnsi" w:hAnsi="ITC Avant Garde" w:cstheme="minorBidi"/>
      <w:sz w:val="16"/>
      <w:szCs w:val="16"/>
      <w:lang w:val="es-ES_tradnl" w:eastAsia="es-MX"/>
    </w:rPr>
  </w:style>
  <w:style w:type="character" w:customStyle="1" w:styleId="TextobajocuadroCar">
    <w:name w:val="Texto bajo cuadro Car"/>
    <w:basedOn w:val="Fuentedeprrafopredeter"/>
    <w:link w:val="Textobajocuadro"/>
    <w:uiPriority w:val="1"/>
    <w:rsid w:val="00A95B39"/>
    <w:rPr>
      <w:rFonts w:ascii="ITC Avant Garde" w:hAnsi="ITC Avant Garde"/>
      <w:sz w:val="16"/>
      <w:szCs w:val="16"/>
      <w:lang w:val="es-ES_tradnl" w:eastAsia="es-MX"/>
    </w:rPr>
  </w:style>
  <w:style w:type="table" w:customStyle="1" w:styleId="Tablaconcuadrcula1">
    <w:name w:val="Tabla con cuadrícula1"/>
    <w:basedOn w:val="Tablanormal"/>
    <w:next w:val="Tablaconcuadrcula"/>
    <w:uiPriority w:val="39"/>
    <w:rsid w:val="002625A6"/>
    <w:pPr>
      <w:spacing w:after="0" w:line="240" w:lineRule="auto"/>
    </w:pPr>
    <w:rPr>
      <w:rFonts w:ascii="Times New Roman" w:eastAsia="Times New Roman" w:hAnsi="Times New Roman" w:cs="Times New Roman"/>
      <w:sz w:val="20"/>
      <w:szCs w:val="20"/>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39"/>
    <w:rsid w:val="00583E9A"/>
    <w:pPr>
      <w:spacing w:after="0" w:line="240" w:lineRule="auto"/>
    </w:pPr>
    <w:rPr>
      <w:rFonts w:ascii="Times New Roman" w:eastAsia="Times New Roman" w:hAnsi="Times New Roman" w:cs="Times New Roman"/>
      <w:sz w:val="20"/>
      <w:szCs w:val="20"/>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
    <w:name w:val="Tabla con cuadrícula3"/>
    <w:basedOn w:val="Tablanormal"/>
    <w:next w:val="Tablaconcuadrcula"/>
    <w:uiPriority w:val="39"/>
    <w:rsid w:val="00583E9A"/>
    <w:pPr>
      <w:spacing w:after="0" w:line="240" w:lineRule="auto"/>
    </w:pPr>
    <w:rPr>
      <w:rFonts w:ascii="Times New Roman" w:eastAsia="Times New Roman" w:hAnsi="Times New Roman" w:cs="Times New Roman"/>
      <w:sz w:val="20"/>
      <w:szCs w:val="20"/>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1IFTCar">
    <w:name w:val="N1 IFT Car"/>
    <w:basedOn w:val="Fuentedeprrafopredeter"/>
    <w:link w:val="N1IFT"/>
    <w:locked/>
    <w:rsid w:val="00C01173"/>
    <w:rPr>
      <w:rFonts w:ascii="ITC Avant Garde" w:hAnsi="ITC Avant Garde"/>
      <w:b/>
      <w:bCs/>
      <w:color w:val="000000"/>
      <w:lang w:eastAsia="es-ES"/>
    </w:rPr>
  </w:style>
  <w:style w:type="paragraph" w:customStyle="1" w:styleId="N1IFT">
    <w:name w:val="N1 IFT"/>
    <w:basedOn w:val="Normal"/>
    <w:link w:val="N1IFTCar"/>
    <w:rsid w:val="00C01173"/>
    <w:pPr>
      <w:jc w:val="both"/>
    </w:pPr>
    <w:rPr>
      <w:rFonts w:ascii="ITC Avant Garde" w:eastAsiaTheme="minorHAnsi" w:hAnsi="ITC Avant Garde" w:cstheme="minorBidi"/>
      <w:b/>
      <w:bCs/>
      <w:color w:val="00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1348">
      <w:bodyDiv w:val="1"/>
      <w:marLeft w:val="0"/>
      <w:marRight w:val="0"/>
      <w:marTop w:val="0"/>
      <w:marBottom w:val="0"/>
      <w:divBdr>
        <w:top w:val="none" w:sz="0" w:space="0" w:color="auto"/>
        <w:left w:val="none" w:sz="0" w:space="0" w:color="auto"/>
        <w:bottom w:val="none" w:sz="0" w:space="0" w:color="auto"/>
        <w:right w:val="none" w:sz="0" w:space="0" w:color="auto"/>
      </w:divBdr>
    </w:div>
    <w:div w:id="62486728">
      <w:bodyDiv w:val="1"/>
      <w:marLeft w:val="0"/>
      <w:marRight w:val="0"/>
      <w:marTop w:val="0"/>
      <w:marBottom w:val="0"/>
      <w:divBdr>
        <w:top w:val="none" w:sz="0" w:space="0" w:color="auto"/>
        <w:left w:val="none" w:sz="0" w:space="0" w:color="auto"/>
        <w:bottom w:val="none" w:sz="0" w:space="0" w:color="auto"/>
        <w:right w:val="none" w:sz="0" w:space="0" w:color="auto"/>
      </w:divBdr>
    </w:div>
    <w:div w:id="72514381">
      <w:bodyDiv w:val="1"/>
      <w:marLeft w:val="0"/>
      <w:marRight w:val="0"/>
      <w:marTop w:val="0"/>
      <w:marBottom w:val="0"/>
      <w:divBdr>
        <w:top w:val="none" w:sz="0" w:space="0" w:color="auto"/>
        <w:left w:val="none" w:sz="0" w:space="0" w:color="auto"/>
        <w:bottom w:val="none" w:sz="0" w:space="0" w:color="auto"/>
        <w:right w:val="none" w:sz="0" w:space="0" w:color="auto"/>
      </w:divBdr>
    </w:div>
    <w:div w:id="86538464">
      <w:bodyDiv w:val="1"/>
      <w:marLeft w:val="0"/>
      <w:marRight w:val="0"/>
      <w:marTop w:val="0"/>
      <w:marBottom w:val="0"/>
      <w:divBdr>
        <w:top w:val="none" w:sz="0" w:space="0" w:color="auto"/>
        <w:left w:val="none" w:sz="0" w:space="0" w:color="auto"/>
        <w:bottom w:val="none" w:sz="0" w:space="0" w:color="auto"/>
        <w:right w:val="none" w:sz="0" w:space="0" w:color="auto"/>
      </w:divBdr>
    </w:div>
    <w:div w:id="112863998">
      <w:bodyDiv w:val="1"/>
      <w:marLeft w:val="0"/>
      <w:marRight w:val="0"/>
      <w:marTop w:val="0"/>
      <w:marBottom w:val="0"/>
      <w:divBdr>
        <w:top w:val="none" w:sz="0" w:space="0" w:color="auto"/>
        <w:left w:val="none" w:sz="0" w:space="0" w:color="auto"/>
        <w:bottom w:val="none" w:sz="0" w:space="0" w:color="auto"/>
        <w:right w:val="none" w:sz="0" w:space="0" w:color="auto"/>
      </w:divBdr>
    </w:div>
    <w:div w:id="131098948">
      <w:bodyDiv w:val="1"/>
      <w:marLeft w:val="0"/>
      <w:marRight w:val="0"/>
      <w:marTop w:val="0"/>
      <w:marBottom w:val="0"/>
      <w:divBdr>
        <w:top w:val="none" w:sz="0" w:space="0" w:color="auto"/>
        <w:left w:val="none" w:sz="0" w:space="0" w:color="auto"/>
        <w:bottom w:val="none" w:sz="0" w:space="0" w:color="auto"/>
        <w:right w:val="none" w:sz="0" w:space="0" w:color="auto"/>
      </w:divBdr>
    </w:div>
    <w:div w:id="156120758">
      <w:bodyDiv w:val="1"/>
      <w:marLeft w:val="0"/>
      <w:marRight w:val="0"/>
      <w:marTop w:val="0"/>
      <w:marBottom w:val="0"/>
      <w:divBdr>
        <w:top w:val="none" w:sz="0" w:space="0" w:color="auto"/>
        <w:left w:val="none" w:sz="0" w:space="0" w:color="auto"/>
        <w:bottom w:val="none" w:sz="0" w:space="0" w:color="auto"/>
        <w:right w:val="none" w:sz="0" w:space="0" w:color="auto"/>
      </w:divBdr>
    </w:div>
    <w:div w:id="186023866">
      <w:bodyDiv w:val="1"/>
      <w:marLeft w:val="0"/>
      <w:marRight w:val="0"/>
      <w:marTop w:val="0"/>
      <w:marBottom w:val="0"/>
      <w:divBdr>
        <w:top w:val="none" w:sz="0" w:space="0" w:color="auto"/>
        <w:left w:val="none" w:sz="0" w:space="0" w:color="auto"/>
        <w:bottom w:val="none" w:sz="0" w:space="0" w:color="auto"/>
        <w:right w:val="none" w:sz="0" w:space="0" w:color="auto"/>
      </w:divBdr>
    </w:div>
    <w:div w:id="212543814">
      <w:bodyDiv w:val="1"/>
      <w:marLeft w:val="0"/>
      <w:marRight w:val="0"/>
      <w:marTop w:val="0"/>
      <w:marBottom w:val="0"/>
      <w:divBdr>
        <w:top w:val="none" w:sz="0" w:space="0" w:color="auto"/>
        <w:left w:val="none" w:sz="0" w:space="0" w:color="auto"/>
        <w:bottom w:val="none" w:sz="0" w:space="0" w:color="auto"/>
        <w:right w:val="none" w:sz="0" w:space="0" w:color="auto"/>
      </w:divBdr>
    </w:div>
    <w:div w:id="268854116">
      <w:bodyDiv w:val="1"/>
      <w:marLeft w:val="0"/>
      <w:marRight w:val="0"/>
      <w:marTop w:val="0"/>
      <w:marBottom w:val="0"/>
      <w:divBdr>
        <w:top w:val="none" w:sz="0" w:space="0" w:color="auto"/>
        <w:left w:val="none" w:sz="0" w:space="0" w:color="auto"/>
        <w:bottom w:val="none" w:sz="0" w:space="0" w:color="auto"/>
        <w:right w:val="none" w:sz="0" w:space="0" w:color="auto"/>
      </w:divBdr>
    </w:div>
    <w:div w:id="390345710">
      <w:bodyDiv w:val="1"/>
      <w:marLeft w:val="0"/>
      <w:marRight w:val="0"/>
      <w:marTop w:val="0"/>
      <w:marBottom w:val="0"/>
      <w:divBdr>
        <w:top w:val="none" w:sz="0" w:space="0" w:color="auto"/>
        <w:left w:val="none" w:sz="0" w:space="0" w:color="auto"/>
        <w:bottom w:val="none" w:sz="0" w:space="0" w:color="auto"/>
        <w:right w:val="none" w:sz="0" w:space="0" w:color="auto"/>
      </w:divBdr>
    </w:div>
    <w:div w:id="446659671">
      <w:bodyDiv w:val="1"/>
      <w:marLeft w:val="0"/>
      <w:marRight w:val="0"/>
      <w:marTop w:val="0"/>
      <w:marBottom w:val="0"/>
      <w:divBdr>
        <w:top w:val="none" w:sz="0" w:space="0" w:color="auto"/>
        <w:left w:val="none" w:sz="0" w:space="0" w:color="auto"/>
        <w:bottom w:val="none" w:sz="0" w:space="0" w:color="auto"/>
        <w:right w:val="none" w:sz="0" w:space="0" w:color="auto"/>
      </w:divBdr>
    </w:div>
    <w:div w:id="454102923">
      <w:bodyDiv w:val="1"/>
      <w:marLeft w:val="0"/>
      <w:marRight w:val="0"/>
      <w:marTop w:val="0"/>
      <w:marBottom w:val="0"/>
      <w:divBdr>
        <w:top w:val="none" w:sz="0" w:space="0" w:color="auto"/>
        <w:left w:val="none" w:sz="0" w:space="0" w:color="auto"/>
        <w:bottom w:val="none" w:sz="0" w:space="0" w:color="auto"/>
        <w:right w:val="none" w:sz="0" w:space="0" w:color="auto"/>
      </w:divBdr>
    </w:div>
    <w:div w:id="460000716">
      <w:bodyDiv w:val="1"/>
      <w:marLeft w:val="0"/>
      <w:marRight w:val="0"/>
      <w:marTop w:val="0"/>
      <w:marBottom w:val="0"/>
      <w:divBdr>
        <w:top w:val="none" w:sz="0" w:space="0" w:color="auto"/>
        <w:left w:val="none" w:sz="0" w:space="0" w:color="auto"/>
        <w:bottom w:val="none" w:sz="0" w:space="0" w:color="auto"/>
        <w:right w:val="none" w:sz="0" w:space="0" w:color="auto"/>
      </w:divBdr>
    </w:div>
    <w:div w:id="475610753">
      <w:bodyDiv w:val="1"/>
      <w:marLeft w:val="0"/>
      <w:marRight w:val="0"/>
      <w:marTop w:val="0"/>
      <w:marBottom w:val="0"/>
      <w:divBdr>
        <w:top w:val="none" w:sz="0" w:space="0" w:color="auto"/>
        <w:left w:val="none" w:sz="0" w:space="0" w:color="auto"/>
        <w:bottom w:val="none" w:sz="0" w:space="0" w:color="auto"/>
        <w:right w:val="none" w:sz="0" w:space="0" w:color="auto"/>
      </w:divBdr>
    </w:div>
    <w:div w:id="514004096">
      <w:bodyDiv w:val="1"/>
      <w:marLeft w:val="0"/>
      <w:marRight w:val="0"/>
      <w:marTop w:val="0"/>
      <w:marBottom w:val="0"/>
      <w:divBdr>
        <w:top w:val="none" w:sz="0" w:space="0" w:color="auto"/>
        <w:left w:val="none" w:sz="0" w:space="0" w:color="auto"/>
        <w:bottom w:val="none" w:sz="0" w:space="0" w:color="auto"/>
        <w:right w:val="none" w:sz="0" w:space="0" w:color="auto"/>
      </w:divBdr>
    </w:div>
    <w:div w:id="526144985">
      <w:bodyDiv w:val="1"/>
      <w:marLeft w:val="0"/>
      <w:marRight w:val="0"/>
      <w:marTop w:val="0"/>
      <w:marBottom w:val="0"/>
      <w:divBdr>
        <w:top w:val="none" w:sz="0" w:space="0" w:color="auto"/>
        <w:left w:val="none" w:sz="0" w:space="0" w:color="auto"/>
        <w:bottom w:val="none" w:sz="0" w:space="0" w:color="auto"/>
        <w:right w:val="none" w:sz="0" w:space="0" w:color="auto"/>
      </w:divBdr>
    </w:div>
    <w:div w:id="551498342">
      <w:bodyDiv w:val="1"/>
      <w:marLeft w:val="0"/>
      <w:marRight w:val="0"/>
      <w:marTop w:val="0"/>
      <w:marBottom w:val="0"/>
      <w:divBdr>
        <w:top w:val="none" w:sz="0" w:space="0" w:color="auto"/>
        <w:left w:val="none" w:sz="0" w:space="0" w:color="auto"/>
        <w:bottom w:val="none" w:sz="0" w:space="0" w:color="auto"/>
        <w:right w:val="none" w:sz="0" w:space="0" w:color="auto"/>
      </w:divBdr>
    </w:div>
    <w:div w:id="596408429">
      <w:bodyDiv w:val="1"/>
      <w:marLeft w:val="0"/>
      <w:marRight w:val="0"/>
      <w:marTop w:val="0"/>
      <w:marBottom w:val="0"/>
      <w:divBdr>
        <w:top w:val="none" w:sz="0" w:space="0" w:color="auto"/>
        <w:left w:val="none" w:sz="0" w:space="0" w:color="auto"/>
        <w:bottom w:val="none" w:sz="0" w:space="0" w:color="auto"/>
        <w:right w:val="none" w:sz="0" w:space="0" w:color="auto"/>
      </w:divBdr>
    </w:div>
    <w:div w:id="615722016">
      <w:bodyDiv w:val="1"/>
      <w:marLeft w:val="0"/>
      <w:marRight w:val="0"/>
      <w:marTop w:val="0"/>
      <w:marBottom w:val="0"/>
      <w:divBdr>
        <w:top w:val="none" w:sz="0" w:space="0" w:color="auto"/>
        <w:left w:val="none" w:sz="0" w:space="0" w:color="auto"/>
        <w:bottom w:val="none" w:sz="0" w:space="0" w:color="auto"/>
        <w:right w:val="none" w:sz="0" w:space="0" w:color="auto"/>
      </w:divBdr>
    </w:div>
    <w:div w:id="644044278">
      <w:bodyDiv w:val="1"/>
      <w:marLeft w:val="0"/>
      <w:marRight w:val="0"/>
      <w:marTop w:val="0"/>
      <w:marBottom w:val="0"/>
      <w:divBdr>
        <w:top w:val="none" w:sz="0" w:space="0" w:color="auto"/>
        <w:left w:val="none" w:sz="0" w:space="0" w:color="auto"/>
        <w:bottom w:val="none" w:sz="0" w:space="0" w:color="auto"/>
        <w:right w:val="none" w:sz="0" w:space="0" w:color="auto"/>
      </w:divBdr>
    </w:div>
    <w:div w:id="673648373">
      <w:bodyDiv w:val="1"/>
      <w:marLeft w:val="0"/>
      <w:marRight w:val="0"/>
      <w:marTop w:val="0"/>
      <w:marBottom w:val="0"/>
      <w:divBdr>
        <w:top w:val="none" w:sz="0" w:space="0" w:color="auto"/>
        <w:left w:val="none" w:sz="0" w:space="0" w:color="auto"/>
        <w:bottom w:val="none" w:sz="0" w:space="0" w:color="auto"/>
        <w:right w:val="none" w:sz="0" w:space="0" w:color="auto"/>
      </w:divBdr>
      <w:divsChild>
        <w:div w:id="2007593523">
          <w:marLeft w:val="0"/>
          <w:marRight w:val="0"/>
          <w:marTop w:val="240"/>
          <w:marBottom w:val="0"/>
          <w:divBdr>
            <w:top w:val="none" w:sz="0" w:space="0" w:color="auto"/>
            <w:left w:val="none" w:sz="0" w:space="0" w:color="auto"/>
            <w:bottom w:val="none" w:sz="0" w:space="0" w:color="auto"/>
            <w:right w:val="none" w:sz="0" w:space="0" w:color="auto"/>
          </w:divBdr>
          <w:divsChild>
            <w:div w:id="659501590">
              <w:marLeft w:val="0"/>
              <w:marRight w:val="0"/>
              <w:marTop w:val="0"/>
              <w:marBottom w:val="0"/>
              <w:divBdr>
                <w:top w:val="none" w:sz="0" w:space="0" w:color="auto"/>
                <w:left w:val="none" w:sz="0" w:space="0" w:color="auto"/>
                <w:bottom w:val="none" w:sz="0" w:space="0" w:color="auto"/>
                <w:right w:val="none" w:sz="0" w:space="0" w:color="auto"/>
              </w:divBdr>
              <w:divsChild>
                <w:div w:id="1505247614">
                  <w:marLeft w:val="0"/>
                  <w:marRight w:val="0"/>
                  <w:marTop w:val="0"/>
                  <w:marBottom w:val="0"/>
                  <w:divBdr>
                    <w:top w:val="none" w:sz="0" w:space="0" w:color="auto"/>
                    <w:left w:val="none" w:sz="0" w:space="0" w:color="auto"/>
                    <w:bottom w:val="none" w:sz="0" w:space="0" w:color="auto"/>
                    <w:right w:val="none" w:sz="0" w:space="0" w:color="auto"/>
                  </w:divBdr>
                  <w:divsChild>
                    <w:div w:id="122672309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87563298">
      <w:bodyDiv w:val="1"/>
      <w:marLeft w:val="0"/>
      <w:marRight w:val="0"/>
      <w:marTop w:val="0"/>
      <w:marBottom w:val="0"/>
      <w:divBdr>
        <w:top w:val="none" w:sz="0" w:space="0" w:color="auto"/>
        <w:left w:val="none" w:sz="0" w:space="0" w:color="auto"/>
        <w:bottom w:val="none" w:sz="0" w:space="0" w:color="auto"/>
        <w:right w:val="none" w:sz="0" w:space="0" w:color="auto"/>
      </w:divBdr>
    </w:div>
    <w:div w:id="711345374">
      <w:bodyDiv w:val="1"/>
      <w:marLeft w:val="0"/>
      <w:marRight w:val="0"/>
      <w:marTop w:val="0"/>
      <w:marBottom w:val="0"/>
      <w:divBdr>
        <w:top w:val="none" w:sz="0" w:space="0" w:color="auto"/>
        <w:left w:val="none" w:sz="0" w:space="0" w:color="auto"/>
        <w:bottom w:val="none" w:sz="0" w:space="0" w:color="auto"/>
        <w:right w:val="none" w:sz="0" w:space="0" w:color="auto"/>
      </w:divBdr>
    </w:div>
    <w:div w:id="723023171">
      <w:bodyDiv w:val="1"/>
      <w:marLeft w:val="0"/>
      <w:marRight w:val="0"/>
      <w:marTop w:val="0"/>
      <w:marBottom w:val="0"/>
      <w:divBdr>
        <w:top w:val="none" w:sz="0" w:space="0" w:color="auto"/>
        <w:left w:val="none" w:sz="0" w:space="0" w:color="auto"/>
        <w:bottom w:val="none" w:sz="0" w:space="0" w:color="auto"/>
        <w:right w:val="none" w:sz="0" w:space="0" w:color="auto"/>
      </w:divBdr>
    </w:div>
    <w:div w:id="833296366">
      <w:bodyDiv w:val="1"/>
      <w:marLeft w:val="0"/>
      <w:marRight w:val="0"/>
      <w:marTop w:val="0"/>
      <w:marBottom w:val="0"/>
      <w:divBdr>
        <w:top w:val="none" w:sz="0" w:space="0" w:color="auto"/>
        <w:left w:val="none" w:sz="0" w:space="0" w:color="auto"/>
        <w:bottom w:val="none" w:sz="0" w:space="0" w:color="auto"/>
        <w:right w:val="none" w:sz="0" w:space="0" w:color="auto"/>
      </w:divBdr>
    </w:div>
    <w:div w:id="863708423">
      <w:bodyDiv w:val="1"/>
      <w:marLeft w:val="0"/>
      <w:marRight w:val="0"/>
      <w:marTop w:val="0"/>
      <w:marBottom w:val="0"/>
      <w:divBdr>
        <w:top w:val="none" w:sz="0" w:space="0" w:color="auto"/>
        <w:left w:val="none" w:sz="0" w:space="0" w:color="auto"/>
        <w:bottom w:val="none" w:sz="0" w:space="0" w:color="auto"/>
        <w:right w:val="none" w:sz="0" w:space="0" w:color="auto"/>
      </w:divBdr>
    </w:div>
    <w:div w:id="912936541">
      <w:bodyDiv w:val="1"/>
      <w:marLeft w:val="0"/>
      <w:marRight w:val="0"/>
      <w:marTop w:val="0"/>
      <w:marBottom w:val="0"/>
      <w:divBdr>
        <w:top w:val="none" w:sz="0" w:space="0" w:color="auto"/>
        <w:left w:val="none" w:sz="0" w:space="0" w:color="auto"/>
        <w:bottom w:val="none" w:sz="0" w:space="0" w:color="auto"/>
        <w:right w:val="none" w:sz="0" w:space="0" w:color="auto"/>
      </w:divBdr>
    </w:div>
    <w:div w:id="958875154">
      <w:bodyDiv w:val="1"/>
      <w:marLeft w:val="0"/>
      <w:marRight w:val="0"/>
      <w:marTop w:val="0"/>
      <w:marBottom w:val="0"/>
      <w:divBdr>
        <w:top w:val="none" w:sz="0" w:space="0" w:color="auto"/>
        <w:left w:val="none" w:sz="0" w:space="0" w:color="auto"/>
        <w:bottom w:val="none" w:sz="0" w:space="0" w:color="auto"/>
        <w:right w:val="none" w:sz="0" w:space="0" w:color="auto"/>
      </w:divBdr>
    </w:div>
    <w:div w:id="986976872">
      <w:bodyDiv w:val="1"/>
      <w:marLeft w:val="0"/>
      <w:marRight w:val="0"/>
      <w:marTop w:val="0"/>
      <w:marBottom w:val="0"/>
      <w:divBdr>
        <w:top w:val="none" w:sz="0" w:space="0" w:color="auto"/>
        <w:left w:val="none" w:sz="0" w:space="0" w:color="auto"/>
        <w:bottom w:val="none" w:sz="0" w:space="0" w:color="auto"/>
        <w:right w:val="none" w:sz="0" w:space="0" w:color="auto"/>
      </w:divBdr>
    </w:div>
    <w:div w:id="994990953">
      <w:bodyDiv w:val="1"/>
      <w:marLeft w:val="0"/>
      <w:marRight w:val="0"/>
      <w:marTop w:val="0"/>
      <w:marBottom w:val="0"/>
      <w:divBdr>
        <w:top w:val="none" w:sz="0" w:space="0" w:color="auto"/>
        <w:left w:val="none" w:sz="0" w:space="0" w:color="auto"/>
        <w:bottom w:val="none" w:sz="0" w:space="0" w:color="auto"/>
        <w:right w:val="none" w:sz="0" w:space="0" w:color="auto"/>
      </w:divBdr>
    </w:div>
    <w:div w:id="1091128060">
      <w:bodyDiv w:val="1"/>
      <w:marLeft w:val="0"/>
      <w:marRight w:val="0"/>
      <w:marTop w:val="0"/>
      <w:marBottom w:val="0"/>
      <w:divBdr>
        <w:top w:val="none" w:sz="0" w:space="0" w:color="auto"/>
        <w:left w:val="none" w:sz="0" w:space="0" w:color="auto"/>
        <w:bottom w:val="none" w:sz="0" w:space="0" w:color="auto"/>
        <w:right w:val="none" w:sz="0" w:space="0" w:color="auto"/>
      </w:divBdr>
      <w:divsChild>
        <w:div w:id="1848984415">
          <w:marLeft w:val="0"/>
          <w:marRight w:val="0"/>
          <w:marTop w:val="240"/>
          <w:marBottom w:val="0"/>
          <w:divBdr>
            <w:top w:val="none" w:sz="0" w:space="0" w:color="auto"/>
            <w:left w:val="none" w:sz="0" w:space="0" w:color="auto"/>
            <w:bottom w:val="none" w:sz="0" w:space="0" w:color="auto"/>
            <w:right w:val="none" w:sz="0" w:space="0" w:color="auto"/>
          </w:divBdr>
          <w:divsChild>
            <w:div w:id="4562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6689">
      <w:bodyDiv w:val="1"/>
      <w:marLeft w:val="0"/>
      <w:marRight w:val="0"/>
      <w:marTop w:val="0"/>
      <w:marBottom w:val="0"/>
      <w:divBdr>
        <w:top w:val="none" w:sz="0" w:space="0" w:color="auto"/>
        <w:left w:val="none" w:sz="0" w:space="0" w:color="auto"/>
        <w:bottom w:val="none" w:sz="0" w:space="0" w:color="auto"/>
        <w:right w:val="none" w:sz="0" w:space="0" w:color="auto"/>
      </w:divBdr>
    </w:div>
    <w:div w:id="1188517743">
      <w:bodyDiv w:val="1"/>
      <w:marLeft w:val="0"/>
      <w:marRight w:val="0"/>
      <w:marTop w:val="0"/>
      <w:marBottom w:val="0"/>
      <w:divBdr>
        <w:top w:val="none" w:sz="0" w:space="0" w:color="auto"/>
        <w:left w:val="none" w:sz="0" w:space="0" w:color="auto"/>
        <w:bottom w:val="none" w:sz="0" w:space="0" w:color="auto"/>
        <w:right w:val="none" w:sz="0" w:space="0" w:color="auto"/>
      </w:divBdr>
    </w:div>
    <w:div w:id="1205753846">
      <w:bodyDiv w:val="1"/>
      <w:marLeft w:val="0"/>
      <w:marRight w:val="0"/>
      <w:marTop w:val="0"/>
      <w:marBottom w:val="0"/>
      <w:divBdr>
        <w:top w:val="none" w:sz="0" w:space="0" w:color="auto"/>
        <w:left w:val="none" w:sz="0" w:space="0" w:color="auto"/>
        <w:bottom w:val="none" w:sz="0" w:space="0" w:color="auto"/>
        <w:right w:val="none" w:sz="0" w:space="0" w:color="auto"/>
      </w:divBdr>
    </w:div>
    <w:div w:id="1220094915">
      <w:bodyDiv w:val="1"/>
      <w:marLeft w:val="0"/>
      <w:marRight w:val="0"/>
      <w:marTop w:val="0"/>
      <w:marBottom w:val="0"/>
      <w:divBdr>
        <w:top w:val="none" w:sz="0" w:space="0" w:color="auto"/>
        <w:left w:val="none" w:sz="0" w:space="0" w:color="auto"/>
        <w:bottom w:val="none" w:sz="0" w:space="0" w:color="auto"/>
        <w:right w:val="none" w:sz="0" w:space="0" w:color="auto"/>
      </w:divBdr>
    </w:div>
    <w:div w:id="1229651982">
      <w:bodyDiv w:val="1"/>
      <w:marLeft w:val="0"/>
      <w:marRight w:val="0"/>
      <w:marTop w:val="0"/>
      <w:marBottom w:val="0"/>
      <w:divBdr>
        <w:top w:val="none" w:sz="0" w:space="0" w:color="auto"/>
        <w:left w:val="none" w:sz="0" w:space="0" w:color="auto"/>
        <w:bottom w:val="none" w:sz="0" w:space="0" w:color="auto"/>
        <w:right w:val="none" w:sz="0" w:space="0" w:color="auto"/>
      </w:divBdr>
    </w:div>
    <w:div w:id="1240362409">
      <w:bodyDiv w:val="1"/>
      <w:marLeft w:val="0"/>
      <w:marRight w:val="0"/>
      <w:marTop w:val="0"/>
      <w:marBottom w:val="0"/>
      <w:divBdr>
        <w:top w:val="none" w:sz="0" w:space="0" w:color="auto"/>
        <w:left w:val="none" w:sz="0" w:space="0" w:color="auto"/>
        <w:bottom w:val="none" w:sz="0" w:space="0" w:color="auto"/>
        <w:right w:val="none" w:sz="0" w:space="0" w:color="auto"/>
      </w:divBdr>
    </w:div>
    <w:div w:id="1300725075">
      <w:bodyDiv w:val="1"/>
      <w:marLeft w:val="0"/>
      <w:marRight w:val="0"/>
      <w:marTop w:val="0"/>
      <w:marBottom w:val="0"/>
      <w:divBdr>
        <w:top w:val="none" w:sz="0" w:space="0" w:color="auto"/>
        <w:left w:val="none" w:sz="0" w:space="0" w:color="auto"/>
        <w:bottom w:val="none" w:sz="0" w:space="0" w:color="auto"/>
        <w:right w:val="none" w:sz="0" w:space="0" w:color="auto"/>
      </w:divBdr>
    </w:div>
    <w:div w:id="1337076771">
      <w:bodyDiv w:val="1"/>
      <w:marLeft w:val="0"/>
      <w:marRight w:val="0"/>
      <w:marTop w:val="0"/>
      <w:marBottom w:val="0"/>
      <w:divBdr>
        <w:top w:val="none" w:sz="0" w:space="0" w:color="auto"/>
        <w:left w:val="none" w:sz="0" w:space="0" w:color="auto"/>
        <w:bottom w:val="none" w:sz="0" w:space="0" w:color="auto"/>
        <w:right w:val="none" w:sz="0" w:space="0" w:color="auto"/>
      </w:divBdr>
    </w:div>
    <w:div w:id="1354307343">
      <w:bodyDiv w:val="1"/>
      <w:marLeft w:val="0"/>
      <w:marRight w:val="0"/>
      <w:marTop w:val="0"/>
      <w:marBottom w:val="0"/>
      <w:divBdr>
        <w:top w:val="none" w:sz="0" w:space="0" w:color="auto"/>
        <w:left w:val="none" w:sz="0" w:space="0" w:color="auto"/>
        <w:bottom w:val="none" w:sz="0" w:space="0" w:color="auto"/>
        <w:right w:val="none" w:sz="0" w:space="0" w:color="auto"/>
      </w:divBdr>
    </w:div>
    <w:div w:id="1371958009">
      <w:bodyDiv w:val="1"/>
      <w:marLeft w:val="0"/>
      <w:marRight w:val="0"/>
      <w:marTop w:val="0"/>
      <w:marBottom w:val="0"/>
      <w:divBdr>
        <w:top w:val="none" w:sz="0" w:space="0" w:color="auto"/>
        <w:left w:val="none" w:sz="0" w:space="0" w:color="auto"/>
        <w:bottom w:val="none" w:sz="0" w:space="0" w:color="auto"/>
        <w:right w:val="none" w:sz="0" w:space="0" w:color="auto"/>
      </w:divBdr>
    </w:div>
    <w:div w:id="1377972785">
      <w:bodyDiv w:val="1"/>
      <w:marLeft w:val="0"/>
      <w:marRight w:val="0"/>
      <w:marTop w:val="0"/>
      <w:marBottom w:val="0"/>
      <w:divBdr>
        <w:top w:val="none" w:sz="0" w:space="0" w:color="auto"/>
        <w:left w:val="none" w:sz="0" w:space="0" w:color="auto"/>
        <w:bottom w:val="none" w:sz="0" w:space="0" w:color="auto"/>
        <w:right w:val="none" w:sz="0" w:space="0" w:color="auto"/>
      </w:divBdr>
      <w:divsChild>
        <w:div w:id="346905812">
          <w:marLeft w:val="720"/>
          <w:marRight w:val="0"/>
          <w:marTop w:val="0"/>
          <w:marBottom w:val="60"/>
          <w:divBdr>
            <w:top w:val="none" w:sz="0" w:space="0" w:color="auto"/>
            <w:left w:val="none" w:sz="0" w:space="0" w:color="auto"/>
            <w:bottom w:val="none" w:sz="0" w:space="0" w:color="auto"/>
            <w:right w:val="none" w:sz="0" w:space="0" w:color="auto"/>
          </w:divBdr>
        </w:div>
        <w:div w:id="1238400413">
          <w:marLeft w:val="720"/>
          <w:marRight w:val="0"/>
          <w:marTop w:val="0"/>
          <w:marBottom w:val="60"/>
          <w:divBdr>
            <w:top w:val="none" w:sz="0" w:space="0" w:color="auto"/>
            <w:left w:val="none" w:sz="0" w:space="0" w:color="auto"/>
            <w:bottom w:val="none" w:sz="0" w:space="0" w:color="auto"/>
            <w:right w:val="none" w:sz="0" w:space="0" w:color="auto"/>
          </w:divBdr>
        </w:div>
      </w:divsChild>
    </w:div>
    <w:div w:id="1382747056">
      <w:bodyDiv w:val="1"/>
      <w:marLeft w:val="0"/>
      <w:marRight w:val="0"/>
      <w:marTop w:val="0"/>
      <w:marBottom w:val="0"/>
      <w:divBdr>
        <w:top w:val="none" w:sz="0" w:space="0" w:color="auto"/>
        <w:left w:val="none" w:sz="0" w:space="0" w:color="auto"/>
        <w:bottom w:val="none" w:sz="0" w:space="0" w:color="auto"/>
        <w:right w:val="none" w:sz="0" w:space="0" w:color="auto"/>
      </w:divBdr>
      <w:divsChild>
        <w:div w:id="475217980">
          <w:marLeft w:val="0"/>
          <w:marRight w:val="0"/>
          <w:marTop w:val="0"/>
          <w:marBottom w:val="0"/>
          <w:divBdr>
            <w:top w:val="none" w:sz="0" w:space="0" w:color="auto"/>
            <w:left w:val="none" w:sz="0" w:space="0" w:color="auto"/>
            <w:bottom w:val="none" w:sz="0" w:space="0" w:color="auto"/>
            <w:right w:val="none" w:sz="0" w:space="0" w:color="auto"/>
          </w:divBdr>
          <w:divsChild>
            <w:div w:id="2037461216">
              <w:marLeft w:val="0"/>
              <w:marRight w:val="0"/>
              <w:marTop w:val="0"/>
              <w:marBottom w:val="0"/>
              <w:divBdr>
                <w:top w:val="none" w:sz="0" w:space="0" w:color="auto"/>
                <w:left w:val="none" w:sz="0" w:space="0" w:color="auto"/>
                <w:bottom w:val="none" w:sz="0" w:space="0" w:color="auto"/>
                <w:right w:val="none" w:sz="0" w:space="0" w:color="auto"/>
              </w:divBdr>
              <w:divsChild>
                <w:div w:id="470749675">
                  <w:marLeft w:val="0"/>
                  <w:marRight w:val="0"/>
                  <w:marTop w:val="0"/>
                  <w:marBottom w:val="0"/>
                  <w:divBdr>
                    <w:top w:val="none" w:sz="0" w:space="0" w:color="auto"/>
                    <w:left w:val="none" w:sz="0" w:space="0" w:color="auto"/>
                    <w:bottom w:val="none" w:sz="0" w:space="0" w:color="auto"/>
                    <w:right w:val="none" w:sz="0" w:space="0" w:color="auto"/>
                  </w:divBdr>
                  <w:divsChild>
                    <w:div w:id="1511290612">
                      <w:marLeft w:val="0"/>
                      <w:marRight w:val="0"/>
                      <w:marTop w:val="0"/>
                      <w:marBottom w:val="0"/>
                      <w:divBdr>
                        <w:top w:val="none" w:sz="0" w:space="0" w:color="auto"/>
                        <w:left w:val="none" w:sz="0" w:space="0" w:color="auto"/>
                        <w:bottom w:val="none" w:sz="0" w:space="0" w:color="auto"/>
                        <w:right w:val="none" w:sz="0" w:space="0" w:color="auto"/>
                      </w:divBdr>
                      <w:divsChild>
                        <w:div w:id="245194284">
                          <w:marLeft w:val="0"/>
                          <w:marRight w:val="0"/>
                          <w:marTop w:val="0"/>
                          <w:marBottom w:val="0"/>
                          <w:divBdr>
                            <w:top w:val="none" w:sz="0" w:space="0" w:color="auto"/>
                            <w:left w:val="none" w:sz="0" w:space="0" w:color="auto"/>
                            <w:bottom w:val="none" w:sz="0" w:space="0" w:color="auto"/>
                            <w:right w:val="none" w:sz="0" w:space="0" w:color="auto"/>
                          </w:divBdr>
                          <w:divsChild>
                            <w:div w:id="1595894748">
                              <w:marLeft w:val="0"/>
                              <w:marRight w:val="0"/>
                              <w:marTop w:val="0"/>
                              <w:marBottom w:val="0"/>
                              <w:divBdr>
                                <w:top w:val="none" w:sz="0" w:space="0" w:color="auto"/>
                                <w:left w:val="none" w:sz="0" w:space="0" w:color="auto"/>
                                <w:bottom w:val="none" w:sz="0" w:space="0" w:color="auto"/>
                                <w:right w:val="none" w:sz="0" w:space="0" w:color="auto"/>
                              </w:divBdr>
                              <w:divsChild>
                                <w:div w:id="1127971354">
                                  <w:marLeft w:val="0"/>
                                  <w:marRight w:val="0"/>
                                  <w:marTop w:val="0"/>
                                  <w:marBottom w:val="0"/>
                                  <w:divBdr>
                                    <w:top w:val="none" w:sz="0" w:space="0" w:color="auto"/>
                                    <w:left w:val="none" w:sz="0" w:space="0" w:color="auto"/>
                                    <w:bottom w:val="none" w:sz="0" w:space="0" w:color="auto"/>
                                    <w:right w:val="none" w:sz="0" w:space="0" w:color="auto"/>
                                  </w:divBdr>
                                  <w:divsChild>
                                    <w:div w:id="1350109650">
                                      <w:marLeft w:val="0"/>
                                      <w:marRight w:val="0"/>
                                      <w:marTop w:val="0"/>
                                      <w:marBottom w:val="0"/>
                                      <w:divBdr>
                                        <w:top w:val="none" w:sz="0" w:space="0" w:color="auto"/>
                                        <w:left w:val="none" w:sz="0" w:space="0" w:color="auto"/>
                                        <w:bottom w:val="none" w:sz="0" w:space="0" w:color="auto"/>
                                        <w:right w:val="none" w:sz="0" w:space="0" w:color="auto"/>
                                      </w:divBdr>
                                      <w:divsChild>
                                        <w:div w:id="1663776540">
                                          <w:marLeft w:val="0"/>
                                          <w:marRight w:val="0"/>
                                          <w:marTop w:val="0"/>
                                          <w:marBottom w:val="0"/>
                                          <w:divBdr>
                                            <w:top w:val="none" w:sz="0" w:space="0" w:color="auto"/>
                                            <w:left w:val="none" w:sz="0" w:space="0" w:color="auto"/>
                                            <w:bottom w:val="none" w:sz="0" w:space="0" w:color="auto"/>
                                            <w:right w:val="none" w:sz="0" w:space="0" w:color="auto"/>
                                          </w:divBdr>
                                          <w:divsChild>
                                            <w:div w:id="1582058133">
                                              <w:marLeft w:val="0"/>
                                              <w:marRight w:val="0"/>
                                              <w:marTop w:val="0"/>
                                              <w:marBottom w:val="0"/>
                                              <w:divBdr>
                                                <w:top w:val="single" w:sz="12" w:space="2" w:color="FFFFCC"/>
                                                <w:left w:val="single" w:sz="12" w:space="2" w:color="FFFFCC"/>
                                                <w:bottom w:val="single" w:sz="12" w:space="2" w:color="FFFFCC"/>
                                                <w:right w:val="single" w:sz="12" w:space="0" w:color="FFFFCC"/>
                                              </w:divBdr>
                                              <w:divsChild>
                                                <w:div w:id="1382628712">
                                                  <w:marLeft w:val="0"/>
                                                  <w:marRight w:val="0"/>
                                                  <w:marTop w:val="0"/>
                                                  <w:marBottom w:val="0"/>
                                                  <w:divBdr>
                                                    <w:top w:val="none" w:sz="0" w:space="0" w:color="auto"/>
                                                    <w:left w:val="none" w:sz="0" w:space="0" w:color="auto"/>
                                                    <w:bottom w:val="none" w:sz="0" w:space="0" w:color="auto"/>
                                                    <w:right w:val="none" w:sz="0" w:space="0" w:color="auto"/>
                                                  </w:divBdr>
                                                  <w:divsChild>
                                                    <w:div w:id="473956864">
                                                      <w:marLeft w:val="0"/>
                                                      <w:marRight w:val="0"/>
                                                      <w:marTop w:val="0"/>
                                                      <w:marBottom w:val="0"/>
                                                      <w:divBdr>
                                                        <w:top w:val="none" w:sz="0" w:space="0" w:color="auto"/>
                                                        <w:left w:val="none" w:sz="0" w:space="0" w:color="auto"/>
                                                        <w:bottom w:val="none" w:sz="0" w:space="0" w:color="auto"/>
                                                        <w:right w:val="none" w:sz="0" w:space="0" w:color="auto"/>
                                                      </w:divBdr>
                                                      <w:divsChild>
                                                        <w:div w:id="1213541336">
                                                          <w:marLeft w:val="0"/>
                                                          <w:marRight w:val="0"/>
                                                          <w:marTop w:val="0"/>
                                                          <w:marBottom w:val="0"/>
                                                          <w:divBdr>
                                                            <w:top w:val="none" w:sz="0" w:space="0" w:color="auto"/>
                                                            <w:left w:val="none" w:sz="0" w:space="0" w:color="auto"/>
                                                            <w:bottom w:val="none" w:sz="0" w:space="0" w:color="auto"/>
                                                            <w:right w:val="none" w:sz="0" w:space="0" w:color="auto"/>
                                                          </w:divBdr>
                                                          <w:divsChild>
                                                            <w:div w:id="892929863">
                                                              <w:marLeft w:val="0"/>
                                                              <w:marRight w:val="0"/>
                                                              <w:marTop w:val="0"/>
                                                              <w:marBottom w:val="0"/>
                                                              <w:divBdr>
                                                                <w:top w:val="none" w:sz="0" w:space="0" w:color="auto"/>
                                                                <w:left w:val="none" w:sz="0" w:space="0" w:color="auto"/>
                                                                <w:bottom w:val="none" w:sz="0" w:space="0" w:color="auto"/>
                                                                <w:right w:val="none" w:sz="0" w:space="0" w:color="auto"/>
                                                              </w:divBdr>
                                                              <w:divsChild>
                                                                <w:div w:id="1101022901">
                                                                  <w:marLeft w:val="0"/>
                                                                  <w:marRight w:val="0"/>
                                                                  <w:marTop w:val="0"/>
                                                                  <w:marBottom w:val="0"/>
                                                                  <w:divBdr>
                                                                    <w:top w:val="none" w:sz="0" w:space="0" w:color="auto"/>
                                                                    <w:left w:val="none" w:sz="0" w:space="0" w:color="auto"/>
                                                                    <w:bottom w:val="none" w:sz="0" w:space="0" w:color="auto"/>
                                                                    <w:right w:val="none" w:sz="0" w:space="0" w:color="auto"/>
                                                                  </w:divBdr>
                                                                  <w:divsChild>
                                                                    <w:div w:id="781921751">
                                                                      <w:marLeft w:val="0"/>
                                                                      <w:marRight w:val="0"/>
                                                                      <w:marTop w:val="0"/>
                                                                      <w:marBottom w:val="0"/>
                                                                      <w:divBdr>
                                                                        <w:top w:val="none" w:sz="0" w:space="0" w:color="auto"/>
                                                                        <w:left w:val="none" w:sz="0" w:space="0" w:color="auto"/>
                                                                        <w:bottom w:val="none" w:sz="0" w:space="0" w:color="auto"/>
                                                                        <w:right w:val="none" w:sz="0" w:space="0" w:color="auto"/>
                                                                      </w:divBdr>
                                                                      <w:divsChild>
                                                                        <w:div w:id="389307663">
                                                                          <w:marLeft w:val="0"/>
                                                                          <w:marRight w:val="0"/>
                                                                          <w:marTop w:val="0"/>
                                                                          <w:marBottom w:val="0"/>
                                                                          <w:divBdr>
                                                                            <w:top w:val="none" w:sz="0" w:space="0" w:color="auto"/>
                                                                            <w:left w:val="none" w:sz="0" w:space="0" w:color="auto"/>
                                                                            <w:bottom w:val="none" w:sz="0" w:space="0" w:color="auto"/>
                                                                            <w:right w:val="none" w:sz="0" w:space="0" w:color="auto"/>
                                                                          </w:divBdr>
                                                                          <w:divsChild>
                                                                            <w:div w:id="2001763838">
                                                                              <w:marLeft w:val="0"/>
                                                                              <w:marRight w:val="0"/>
                                                                              <w:marTop w:val="0"/>
                                                                              <w:marBottom w:val="0"/>
                                                                              <w:divBdr>
                                                                                <w:top w:val="none" w:sz="0" w:space="0" w:color="auto"/>
                                                                                <w:left w:val="none" w:sz="0" w:space="0" w:color="auto"/>
                                                                                <w:bottom w:val="none" w:sz="0" w:space="0" w:color="auto"/>
                                                                                <w:right w:val="none" w:sz="0" w:space="0" w:color="auto"/>
                                                                              </w:divBdr>
                                                                              <w:divsChild>
                                                                                <w:div w:id="255019306">
                                                                                  <w:marLeft w:val="0"/>
                                                                                  <w:marRight w:val="0"/>
                                                                                  <w:marTop w:val="0"/>
                                                                                  <w:marBottom w:val="0"/>
                                                                                  <w:divBdr>
                                                                                    <w:top w:val="none" w:sz="0" w:space="0" w:color="auto"/>
                                                                                    <w:left w:val="none" w:sz="0" w:space="0" w:color="auto"/>
                                                                                    <w:bottom w:val="none" w:sz="0" w:space="0" w:color="auto"/>
                                                                                    <w:right w:val="none" w:sz="0" w:space="0" w:color="auto"/>
                                                                                  </w:divBdr>
                                                                                  <w:divsChild>
                                                                                    <w:div w:id="1706951570">
                                                                                      <w:marLeft w:val="0"/>
                                                                                      <w:marRight w:val="0"/>
                                                                                      <w:marTop w:val="0"/>
                                                                                      <w:marBottom w:val="0"/>
                                                                                      <w:divBdr>
                                                                                        <w:top w:val="none" w:sz="0" w:space="0" w:color="auto"/>
                                                                                        <w:left w:val="none" w:sz="0" w:space="0" w:color="auto"/>
                                                                                        <w:bottom w:val="none" w:sz="0" w:space="0" w:color="auto"/>
                                                                                        <w:right w:val="none" w:sz="0" w:space="0" w:color="auto"/>
                                                                                      </w:divBdr>
                                                                                      <w:divsChild>
                                                                                        <w:div w:id="69237458">
                                                                                          <w:marLeft w:val="0"/>
                                                                                          <w:marRight w:val="120"/>
                                                                                          <w:marTop w:val="0"/>
                                                                                          <w:marBottom w:val="150"/>
                                                                                          <w:divBdr>
                                                                                            <w:top w:val="single" w:sz="2" w:space="0" w:color="EFEFEF"/>
                                                                                            <w:left w:val="single" w:sz="6" w:space="0" w:color="EFEFEF"/>
                                                                                            <w:bottom w:val="single" w:sz="6" w:space="0" w:color="E2E2E2"/>
                                                                                            <w:right w:val="single" w:sz="6" w:space="0" w:color="EFEFEF"/>
                                                                                          </w:divBdr>
                                                                                          <w:divsChild>
                                                                                            <w:div w:id="501504944">
                                                                                              <w:marLeft w:val="0"/>
                                                                                              <w:marRight w:val="0"/>
                                                                                              <w:marTop w:val="0"/>
                                                                                              <w:marBottom w:val="0"/>
                                                                                              <w:divBdr>
                                                                                                <w:top w:val="none" w:sz="0" w:space="0" w:color="auto"/>
                                                                                                <w:left w:val="none" w:sz="0" w:space="0" w:color="auto"/>
                                                                                                <w:bottom w:val="none" w:sz="0" w:space="0" w:color="auto"/>
                                                                                                <w:right w:val="none" w:sz="0" w:space="0" w:color="auto"/>
                                                                                              </w:divBdr>
                                                                                              <w:divsChild>
                                                                                                <w:div w:id="989479341">
                                                                                                  <w:marLeft w:val="0"/>
                                                                                                  <w:marRight w:val="0"/>
                                                                                                  <w:marTop w:val="0"/>
                                                                                                  <w:marBottom w:val="0"/>
                                                                                                  <w:divBdr>
                                                                                                    <w:top w:val="none" w:sz="0" w:space="0" w:color="auto"/>
                                                                                                    <w:left w:val="none" w:sz="0" w:space="0" w:color="auto"/>
                                                                                                    <w:bottom w:val="none" w:sz="0" w:space="0" w:color="auto"/>
                                                                                                    <w:right w:val="none" w:sz="0" w:space="0" w:color="auto"/>
                                                                                                  </w:divBdr>
                                                                                                  <w:divsChild>
                                                                                                    <w:div w:id="1405761935">
                                                                                                      <w:marLeft w:val="0"/>
                                                                                                      <w:marRight w:val="0"/>
                                                                                                      <w:marTop w:val="0"/>
                                                                                                      <w:marBottom w:val="0"/>
                                                                                                      <w:divBdr>
                                                                                                        <w:top w:val="none" w:sz="0" w:space="0" w:color="auto"/>
                                                                                                        <w:left w:val="none" w:sz="0" w:space="0" w:color="auto"/>
                                                                                                        <w:bottom w:val="none" w:sz="0" w:space="0" w:color="auto"/>
                                                                                                        <w:right w:val="none" w:sz="0" w:space="0" w:color="auto"/>
                                                                                                      </w:divBdr>
                                                                                                      <w:divsChild>
                                                                                                        <w:div w:id="1081221898">
                                                                                                          <w:marLeft w:val="0"/>
                                                                                                          <w:marRight w:val="0"/>
                                                                                                          <w:marTop w:val="0"/>
                                                                                                          <w:marBottom w:val="0"/>
                                                                                                          <w:divBdr>
                                                                                                            <w:top w:val="none" w:sz="0" w:space="0" w:color="auto"/>
                                                                                                            <w:left w:val="none" w:sz="0" w:space="0" w:color="auto"/>
                                                                                                            <w:bottom w:val="none" w:sz="0" w:space="0" w:color="auto"/>
                                                                                                            <w:right w:val="none" w:sz="0" w:space="0" w:color="auto"/>
                                                                                                          </w:divBdr>
                                                                                                          <w:divsChild>
                                                                                                            <w:div w:id="385181695">
                                                                                                              <w:marLeft w:val="0"/>
                                                                                                              <w:marRight w:val="0"/>
                                                                                                              <w:marTop w:val="0"/>
                                                                                                              <w:marBottom w:val="0"/>
                                                                                                              <w:divBdr>
                                                                                                                <w:top w:val="single" w:sz="2" w:space="4" w:color="D0D0D0"/>
                                                                                                                <w:left w:val="single" w:sz="2" w:space="0" w:color="D0D0D0"/>
                                                                                                                <w:bottom w:val="single" w:sz="2" w:space="4" w:color="D0D0D0"/>
                                                                                                                <w:right w:val="single" w:sz="2" w:space="0" w:color="D0D0D0"/>
                                                                                                              </w:divBdr>
                                                                                                              <w:divsChild>
                                                                                                                <w:div w:id="268006962">
                                                                                                                  <w:marLeft w:val="225"/>
                                                                                                                  <w:marRight w:val="225"/>
                                                                                                                  <w:marTop w:val="75"/>
                                                                                                                  <w:marBottom w:val="75"/>
                                                                                                                  <w:divBdr>
                                                                                                                    <w:top w:val="none" w:sz="0" w:space="0" w:color="auto"/>
                                                                                                                    <w:left w:val="none" w:sz="0" w:space="0" w:color="auto"/>
                                                                                                                    <w:bottom w:val="none" w:sz="0" w:space="0" w:color="auto"/>
                                                                                                                    <w:right w:val="none" w:sz="0" w:space="0" w:color="auto"/>
                                                                                                                  </w:divBdr>
                                                                                                                  <w:divsChild>
                                                                                                                    <w:div w:id="853224878">
                                                                                                                      <w:marLeft w:val="0"/>
                                                                                                                      <w:marRight w:val="0"/>
                                                                                                                      <w:marTop w:val="0"/>
                                                                                                                      <w:marBottom w:val="0"/>
                                                                                                                      <w:divBdr>
                                                                                                                        <w:top w:val="single" w:sz="6" w:space="0" w:color="auto"/>
                                                                                                                        <w:left w:val="single" w:sz="6" w:space="0" w:color="auto"/>
                                                                                                                        <w:bottom w:val="single" w:sz="6" w:space="0" w:color="auto"/>
                                                                                                                        <w:right w:val="single" w:sz="6" w:space="0" w:color="auto"/>
                                                                                                                      </w:divBdr>
                                                                                                                      <w:divsChild>
                                                                                                                        <w:div w:id="8922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714223">
      <w:bodyDiv w:val="1"/>
      <w:marLeft w:val="0"/>
      <w:marRight w:val="0"/>
      <w:marTop w:val="0"/>
      <w:marBottom w:val="0"/>
      <w:divBdr>
        <w:top w:val="none" w:sz="0" w:space="0" w:color="auto"/>
        <w:left w:val="none" w:sz="0" w:space="0" w:color="auto"/>
        <w:bottom w:val="none" w:sz="0" w:space="0" w:color="auto"/>
        <w:right w:val="none" w:sz="0" w:space="0" w:color="auto"/>
      </w:divBdr>
    </w:div>
    <w:div w:id="1491671299">
      <w:bodyDiv w:val="1"/>
      <w:marLeft w:val="0"/>
      <w:marRight w:val="0"/>
      <w:marTop w:val="0"/>
      <w:marBottom w:val="0"/>
      <w:divBdr>
        <w:top w:val="none" w:sz="0" w:space="0" w:color="auto"/>
        <w:left w:val="none" w:sz="0" w:space="0" w:color="auto"/>
        <w:bottom w:val="none" w:sz="0" w:space="0" w:color="auto"/>
        <w:right w:val="none" w:sz="0" w:space="0" w:color="auto"/>
      </w:divBdr>
    </w:div>
    <w:div w:id="1530801888">
      <w:bodyDiv w:val="1"/>
      <w:marLeft w:val="0"/>
      <w:marRight w:val="0"/>
      <w:marTop w:val="0"/>
      <w:marBottom w:val="0"/>
      <w:divBdr>
        <w:top w:val="none" w:sz="0" w:space="0" w:color="auto"/>
        <w:left w:val="none" w:sz="0" w:space="0" w:color="auto"/>
        <w:bottom w:val="none" w:sz="0" w:space="0" w:color="auto"/>
        <w:right w:val="none" w:sz="0" w:space="0" w:color="auto"/>
      </w:divBdr>
    </w:div>
    <w:div w:id="1644895150">
      <w:bodyDiv w:val="1"/>
      <w:marLeft w:val="0"/>
      <w:marRight w:val="0"/>
      <w:marTop w:val="0"/>
      <w:marBottom w:val="0"/>
      <w:divBdr>
        <w:top w:val="none" w:sz="0" w:space="0" w:color="auto"/>
        <w:left w:val="none" w:sz="0" w:space="0" w:color="auto"/>
        <w:bottom w:val="none" w:sz="0" w:space="0" w:color="auto"/>
        <w:right w:val="none" w:sz="0" w:space="0" w:color="auto"/>
      </w:divBdr>
    </w:div>
    <w:div w:id="1726099051">
      <w:bodyDiv w:val="1"/>
      <w:marLeft w:val="0"/>
      <w:marRight w:val="0"/>
      <w:marTop w:val="0"/>
      <w:marBottom w:val="0"/>
      <w:divBdr>
        <w:top w:val="none" w:sz="0" w:space="0" w:color="auto"/>
        <w:left w:val="none" w:sz="0" w:space="0" w:color="auto"/>
        <w:bottom w:val="none" w:sz="0" w:space="0" w:color="auto"/>
        <w:right w:val="none" w:sz="0" w:space="0" w:color="auto"/>
      </w:divBdr>
    </w:div>
    <w:div w:id="1745643622">
      <w:bodyDiv w:val="1"/>
      <w:marLeft w:val="0"/>
      <w:marRight w:val="0"/>
      <w:marTop w:val="0"/>
      <w:marBottom w:val="0"/>
      <w:divBdr>
        <w:top w:val="none" w:sz="0" w:space="0" w:color="auto"/>
        <w:left w:val="none" w:sz="0" w:space="0" w:color="auto"/>
        <w:bottom w:val="none" w:sz="0" w:space="0" w:color="auto"/>
        <w:right w:val="none" w:sz="0" w:space="0" w:color="auto"/>
      </w:divBdr>
    </w:div>
    <w:div w:id="1805007078">
      <w:bodyDiv w:val="1"/>
      <w:marLeft w:val="0"/>
      <w:marRight w:val="0"/>
      <w:marTop w:val="0"/>
      <w:marBottom w:val="0"/>
      <w:divBdr>
        <w:top w:val="none" w:sz="0" w:space="0" w:color="auto"/>
        <w:left w:val="none" w:sz="0" w:space="0" w:color="auto"/>
        <w:bottom w:val="none" w:sz="0" w:space="0" w:color="auto"/>
        <w:right w:val="none" w:sz="0" w:space="0" w:color="auto"/>
      </w:divBdr>
    </w:div>
    <w:div w:id="1815945321">
      <w:bodyDiv w:val="1"/>
      <w:marLeft w:val="0"/>
      <w:marRight w:val="0"/>
      <w:marTop w:val="0"/>
      <w:marBottom w:val="0"/>
      <w:divBdr>
        <w:top w:val="none" w:sz="0" w:space="0" w:color="auto"/>
        <w:left w:val="none" w:sz="0" w:space="0" w:color="auto"/>
        <w:bottom w:val="none" w:sz="0" w:space="0" w:color="auto"/>
        <w:right w:val="none" w:sz="0" w:space="0" w:color="auto"/>
      </w:divBdr>
    </w:div>
    <w:div w:id="1871145995">
      <w:bodyDiv w:val="1"/>
      <w:marLeft w:val="0"/>
      <w:marRight w:val="0"/>
      <w:marTop w:val="0"/>
      <w:marBottom w:val="0"/>
      <w:divBdr>
        <w:top w:val="none" w:sz="0" w:space="0" w:color="auto"/>
        <w:left w:val="none" w:sz="0" w:space="0" w:color="auto"/>
        <w:bottom w:val="none" w:sz="0" w:space="0" w:color="auto"/>
        <w:right w:val="none" w:sz="0" w:space="0" w:color="auto"/>
      </w:divBdr>
    </w:div>
    <w:div w:id="1969823320">
      <w:bodyDiv w:val="1"/>
      <w:marLeft w:val="0"/>
      <w:marRight w:val="0"/>
      <w:marTop w:val="0"/>
      <w:marBottom w:val="0"/>
      <w:divBdr>
        <w:top w:val="none" w:sz="0" w:space="0" w:color="auto"/>
        <w:left w:val="none" w:sz="0" w:space="0" w:color="auto"/>
        <w:bottom w:val="none" w:sz="0" w:space="0" w:color="auto"/>
        <w:right w:val="none" w:sz="0" w:space="0" w:color="auto"/>
      </w:divBdr>
    </w:div>
    <w:div w:id="1986200884">
      <w:bodyDiv w:val="1"/>
      <w:marLeft w:val="0"/>
      <w:marRight w:val="0"/>
      <w:marTop w:val="0"/>
      <w:marBottom w:val="0"/>
      <w:divBdr>
        <w:top w:val="none" w:sz="0" w:space="0" w:color="auto"/>
        <w:left w:val="none" w:sz="0" w:space="0" w:color="auto"/>
        <w:bottom w:val="none" w:sz="0" w:space="0" w:color="auto"/>
        <w:right w:val="none" w:sz="0" w:space="0" w:color="auto"/>
      </w:divBdr>
    </w:div>
    <w:div w:id="2053724850">
      <w:bodyDiv w:val="1"/>
      <w:marLeft w:val="0"/>
      <w:marRight w:val="0"/>
      <w:marTop w:val="0"/>
      <w:marBottom w:val="0"/>
      <w:divBdr>
        <w:top w:val="none" w:sz="0" w:space="0" w:color="auto"/>
        <w:left w:val="none" w:sz="0" w:space="0" w:color="auto"/>
        <w:bottom w:val="none" w:sz="0" w:space="0" w:color="auto"/>
        <w:right w:val="none" w:sz="0" w:space="0" w:color="auto"/>
      </w:divBdr>
    </w:div>
    <w:div w:id="2114861598">
      <w:bodyDiv w:val="1"/>
      <w:marLeft w:val="0"/>
      <w:marRight w:val="0"/>
      <w:marTop w:val="0"/>
      <w:marBottom w:val="0"/>
      <w:divBdr>
        <w:top w:val="none" w:sz="0" w:space="0" w:color="auto"/>
        <w:left w:val="none" w:sz="0" w:space="0" w:color="auto"/>
        <w:bottom w:val="none" w:sz="0" w:space="0" w:color="auto"/>
        <w:right w:val="none" w:sz="0" w:space="0" w:color="auto"/>
      </w:divBdr>
    </w:div>
    <w:div w:id="211998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97264-D79A-4D05-8FC1-1F0909F642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D3414B-0AC5-4921-BA35-5CE25A821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1211045-DE92-4EE6-BC32-5A819DA82759}">
  <ds:schemaRefs>
    <ds:schemaRef ds:uri="http://schemas.microsoft.com/sharepoint/v3/contenttype/forms"/>
  </ds:schemaRefs>
</ds:datastoreItem>
</file>

<file path=customXml/itemProps4.xml><?xml version="1.0" encoding="utf-8"?>
<ds:datastoreItem xmlns:ds="http://schemas.openxmlformats.org/officeDocument/2006/customXml" ds:itemID="{C7B04AAE-88F4-410F-A376-38EC52F8A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13109</Words>
  <Characters>72105</Characters>
  <Application>Microsoft Office Word</Application>
  <DocSecurity>0</DocSecurity>
  <Lines>600</Lines>
  <Paragraphs>170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85044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2017-11-09T22:05:00Z</dcterms:created>
  <dcterms:modified xsi:type="dcterms:W3CDTF">2017-11-10T20:16:00Z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