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C1FF5" w14:textId="3FD0D013" w:rsidR="0050419A" w:rsidRPr="0050419A" w:rsidRDefault="0050419A" w:rsidP="0050419A">
      <w:pPr>
        <w:pStyle w:val="Ttulo1"/>
        <w:spacing w:before="40" w:after="240" w:line="240" w:lineRule="auto"/>
        <w:jc w:val="center"/>
        <w:rPr>
          <w:rFonts w:ascii="ITC Avant Garde" w:eastAsia="Times New Roman" w:hAnsi="ITC Avant Garde" w:cs="Times New Roman"/>
          <w:b/>
          <w:bCs/>
          <w:color w:val="auto"/>
          <w:kern w:val="36"/>
          <w:sz w:val="20"/>
          <w:szCs w:val="20"/>
          <w:lang w:eastAsia="es-MX"/>
        </w:rPr>
      </w:pPr>
      <w:bookmarkStart w:id="0" w:name="_GoBack"/>
      <w:bookmarkEnd w:id="0"/>
      <w:r w:rsidRPr="0050419A">
        <w:rPr>
          <w:rFonts w:ascii="ITC Avant Garde" w:eastAsia="Times New Roman" w:hAnsi="ITC Avant Garde" w:cs="Times New Roman"/>
          <w:b/>
          <w:bCs/>
          <w:color w:val="auto"/>
          <w:kern w:val="36"/>
          <w:sz w:val="20"/>
          <w:szCs w:val="20"/>
          <w:lang w:eastAsia="es-MX"/>
        </w:rPr>
        <w:t xml:space="preserve">VERSIÓN PÚBLICA DEL ACUERDO </w:t>
      </w:r>
      <w:r w:rsidR="00994516" w:rsidRPr="00994516">
        <w:rPr>
          <w:rFonts w:ascii="ITC Avant Garde" w:eastAsia="Times New Roman" w:hAnsi="ITC Avant Garde" w:cs="Times New Roman"/>
          <w:b/>
          <w:bCs/>
          <w:color w:val="auto"/>
          <w:kern w:val="36"/>
          <w:sz w:val="20"/>
          <w:szCs w:val="20"/>
          <w:lang w:eastAsia="es-MX"/>
        </w:rPr>
        <w:t>P/IFT/151117/702</w:t>
      </w:r>
    </w:p>
    <w:p w14:paraId="4852E527" w14:textId="7C274C11" w:rsidR="0050419A" w:rsidRPr="00A02715" w:rsidRDefault="0050419A" w:rsidP="0050419A">
      <w:pPr>
        <w:pStyle w:val="Textoindependiente"/>
        <w:spacing w:after="0" w:line="360" w:lineRule="auto"/>
        <w:jc w:val="center"/>
        <w:rPr>
          <w:rFonts w:ascii="ITC Avant Garde" w:eastAsia="Times New Roman" w:hAnsi="ITC Avant Garde"/>
          <w:b/>
          <w:bCs/>
          <w:color w:val="000000"/>
          <w:sz w:val="20"/>
          <w:szCs w:val="20"/>
          <w:lang w:eastAsia="es-MX"/>
        </w:rPr>
      </w:pPr>
      <w:r w:rsidRPr="00A02715">
        <w:rPr>
          <w:rFonts w:ascii="ITC Avant Garde" w:eastAsia="Times New Roman" w:hAnsi="ITC Avant Garde"/>
          <w:b/>
          <w:bCs/>
          <w:color w:val="000000"/>
          <w:sz w:val="20"/>
          <w:szCs w:val="20"/>
          <w:lang w:eastAsia="es-MX"/>
        </w:rPr>
        <w:t xml:space="preserve">DE LA SESIÓN DEL PLENO DEL INSTITUTO FEDERAL DE TELECOMUNICACIONES EN SU </w:t>
      </w:r>
      <w:r w:rsidR="00994516" w:rsidRPr="00392A21">
        <w:rPr>
          <w:rFonts w:ascii="ITC Avant Garde" w:hAnsi="ITC Avant Garde"/>
          <w:b/>
          <w:sz w:val="20"/>
          <w:szCs w:val="20"/>
        </w:rPr>
        <w:t>XLVII</w:t>
      </w:r>
      <w:r w:rsidR="00994516">
        <w:rPr>
          <w:rFonts w:ascii="ITC Avant Garde" w:hAnsi="ITC Avant Garde"/>
          <w:b/>
          <w:sz w:val="20"/>
          <w:szCs w:val="20"/>
        </w:rPr>
        <w:t xml:space="preserve"> </w:t>
      </w:r>
      <w:r w:rsidR="00994516" w:rsidRPr="00BD2557">
        <w:rPr>
          <w:rFonts w:ascii="ITC Avant Garde" w:hAnsi="ITC Avant Garde"/>
          <w:b/>
          <w:sz w:val="20"/>
          <w:szCs w:val="20"/>
        </w:rPr>
        <w:t>SESIÓN ORDINARIA DEL 201</w:t>
      </w:r>
      <w:r w:rsidR="00994516">
        <w:rPr>
          <w:rFonts w:ascii="ITC Avant Garde" w:hAnsi="ITC Avant Garde"/>
          <w:b/>
          <w:sz w:val="20"/>
          <w:szCs w:val="20"/>
        </w:rPr>
        <w:t>7</w:t>
      </w:r>
      <w:r w:rsidR="00994516" w:rsidRPr="00BD2557">
        <w:rPr>
          <w:rFonts w:ascii="ITC Avant Garde" w:hAnsi="ITC Avant Garde"/>
          <w:b/>
          <w:sz w:val="20"/>
          <w:szCs w:val="20"/>
        </w:rPr>
        <w:t xml:space="preserve">, CELEBRADA EL </w:t>
      </w:r>
      <w:r w:rsidR="00994516">
        <w:rPr>
          <w:rFonts w:ascii="ITC Avant Garde" w:hAnsi="ITC Avant Garde"/>
          <w:b/>
          <w:sz w:val="20"/>
          <w:szCs w:val="20"/>
        </w:rPr>
        <w:t>15</w:t>
      </w:r>
      <w:r w:rsidR="00994516" w:rsidRPr="00BD2557">
        <w:rPr>
          <w:rFonts w:ascii="ITC Avant Garde" w:hAnsi="ITC Avant Garde"/>
          <w:b/>
          <w:sz w:val="20"/>
          <w:szCs w:val="20"/>
        </w:rPr>
        <w:t xml:space="preserve"> DE </w:t>
      </w:r>
      <w:r w:rsidR="00994516">
        <w:rPr>
          <w:rFonts w:ascii="ITC Avant Garde" w:hAnsi="ITC Avant Garde"/>
          <w:b/>
          <w:sz w:val="20"/>
          <w:szCs w:val="20"/>
        </w:rPr>
        <w:t>NOVIEMBRE</w:t>
      </w:r>
      <w:r w:rsidR="00994516" w:rsidRPr="00BD2557">
        <w:rPr>
          <w:rFonts w:ascii="ITC Avant Garde" w:hAnsi="ITC Avant Garde"/>
          <w:b/>
          <w:sz w:val="20"/>
          <w:szCs w:val="20"/>
        </w:rPr>
        <w:t xml:space="preserve"> DE 2017</w:t>
      </w:r>
      <w:r w:rsidR="00994516">
        <w:rPr>
          <w:rFonts w:ascii="ITC Avant Garde" w:hAnsi="ITC Avant Garde"/>
          <w:b/>
          <w:sz w:val="20"/>
          <w:szCs w:val="20"/>
        </w:rPr>
        <w:t>.</w:t>
      </w:r>
    </w:p>
    <w:p w14:paraId="2F2DD945" w14:textId="77777777" w:rsidR="0050419A" w:rsidRPr="008E605A" w:rsidRDefault="0050419A" w:rsidP="0050419A">
      <w:pPr>
        <w:pStyle w:val="Ttulo2"/>
        <w:spacing w:before="360" w:after="240" w:line="360" w:lineRule="auto"/>
        <w:contextualSpacing/>
        <w:jc w:val="center"/>
        <w:rPr>
          <w:rFonts w:ascii="ITC Avant Garde" w:eastAsia="Arial" w:hAnsi="ITC Avant Garde" w:cs="Arial"/>
          <w:b/>
          <w:color w:val="000000"/>
          <w:sz w:val="21"/>
          <w:szCs w:val="21"/>
          <w:lang w:eastAsia="es-MX"/>
        </w:rPr>
      </w:pPr>
      <w:r w:rsidRPr="008E605A">
        <w:rPr>
          <w:rFonts w:ascii="ITC Avant Garde" w:eastAsia="Arial" w:hAnsi="ITC Avant Garde" w:cs="Arial"/>
          <w:b/>
          <w:color w:val="000000"/>
          <w:sz w:val="21"/>
          <w:szCs w:val="21"/>
          <w:lang w:eastAsia="es-MX"/>
        </w:rPr>
        <w:t>LEYENDA DE LA CLASIFICACIÓN</w:t>
      </w:r>
    </w:p>
    <w:p w14:paraId="0CF4E637" w14:textId="7B2E8BB9" w:rsidR="0050419A" w:rsidRPr="00D410D5" w:rsidRDefault="0050419A" w:rsidP="0050419A">
      <w:pPr>
        <w:pStyle w:val="Textoindependiente"/>
        <w:spacing w:after="0" w:line="360" w:lineRule="auto"/>
        <w:jc w:val="both"/>
        <w:rPr>
          <w:rFonts w:ascii="ITC Avant Garde" w:eastAsia="Times New Roman" w:hAnsi="ITC Avant Garde"/>
          <w:bCs/>
          <w:color w:val="000000"/>
          <w:sz w:val="20"/>
          <w:szCs w:val="20"/>
          <w:lang w:eastAsia="es-MX"/>
        </w:rPr>
      </w:pPr>
      <w:r w:rsidRPr="00D410D5">
        <w:rPr>
          <w:rFonts w:ascii="ITC Avant Garde" w:eastAsia="Times New Roman" w:hAnsi="ITC Avant Garde"/>
          <w:b/>
          <w:bCs/>
          <w:color w:val="000000"/>
          <w:sz w:val="20"/>
          <w:szCs w:val="20"/>
          <w:lang w:eastAsia="es-MX"/>
        </w:rPr>
        <w:t>Fecha de Clasificación:</w:t>
      </w:r>
      <w:r w:rsidRPr="00D410D5">
        <w:rPr>
          <w:rFonts w:ascii="ITC Avant Garde" w:eastAsia="Times New Roman" w:hAnsi="ITC Avant Garde"/>
          <w:bCs/>
          <w:color w:val="000000"/>
          <w:sz w:val="20"/>
          <w:szCs w:val="20"/>
          <w:lang w:eastAsia="es-MX"/>
        </w:rPr>
        <w:t xml:space="preserve"> </w:t>
      </w:r>
      <w:r w:rsidR="00994516" w:rsidRPr="00392A21">
        <w:rPr>
          <w:rFonts w:ascii="ITC Avant Garde" w:hAnsi="ITC Avant Garde"/>
          <w:sz w:val="20"/>
          <w:szCs w:val="20"/>
        </w:rPr>
        <w:t>15 de noviembre de 2017</w:t>
      </w:r>
      <w:r w:rsidRPr="00D410D5">
        <w:rPr>
          <w:rFonts w:ascii="ITC Avant Garde" w:eastAsia="Times New Roman" w:hAnsi="ITC Avant Garde"/>
          <w:bCs/>
          <w:color w:val="000000"/>
          <w:sz w:val="20"/>
          <w:szCs w:val="20"/>
          <w:lang w:eastAsia="es-MX"/>
        </w:rPr>
        <w:t xml:space="preserve">. </w:t>
      </w:r>
    </w:p>
    <w:p w14:paraId="3A1FDF87" w14:textId="77777777" w:rsidR="00994516" w:rsidRPr="005D741C" w:rsidRDefault="0050419A" w:rsidP="00994516">
      <w:pPr>
        <w:pStyle w:val="Textoindependiente"/>
        <w:spacing w:after="0" w:line="360" w:lineRule="auto"/>
        <w:jc w:val="both"/>
        <w:rPr>
          <w:rFonts w:ascii="ITC Avant Garde" w:hAnsi="ITC Avant Garde" w:cs="Tahoma"/>
          <w:color w:val="000000"/>
          <w:sz w:val="20"/>
          <w:szCs w:val="20"/>
          <w:lang w:eastAsia="es-MX"/>
        </w:rPr>
      </w:pPr>
      <w:r w:rsidRPr="00D410D5">
        <w:rPr>
          <w:rFonts w:ascii="ITC Avant Garde" w:hAnsi="ITC Avant Garde"/>
          <w:b/>
          <w:sz w:val="20"/>
          <w:szCs w:val="20"/>
        </w:rPr>
        <w:t>Unidad Administrativa</w:t>
      </w:r>
      <w:r w:rsidRPr="00D410D5">
        <w:rPr>
          <w:rFonts w:ascii="ITC Avant Garde" w:hAnsi="ITC Avant Garde"/>
          <w:b/>
          <w:bCs/>
          <w:color w:val="000000"/>
          <w:sz w:val="20"/>
          <w:szCs w:val="20"/>
          <w:lang w:eastAsia="es-MX"/>
        </w:rPr>
        <w:t xml:space="preserve"> y Clasificación</w:t>
      </w:r>
      <w:r w:rsidRPr="00D410D5">
        <w:rPr>
          <w:rFonts w:ascii="ITC Avant Garde" w:hAnsi="ITC Avant Garde"/>
          <w:b/>
          <w:sz w:val="20"/>
          <w:szCs w:val="20"/>
        </w:rPr>
        <w:t>:</w:t>
      </w:r>
      <w:r w:rsidRPr="00D410D5">
        <w:rPr>
          <w:rFonts w:ascii="ITC Avant Garde" w:hAnsi="ITC Avant Garde"/>
          <w:sz w:val="20"/>
          <w:szCs w:val="20"/>
        </w:rPr>
        <w:t xml:space="preserve"> </w:t>
      </w:r>
      <w:r w:rsidR="00994516" w:rsidRPr="00392A21">
        <w:rPr>
          <w:rFonts w:ascii="ITC Avant Garde" w:hAnsi="ITC Avant Garde" w:cs="Tahoma"/>
          <w:color w:val="000000"/>
          <w:sz w:val="20"/>
          <w:szCs w:val="20"/>
          <w:lang w:eastAsia="es-MX"/>
        </w:rPr>
        <w:t xml:space="preserve">Unidad de Concesiones y Servicios elabora versión pública y remite a la Secretaría Técnica del Pleno, mediante oficio IFT/223/UCS/DG-CTEL/1144/2018 el 22 de mayo de 2018, por contener información </w:t>
      </w:r>
      <w:r w:rsidR="00994516" w:rsidRPr="00392A21">
        <w:rPr>
          <w:rFonts w:ascii="ITC Avant Garde" w:hAnsi="ITC Avant Garde" w:cs="Tahoma"/>
          <w:b/>
          <w:color w:val="0000CC"/>
          <w:sz w:val="20"/>
          <w:szCs w:val="20"/>
          <w:lang w:eastAsia="es-MX"/>
        </w:rPr>
        <w:t>Confidencial</w:t>
      </w:r>
      <w:r w:rsidR="00994516" w:rsidRPr="00392A21">
        <w:rPr>
          <w:rFonts w:ascii="ITC Avant Garde" w:hAnsi="ITC Avant Garde" w:cs="Tahoma"/>
          <w:color w:val="000000"/>
          <w:sz w:val="20"/>
          <w:szCs w:val="20"/>
          <w:lang w:eastAsia="es-MX"/>
        </w:rPr>
        <w:t xml:space="preserve">, de conformidad con los artículos 72, fracción V, inciso c), 98, fracción III y 104 de la Ley Federal de Transparencia y Acceso a la Información Pública (“LFTAIP”); 106, 107 y 110 de la Ley General de Transparencia y Acceso a la Información Pública ("LGTAIP”); Lineamiento Séptimo, fracción III, Octavo, Noveno, Quincuagésimo Primero al </w:t>
      </w:r>
      <w:r w:rsidR="00994516" w:rsidRPr="00994516">
        <w:rPr>
          <w:rFonts w:ascii="ITC Avant Garde" w:hAnsi="ITC Avant Garde"/>
          <w:sz w:val="20"/>
          <w:szCs w:val="20"/>
        </w:rPr>
        <w:t>Tercero</w:t>
      </w:r>
      <w:r w:rsidR="00994516" w:rsidRPr="00392A21">
        <w:rPr>
          <w:rFonts w:ascii="ITC Avant Garde" w:hAnsi="ITC Avant Garde" w:cs="Tahoma"/>
          <w:color w:val="000000"/>
          <w:sz w:val="20"/>
          <w:szCs w:val="20"/>
          <w:lang w:eastAsia="es-MX"/>
        </w:rPr>
        <w:t>, Sexagésimo, Sexagésimo Primero y Sexagésimo Tercero de los Lineamientos Generales en materia de Clasificación y Desclasificación de la Información, así como para la Elaboración de Versiones Públicas (“LGCDIEVP”).</w:t>
      </w:r>
    </w:p>
    <w:p w14:paraId="21518048" w14:textId="3B6CA392" w:rsidR="0050419A" w:rsidRPr="00D410D5" w:rsidRDefault="0050419A" w:rsidP="0050419A">
      <w:pPr>
        <w:pStyle w:val="Textoindependiente"/>
        <w:spacing w:after="0" w:line="360" w:lineRule="auto"/>
        <w:jc w:val="both"/>
        <w:rPr>
          <w:rFonts w:ascii="ITC Avant Garde" w:eastAsia="Times New Roman" w:hAnsi="ITC Avant Garde"/>
          <w:bCs/>
          <w:color w:val="000000"/>
          <w:sz w:val="20"/>
          <w:szCs w:val="20"/>
          <w:lang w:eastAsia="es-MX"/>
        </w:rPr>
      </w:pPr>
      <w:r w:rsidRPr="00D410D5">
        <w:rPr>
          <w:rFonts w:ascii="ITC Avant Garde" w:eastAsia="Times New Roman" w:hAnsi="ITC Avant Garde"/>
          <w:b/>
          <w:bCs/>
          <w:color w:val="000000"/>
          <w:sz w:val="20"/>
          <w:szCs w:val="20"/>
          <w:lang w:eastAsia="es-MX"/>
        </w:rPr>
        <w:t>Núm. de Resolución:</w:t>
      </w:r>
      <w:r w:rsidRPr="00D410D5">
        <w:rPr>
          <w:rFonts w:ascii="ITC Avant Garde" w:eastAsia="Times New Roman" w:hAnsi="ITC Avant Garde"/>
          <w:bCs/>
          <w:color w:val="000000"/>
          <w:sz w:val="20"/>
          <w:szCs w:val="20"/>
          <w:lang w:eastAsia="es-MX"/>
        </w:rPr>
        <w:t xml:space="preserve"> </w:t>
      </w:r>
      <w:r w:rsidR="00994516" w:rsidRPr="00994516">
        <w:rPr>
          <w:rFonts w:ascii="ITC Avant Garde" w:hAnsi="ITC Avant Garde"/>
          <w:sz w:val="20"/>
          <w:szCs w:val="20"/>
        </w:rPr>
        <w:t>P/IFT/151117/702</w:t>
      </w:r>
      <w:r w:rsidRPr="00D410D5">
        <w:rPr>
          <w:rFonts w:ascii="ITC Avant Garde" w:hAnsi="ITC Avant Garde"/>
          <w:sz w:val="20"/>
          <w:szCs w:val="20"/>
        </w:rPr>
        <w:t>.</w:t>
      </w:r>
    </w:p>
    <w:p w14:paraId="4EB3135C" w14:textId="0C099FEC" w:rsidR="0050419A" w:rsidRPr="00D410D5" w:rsidRDefault="0050419A" w:rsidP="0050419A">
      <w:pPr>
        <w:pStyle w:val="Textoindependiente"/>
        <w:spacing w:after="0" w:line="360" w:lineRule="auto"/>
        <w:jc w:val="both"/>
        <w:rPr>
          <w:rFonts w:ascii="ITC Avant Garde" w:eastAsia="Times New Roman" w:hAnsi="ITC Avant Garde"/>
          <w:bCs/>
          <w:color w:val="000000"/>
          <w:sz w:val="20"/>
          <w:szCs w:val="20"/>
          <w:lang w:eastAsia="es-MX"/>
        </w:rPr>
      </w:pPr>
      <w:r w:rsidRPr="00D410D5">
        <w:rPr>
          <w:rFonts w:ascii="ITC Avant Garde" w:eastAsia="Times New Roman" w:hAnsi="ITC Avant Garde"/>
          <w:b/>
          <w:bCs/>
          <w:color w:val="000000"/>
          <w:sz w:val="20"/>
          <w:szCs w:val="20"/>
          <w:lang w:eastAsia="es-MX"/>
        </w:rPr>
        <w:t>Descripción del asunto:</w:t>
      </w:r>
      <w:r w:rsidRPr="00D410D5">
        <w:rPr>
          <w:rFonts w:ascii="ITC Avant Garde" w:eastAsia="Times New Roman" w:hAnsi="ITC Avant Garde"/>
          <w:bCs/>
          <w:color w:val="000000"/>
          <w:sz w:val="20"/>
          <w:szCs w:val="20"/>
          <w:lang w:eastAsia="es-MX"/>
        </w:rPr>
        <w:t xml:space="preserve"> </w:t>
      </w:r>
      <w:r w:rsidR="00994516" w:rsidRPr="00994516">
        <w:rPr>
          <w:rFonts w:ascii="ITC Avant Garde" w:hAnsi="ITC Avant Garde" w:cs="Tahoma"/>
          <w:color w:val="000000"/>
          <w:sz w:val="20"/>
          <w:szCs w:val="20"/>
          <w:lang w:eastAsia="es-MX"/>
        </w:rPr>
        <w:t>Resolución mediante la cual el Pleno del Instituto Federal de Telecomunicaciones autoriza la suscripción de acciones de la empresa Integración de Servicios y Tecnología, S.A. de C.V., titular de una concesión para instalar, operar y explotar una red pública de telecomunicaciones.</w:t>
      </w:r>
    </w:p>
    <w:p w14:paraId="46FA9C05" w14:textId="519EA82F" w:rsidR="0050419A" w:rsidRPr="00D410D5" w:rsidRDefault="0050419A" w:rsidP="0050419A">
      <w:pPr>
        <w:pStyle w:val="Textoindependiente"/>
        <w:spacing w:after="0" w:line="360" w:lineRule="auto"/>
        <w:jc w:val="both"/>
        <w:rPr>
          <w:rFonts w:ascii="ITC Avant Garde" w:hAnsi="ITC Avant Garde"/>
          <w:sz w:val="20"/>
          <w:szCs w:val="20"/>
        </w:rPr>
      </w:pPr>
      <w:r w:rsidRPr="00D410D5">
        <w:rPr>
          <w:rFonts w:ascii="ITC Avant Garde" w:eastAsia="Times New Roman" w:hAnsi="ITC Avant Garde"/>
          <w:b/>
          <w:bCs/>
          <w:color w:val="000000"/>
          <w:sz w:val="20"/>
          <w:szCs w:val="20"/>
          <w:lang w:eastAsia="es-MX"/>
        </w:rPr>
        <w:t>Fundamento legal:</w:t>
      </w:r>
      <w:r w:rsidRPr="00D410D5">
        <w:rPr>
          <w:rFonts w:ascii="ITC Avant Garde" w:eastAsia="Times New Roman" w:hAnsi="ITC Avant Garde"/>
          <w:bCs/>
          <w:color w:val="000000"/>
          <w:sz w:val="20"/>
          <w:szCs w:val="20"/>
          <w:lang w:eastAsia="es-MX"/>
        </w:rPr>
        <w:t xml:space="preserve"> </w:t>
      </w:r>
      <w:r w:rsidR="00994516" w:rsidRPr="00994516">
        <w:rPr>
          <w:rFonts w:ascii="ITC Avant Garde" w:hAnsi="ITC Avant Garde" w:cs="Tahoma"/>
          <w:color w:val="000000"/>
          <w:sz w:val="20"/>
          <w:szCs w:val="20"/>
          <w:lang w:eastAsia="es-MX"/>
        </w:rPr>
        <w:t>Confidencial con fundamento en el artículo 113, fracción I y II de la “LFTAIP” publicada en el Diario Oficial de la Federación (DOF) el 9 de mayo de 2016; el artículo 116 de la “LGTAIP”, publicada en el DOF el 4 de mayo de 2015; y el Lineamiento Trigésimo Octavo, fracción I y III de los “LCCDIEVP”, publicado en el DOF el 15 de abril de 2016.</w:t>
      </w:r>
    </w:p>
    <w:p w14:paraId="17403F5D" w14:textId="6BB465B3" w:rsidR="0050419A" w:rsidRPr="00D410D5" w:rsidRDefault="0050419A" w:rsidP="00994516">
      <w:pPr>
        <w:pStyle w:val="Textoindependiente"/>
        <w:spacing w:after="0" w:line="360" w:lineRule="auto"/>
        <w:jc w:val="both"/>
        <w:rPr>
          <w:rFonts w:ascii="ITC Avant Garde" w:eastAsia="Times New Roman" w:hAnsi="ITC Avant Garde"/>
          <w:bCs/>
          <w:color w:val="000000"/>
          <w:sz w:val="20"/>
          <w:szCs w:val="20"/>
          <w:lang w:eastAsia="es-MX"/>
        </w:rPr>
      </w:pPr>
      <w:r w:rsidRPr="00D410D5">
        <w:rPr>
          <w:rFonts w:ascii="ITC Avant Garde" w:eastAsia="Times New Roman" w:hAnsi="ITC Avant Garde"/>
          <w:b/>
          <w:bCs/>
          <w:color w:val="000000"/>
          <w:sz w:val="20"/>
          <w:szCs w:val="20"/>
          <w:lang w:eastAsia="es-MX"/>
        </w:rPr>
        <w:t>Motivación:</w:t>
      </w:r>
      <w:r w:rsidRPr="00D410D5">
        <w:rPr>
          <w:rFonts w:ascii="ITC Avant Garde" w:eastAsia="Times New Roman" w:hAnsi="ITC Avant Garde"/>
          <w:bCs/>
          <w:color w:val="000000"/>
          <w:sz w:val="20"/>
          <w:szCs w:val="20"/>
          <w:lang w:eastAsia="es-MX"/>
        </w:rPr>
        <w:t xml:space="preserve"> </w:t>
      </w:r>
      <w:r w:rsidR="00994516" w:rsidRPr="00994516">
        <w:rPr>
          <w:rFonts w:ascii="ITC Avant Garde" w:hAnsi="ITC Avant Garde" w:cs="Tahoma"/>
          <w:color w:val="000000"/>
          <w:sz w:val="20"/>
          <w:szCs w:val="20"/>
          <w:lang w:eastAsia="es-MX"/>
        </w:rPr>
        <w:t>Contiene datos personales concernientes a una persona identificada o identificable, así como información relacionada con secretos comerciales cuya titularidad corresponde a los particulares.</w:t>
      </w:r>
    </w:p>
    <w:p w14:paraId="16CB9A92" w14:textId="77777777" w:rsidR="0050419A" w:rsidRPr="00D410D5" w:rsidRDefault="0050419A" w:rsidP="0050419A">
      <w:pPr>
        <w:pStyle w:val="Textoindependiente"/>
        <w:spacing w:after="0" w:line="360" w:lineRule="auto"/>
        <w:jc w:val="both"/>
        <w:rPr>
          <w:rFonts w:ascii="ITC Avant Garde" w:eastAsia="Times New Roman" w:hAnsi="ITC Avant Garde"/>
          <w:bCs/>
          <w:color w:val="000000"/>
          <w:sz w:val="20"/>
          <w:szCs w:val="20"/>
          <w:lang w:eastAsia="es-MX"/>
        </w:rPr>
      </w:pPr>
      <w:r w:rsidRPr="00994516">
        <w:rPr>
          <w:rFonts w:ascii="ITC Avant Garde" w:eastAsia="Times New Roman" w:hAnsi="ITC Avant Garde"/>
          <w:b/>
          <w:bCs/>
          <w:color w:val="000000"/>
          <w:sz w:val="20"/>
          <w:szCs w:val="20"/>
          <w:lang w:eastAsia="es-MX"/>
        </w:rPr>
        <w:t>Secciones clasificadas:</w:t>
      </w:r>
      <w:r w:rsidRPr="00994516">
        <w:rPr>
          <w:rFonts w:ascii="ITC Avant Garde" w:eastAsia="Times New Roman" w:hAnsi="ITC Avant Garde"/>
          <w:bCs/>
          <w:color w:val="000000"/>
          <w:sz w:val="20"/>
          <w:szCs w:val="20"/>
          <w:lang w:eastAsia="es-MX"/>
        </w:rPr>
        <w:t xml:space="preserve"> Las secciones marcadas en color azul con la inscripción que dice </w:t>
      </w:r>
      <w:r w:rsidRPr="00994516">
        <w:rPr>
          <w:rFonts w:ascii="ITC Avant Garde" w:eastAsia="Times New Roman" w:hAnsi="ITC Avant Garde"/>
          <w:b/>
          <w:bCs/>
          <w:color w:val="0000CC"/>
          <w:sz w:val="20"/>
          <w:szCs w:val="20"/>
          <w:lang w:eastAsia="es-MX"/>
        </w:rPr>
        <w:t>“CONFIDENCIAL POR LEY”</w:t>
      </w:r>
      <w:r w:rsidRPr="00994516">
        <w:rPr>
          <w:rFonts w:ascii="ITC Avant Garde" w:eastAsia="Times New Roman" w:hAnsi="ITC Avant Garde"/>
          <w:bCs/>
          <w:color w:val="000000"/>
          <w:sz w:val="20"/>
          <w:szCs w:val="20"/>
          <w:lang w:eastAsia="es-MX"/>
        </w:rPr>
        <w:t>.</w:t>
      </w:r>
    </w:p>
    <w:p w14:paraId="1BF586F8" w14:textId="77777777" w:rsidR="0050419A" w:rsidRDefault="0050419A" w:rsidP="0050419A">
      <w:pPr>
        <w:pStyle w:val="Default"/>
        <w:spacing w:line="360" w:lineRule="auto"/>
        <w:ind w:right="-377"/>
        <w:jc w:val="both"/>
        <w:rPr>
          <w:rFonts w:ascii="ITC Avant Garde" w:eastAsia="Times New Roman" w:hAnsi="ITC Avant Garde" w:cs="Times New Roman"/>
          <w:bCs/>
          <w:sz w:val="20"/>
          <w:szCs w:val="20"/>
        </w:rPr>
        <w:sectPr w:rsidR="0050419A">
          <w:pgSz w:w="12240" w:h="15840"/>
          <w:pgMar w:top="1417" w:right="1701" w:bottom="1417" w:left="1701" w:header="708" w:footer="708" w:gutter="0"/>
          <w:cols w:space="708"/>
          <w:docGrid w:linePitch="360"/>
        </w:sectPr>
      </w:pPr>
      <w:r w:rsidRPr="00D410D5">
        <w:rPr>
          <w:rFonts w:ascii="ITC Avant Garde" w:eastAsia="Times New Roman" w:hAnsi="ITC Avant Garde" w:cs="Times New Roman"/>
          <w:bCs/>
          <w:sz w:val="20"/>
          <w:szCs w:val="20"/>
        </w:rPr>
        <w:t>Fin de la leyenda.</w:t>
      </w:r>
    </w:p>
    <w:p w14:paraId="41A78D5B" w14:textId="77777777" w:rsidR="00CF6CBD" w:rsidRPr="00CF6CBD" w:rsidRDefault="00D42CA3" w:rsidP="00CF6CBD">
      <w:pPr>
        <w:pStyle w:val="1TitPrin"/>
      </w:pPr>
      <w:r w:rsidRPr="00CF6CBD">
        <w:lastRenderedPageBreak/>
        <w:t xml:space="preserve">RESOLUCIÓN </w:t>
      </w:r>
      <w:r w:rsidR="001B7EA2" w:rsidRPr="00CF6CBD">
        <w:t>MEDIANTE</w:t>
      </w:r>
      <w:r w:rsidRPr="00CF6CBD">
        <w:t xml:space="preserve"> LA CUAL EL PLENO DEL INSTITUTO FEDERAL DE TELECOMUNICACIONES AUTORIZA LA </w:t>
      </w:r>
      <w:r w:rsidR="00C92B9F" w:rsidRPr="00CF6CBD">
        <w:t>SUSCRIPCIÓN</w:t>
      </w:r>
      <w:r w:rsidRPr="00CF6CBD">
        <w:t xml:space="preserve"> DE ACCIONES DE </w:t>
      </w:r>
      <w:r w:rsidR="00221CD0" w:rsidRPr="00CF6CBD">
        <w:t xml:space="preserve">LA EMPRESA </w:t>
      </w:r>
      <w:r w:rsidR="009F0FA5" w:rsidRPr="00CF6CBD">
        <w:t>INTEGRACIÓN DE SERVICIOS Y TECNOLOGÍA, S.A. DE C.V.</w:t>
      </w:r>
      <w:r w:rsidRPr="00CF6CBD">
        <w:t xml:space="preserve">, </w:t>
      </w:r>
      <w:r w:rsidR="00065E2F" w:rsidRPr="00CF6CBD">
        <w:t>TITULAR DE UN</w:t>
      </w:r>
      <w:r w:rsidR="001B52E0" w:rsidRPr="00CF6CBD">
        <w:t>A</w:t>
      </w:r>
      <w:r w:rsidR="00065E2F" w:rsidRPr="00CF6CBD">
        <w:t xml:space="preserve"> C</w:t>
      </w:r>
      <w:r w:rsidR="00460AB4" w:rsidRPr="00CF6CBD">
        <w:t xml:space="preserve">ONCESIÓN </w:t>
      </w:r>
      <w:r w:rsidR="009F0FA5" w:rsidRPr="00CF6CBD">
        <w:t>PARA INSTALAR, OPERAR Y EXPLOTAR UNA RED PÚBLICA DE TELECOMUNICACIONES</w:t>
      </w:r>
      <w:r w:rsidR="001B52E0" w:rsidRPr="00CF6CBD">
        <w:t>.</w:t>
      </w:r>
    </w:p>
    <w:p w14:paraId="56193C00" w14:textId="77777777" w:rsidR="00CF6CBD" w:rsidRPr="00CF6CBD" w:rsidRDefault="00CE0F87" w:rsidP="00CF6CBD">
      <w:pPr>
        <w:pStyle w:val="Ttulo2"/>
        <w:keepLines w:val="0"/>
        <w:spacing w:before="0" w:afterLines="120" w:after="288"/>
        <w:jc w:val="center"/>
        <w:rPr>
          <w:rFonts w:ascii="ITC Avant Garde" w:eastAsia="Times New Roman" w:hAnsi="ITC Avant Garde" w:cs="Arial"/>
          <w:b/>
          <w:bCs/>
          <w:color w:val="auto"/>
          <w:sz w:val="22"/>
          <w:szCs w:val="22"/>
        </w:rPr>
      </w:pPr>
      <w:r w:rsidRPr="00CF6CBD">
        <w:rPr>
          <w:rFonts w:ascii="ITC Avant Garde" w:eastAsia="Times New Roman" w:hAnsi="ITC Avant Garde" w:cs="Arial"/>
          <w:b/>
          <w:bCs/>
          <w:color w:val="auto"/>
          <w:sz w:val="22"/>
          <w:szCs w:val="22"/>
        </w:rPr>
        <w:t>ANTECEDENTES</w:t>
      </w:r>
    </w:p>
    <w:p w14:paraId="5726EF65" w14:textId="77777777" w:rsidR="00CF6CBD" w:rsidRDefault="00656B48" w:rsidP="00CF6CBD">
      <w:pPr>
        <w:numPr>
          <w:ilvl w:val="0"/>
          <w:numId w:val="4"/>
        </w:numPr>
        <w:spacing w:afterLines="120" w:after="288" w:line="240" w:lineRule="auto"/>
        <w:ind w:left="567" w:hanging="425"/>
        <w:jc w:val="both"/>
        <w:rPr>
          <w:rFonts w:ascii="ITC Avant Garde" w:hAnsi="ITC Avant Garde"/>
          <w:bCs/>
          <w:color w:val="000000"/>
          <w:lang w:eastAsia="es-MX"/>
        </w:rPr>
      </w:pPr>
      <w:r w:rsidRPr="00276765">
        <w:rPr>
          <w:rFonts w:ascii="ITC Avant Garde" w:hAnsi="ITC Avant Garde"/>
          <w:b/>
          <w:bCs/>
          <w:color w:val="000000"/>
          <w:lang w:eastAsia="es-MX"/>
        </w:rPr>
        <w:t>Otorgamiento de la Concesió</w:t>
      </w:r>
      <w:r>
        <w:rPr>
          <w:rFonts w:ascii="ITC Avant Garde" w:hAnsi="ITC Avant Garde"/>
          <w:b/>
          <w:bCs/>
          <w:color w:val="000000"/>
          <w:lang w:eastAsia="es-MX"/>
        </w:rPr>
        <w:t>n</w:t>
      </w:r>
      <w:r w:rsidRPr="00276765">
        <w:rPr>
          <w:rFonts w:ascii="ITC Avant Garde" w:hAnsi="ITC Avant Garde"/>
          <w:b/>
          <w:bCs/>
          <w:color w:val="000000"/>
          <w:lang w:eastAsia="es-MX"/>
        </w:rPr>
        <w:t>.</w:t>
      </w:r>
      <w:r w:rsidRPr="00276765">
        <w:rPr>
          <w:rFonts w:ascii="ITC Avant Garde" w:hAnsi="ITC Avant Garde"/>
          <w:bCs/>
          <w:color w:val="000000"/>
          <w:lang w:eastAsia="es-MX"/>
        </w:rPr>
        <w:t xml:space="preserve"> </w:t>
      </w:r>
      <w:r>
        <w:rPr>
          <w:rFonts w:ascii="ITC Avant Garde" w:hAnsi="ITC Avant Garde"/>
          <w:bCs/>
          <w:color w:val="000000"/>
          <w:lang w:eastAsia="es-MX"/>
        </w:rPr>
        <w:t>El 6 de septiembre de 2012</w:t>
      </w:r>
      <w:r w:rsidRPr="008D738A">
        <w:rPr>
          <w:rFonts w:ascii="ITC Avant Garde" w:hAnsi="ITC Avant Garde"/>
          <w:bCs/>
          <w:color w:val="000000"/>
          <w:lang w:eastAsia="es-MX"/>
        </w:rPr>
        <w:t xml:space="preserve">, la Secretaría de Comunicaciones y Transportes otorgó a favor de </w:t>
      </w:r>
      <w:r>
        <w:rPr>
          <w:rFonts w:ascii="ITC Avant Garde" w:hAnsi="ITC Avant Garde"/>
          <w:bCs/>
          <w:color w:val="000000"/>
          <w:lang w:eastAsia="es-MX"/>
        </w:rPr>
        <w:t>Integración de Servicios y Tecnología</w:t>
      </w:r>
      <w:r w:rsidRPr="008D738A">
        <w:rPr>
          <w:rFonts w:ascii="ITC Avant Garde" w:hAnsi="ITC Avant Garde"/>
          <w:bCs/>
          <w:color w:val="000000"/>
          <w:lang w:eastAsia="es-MX"/>
        </w:rPr>
        <w:t xml:space="preserve">, S.A. de C.V. </w:t>
      </w:r>
      <w:r>
        <w:rPr>
          <w:rFonts w:ascii="ITC Avant Garde" w:hAnsi="ITC Avant Garde"/>
          <w:bCs/>
          <w:color w:val="000000"/>
          <w:lang w:eastAsia="es-MX"/>
        </w:rPr>
        <w:t>una c</w:t>
      </w:r>
      <w:r w:rsidRPr="008D738A">
        <w:rPr>
          <w:rFonts w:ascii="ITC Avant Garde" w:hAnsi="ITC Avant Garde"/>
          <w:bCs/>
          <w:color w:val="000000"/>
          <w:lang w:eastAsia="es-MX"/>
        </w:rPr>
        <w:t xml:space="preserve">oncesión para </w:t>
      </w:r>
      <w:r>
        <w:rPr>
          <w:rFonts w:ascii="ITC Avant Garde" w:hAnsi="ITC Avant Garde"/>
          <w:bCs/>
          <w:color w:val="000000"/>
          <w:lang w:eastAsia="es-MX"/>
        </w:rPr>
        <w:t xml:space="preserve">instalar, operar y explotar </w:t>
      </w:r>
      <w:r w:rsidRPr="008D738A">
        <w:rPr>
          <w:rFonts w:ascii="ITC Avant Garde" w:hAnsi="ITC Avant Garde"/>
          <w:bCs/>
          <w:color w:val="000000"/>
          <w:lang w:eastAsia="es-MX"/>
        </w:rPr>
        <w:t>una red pú</w:t>
      </w:r>
      <w:r>
        <w:rPr>
          <w:rFonts w:ascii="ITC Avant Garde" w:hAnsi="ITC Avant Garde"/>
          <w:bCs/>
          <w:color w:val="000000"/>
          <w:lang w:eastAsia="es-MX"/>
        </w:rPr>
        <w:t>blica de telecomunicaciones para prestar los servicios de conducción de señales a redes públicas de telecomunicaciones, conducción de señales a redes privadas de telecomunicaciones y conducción de señales a prestadores de servicios de valor agregado con cobertura nacional y con una vigencia de 30 (treinta) años contados a partir de su otorgamiento (la</w:t>
      </w:r>
      <w:r w:rsidRPr="008D738A">
        <w:rPr>
          <w:rFonts w:ascii="ITC Avant Garde" w:hAnsi="ITC Avant Garde"/>
          <w:bCs/>
          <w:color w:val="000000"/>
          <w:lang w:eastAsia="es-MX"/>
        </w:rPr>
        <w:t xml:space="preserve"> “Concesi</w:t>
      </w:r>
      <w:r>
        <w:rPr>
          <w:rFonts w:ascii="ITC Avant Garde" w:hAnsi="ITC Avant Garde"/>
          <w:bCs/>
          <w:color w:val="000000"/>
          <w:lang w:eastAsia="es-MX"/>
        </w:rPr>
        <w:t xml:space="preserve">ón”). </w:t>
      </w:r>
    </w:p>
    <w:p w14:paraId="1BCC02A5" w14:textId="77777777" w:rsidR="00CF6CBD" w:rsidRDefault="00656B48" w:rsidP="00CF6CBD">
      <w:pPr>
        <w:spacing w:afterLines="120" w:after="288" w:line="240" w:lineRule="auto"/>
        <w:ind w:left="567"/>
        <w:jc w:val="both"/>
        <w:rPr>
          <w:rFonts w:ascii="ITC Avant Garde" w:hAnsi="ITC Avant Garde"/>
          <w:color w:val="000000"/>
          <w:shd w:val="clear" w:color="auto" w:fill="FFFFFF"/>
        </w:rPr>
      </w:pPr>
      <w:r w:rsidRPr="001D4CFD">
        <w:rPr>
          <w:rFonts w:ascii="ITC Avant Garde" w:hAnsi="ITC Avant Garde"/>
          <w:bCs/>
          <w:color w:val="000000"/>
          <w:lang w:eastAsia="es-MX"/>
        </w:rPr>
        <w:t xml:space="preserve">Adicionalmente, </w:t>
      </w:r>
      <w:r>
        <w:rPr>
          <w:rFonts w:ascii="ITC Avant Garde" w:hAnsi="ITC Avant Garde"/>
          <w:bCs/>
          <w:color w:val="000000"/>
          <w:lang w:eastAsia="es-MX"/>
        </w:rPr>
        <w:t>Integración de Servicios y Tecnología</w:t>
      </w:r>
      <w:r w:rsidRPr="001D4CFD">
        <w:rPr>
          <w:rFonts w:ascii="ITC Avant Garde" w:hAnsi="ITC Avant Garde"/>
          <w:bCs/>
          <w:color w:val="000000"/>
          <w:lang w:eastAsia="es-MX"/>
        </w:rPr>
        <w:t>, S.A. de C.V. es titular de la Constancia de Registro de Servicios de Valor Agregado número SVA-</w:t>
      </w:r>
      <w:r>
        <w:rPr>
          <w:rFonts w:ascii="ITC Avant Garde" w:hAnsi="ITC Avant Garde"/>
          <w:bCs/>
          <w:color w:val="000000"/>
          <w:lang w:eastAsia="es-MX"/>
        </w:rPr>
        <w:t>048</w:t>
      </w:r>
      <w:r w:rsidRPr="001D4CFD">
        <w:rPr>
          <w:rFonts w:ascii="ITC Avant Garde" w:hAnsi="ITC Avant Garde"/>
          <w:bCs/>
          <w:color w:val="000000"/>
          <w:lang w:eastAsia="es-MX"/>
        </w:rPr>
        <w:t>/</w:t>
      </w:r>
      <w:r>
        <w:rPr>
          <w:rFonts w:ascii="ITC Avant Garde" w:hAnsi="ITC Avant Garde"/>
          <w:bCs/>
          <w:color w:val="000000"/>
          <w:lang w:eastAsia="es-MX"/>
        </w:rPr>
        <w:t>2012</w:t>
      </w:r>
      <w:r w:rsidRPr="001D4CFD">
        <w:rPr>
          <w:rFonts w:ascii="ITC Avant Garde" w:hAnsi="ITC Avant Garde"/>
          <w:bCs/>
          <w:color w:val="000000"/>
          <w:lang w:eastAsia="es-MX"/>
        </w:rPr>
        <w:t xml:space="preserve"> que le permite prestar los servicios de</w:t>
      </w:r>
      <w:r>
        <w:rPr>
          <w:rFonts w:ascii="ITC Avant Garde" w:hAnsi="ITC Avant Garde"/>
          <w:bCs/>
          <w:color w:val="000000"/>
          <w:lang w:eastAsia="es-MX"/>
        </w:rPr>
        <w:t>:</w:t>
      </w:r>
      <w:r w:rsidRPr="001D4CFD">
        <w:rPr>
          <w:rFonts w:ascii="ITC Avant Garde" w:hAnsi="ITC Avant Garde"/>
          <w:bCs/>
          <w:color w:val="000000"/>
          <w:lang w:eastAsia="es-MX"/>
        </w:rPr>
        <w:t xml:space="preserve"> </w:t>
      </w:r>
      <w:r>
        <w:rPr>
          <w:rFonts w:ascii="ITC Avant Garde" w:hAnsi="ITC Avant Garde"/>
          <w:bCs/>
          <w:color w:val="000000"/>
          <w:lang w:eastAsia="es-MX"/>
        </w:rPr>
        <w:t xml:space="preserve">i) </w:t>
      </w:r>
      <w:r w:rsidRPr="001D4CFD">
        <w:rPr>
          <w:rFonts w:ascii="ITC Avant Garde" w:hAnsi="ITC Avant Garde"/>
          <w:bCs/>
          <w:color w:val="000000"/>
          <w:lang w:eastAsia="es-MX"/>
        </w:rPr>
        <w:t xml:space="preserve">procesamiento remoto de datos, </w:t>
      </w:r>
      <w:r>
        <w:rPr>
          <w:rFonts w:ascii="ITC Avant Garde" w:hAnsi="ITC Avant Garde"/>
          <w:bCs/>
          <w:color w:val="000000"/>
          <w:lang w:eastAsia="es-MX"/>
        </w:rPr>
        <w:t xml:space="preserve">ii) </w:t>
      </w:r>
      <w:r w:rsidRPr="001D4CFD">
        <w:rPr>
          <w:rFonts w:ascii="ITC Avant Garde" w:hAnsi="ITC Avant Garde"/>
          <w:bCs/>
          <w:color w:val="000000"/>
          <w:lang w:eastAsia="es-MX"/>
        </w:rPr>
        <w:t xml:space="preserve">intercambio electrónico de datos, </w:t>
      </w:r>
      <w:r>
        <w:rPr>
          <w:rFonts w:ascii="ITC Avant Garde" w:hAnsi="ITC Avant Garde"/>
          <w:bCs/>
          <w:color w:val="000000"/>
          <w:lang w:eastAsia="es-MX"/>
        </w:rPr>
        <w:t xml:space="preserve">iii) </w:t>
      </w:r>
      <w:r w:rsidRPr="001D4CFD">
        <w:rPr>
          <w:rFonts w:ascii="ITC Avant Garde" w:hAnsi="ITC Avant Garde"/>
          <w:bCs/>
          <w:color w:val="000000"/>
          <w:lang w:eastAsia="es-MX"/>
        </w:rPr>
        <w:t>correo electrónico de datos</w:t>
      </w:r>
      <w:r>
        <w:rPr>
          <w:rFonts w:ascii="ITC Avant Garde" w:hAnsi="ITC Avant Garde"/>
          <w:bCs/>
          <w:color w:val="000000"/>
          <w:lang w:eastAsia="es-MX"/>
        </w:rPr>
        <w:t>, iv) consulta remota a bases de datos y v)</w:t>
      </w:r>
      <w:r w:rsidRPr="001D4CFD">
        <w:rPr>
          <w:rFonts w:ascii="ITC Avant Garde" w:hAnsi="ITC Avant Garde"/>
          <w:bCs/>
          <w:color w:val="000000"/>
          <w:lang w:eastAsia="es-MX"/>
        </w:rPr>
        <w:t xml:space="preserve"> </w:t>
      </w:r>
      <w:r>
        <w:rPr>
          <w:rFonts w:ascii="ITC Avant Garde" w:hAnsi="ITC Avant Garde"/>
          <w:bCs/>
          <w:color w:val="000000"/>
          <w:lang w:eastAsia="es-MX"/>
        </w:rPr>
        <w:t>provisión de</w:t>
      </w:r>
      <w:r w:rsidRPr="001D4CFD">
        <w:rPr>
          <w:rFonts w:ascii="ITC Avant Garde" w:hAnsi="ITC Avant Garde"/>
          <w:bCs/>
          <w:color w:val="000000"/>
          <w:lang w:eastAsia="es-MX"/>
        </w:rPr>
        <w:t xml:space="preserve"> acceso a </w:t>
      </w:r>
      <w:r w:rsidRPr="00D86425">
        <w:rPr>
          <w:rFonts w:ascii="ITC Avant Garde" w:hAnsi="ITC Avant Garde"/>
          <w:color w:val="000000"/>
          <w:shd w:val="clear" w:color="auto" w:fill="FFFFFF"/>
        </w:rPr>
        <w:t>Internet.</w:t>
      </w:r>
      <w:r w:rsidR="008D46DB">
        <w:rPr>
          <w:rFonts w:ascii="ITC Avant Garde" w:hAnsi="ITC Avant Garde"/>
          <w:color w:val="000000"/>
          <w:shd w:val="clear" w:color="auto" w:fill="FFFFFF"/>
        </w:rPr>
        <w:t xml:space="preserve"> </w:t>
      </w:r>
    </w:p>
    <w:p w14:paraId="77BB60D0" w14:textId="77777777" w:rsidR="00CF6CBD" w:rsidRDefault="00F54D23" w:rsidP="00CF6CBD">
      <w:pPr>
        <w:pStyle w:val="Prrafodelista"/>
        <w:numPr>
          <w:ilvl w:val="0"/>
          <w:numId w:val="4"/>
        </w:numPr>
        <w:shd w:val="clear" w:color="auto" w:fill="FFFFFF"/>
        <w:spacing w:afterLines="120" w:after="288"/>
        <w:ind w:left="567" w:hanging="709"/>
        <w:jc w:val="both"/>
        <w:rPr>
          <w:rFonts w:ascii="ITC Avant Garde" w:hAnsi="ITC Avant Garde" w:cs="Arial"/>
          <w:sz w:val="22"/>
          <w:szCs w:val="22"/>
          <w:lang w:eastAsia="es-MX"/>
        </w:rPr>
      </w:pPr>
      <w:r w:rsidRPr="00877BCE">
        <w:rPr>
          <w:rFonts w:ascii="ITC Avant Garde" w:hAnsi="ITC Avant Garde" w:cs="Arial"/>
          <w:b/>
          <w:bCs/>
          <w:sz w:val="22"/>
          <w:szCs w:val="22"/>
          <w:lang w:eastAsia="es-MX"/>
        </w:rPr>
        <w:t>Decreto de Reforma Constitucional.</w:t>
      </w:r>
      <w:r w:rsidRPr="00877BCE">
        <w:rPr>
          <w:rFonts w:ascii="ITC Avant Garde" w:hAnsi="ITC Avant Garde"/>
          <w:b/>
          <w:bCs/>
          <w:lang w:eastAsia="es-MX"/>
        </w:rPr>
        <w:t xml:space="preserve"> </w:t>
      </w:r>
      <w:r w:rsidR="00DC21BA" w:rsidRPr="009B303B">
        <w:rPr>
          <w:rFonts w:ascii="ITC Avant Garde" w:eastAsia="Calibri" w:hAnsi="ITC Avant Garde"/>
          <w:bCs/>
          <w:color w:val="000000"/>
          <w:sz w:val="22"/>
          <w:szCs w:val="22"/>
          <w:lang w:eastAsia="es-MX"/>
        </w:rPr>
        <w:t xml:space="preserve">Con fecha 11 de junio de 2013, se publicó en el Diario Oficial de la Federación el </w:t>
      </w:r>
      <w:r w:rsidR="00DC21BA" w:rsidRPr="009B303B">
        <w:rPr>
          <w:rFonts w:ascii="ITC Avant Garde" w:eastAsia="Calibri" w:hAnsi="ITC Avant Garde"/>
          <w:bCs/>
          <w:i/>
          <w:color w:val="000000"/>
          <w:sz w:val="22"/>
          <w:szCs w:val="22"/>
          <w:lang w:eastAsia="es-MX"/>
        </w:rPr>
        <w:t>“Decreto por el que se reforman y adicionan diversas disposiciones de los artículos 6o., 7o., 27, 28, 73, 78, 94 y 105 de la Constitución Política de los Estados Unidos Mexicanos, en materia de telecomunicaciones”</w:t>
      </w:r>
      <w:r w:rsidR="00DC21BA" w:rsidRPr="009B303B">
        <w:rPr>
          <w:rFonts w:ascii="ITC Avant Garde" w:eastAsia="Calibri" w:hAnsi="ITC Avant Garde"/>
          <w:bCs/>
          <w:color w:val="000000"/>
          <w:sz w:val="22"/>
          <w:szCs w:val="22"/>
          <w:lang w:eastAsia="es-MX"/>
        </w:rPr>
        <w:t xml:space="preserve"> (el “Decreto de Reforma Constitucional”), mediante el cual se creó el Instituto Federal de Telecomunicaciones (el “Instituto”), como un órgano autónomo encargado del desarrollo eficiente de la radiodifusión y las telecomunicaciones</w:t>
      </w:r>
      <w:r w:rsidRPr="00877BCE">
        <w:rPr>
          <w:rFonts w:ascii="ITC Avant Garde" w:hAnsi="ITC Avant Garde" w:cs="Arial"/>
          <w:sz w:val="22"/>
          <w:szCs w:val="22"/>
          <w:lang w:eastAsia="es-MX"/>
        </w:rPr>
        <w:t>.</w:t>
      </w:r>
    </w:p>
    <w:p w14:paraId="7D9F5217" w14:textId="77777777" w:rsidR="00CF6CBD" w:rsidRDefault="00D04074" w:rsidP="00CF6CBD">
      <w:pPr>
        <w:numPr>
          <w:ilvl w:val="0"/>
          <w:numId w:val="4"/>
        </w:numPr>
        <w:spacing w:afterLines="120" w:after="288" w:line="240" w:lineRule="auto"/>
        <w:ind w:left="567"/>
        <w:jc w:val="both"/>
        <w:rPr>
          <w:rFonts w:ascii="ITC Avant Garde" w:hAnsi="ITC Avant Garde"/>
          <w:color w:val="000000"/>
          <w:shd w:val="clear" w:color="auto" w:fill="FFFFFF"/>
        </w:rPr>
      </w:pPr>
      <w:r w:rsidRPr="00A06D0A">
        <w:rPr>
          <w:rFonts w:ascii="ITC Avant Garde" w:hAnsi="ITC Avant Garde"/>
          <w:b/>
          <w:bCs/>
          <w:lang w:eastAsia="es-MX"/>
        </w:rPr>
        <w:t xml:space="preserve">Decreto de Ley. </w:t>
      </w:r>
      <w:r w:rsidR="00F552C5" w:rsidRPr="009B303B">
        <w:rPr>
          <w:rFonts w:ascii="ITC Avant Garde" w:hAnsi="ITC Avant Garde"/>
          <w:bCs/>
          <w:color w:val="000000"/>
          <w:lang w:eastAsia="es-MX"/>
        </w:rPr>
        <w:t xml:space="preserve">El 14 de julio de 2014, se publicó en el Diario Oficial de la Federación el </w:t>
      </w:r>
      <w:r w:rsidR="00F552C5" w:rsidRPr="009B303B">
        <w:rPr>
          <w:rFonts w:ascii="ITC Avant Garde" w:hAnsi="ITC Avant Garde"/>
          <w:bCs/>
          <w:i/>
          <w:color w:val="000000"/>
          <w:lang w:eastAsia="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F552C5" w:rsidRPr="009B303B">
        <w:rPr>
          <w:rFonts w:ascii="ITC Avant Garde" w:hAnsi="ITC Avant Garde"/>
          <w:bCs/>
          <w:color w:val="000000"/>
          <w:lang w:eastAsia="es-MX"/>
        </w:rPr>
        <w:t xml:space="preserve"> (el “Decreto de Ley”)</w:t>
      </w:r>
      <w:r w:rsidR="00F552C5" w:rsidRPr="009B303B">
        <w:rPr>
          <w:rFonts w:ascii="ITC Avant Garde" w:hAnsi="ITC Avant Garde"/>
          <w:bCs/>
          <w:color w:val="000000" w:themeColor="text1"/>
          <w:lang w:eastAsia="es-MX"/>
        </w:rPr>
        <w:t>, mismo que entró en vigor el 13 de agosto de 2014</w:t>
      </w:r>
      <w:r w:rsidR="00F552C5" w:rsidRPr="009B303B">
        <w:rPr>
          <w:rFonts w:ascii="ITC Avant Garde" w:hAnsi="ITC Avant Garde"/>
          <w:bCs/>
          <w:color w:val="000000"/>
          <w:lang w:eastAsia="es-MX"/>
        </w:rPr>
        <w:t>.</w:t>
      </w:r>
    </w:p>
    <w:p w14:paraId="4DF44AF0" w14:textId="77777777" w:rsidR="00CF6CBD" w:rsidRDefault="00062667" w:rsidP="00CF6CBD">
      <w:pPr>
        <w:numPr>
          <w:ilvl w:val="0"/>
          <w:numId w:val="4"/>
        </w:numPr>
        <w:spacing w:afterLines="120" w:after="288" w:line="240" w:lineRule="auto"/>
        <w:ind w:left="567"/>
        <w:jc w:val="both"/>
        <w:rPr>
          <w:rFonts w:ascii="ITC Avant Garde" w:hAnsi="ITC Avant Garde"/>
          <w:bCs/>
          <w:lang w:eastAsia="es-MX"/>
        </w:rPr>
      </w:pPr>
      <w:r w:rsidRPr="00062667">
        <w:rPr>
          <w:rFonts w:ascii="ITC Avant Garde" w:hAnsi="ITC Avant Garde" w:cs="Arial"/>
          <w:b/>
          <w:bCs/>
          <w:shd w:val="clear" w:color="auto" w:fill="FFFFFF"/>
        </w:rPr>
        <w:t xml:space="preserve">Estatuto Orgánico. </w:t>
      </w:r>
      <w:r w:rsidR="00F552C5" w:rsidRPr="009B303B">
        <w:rPr>
          <w:rFonts w:ascii="ITC Avant Garde" w:hAnsi="ITC Avant Garde"/>
          <w:bCs/>
          <w:color w:val="000000"/>
          <w:lang w:eastAsia="es-MX"/>
        </w:rPr>
        <w:t>El 4 de septiembre de 2014, se publicó en el Diario Oficial de la Federación el “</w:t>
      </w:r>
      <w:r w:rsidR="00F552C5" w:rsidRPr="009B303B">
        <w:rPr>
          <w:rFonts w:ascii="ITC Avant Garde" w:hAnsi="ITC Avant Garde"/>
          <w:bCs/>
          <w:i/>
          <w:color w:val="000000"/>
          <w:lang w:eastAsia="es-MX"/>
        </w:rPr>
        <w:t>Estatuto Orgánico del Instituto Federal de Telecomunicaciones</w:t>
      </w:r>
      <w:r w:rsidR="00F552C5" w:rsidRPr="009B303B">
        <w:rPr>
          <w:rFonts w:ascii="ITC Avant Garde" w:hAnsi="ITC Avant Garde"/>
          <w:bCs/>
          <w:color w:val="000000"/>
          <w:lang w:eastAsia="es-MX"/>
        </w:rPr>
        <w:t>” (el “Estatuto Orgánico”), mismo que entró en vigor el 26 de septiembre de 2014 y fue modificado por última vez el 20 de julio de 2017</w:t>
      </w:r>
      <w:r w:rsidRPr="000158A1">
        <w:rPr>
          <w:rFonts w:ascii="ITC Avant Garde" w:hAnsi="ITC Avant Garde" w:cs="Arial"/>
          <w:bCs/>
          <w:shd w:val="clear" w:color="auto" w:fill="FFFFFF"/>
        </w:rPr>
        <w:t>.</w:t>
      </w:r>
    </w:p>
    <w:p w14:paraId="01A17550" w14:textId="77777777" w:rsidR="00CF6CBD" w:rsidRDefault="003F77C3" w:rsidP="00CF6CBD">
      <w:pPr>
        <w:numPr>
          <w:ilvl w:val="0"/>
          <w:numId w:val="4"/>
        </w:numPr>
        <w:spacing w:afterLines="120" w:after="288" w:line="240" w:lineRule="auto"/>
        <w:ind w:left="567" w:hanging="709"/>
        <w:jc w:val="both"/>
        <w:rPr>
          <w:rFonts w:ascii="ITC Avant Garde" w:hAnsi="ITC Avant Garde" w:cs="Arial"/>
          <w:bCs/>
          <w:color w:val="000000"/>
          <w:shd w:val="clear" w:color="auto" w:fill="FFFFFF"/>
        </w:rPr>
      </w:pPr>
      <w:r w:rsidRPr="003F77C3">
        <w:rPr>
          <w:rFonts w:ascii="ITC Avant Garde" w:hAnsi="ITC Avant Garde" w:cs="Arial"/>
          <w:b/>
          <w:bCs/>
          <w:color w:val="000000"/>
          <w:shd w:val="clear" w:color="auto" w:fill="FFFFFF"/>
        </w:rPr>
        <w:t>Intención de Suscripción de Acciones.</w:t>
      </w:r>
      <w:r w:rsidRPr="003F77C3">
        <w:rPr>
          <w:rFonts w:ascii="ITC Avant Garde" w:hAnsi="ITC Avant Garde" w:cs="Arial"/>
          <w:bCs/>
          <w:color w:val="000000"/>
          <w:shd w:val="clear" w:color="auto" w:fill="FFFFFF"/>
        </w:rPr>
        <w:t xml:space="preserve"> El 25 de agosto de 2017, Integración de Servicios y Tecnología, S.A. de C.V., a través de su representante legal, presentó al </w:t>
      </w:r>
      <w:r w:rsidRPr="003F77C3">
        <w:rPr>
          <w:rFonts w:ascii="ITC Avant Garde" w:hAnsi="ITC Avant Garde" w:cs="Arial"/>
          <w:bCs/>
          <w:color w:val="000000"/>
          <w:shd w:val="clear" w:color="auto" w:fill="FFFFFF"/>
        </w:rPr>
        <w:lastRenderedPageBreak/>
        <w:t xml:space="preserve">Instituto escrito mediante el cual </w:t>
      </w:r>
      <w:r>
        <w:rPr>
          <w:rFonts w:ascii="ITC Avant Garde" w:hAnsi="ITC Avant Garde" w:cs="Arial"/>
          <w:bCs/>
          <w:color w:val="000000"/>
          <w:shd w:val="clear" w:color="auto" w:fill="FFFFFF"/>
        </w:rPr>
        <w:t>solicitó autorización para llevar a cabo el aumento del capital social de dicha empresa y la suscripción de 3, 425 acciones de su capital variable por parte de la empresa Prosperist, S.A.P.I. de C.V.</w:t>
      </w:r>
    </w:p>
    <w:p w14:paraId="6214BBAD" w14:textId="77777777" w:rsidR="00CF6CBD" w:rsidRDefault="003C52E5" w:rsidP="00CF6CBD">
      <w:pPr>
        <w:numPr>
          <w:ilvl w:val="0"/>
          <w:numId w:val="4"/>
        </w:numPr>
        <w:spacing w:afterLines="120" w:after="288" w:line="240" w:lineRule="auto"/>
        <w:ind w:left="567" w:hanging="709"/>
        <w:jc w:val="both"/>
        <w:rPr>
          <w:rFonts w:ascii="ITC Avant Garde" w:hAnsi="ITC Avant Garde" w:cs="Arial"/>
          <w:bCs/>
          <w:color w:val="000000"/>
          <w:shd w:val="clear" w:color="auto" w:fill="FFFFFF"/>
        </w:rPr>
      </w:pPr>
      <w:r>
        <w:rPr>
          <w:rFonts w:ascii="ITC Avant Garde" w:hAnsi="ITC Avant Garde" w:cs="Arial"/>
          <w:b/>
          <w:bCs/>
          <w:color w:val="000000"/>
          <w:shd w:val="clear" w:color="auto" w:fill="FFFFFF"/>
        </w:rPr>
        <w:t xml:space="preserve">Primer Requerimiento de Información. </w:t>
      </w:r>
      <w:r>
        <w:rPr>
          <w:rFonts w:ascii="ITC Avant Garde" w:hAnsi="ITC Avant Garde" w:cs="Arial"/>
          <w:bCs/>
          <w:color w:val="000000"/>
          <w:shd w:val="clear" w:color="auto" w:fill="FFFFFF"/>
        </w:rPr>
        <w:t>Mediante oficio IFT/223/UCS/DG-CTEL/1719/2017 de fecha 31 de agosto de 2017, la Unidad de Concesiones y Servicios, a través de la Dirección General de Concesiones de Telecomunicaciones</w:t>
      </w:r>
      <w:r w:rsidR="00CA5E41">
        <w:rPr>
          <w:rFonts w:ascii="ITC Avant Garde" w:hAnsi="ITC Avant Garde" w:cs="Arial"/>
          <w:bCs/>
          <w:color w:val="000000"/>
          <w:shd w:val="clear" w:color="auto" w:fill="FFFFFF"/>
        </w:rPr>
        <w:t>,</w:t>
      </w:r>
      <w:r>
        <w:rPr>
          <w:rFonts w:ascii="ITC Avant Garde" w:hAnsi="ITC Avant Garde" w:cs="Arial"/>
          <w:bCs/>
          <w:color w:val="000000"/>
          <w:shd w:val="clear" w:color="auto" w:fill="FFFFFF"/>
        </w:rPr>
        <w:t xml:space="preserve"> requirió a </w:t>
      </w:r>
      <w:r w:rsidRPr="003F77C3">
        <w:rPr>
          <w:rFonts w:ascii="ITC Avant Garde" w:hAnsi="ITC Avant Garde" w:cs="Arial"/>
          <w:bCs/>
          <w:color w:val="000000"/>
          <w:shd w:val="clear" w:color="auto" w:fill="FFFFFF"/>
        </w:rPr>
        <w:t>Integración de Servicios y Tecnología, S.A. de C.V.</w:t>
      </w:r>
      <w:r>
        <w:rPr>
          <w:rFonts w:ascii="ITC Avant Garde" w:hAnsi="ITC Avant Garde" w:cs="Arial"/>
          <w:bCs/>
          <w:color w:val="000000"/>
          <w:shd w:val="clear" w:color="auto" w:fill="FFFFFF"/>
        </w:rPr>
        <w:t>, diversas aclaraciones respecto</w:t>
      </w:r>
      <w:r w:rsidR="00295AC1">
        <w:rPr>
          <w:rFonts w:ascii="ITC Avant Garde" w:hAnsi="ITC Avant Garde" w:cs="Arial"/>
          <w:bCs/>
          <w:color w:val="000000"/>
          <w:shd w:val="clear" w:color="auto" w:fill="FFFFFF"/>
        </w:rPr>
        <w:t xml:space="preserve"> a: i)</w:t>
      </w:r>
      <w:r>
        <w:rPr>
          <w:rFonts w:ascii="ITC Avant Garde" w:hAnsi="ITC Avant Garde" w:cs="Arial"/>
          <w:bCs/>
          <w:color w:val="000000"/>
          <w:shd w:val="clear" w:color="auto" w:fill="FFFFFF"/>
        </w:rPr>
        <w:t xml:space="preserve"> cuadro accionario </w:t>
      </w:r>
      <w:r w:rsidR="00295AC1">
        <w:rPr>
          <w:rFonts w:ascii="ITC Avant Garde" w:hAnsi="ITC Avant Garde" w:cs="Arial"/>
          <w:bCs/>
          <w:color w:val="000000"/>
          <w:shd w:val="clear" w:color="auto" w:fill="FFFFFF"/>
        </w:rPr>
        <w:t>que dicha</w:t>
      </w:r>
      <w:r>
        <w:rPr>
          <w:rFonts w:ascii="ITC Avant Garde" w:hAnsi="ITC Avant Garde" w:cs="Arial"/>
          <w:bCs/>
          <w:color w:val="000000"/>
          <w:shd w:val="clear" w:color="auto" w:fill="FFFFFF"/>
        </w:rPr>
        <w:t xml:space="preserve"> concesionaria</w:t>
      </w:r>
      <w:r w:rsidR="00295AC1">
        <w:rPr>
          <w:rFonts w:ascii="ITC Avant Garde" w:hAnsi="ITC Avant Garde" w:cs="Arial"/>
          <w:bCs/>
          <w:color w:val="000000"/>
          <w:shd w:val="clear" w:color="auto" w:fill="FFFFFF"/>
        </w:rPr>
        <w:t xml:space="preserve"> presentó como anexo al escrito de autorización, y ii) </w:t>
      </w:r>
      <w:r>
        <w:rPr>
          <w:rFonts w:ascii="ITC Avant Garde" w:hAnsi="ITC Avant Garde" w:cs="Arial"/>
          <w:bCs/>
          <w:color w:val="000000"/>
          <w:shd w:val="clear" w:color="auto" w:fill="FFFFFF"/>
        </w:rPr>
        <w:t>la composición accionaria de la empre</w:t>
      </w:r>
      <w:r w:rsidR="00295AC1">
        <w:rPr>
          <w:rFonts w:ascii="ITC Avant Garde" w:hAnsi="ITC Avant Garde" w:cs="Arial"/>
          <w:bCs/>
          <w:color w:val="000000"/>
          <w:shd w:val="clear" w:color="auto" w:fill="FFFFFF"/>
        </w:rPr>
        <w:t>sa Prosperist, S.A.P.I. de C.V. Adicionalmente, se le requirió a la concesionaria</w:t>
      </w:r>
      <w:r>
        <w:rPr>
          <w:rFonts w:ascii="ITC Avant Garde" w:hAnsi="ITC Avant Garde" w:cs="Arial"/>
          <w:bCs/>
          <w:color w:val="000000"/>
          <w:shd w:val="clear" w:color="auto" w:fill="FFFFFF"/>
        </w:rPr>
        <w:t xml:space="preserve"> el cuestionario en materia de competencia económica </w:t>
      </w:r>
      <w:r w:rsidR="00A318FF">
        <w:rPr>
          <w:rFonts w:ascii="ITC Avant Garde" w:hAnsi="ITC Avant Garde" w:cs="Arial"/>
          <w:bCs/>
          <w:color w:val="000000"/>
          <w:shd w:val="clear" w:color="auto" w:fill="FFFFFF"/>
        </w:rPr>
        <w:t>solicitado</w:t>
      </w:r>
      <w:r>
        <w:rPr>
          <w:rFonts w:ascii="ITC Avant Garde" w:hAnsi="ITC Avant Garde" w:cs="Arial"/>
          <w:bCs/>
          <w:color w:val="000000"/>
          <w:shd w:val="clear" w:color="auto" w:fill="FFFFFF"/>
        </w:rPr>
        <w:t xml:space="preserve"> por la Dirección General de Concentraciones y Concesiones. </w:t>
      </w:r>
    </w:p>
    <w:p w14:paraId="12A73817" w14:textId="77777777" w:rsidR="00CF6CBD" w:rsidRDefault="003C52E5" w:rsidP="00CF6CBD">
      <w:pPr>
        <w:spacing w:afterLines="120" w:after="288" w:line="240" w:lineRule="auto"/>
        <w:ind w:left="567"/>
        <w:jc w:val="both"/>
        <w:rPr>
          <w:rFonts w:ascii="ITC Avant Garde" w:hAnsi="ITC Avant Garde" w:cs="Arial"/>
          <w:bCs/>
          <w:color w:val="000000"/>
          <w:shd w:val="clear" w:color="auto" w:fill="FFFFFF"/>
        </w:rPr>
      </w:pPr>
      <w:r>
        <w:rPr>
          <w:rFonts w:ascii="ITC Avant Garde" w:hAnsi="ITC Avant Garde" w:cs="Arial"/>
          <w:bCs/>
          <w:color w:val="000000"/>
          <w:shd w:val="clear" w:color="auto" w:fill="FFFFFF"/>
        </w:rPr>
        <w:t xml:space="preserve">Asimismo, en dicho requerimiento se señaló que derivado de que la </w:t>
      </w:r>
      <w:r w:rsidR="00A318FF">
        <w:rPr>
          <w:rFonts w:ascii="ITC Avant Garde" w:hAnsi="ITC Avant Garde" w:cs="Arial"/>
          <w:bCs/>
          <w:color w:val="000000"/>
          <w:shd w:val="clear" w:color="auto" w:fill="FFFFFF"/>
        </w:rPr>
        <w:t xml:space="preserve">información presentada en la </w:t>
      </w:r>
      <w:r>
        <w:rPr>
          <w:rFonts w:ascii="ITC Avant Garde" w:hAnsi="ITC Avant Garde" w:cs="Arial"/>
          <w:bCs/>
          <w:color w:val="000000"/>
          <w:shd w:val="clear" w:color="auto" w:fill="FFFFFF"/>
        </w:rPr>
        <w:t>solicitud referida en el Antecedente</w:t>
      </w:r>
      <w:r w:rsidR="00637FFC">
        <w:rPr>
          <w:rFonts w:ascii="ITC Avant Garde" w:hAnsi="ITC Avant Garde" w:cs="Arial"/>
          <w:bCs/>
          <w:color w:val="000000"/>
          <w:shd w:val="clear" w:color="auto" w:fill="FFFFFF"/>
        </w:rPr>
        <w:t xml:space="preserve"> V</w:t>
      </w:r>
      <w:r>
        <w:rPr>
          <w:rFonts w:ascii="ITC Avant Garde" w:hAnsi="ITC Avant Garde" w:cs="Arial"/>
          <w:bCs/>
          <w:color w:val="000000"/>
          <w:shd w:val="clear" w:color="auto" w:fill="FFFFFF"/>
        </w:rPr>
        <w:t xml:space="preserve"> no </w:t>
      </w:r>
      <w:r w:rsidR="00A318FF">
        <w:rPr>
          <w:rFonts w:ascii="ITC Avant Garde" w:hAnsi="ITC Avant Garde" w:cs="Arial"/>
          <w:bCs/>
          <w:color w:val="000000"/>
          <w:shd w:val="clear" w:color="auto" w:fill="FFFFFF"/>
        </w:rPr>
        <w:t>correspondía a la presentada previamente al Instituto, en términos d</w:t>
      </w:r>
      <w:r>
        <w:rPr>
          <w:rFonts w:ascii="ITC Avant Garde" w:hAnsi="ITC Avant Garde" w:cs="Arial"/>
          <w:bCs/>
          <w:color w:val="000000"/>
          <w:shd w:val="clear" w:color="auto" w:fill="FFFFFF"/>
        </w:rPr>
        <w:t>el artículo 112 de la Ley Federal de Telecomunicaciones y Radiodifusión (la “</w:t>
      </w:r>
      <w:r w:rsidRPr="0041079A">
        <w:rPr>
          <w:rFonts w:ascii="ITC Avant Garde" w:hAnsi="ITC Avant Garde" w:cs="Arial"/>
          <w:bCs/>
          <w:color w:val="000000"/>
          <w:shd w:val="clear" w:color="auto" w:fill="FFFFFF"/>
        </w:rPr>
        <w:t>Ley”</w:t>
      </w:r>
      <w:r w:rsidR="00637FFC" w:rsidRPr="0041079A">
        <w:rPr>
          <w:rFonts w:ascii="ITC Avant Garde" w:hAnsi="ITC Avant Garde" w:cs="Arial"/>
          <w:bCs/>
          <w:color w:val="000000"/>
          <w:shd w:val="clear" w:color="auto" w:fill="FFFFFF"/>
        </w:rPr>
        <w:t xml:space="preserve">), </w:t>
      </w:r>
      <w:r w:rsidR="00A318FF">
        <w:rPr>
          <w:rFonts w:ascii="ITC Avant Garde" w:hAnsi="ITC Avant Garde" w:cs="Arial"/>
          <w:bCs/>
          <w:color w:val="000000"/>
          <w:shd w:val="clear" w:color="auto" w:fill="FFFFFF"/>
        </w:rPr>
        <w:t xml:space="preserve">era necesario que aclarara la razón de dichas variaciones, por lo que </w:t>
      </w:r>
      <w:r w:rsidR="00637FFC" w:rsidRPr="0041079A">
        <w:rPr>
          <w:rFonts w:ascii="ITC Avant Garde" w:hAnsi="ITC Avant Garde" w:cs="Arial"/>
          <w:bCs/>
          <w:color w:val="000000"/>
          <w:shd w:val="clear" w:color="auto" w:fill="FFFFFF"/>
        </w:rPr>
        <w:t>los</w:t>
      </w:r>
      <w:r w:rsidR="00637FFC">
        <w:rPr>
          <w:rFonts w:ascii="ITC Avant Garde" w:hAnsi="ITC Avant Garde" w:cs="Arial"/>
          <w:bCs/>
          <w:color w:val="000000"/>
          <w:shd w:val="clear" w:color="auto" w:fill="FFFFFF"/>
        </w:rPr>
        <w:t xml:space="preserve"> plazos establecidos en las fracciones I a IV de</w:t>
      </w:r>
      <w:r w:rsidR="00A318FF">
        <w:rPr>
          <w:rFonts w:ascii="ITC Avant Garde" w:hAnsi="ITC Avant Garde" w:cs="Arial"/>
          <w:bCs/>
          <w:color w:val="000000"/>
          <w:shd w:val="clear" w:color="auto" w:fill="FFFFFF"/>
        </w:rPr>
        <w:t xml:space="preserve">l citado </w:t>
      </w:r>
      <w:r w:rsidR="00637FFC">
        <w:rPr>
          <w:rFonts w:ascii="ITC Avant Garde" w:hAnsi="ITC Avant Garde" w:cs="Arial"/>
          <w:bCs/>
          <w:color w:val="000000"/>
          <w:shd w:val="clear" w:color="auto" w:fill="FFFFFF"/>
        </w:rPr>
        <w:t xml:space="preserve">artículo </w:t>
      </w:r>
      <w:r w:rsidR="00A318FF">
        <w:rPr>
          <w:rFonts w:ascii="ITC Avant Garde" w:hAnsi="ITC Avant Garde" w:cs="Arial"/>
          <w:bCs/>
          <w:color w:val="000000"/>
          <w:shd w:val="clear" w:color="auto" w:fill="FFFFFF"/>
        </w:rPr>
        <w:t xml:space="preserve">112 de la Ley </w:t>
      </w:r>
      <w:r w:rsidR="00637FFC">
        <w:rPr>
          <w:rFonts w:ascii="ITC Avant Garde" w:hAnsi="ITC Avant Garde" w:cs="Arial"/>
          <w:bCs/>
          <w:color w:val="000000"/>
          <w:shd w:val="clear" w:color="auto" w:fill="FFFFFF"/>
        </w:rPr>
        <w:t>no comenzarían a computarse hasta en tanto no se presentaran al Instituto las aclaraciones solicitadas.</w:t>
      </w:r>
    </w:p>
    <w:p w14:paraId="3AABFDB4" w14:textId="77777777" w:rsidR="00CF6CBD" w:rsidRDefault="00DE77AB" w:rsidP="00CF6CBD">
      <w:pPr>
        <w:numPr>
          <w:ilvl w:val="0"/>
          <w:numId w:val="4"/>
        </w:numPr>
        <w:spacing w:afterLines="120" w:after="288" w:line="240" w:lineRule="auto"/>
        <w:ind w:left="567" w:hanging="709"/>
        <w:jc w:val="both"/>
        <w:rPr>
          <w:rFonts w:ascii="ITC Avant Garde" w:hAnsi="ITC Avant Garde" w:cs="Arial"/>
          <w:bCs/>
          <w:color w:val="000000"/>
          <w:shd w:val="clear" w:color="auto" w:fill="FFFFFF"/>
        </w:rPr>
      </w:pPr>
      <w:r w:rsidRPr="00CA5E41">
        <w:rPr>
          <w:rFonts w:ascii="ITC Avant Garde" w:hAnsi="ITC Avant Garde"/>
          <w:b/>
          <w:bCs/>
          <w:lang w:eastAsia="es-MX"/>
        </w:rPr>
        <w:t xml:space="preserve">Solicitud de </w:t>
      </w:r>
      <w:r w:rsidR="00CA5E41" w:rsidRPr="00CA5E41">
        <w:rPr>
          <w:rFonts w:ascii="ITC Avant Garde" w:hAnsi="ITC Avant Garde"/>
          <w:b/>
          <w:bCs/>
          <w:lang w:eastAsia="es-MX"/>
        </w:rPr>
        <w:t>Suscripción</w:t>
      </w:r>
      <w:r w:rsidRPr="00CA5E41">
        <w:rPr>
          <w:rFonts w:ascii="ITC Avant Garde" w:hAnsi="ITC Avant Garde"/>
          <w:b/>
          <w:bCs/>
          <w:lang w:eastAsia="es-MX"/>
        </w:rPr>
        <w:t xml:space="preserve"> de Acciones.</w:t>
      </w:r>
      <w:r w:rsidRPr="00CA5E41">
        <w:rPr>
          <w:rFonts w:ascii="ITC Avant Garde" w:hAnsi="ITC Avant Garde"/>
          <w:bCs/>
          <w:lang w:eastAsia="es-MX"/>
        </w:rPr>
        <w:t xml:space="preserve"> </w:t>
      </w:r>
      <w:r w:rsidR="00AF7382" w:rsidRPr="00CA5E41">
        <w:rPr>
          <w:rFonts w:ascii="ITC Avant Garde" w:hAnsi="ITC Avant Garde" w:cs="Arial"/>
          <w:bCs/>
          <w:color w:val="000000"/>
          <w:shd w:val="clear" w:color="auto" w:fill="FFFFFF"/>
        </w:rPr>
        <w:t xml:space="preserve">El </w:t>
      </w:r>
      <w:r w:rsidR="00CA5E41" w:rsidRPr="00CA5E41">
        <w:rPr>
          <w:rFonts w:ascii="ITC Avant Garde" w:hAnsi="ITC Avant Garde" w:cs="Arial"/>
          <w:bCs/>
          <w:color w:val="000000"/>
          <w:shd w:val="clear" w:color="auto" w:fill="FFFFFF"/>
        </w:rPr>
        <w:t>2</w:t>
      </w:r>
      <w:r w:rsidR="00A829EC">
        <w:rPr>
          <w:rFonts w:ascii="ITC Avant Garde" w:hAnsi="ITC Avant Garde" w:cs="Arial"/>
          <w:bCs/>
          <w:color w:val="000000"/>
          <w:shd w:val="clear" w:color="auto" w:fill="FFFFFF"/>
        </w:rPr>
        <w:t>5</w:t>
      </w:r>
      <w:r w:rsidR="007B4F82" w:rsidRPr="00CA5E41">
        <w:rPr>
          <w:rFonts w:ascii="ITC Avant Garde" w:hAnsi="ITC Avant Garde" w:cs="Arial"/>
          <w:bCs/>
          <w:color w:val="000000"/>
          <w:shd w:val="clear" w:color="auto" w:fill="FFFFFF"/>
        </w:rPr>
        <w:t xml:space="preserve"> </w:t>
      </w:r>
      <w:r w:rsidR="00AF7382" w:rsidRPr="00CA5E41">
        <w:rPr>
          <w:rFonts w:ascii="ITC Avant Garde" w:hAnsi="ITC Avant Garde" w:cs="Arial"/>
          <w:bCs/>
          <w:color w:val="000000"/>
          <w:shd w:val="clear" w:color="auto" w:fill="FFFFFF"/>
        </w:rPr>
        <w:t xml:space="preserve">de </w:t>
      </w:r>
      <w:r w:rsidR="007B4F82" w:rsidRPr="00CA5E41">
        <w:rPr>
          <w:rFonts w:ascii="ITC Avant Garde" w:hAnsi="ITC Avant Garde" w:cs="Arial"/>
          <w:bCs/>
          <w:color w:val="000000"/>
          <w:shd w:val="clear" w:color="auto" w:fill="FFFFFF"/>
        </w:rPr>
        <w:t>septiembre</w:t>
      </w:r>
      <w:r w:rsidR="00AF7382" w:rsidRPr="00CA5E41">
        <w:rPr>
          <w:rFonts w:ascii="ITC Avant Garde" w:hAnsi="ITC Avant Garde" w:cs="Arial"/>
          <w:bCs/>
          <w:color w:val="000000"/>
          <w:shd w:val="clear" w:color="auto" w:fill="FFFFFF"/>
        </w:rPr>
        <w:t xml:space="preserve"> de 2017, </w:t>
      </w:r>
      <w:r w:rsidR="00CA5E41" w:rsidRPr="00CA5E41">
        <w:rPr>
          <w:rFonts w:ascii="ITC Avant Garde" w:hAnsi="ITC Avant Garde" w:cs="Arial"/>
          <w:bCs/>
          <w:color w:val="000000"/>
          <w:shd w:val="clear" w:color="auto" w:fill="FFFFFF"/>
        </w:rPr>
        <w:t>Integración de Servicios y Tecnología, S.A. de C.V.</w:t>
      </w:r>
      <w:r w:rsidR="00AF7382" w:rsidRPr="00CA5E41">
        <w:rPr>
          <w:rFonts w:ascii="ITC Avant Garde" w:hAnsi="ITC Avant Garde" w:cs="Arial"/>
          <w:bCs/>
          <w:color w:val="000000"/>
          <w:shd w:val="clear" w:color="auto" w:fill="FFFFFF"/>
        </w:rPr>
        <w:t xml:space="preserve">, a través de su representante legal, </w:t>
      </w:r>
      <w:r w:rsidR="00CA5E41" w:rsidRPr="00CA5E41">
        <w:rPr>
          <w:rFonts w:ascii="ITC Avant Garde" w:hAnsi="ITC Avant Garde" w:cs="Arial"/>
          <w:bCs/>
          <w:color w:val="000000"/>
          <w:shd w:val="clear" w:color="auto" w:fill="FFFFFF"/>
        </w:rPr>
        <w:t xml:space="preserve">presentó ante el Instituto diversa documentación con la que pretendió desahogar las aclaraciones </w:t>
      </w:r>
      <w:r w:rsidR="00135A03">
        <w:rPr>
          <w:rFonts w:ascii="ITC Avant Garde" w:hAnsi="ITC Avant Garde" w:cs="Arial"/>
          <w:bCs/>
          <w:color w:val="000000"/>
          <w:shd w:val="clear" w:color="auto" w:fill="FFFFFF"/>
        </w:rPr>
        <w:t>solicitadas</w:t>
      </w:r>
      <w:r w:rsidR="00CA5E41" w:rsidRPr="00CA5E41">
        <w:rPr>
          <w:rFonts w:ascii="ITC Avant Garde" w:hAnsi="ITC Avant Garde" w:cs="Arial"/>
          <w:bCs/>
          <w:color w:val="000000"/>
          <w:shd w:val="clear" w:color="auto" w:fill="FFFFFF"/>
        </w:rPr>
        <w:t xml:space="preserve"> por la Unidad de Concesiones y Servicios, a través de la Dirección General de Concesiones de Telecomunicaciones, y ratificó su interés en obtener autorización para llevar a cabo el aumento del capital social de dicha empresa y la suscripción de 3, 425 acciones de su capital variable por parte de la empresa Prosperist, S.A.P.I. de C.V. </w:t>
      </w:r>
      <w:r w:rsidR="002F767A" w:rsidRPr="00CA5E41">
        <w:rPr>
          <w:rFonts w:ascii="ITC Avant Garde" w:eastAsia="Times New Roman" w:hAnsi="ITC Avant Garde"/>
        </w:rPr>
        <w:t>(la “</w:t>
      </w:r>
      <w:r w:rsidR="002F767A" w:rsidRPr="00CA5E41">
        <w:rPr>
          <w:rFonts w:ascii="ITC Avant Garde" w:hAnsi="ITC Avant Garde" w:cs="Arial"/>
          <w:bCs/>
          <w:color w:val="000000"/>
          <w:shd w:val="clear" w:color="auto" w:fill="FFFFFF"/>
        </w:rPr>
        <w:t xml:space="preserve">Solicitud de </w:t>
      </w:r>
      <w:r w:rsidR="00CA5E41">
        <w:rPr>
          <w:rFonts w:ascii="ITC Avant Garde" w:hAnsi="ITC Avant Garde" w:cs="Arial"/>
          <w:bCs/>
          <w:color w:val="000000"/>
          <w:shd w:val="clear" w:color="auto" w:fill="FFFFFF"/>
        </w:rPr>
        <w:t>Suscripción</w:t>
      </w:r>
      <w:r w:rsidR="002F767A" w:rsidRPr="00CA5E41">
        <w:rPr>
          <w:rFonts w:ascii="ITC Avant Garde" w:hAnsi="ITC Avant Garde" w:cs="Arial"/>
          <w:bCs/>
          <w:color w:val="000000"/>
          <w:shd w:val="clear" w:color="auto" w:fill="FFFFFF"/>
        </w:rPr>
        <w:t xml:space="preserve"> de Acciones”)</w:t>
      </w:r>
      <w:r w:rsidR="007B4F82" w:rsidRPr="00CA5E41">
        <w:rPr>
          <w:rFonts w:ascii="ITC Avant Garde" w:eastAsia="Times New Roman" w:hAnsi="ITC Avant Garde"/>
        </w:rPr>
        <w:t>.</w:t>
      </w:r>
    </w:p>
    <w:p w14:paraId="2CA9D806" w14:textId="77777777" w:rsidR="00CF6CBD" w:rsidRDefault="00F840DC" w:rsidP="00CF6CBD">
      <w:pPr>
        <w:numPr>
          <w:ilvl w:val="0"/>
          <w:numId w:val="4"/>
        </w:numPr>
        <w:spacing w:afterLines="120" w:after="288" w:line="240" w:lineRule="auto"/>
        <w:ind w:left="567"/>
        <w:jc w:val="both"/>
        <w:rPr>
          <w:rFonts w:ascii="ITC Avant Garde" w:hAnsi="ITC Avant Garde"/>
          <w:bCs/>
          <w:lang w:eastAsia="es-MX"/>
        </w:rPr>
      </w:pPr>
      <w:r>
        <w:rPr>
          <w:rFonts w:ascii="ITC Avant Garde" w:hAnsi="ITC Avant Garde"/>
          <w:b/>
          <w:shd w:val="clear" w:color="auto" w:fill="FFFFFF"/>
        </w:rPr>
        <w:t>Solicitud de O</w:t>
      </w:r>
      <w:r w:rsidR="001809F0" w:rsidRPr="00A06D0A">
        <w:rPr>
          <w:rFonts w:ascii="ITC Avant Garde" w:hAnsi="ITC Avant Garde"/>
          <w:b/>
          <w:shd w:val="clear" w:color="auto" w:fill="FFFFFF"/>
        </w:rPr>
        <w:t xml:space="preserve">pinión </w:t>
      </w:r>
      <w:r w:rsidR="001809F0">
        <w:rPr>
          <w:rFonts w:ascii="ITC Avant Garde" w:hAnsi="ITC Avant Garde"/>
          <w:b/>
          <w:shd w:val="clear" w:color="auto" w:fill="FFFFFF"/>
        </w:rPr>
        <w:t>a la Secretaría de Comunicaciones y Transportes</w:t>
      </w:r>
      <w:r w:rsidR="001809F0" w:rsidRPr="00A06D0A">
        <w:rPr>
          <w:rFonts w:ascii="ITC Avant Garde" w:hAnsi="ITC Avant Garde"/>
          <w:b/>
          <w:shd w:val="clear" w:color="auto" w:fill="FFFFFF"/>
        </w:rPr>
        <w:t>.</w:t>
      </w:r>
      <w:r w:rsidR="001809F0" w:rsidRPr="00A06D0A">
        <w:rPr>
          <w:rFonts w:ascii="ITC Avant Garde" w:hAnsi="ITC Avant Garde"/>
          <w:shd w:val="clear" w:color="auto" w:fill="FFFFFF"/>
        </w:rPr>
        <w:t xml:space="preserve"> </w:t>
      </w:r>
      <w:r w:rsidR="001809F0" w:rsidRPr="00A06D0A">
        <w:rPr>
          <w:rFonts w:ascii="ITC Avant Garde" w:hAnsi="ITC Avant Garde"/>
          <w:bCs/>
          <w:lang w:eastAsia="es-MX"/>
        </w:rPr>
        <w:t>Mediante oficio IFT/223/UCS/</w:t>
      </w:r>
      <w:r w:rsidR="001809F0">
        <w:rPr>
          <w:rFonts w:ascii="ITC Avant Garde" w:hAnsi="ITC Avant Garde"/>
          <w:bCs/>
          <w:lang w:eastAsia="es-MX"/>
        </w:rPr>
        <w:t>18</w:t>
      </w:r>
      <w:r w:rsidR="00135A03">
        <w:rPr>
          <w:rFonts w:ascii="ITC Avant Garde" w:hAnsi="ITC Avant Garde"/>
          <w:bCs/>
          <w:lang w:eastAsia="es-MX"/>
        </w:rPr>
        <w:t>35</w:t>
      </w:r>
      <w:r w:rsidR="001809F0" w:rsidRPr="00A06D0A">
        <w:rPr>
          <w:rFonts w:ascii="ITC Avant Garde" w:hAnsi="ITC Avant Garde"/>
          <w:bCs/>
          <w:lang w:eastAsia="es-MX"/>
        </w:rPr>
        <w:t>/201</w:t>
      </w:r>
      <w:r w:rsidR="001809F0">
        <w:rPr>
          <w:rFonts w:ascii="ITC Avant Garde" w:hAnsi="ITC Avant Garde"/>
          <w:bCs/>
          <w:lang w:eastAsia="es-MX"/>
        </w:rPr>
        <w:t>7</w:t>
      </w:r>
      <w:r w:rsidR="001809F0" w:rsidRPr="00A06D0A">
        <w:rPr>
          <w:rFonts w:ascii="ITC Avant Garde" w:hAnsi="ITC Avant Garde"/>
          <w:bCs/>
          <w:lang w:eastAsia="es-MX"/>
        </w:rPr>
        <w:t xml:space="preserve"> notificado el </w:t>
      </w:r>
      <w:r w:rsidR="001809F0">
        <w:rPr>
          <w:rFonts w:ascii="ITC Avant Garde" w:hAnsi="ITC Avant Garde"/>
          <w:bCs/>
          <w:lang w:eastAsia="es-MX"/>
        </w:rPr>
        <w:t>29</w:t>
      </w:r>
      <w:r w:rsidR="001809F0" w:rsidRPr="00A06D0A">
        <w:rPr>
          <w:rFonts w:ascii="ITC Avant Garde" w:hAnsi="ITC Avant Garde"/>
          <w:bCs/>
          <w:lang w:eastAsia="es-MX"/>
        </w:rPr>
        <w:t xml:space="preserve"> de </w:t>
      </w:r>
      <w:r w:rsidR="001809F0">
        <w:rPr>
          <w:rFonts w:ascii="ITC Avant Garde" w:hAnsi="ITC Avant Garde"/>
          <w:bCs/>
          <w:lang w:eastAsia="es-MX"/>
        </w:rPr>
        <w:t xml:space="preserve">septiembre </w:t>
      </w:r>
      <w:r w:rsidR="001809F0" w:rsidRPr="00A06D0A">
        <w:rPr>
          <w:rFonts w:ascii="ITC Avant Garde" w:hAnsi="ITC Avant Garde"/>
          <w:bCs/>
          <w:lang w:eastAsia="es-MX"/>
        </w:rPr>
        <w:t>de 201</w:t>
      </w:r>
      <w:r w:rsidR="001809F0">
        <w:rPr>
          <w:rFonts w:ascii="ITC Avant Garde" w:hAnsi="ITC Avant Garde"/>
          <w:bCs/>
          <w:lang w:eastAsia="es-MX"/>
        </w:rPr>
        <w:t>7</w:t>
      </w:r>
      <w:r w:rsidR="001809F0" w:rsidRPr="00A06D0A">
        <w:rPr>
          <w:rFonts w:ascii="ITC Avant Garde" w:hAnsi="ITC Avant Garde"/>
          <w:bCs/>
          <w:lang w:eastAsia="es-MX"/>
        </w:rPr>
        <w:t>, la Unidad de Concesiones y Servicios del Instituto solicitó a la Secretaría</w:t>
      </w:r>
      <w:r w:rsidR="001809F0">
        <w:rPr>
          <w:rFonts w:ascii="ITC Avant Garde" w:hAnsi="ITC Avant Garde"/>
          <w:bCs/>
          <w:lang w:eastAsia="es-MX"/>
        </w:rPr>
        <w:t xml:space="preserve"> de Comunicaciones y Transportes (la “Secretaría”), en términos del </w:t>
      </w:r>
      <w:r w:rsidR="001809F0" w:rsidRPr="00D93C6F">
        <w:rPr>
          <w:rFonts w:ascii="ITC Avant Garde" w:hAnsi="ITC Avant Garde"/>
          <w:bCs/>
          <w:lang w:eastAsia="es-MX"/>
        </w:rPr>
        <w:t xml:space="preserve">artículo 28 párrafo décimo séptimo de la Constitución Política de los Estados Unidos Mexicanos (la “Constitución”), la opinión técnica que estimara procedente respecto a la Solicitud de </w:t>
      </w:r>
      <w:r w:rsidR="00135A03">
        <w:rPr>
          <w:rFonts w:ascii="ITC Avant Garde" w:hAnsi="ITC Avant Garde"/>
          <w:bCs/>
          <w:lang w:eastAsia="es-MX"/>
        </w:rPr>
        <w:t>Suscripción</w:t>
      </w:r>
      <w:r w:rsidR="001809F0" w:rsidRPr="00D93C6F">
        <w:rPr>
          <w:rFonts w:ascii="ITC Avant Garde" w:hAnsi="ITC Avant Garde"/>
          <w:bCs/>
          <w:lang w:eastAsia="es-MX"/>
        </w:rPr>
        <w:t xml:space="preserve"> de Acciones.</w:t>
      </w:r>
    </w:p>
    <w:p w14:paraId="17536A02" w14:textId="77777777" w:rsidR="00CF6CBD" w:rsidRDefault="00F840DC" w:rsidP="00CF6CBD">
      <w:pPr>
        <w:numPr>
          <w:ilvl w:val="0"/>
          <w:numId w:val="4"/>
        </w:numPr>
        <w:spacing w:afterLines="120" w:after="288" w:line="240" w:lineRule="auto"/>
        <w:ind w:left="567"/>
        <w:jc w:val="both"/>
        <w:rPr>
          <w:rFonts w:ascii="ITC Avant Garde" w:hAnsi="ITC Avant Garde"/>
          <w:bCs/>
          <w:lang w:eastAsia="es-MX"/>
        </w:rPr>
      </w:pPr>
      <w:r>
        <w:rPr>
          <w:rFonts w:ascii="ITC Avant Garde" w:hAnsi="ITC Avant Garde" w:cs="Arial"/>
          <w:b/>
          <w:bCs/>
          <w:color w:val="000000"/>
          <w:shd w:val="clear" w:color="auto" w:fill="FFFFFF"/>
        </w:rPr>
        <w:t>Solicitud de Opinión en materia de Competencia E</w:t>
      </w:r>
      <w:r w:rsidR="007715B8" w:rsidRPr="002E4893">
        <w:rPr>
          <w:rFonts w:ascii="ITC Avant Garde" w:hAnsi="ITC Avant Garde" w:cs="Arial"/>
          <w:b/>
          <w:bCs/>
          <w:color w:val="000000"/>
          <w:shd w:val="clear" w:color="auto" w:fill="FFFFFF"/>
        </w:rPr>
        <w:t>conómica.</w:t>
      </w:r>
      <w:r w:rsidR="007715B8" w:rsidRPr="002E4893">
        <w:rPr>
          <w:rFonts w:ascii="ITC Avant Garde" w:hAnsi="ITC Avant Garde" w:cs="Arial"/>
          <w:bCs/>
          <w:color w:val="000000"/>
          <w:shd w:val="clear" w:color="auto" w:fill="FFFFFF"/>
        </w:rPr>
        <w:t xml:space="preserve"> </w:t>
      </w:r>
      <w:r w:rsidR="007715B8">
        <w:rPr>
          <w:rFonts w:ascii="ITC Avant Garde" w:hAnsi="ITC Avant Garde" w:cs="Arial"/>
          <w:bCs/>
          <w:color w:val="000000"/>
          <w:shd w:val="clear" w:color="auto" w:fill="FFFFFF"/>
        </w:rPr>
        <w:t>Mediante oficio IFT/223/UCS/DG-CTEL/</w:t>
      </w:r>
      <w:r w:rsidR="00135A03">
        <w:rPr>
          <w:rFonts w:ascii="ITC Avant Garde" w:hAnsi="ITC Avant Garde" w:cs="Arial"/>
          <w:bCs/>
          <w:color w:val="000000"/>
          <w:shd w:val="clear" w:color="auto" w:fill="FFFFFF"/>
        </w:rPr>
        <w:t>1838</w:t>
      </w:r>
      <w:r w:rsidR="007715B8">
        <w:rPr>
          <w:rFonts w:ascii="ITC Avant Garde" w:hAnsi="ITC Avant Garde" w:cs="Arial"/>
          <w:bCs/>
          <w:color w:val="000000"/>
          <w:shd w:val="clear" w:color="auto" w:fill="FFFFFF"/>
        </w:rPr>
        <w:t xml:space="preserve">/2017, de fecha </w:t>
      </w:r>
      <w:r w:rsidR="00135A03">
        <w:rPr>
          <w:rFonts w:ascii="ITC Avant Garde" w:hAnsi="ITC Avant Garde" w:cs="Arial"/>
          <w:bCs/>
          <w:color w:val="000000"/>
          <w:shd w:val="clear" w:color="auto" w:fill="FFFFFF"/>
        </w:rPr>
        <w:t>27 de septiembre</w:t>
      </w:r>
      <w:r w:rsidR="00355F42" w:rsidRPr="002E4893">
        <w:rPr>
          <w:rFonts w:ascii="ITC Avant Garde" w:hAnsi="ITC Avant Garde" w:cs="Arial"/>
          <w:bCs/>
          <w:color w:val="000000"/>
          <w:shd w:val="clear" w:color="auto" w:fill="FFFFFF"/>
        </w:rPr>
        <w:t xml:space="preserve"> </w:t>
      </w:r>
      <w:r w:rsidR="007715B8" w:rsidRPr="002E4893">
        <w:rPr>
          <w:rFonts w:ascii="ITC Avant Garde" w:hAnsi="ITC Avant Garde" w:cs="Arial"/>
          <w:bCs/>
          <w:color w:val="000000"/>
          <w:shd w:val="clear" w:color="auto" w:fill="FFFFFF"/>
        </w:rPr>
        <w:t>de 2017, la Dirección General de Concesiones de Telecomunicaciones, adscrita a la Unidad de Concesiones y Servicios del Instituto, solicitó a la Dirección General de Concentraciones y Concesiones de la Unidad de Competencia Económica</w:t>
      </w:r>
      <w:r w:rsidR="00A318FF">
        <w:rPr>
          <w:rFonts w:ascii="ITC Avant Garde" w:hAnsi="ITC Avant Garde" w:cs="Arial"/>
          <w:bCs/>
          <w:color w:val="000000"/>
          <w:shd w:val="clear" w:color="auto" w:fill="FFFFFF"/>
        </w:rPr>
        <w:t>,</w:t>
      </w:r>
      <w:r w:rsidR="007715B8" w:rsidRPr="002E4893">
        <w:rPr>
          <w:rFonts w:ascii="ITC Avant Garde" w:hAnsi="ITC Avant Garde" w:cs="Arial"/>
          <w:bCs/>
          <w:color w:val="000000"/>
          <w:shd w:val="clear" w:color="auto" w:fill="FFFFFF"/>
        </w:rPr>
        <w:t xml:space="preserve"> </w:t>
      </w:r>
      <w:r w:rsidR="007715B8">
        <w:rPr>
          <w:rFonts w:ascii="ITC Avant Garde" w:hAnsi="ITC Avant Garde" w:cs="Arial"/>
          <w:bCs/>
          <w:color w:val="000000"/>
          <w:shd w:val="clear" w:color="auto" w:fill="FFFFFF"/>
        </w:rPr>
        <w:t>emitir</w:t>
      </w:r>
      <w:r w:rsidR="007715B8" w:rsidRPr="002E4893">
        <w:rPr>
          <w:rFonts w:ascii="ITC Avant Garde" w:hAnsi="ITC Avant Garde" w:cs="Arial"/>
          <w:bCs/>
          <w:color w:val="000000"/>
          <w:shd w:val="clear" w:color="auto" w:fill="FFFFFF"/>
        </w:rPr>
        <w:t xml:space="preserve"> opinión</w:t>
      </w:r>
      <w:r w:rsidR="007715B8">
        <w:rPr>
          <w:rFonts w:ascii="ITC Avant Garde" w:hAnsi="ITC Avant Garde" w:cs="Arial"/>
          <w:bCs/>
          <w:color w:val="000000"/>
          <w:shd w:val="clear" w:color="auto" w:fill="FFFFFF"/>
        </w:rPr>
        <w:t xml:space="preserve"> respecto a la Solicitud de </w:t>
      </w:r>
      <w:r w:rsidR="00135A03">
        <w:rPr>
          <w:rFonts w:ascii="ITC Avant Garde" w:hAnsi="ITC Avant Garde" w:cs="Arial"/>
          <w:bCs/>
          <w:color w:val="000000"/>
          <w:shd w:val="clear" w:color="auto" w:fill="FFFFFF"/>
        </w:rPr>
        <w:t>Suscripción</w:t>
      </w:r>
      <w:r w:rsidR="007715B8">
        <w:rPr>
          <w:rFonts w:ascii="ITC Avant Garde" w:hAnsi="ITC Avant Garde" w:cs="Arial"/>
          <w:bCs/>
          <w:color w:val="000000"/>
          <w:shd w:val="clear" w:color="auto" w:fill="FFFFFF"/>
        </w:rPr>
        <w:t xml:space="preserve"> de Acciones.</w:t>
      </w:r>
    </w:p>
    <w:p w14:paraId="5AF4FAE3" w14:textId="77777777" w:rsidR="00CF6CBD" w:rsidRDefault="00135A03" w:rsidP="00CF6CBD">
      <w:pPr>
        <w:numPr>
          <w:ilvl w:val="0"/>
          <w:numId w:val="4"/>
        </w:numPr>
        <w:spacing w:afterLines="120" w:after="288" w:line="240" w:lineRule="auto"/>
        <w:ind w:left="567"/>
        <w:jc w:val="both"/>
        <w:rPr>
          <w:rFonts w:ascii="ITC Avant Garde" w:hAnsi="ITC Avant Garde"/>
          <w:bCs/>
          <w:lang w:eastAsia="es-MX"/>
        </w:rPr>
      </w:pPr>
      <w:r>
        <w:rPr>
          <w:rFonts w:ascii="ITC Avant Garde" w:hAnsi="ITC Avant Garde" w:cs="Arial"/>
          <w:b/>
          <w:bCs/>
          <w:color w:val="000000"/>
          <w:shd w:val="clear" w:color="auto" w:fill="FFFFFF"/>
        </w:rPr>
        <w:lastRenderedPageBreak/>
        <w:t>Segundo Requerimiento de Información.</w:t>
      </w:r>
      <w:r>
        <w:rPr>
          <w:rFonts w:ascii="ITC Avant Garde" w:hAnsi="ITC Avant Garde"/>
          <w:bCs/>
          <w:lang w:eastAsia="es-MX"/>
        </w:rPr>
        <w:t xml:space="preserve"> Mediante oficio IFT/223/UCS/DG-CTEL/1922/2017, de fecha 10 de octubre de 2017, </w:t>
      </w:r>
      <w:r>
        <w:rPr>
          <w:rFonts w:ascii="ITC Avant Garde" w:hAnsi="ITC Avant Garde" w:cs="Arial"/>
          <w:bCs/>
          <w:color w:val="000000"/>
          <w:shd w:val="clear" w:color="auto" w:fill="FFFFFF"/>
        </w:rPr>
        <w:t xml:space="preserve">la Unidad de Concesiones y Servicios, a través de la Dirección General de Concesiones de Telecomunicaciones, requirió </w:t>
      </w:r>
      <w:r w:rsidR="00DF0F7A">
        <w:rPr>
          <w:rFonts w:ascii="ITC Avant Garde" w:hAnsi="ITC Avant Garde" w:cs="Arial"/>
          <w:bCs/>
          <w:color w:val="000000"/>
          <w:shd w:val="clear" w:color="auto" w:fill="FFFFFF"/>
        </w:rPr>
        <w:t xml:space="preserve">nuevamente </w:t>
      </w:r>
      <w:r>
        <w:rPr>
          <w:rFonts w:ascii="ITC Avant Garde" w:hAnsi="ITC Avant Garde" w:cs="Arial"/>
          <w:bCs/>
          <w:color w:val="000000"/>
          <w:shd w:val="clear" w:color="auto" w:fill="FFFFFF"/>
        </w:rPr>
        <w:t xml:space="preserve">a </w:t>
      </w:r>
      <w:r w:rsidRPr="003F77C3">
        <w:rPr>
          <w:rFonts w:ascii="ITC Avant Garde" w:hAnsi="ITC Avant Garde" w:cs="Arial"/>
          <w:bCs/>
          <w:color w:val="000000"/>
          <w:shd w:val="clear" w:color="auto" w:fill="FFFFFF"/>
        </w:rPr>
        <w:t>Integración de Servicios y Tecnología, S.A. de C.V.</w:t>
      </w:r>
      <w:r>
        <w:rPr>
          <w:rFonts w:ascii="ITC Avant Garde" w:hAnsi="ITC Avant Garde" w:cs="Arial"/>
          <w:bCs/>
          <w:color w:val="000000"/>
          <w:shd w:val="clear" w:color="auto" w:fill="FFFFFF"/>
        </w:rPr>
        <w:t>, diversas aclaraciones</w:t>
      </w:r>
      <w:r w:rsidR="00DF0F7A">
        <w:rPr>
          <w:rFonts w:ascii="ITC Avant Garde" w:hAnsi="ITC Avant Garde" w:cs="Arial"/>
          <w:bCs/>
          <w:color w:val="000000"/>
          <w:shd w:val="clear" w:color="auto" w:fill="FFFFFF"/>
        </w:rPr>
        <w:t xml:space="preserve"> sobre la información presentada con la Solicitud de Suscripción de Acciones, mismas que fueron</w:t>
      </w:r>
      <w:r>
        <w:rPr>
          <w:rFonts w:ascii="ITC Avant Garde" w:hAnsi="ITC Avant Garde" w:cs="Arial"/>
          <w:bCs/>
          <w:color w:val="000000"/>
          <w:shd w:val="clear" w:color="auto" w:fill="FFFFFF"/>
        </w:rPr>
        <w:t xml:space="preserve"> solicitadas por la Dirección General de Concentraciones y Concesiones, adscrita a la Unidad de Competencia Económica del Instituto, mediante oficio </w:t>
      </w:r>
      <w:r w:rsidR="00653332">
        <w:rPr>
          <w:rFonts w:ascii="ITC Avant Garde" w:hAnsi="ITC Avant Garde" w:cs="Arial"/>
          <w:bCs/>
          <w:color w:val="000000"/>
          <w:shd w:val="clear" w:color="auto" w:fill="FFFFFF"/>
        </w:rPr>
        <w:t>IFT/226/UCE/DG-CCON/668/2017 de fecha 4 de octubre de 2017.</w:t>
      </w:r>
    </w:p>
    <w:p w14:paraId="3CFD7202" w14:textId="77777777" w:rsidR="00CF6CBD" w:rsidRDefault="00572362" w:rsidP="00CF6CBD">
      <w:pPr>
        <w:numPr>
          <w:ilvl w:val="0"/>
          <w:numId w:val="4"/>
        </w:numPr>
        <w:spacing w:afterLines="120" w:after="288" w:line="240" w:lineRule="auto"/>
        <w:ind w:left="567"/>
        <w:jc w:val="both"/>
        <w:rPr>
          <w:rFonts w:ascii="ITC Avant Garde" w:hAnsi="ITC Avant Garde"/>
          <w:bCs/>
          <w:lang w:eastAsia="es-MX"/>
        </w:rPr>
      </w:pPr>
      <w:r>
        <w:rPr>
          <w:rFonts w:ascii="ITC Avant Garde" w:hAnsi="ITC Avant Garde" w:cs="Arial"/>
          <w:b/>
          <w:bCs/>
          <w:color w:val="000000"/>
          <w:shd w:val="clear" w:color="auto" w:fill="FFFFFF"/>
        </w:rPr>
        <w:t xml:space="preserve">Respuesta a Segundo Requerimiento de Información. </w:t>
      </w:r>
      <w:r>
        <w:rPr>
          <w:rFonts w:ascii="ITC Avant Garde" w:hAnsi="ITC Avant Garde" w:cs="Arial"/>
          <w:bCs/>
          <w:color w:val="000000"/>
          <w:shd w:val="clear" w:color="auto" w:fill="FFFFFF"/>
        </w:rPr>
        <w:t xml:space="preserve">Mediante escrito presentado ante el Instituto el 20 de octubre de 2017, el representante legal de </w:t>
      </w:r>
      <w:r w:rsidRPr="003F77C3">
        <w:rPr>
          <w:rFonts w:ascii="ITC Avant Garde" w:hAnsi="ITC Avant Garde" w:cs="Arial"/>
          <w:bCs/>
          <w:color w:val="000000"/>
          <w:shd w:val="clear" w:color="auto" w:fill="FFFFFF"/>
        </w:rPr>
        <w:t>Integración de Servicios y Tecnología, S.A. de C.V.</w:t>
      </w:r>
      <w:r>
        <w:rPr>
          <w:rFonts w:ascii="ITC Avant Garde" w:hAnsi="ITC Avant Garde" w:cs="Arial"/>
          <w:bCs/>
          <w:color w:val="000000"/>
          <w:shd w:val="clear" w:color="auto" w:fill="FFFFFF"/>
        </w:rPr>
        <w:t xml:space="preserve">, presentó información mediante la cual pretendió dar respuesta al requerimiento formulado por la Unidad de Concesiones y Servicios, a través de la Dirección General de Concesiones de Telecomunicaciones, mediante oficio </w:t>
      </w:r>
      <w:r>
        <w:rPr>
          <w:rFonts w:ascii="ITC Avant Garde" w:hAnsi="ITC Avant Garde"/>
          <w:bCs/>
          <w:lang w:eastAsia="es-MX"/>
        </w:rPr>
        <w:t>IFT/223/UCS/DG-CTEL/1922/2017</w:t>
      </w:r>
      <w:r w:rsidR="00513AD4">
        <w:rPr>
          <w:rFonts w:ascii="ITC Avant Garde" w:hAnsi="ITC Avant Garde"/>
          <w:bCs/>
          <w:lang w:eastAsia="es-MX"/>
        </w:rPr>
        <w:t xml:space="preserve"> referido en el Antecedente X anterior</w:t>
      </w:r>
      <w:r>
        <w:rPr>
          <w:rFonts w:ascii="ITC Avant Garde" w:hAnsi="ITC Avant Garde"/>
          <w:bCs/>
          <w:lang w:eastAsia="es-MX"/>
        </w:rPr>
        <w:t>.</w:t>
      </w:r>
    </w:p>
    <w:p w14:paraId="70A4B420" w14:textId="77777777" w:rsidR="00CF6CBD" w:rsidRDefault="00572362" w:rsidP="00CF6CBD">
      <w:pPr>
        <w:numPr>
          <w:ilvl w:val="0"/>
          <w:numId w:val="4"/>
        </w:numPr>
        <w:spacing w:afterLines="120" w:after="288" w:line="240" w:lineRule="auto"/>
        <w:ind w:left="567"/>
        <w:jc w:val="both"/>
        <w:rPr>
          <w:rFonts w:ascii="ITC Avant Garde" w:hAnsi="ITC Avant Garde"/>
          <w:bCs/>
          <w:lang w:eastAsia="es-MX"/>
        </w:rPr>
      </w:pPr>
      <w:r>
        <w:rPr>
          <w:rFonts w:ascii="ITC Avant Garde" w:hAnsi="ITC Avant Garde" w:cs="Arial"/>
          <w:b/>
          <w:bCs/>
          <w:color w:val="000000"/>
          <w:shd w:val="clear" w:color="auto" w:fill="FFFFFF"/>
        </w:rPr>
        <w:t>Primer Alcance a la Solicitud de Opinión en materia de Competencia E</w:t>
      </w:r>
      <w:r w:rsidRPr="002E4893">
        <w:rPr>
          <w:rFonts w:ascii="ITC Avant Garde" w:hAnsi="ITC Avant Garde" w:cs="Arial"/>
          <w:b/>
          <w:bCs/>
          <w:color w:val="000000"/>
          <w:shd w:val="clear" w:color="auto" w:fill="FFFFFF"/>
        </w:rPr>
        <w:t>conómica.</w:t>
      </w:r>
      <w:r w:rsidRPr="002E4893">
        <w:rPr>
          <w:rFonts w:ascii="ITC Avant Garde" w:hAnsi="ITC Avant Garde" w:cs="Arial"/>
          <w:bCs/>
          <w:color w:val="000000"/>
          <w:shd w:val="clear" w:color="auto" w:fill="FFFFFF"/>
        </w:rPr>
        <w:t xml:space="preserve"> </w:t>
      </w:r>
      <w:r>
        <w:rPr>
          <w:rFonts w:ascii="ITC Avant Garde" w:hAnsi="ITC Avant Garde" w:cs="Arial"/>
          <w:bCs/>
          <w:color w:val="000000"/>
          <w:shd w:val="clear" w:color="auto" w:fill="FFFFFF"/>
        </w:rPr>
        <w:t>Mediante oficio IFT/223/UCS/DG-CTEL/</w:t>
      </w:r>
      <w:r w:rsidR="00341A41">
        <w:rPr>
          <w:rFonts w:ascii="ITC Avant Garde" w:hAnsi="ITC Avant Garde" w:cs="Arial"/>
          <w:bCs/>
          <w:color w:val="000000"/>
          <w:shd w:val="clear" w:color="auto" w:fill="FFFFFF"/>
        </w:rPr>
        <w:t>2059</w:t>
      </w:r>
      <w:r>
        <w:rPr>
          <w:rFonts w:ascii="ITC Avant Garde" w:hAnsi="ITC Avant Garde" w:cs="Arial"/>
          <w:bCs/>
          <w:color w:val="000000"/>
          <w:shd w:val="clear" w:color="auto" w:fill="FFFFFF"/>
        </w:rPr>
        <w:t>/2017, de fecha 2</w:t>
      </w:r>
      <w:r w:rsidR="00341A41">
        <w:rPr>
          <w:rFonts w:ascii="ITC Avant Garde" w:hAnsi="ITC Avant Garde" w:cs="Arial"/>
          <w:bCs/>
          <w:color w:val="000000"/>
          <w:shd w:val="clear" w:color="auto" w:fill="FFFFFF"/>
        </w:rPr>
        <w:t>4</w:t>
      </w:r>
      <w:r>
        <w:rPr>
          <w:rFonts w:ascii="ITC Avant Garde" w:hAnsi="ITC Avant Garde" w:cs="Arial"/>
          <w:bCs/>
          <w:color w:val="000000"/>
          <w:shd w:val="clear" w:color="auto" w:fill="FFFFFF"/>
        </w:rPr>
        <w:t xml:space="preserve"> de </w:t>
      </w:r>
      <w:r w:rsidR="00341A41">
        <w:rPr>
          <w:rFonts w:ascii="ITC Avant Garde" w:hAnsi="ITC Avant Garde" w:cs="Arial"/>
          <w:bCs/>
          <w:color w:val="000000"/>
          <w:shd w:val="clear" w:color="auto" w:fill="FFFFFF"/>
        </w:rPr>
        <w:t>octubre</w:t>
      </w:r>
      <w:r w:rsidRPr="002E4893">
        <w:rPr>
          <w:rFonts w:ascii="ITC Avant Garde" w:hAnsi="ITC Avant Garde" w:cs="Arial"/>
          <w:bCs/>
          <w:color w:val="000000"/>
          <w:shd w:val="clear" w:color="auto" w:fill="FFFFFF"/>
        </w:rPr>
        <w:t xml:space="preserve"> de 2017, la Dirección General de Concesiones de Telecomunicaciones, adscrita a la Unidad de Concesiones y Servicios, </w:t>
      </w:r>
      <w:r w:rsidR="00341A41">
        <w:rPr>
          <w:rFonts w:ascii="ITC Avant Garde" w:hAnsi="ITC Avant Garde" w:cs="Arial"/>
          <w:bCs/>
          <w:color w:val="000000"/>
          <w:shd w:val="clear" w:color="auto" w:fill="FFFFFF"/>
        </w:rPr>
        <w:t>remitió</w:t>
      </w:r>
      <w:r w:rsidRPr="002E4893">
        <w:rPr>
          <w:rFonts w:ascii="ITC Avant Garde" w:hAnsi="ITC Avant Garde" w:cs="Arial"/>
          <w:bCs/>
          <w:color w:val="000000"/>
          <w:shd w:val="clear" w:color="auto" w:fill="FFFFFF"/>
        </w:rPr>
        <w:t xml:space="preserve"> a la Dirección General de Concentraciones y Concesiones de la Unidad de Competencia Económica</w:t>
      </w:r>
      <w:r w:rsidR="00931E48">
        <w:rPr>
          <w:rFonts w:ascii="ITC Avant Garde" w:hAnsi="ITC Avant Garde" w:cs="Arial"/>
          <w:bCs/>
          <w:color w:val="000000"/>
          <w:shd w:val="clear" w:color="auto" w:fill="FFFFFF"/>
        </w:rPr>
        <w:t>,</w:t>
      </w:r>
      <w:r w:rsidRPr="002E4893">
        <w:rPr>
          <w:rFonts w:ascii="ITC Avant Garde" w:hAnsi="ITC Avant Garde" w:cs="Arial"/>
          <w:bCs/>
          <w:color w:val="000000"/>
          <w:shd w:val="clear" w:color="auto" w:fill="FFFFFF"/>
        </w:rPr>
        <w:t xml:space="preserve"> </w:t>
      </w:r>
      <w:r w:rsidR="00341A41">
        <w:rPr>
          <w:rFonts w:ascii="ITC Avant Garde" w:hAnsi="ITC Avant Garde" w:cs="Arial"/>
          <w:bCs/>
          <w:color w:val="000000"/>
          <w:shd w:val="clear" w:color="auto" w:fill="FFFFFF"/>
        </w:rPr>
        <w:t xml:space="preserve">la información presentada ante el Instituto </w:t>
      </w:r>
      <w:r w:rsidR="00A829EC">
        <w:rPr>
          <w:rFonts w:ascii="ITC Avant Garde" w:hAnsi="ITC Avant Garde" w:cs="Arial"/>
          <w:bCs/>
          <w:color w:val="000000"/>
          <w:shd w:val="clear" w:color="auto" w:fill="FFFFFF"/>
        </w:rPr>
        <w:t>referida en el Antecedente XI de</w:t>
      </w:r>
      <w:r w:rsidR="00B42E8D">
        <w:rPr>
          <w:rFonts w:ascii="ITC Avant Garde" w:hAnsi="ITC Avant Garde" w:cs="Arial"/>
          <w:bCs/>
          <w:color w:val="000000"/>
          <w:shd w:val="clear" w:color="auto" w:fill="FFFFFF"/>
        </w:rPr>
        <w:t xml:space="preserve"> </w:t>
      </w:r>
      <w:r w:rsidR="00A829EC">
        <w:rPr>
          <w:rFonts w:ascii="ITC Avant Garde" w:hAnsi="ITC Avant Garde" w:cs="Arial"/>
          <w:bCs/>
          <w:color w:val="000000"/>
          <w:shd w:val="clear" w:color="auto" w:fill="FFFFFF"/>
        </w:rPr>
        <w:t>l</w:t>
      </w:r>
      <w:r w:rsidR="00B42E8D">
        <w:rPr>
          <w:rFonts w:ascii="ITC Avant Garde" w:hAnsi="ITC Avant Garde" w:cs="Arial"/>
          <w:bCs/>
          <w:color w:val="000000"/>
          <w:shd w:val="clear" w:color="auto" w:fill="FFFFFF"/>
        </w:rPr>
        <w:t>a</w:t>
      </w:r>
      <w:r w:rsidR="00A829EC">
        <w:rPr>
          <w:rFonts w:ascii="ITC Avant Garde" w:hAnsi="ITC Avant Garde" w:cs="Arial"/>
          <w:bCs/>
          <w:color w:val="000000"/>
          <w:shd w:val="clear" w:color="auto" w:fill="FFFFFF"/>
        </w:rPr>
        <w:t xml:space="preserve"> presente</w:t>
      </w:r>
      <w:r w:rsidR="00B42E8D">
        <w:rPr>
          <w:rFonts w:ascii="ITC Avant Garde" w:hAnsi="ITC Avant Garde" w:cs="Arial"/>
          <w:bCs/>
          <w:color w:val="000000"/>
          <w:shd w:val="clear" w:color="auto" w:fill="FFFFFF"/>
        </w:rPr>
        <w:t xml:space="preserve"> Resolución</w:t>
      </w:r>
      <w:r w:rsidR="00A829EC">
        <w:rPr>
          <w:rFonts w:ascii="ITC Avant Garde" w:hAnsi="ITC Avant Garde" w:cs="Arial"/>
          <w:bCs/>
          <w:color w:val="000000"/>
          <w:shd w:val="clear" w:color="auto" w:fill="FFFFFF"/>
        </w:rPr>
        <w:t>.</w:t>
      </w:r>
    </w:p>
    <w:p w14:paraId="678271CC" w14:textId="77777777" w:rsidR="00CF6CBD" w:rsidRDefault="00931E48" w:rsidP="00CF6CBD">
      <w:pPr>
        <w:numPr>
          <w:ilvl w:val="0"/>
          <w:numId w:val="4"/>
        </w:numPr>
        <w:spacing w:afterLines="120" w:after="288" w:line="240" w:lineRule="auto"/>
        <w:ind w:left="567"/>
        <w:jc w:val="both"/>
        <w:rPr>
          <w:rFonts w:ascii="ITC Avant Garde" w:hAnsi="ITC Avant Garde"/>
          <w:bCs/>
          <w:lang w:eastAsia="es-MX"/>
        </w:rPr>
      </w:pPr>
      <w:r>
        <w:rPr>
          <w:rFonts w:ascii="ITC Avant Garde" w:hAnsi="ITC Avant Garde" w:cs="Arial"/>
          <w:b/>
          <w:bCs/>
          <w:color w:val="000000"/>
          <w:shd w:val="clear" w:color="auto" w:fill="FFFFFF"/>
        </w:rPr>
        <w:t xml:space="preserve">Primer Alcance a la Solicitud </w:t>
      </w:r>
      <w:r>
        <w:rPr>
          <w:rFonts w:ascii="ITC Avant Garde" w:hAnsi="ITC Avant Garde"/>
          <w:b/>
          <w:shd w:val="clear" w:color="auto" w:fill="FFFFFF"/>
        </w:rPr>
        <w:t>de O</w:t>
      </w:r>
      <w:r w:rsidRPr="00A06D0A">
        <w:rPr>
          <w:rFonts w:ascii="ITC Avant Garde" w:hAnsi="ITC Avant Garde"/>
          <w:b/>
          <w:shd w:val="clear" w:color="auto" w:fill="FFFFFF"/>
        </w:rPr>
        <w:t xml:space="preserve">pinión </w:t>
      </w:r>
      <w:r>
        <w:rPr>
          <w:rFonts w:ascii="ITC Avant Garde" w:hAnsi="ITC Avant Garde"/>
          <w:b/>
          <w:shd w:val="clear" w:color="auto" w:fill="FFFFFF"/>
        </w:rPr>
        <w:t>de la Secretaría</w:t>
      </w:r>
      <w:r w:rsidRPr="002E4893">
        <w:rPr>
          <w:rFonts w:ascii="ITC Avant Garde" w:hAnsi="ITC Avant Garde" w:cs="Arial"/>
          <w:b/>
          <w:bCs/>
          <w:color w:val="000000"/>
          <w:shd w:val="clear" w:color="auto" w:fill="FFFFFF"/>
        </w:rPr>
        <w:t>.</w:t>
      </w:r>
      <w:r w:rsidRPr="002E4893">
        <w:rPr>
          <w:rFonts w:ascii="ITC Avant Garde" w:hAnsi="ITC Avant Garde" w:cs="Arial"/>
          <w:bCs/>
          <w:color w:val="000000"/>
          <w:shd w:val="clear" w:color="auto" w:fill="FFFFFF"/>
        </w:rPr>
        <w:t xml:space="preserve"> </w:t>
      </w:r>
      <w:r>
        <w:rPr>
          <w:rFonts w:ascii="ITC Avant Garde" w:hAnsi="ITC Avant Garde" w:cs="Arial"/>
          <w:bCs/>
          <w:color w:val="000000"/>
          <w:shd w:val="clear" w:color="auto" w:fill="FFFFFF"/>
        </w:rPr>
        <w:t>Mediante oficio IFT/223/UCS/DG-CTEL/2060/2017, de fecha 24 de octubre</w:t>
      </w:r>
      <w:r w:rsidRPr="002E4893">
        <w:rPr>
          <w:rFonts w:ascii="ITC Avant Garde" w:hAnsi="ITC Avant Garde" w:cs="Arial"/>
          <w:bCs/>
          <w:color w:val="000000"/>
          <w:shd w:val="clear" w:color="auto" w:fill="FFFFFF"/>
        </w:rPr>
        <w:t xml:space="preserve"> de 2017, la Dirección General de Concesiones de Telecomunicaciones, adscrita a la Unidad de Concesiones y Servicios, </w:t>
      </w:r>
      <w:r>
        <w:rPr>
          <w:rFonts w:ascii="ITC Avant Garde" w:hAnsi="ITC Avant Garde" w:cs="Arial"/>
          <w:bCs/>
          <w:color w:val="000000"/>
          <w:shd w:val="clear" w:color="auto" w:fill="FFFFFF"/>
        </w:rPr>
        <w:t>remitió</w:t>
      </w:r>
      <w:r w:rsidRPr="002E4893">
        <w:rPr>
          <w:rFonts w:ascii="ITC Avant Garde" w:hAnsi="ITC Avant Garde" w:cs="Arial"/>
          <w:bCs/>
          <w:color w:val="000000"/>
          <w:shd w:val="clear" w:color="auto" w:fill="FFFFFF"/>
        </w:rPr>
        <w:t xml:space="preserve"> a la Dirección General de </w:t>
      </w:r>
      <w:r>
        <w:rPr>
          <w:rFonts w:ascii="ITC Avant Garde" w:hAnsi="ITC Avant Garde" w:cs="Arial"/>
          <w:bCs/>
          <w:color w:val="000000"/>
          <w:shd w:val="clear" w:color="auto" w:fill="FFFFFF"/>
        </w:rPr>
        <w:t>Política de Telecomunicaciones y de Radiodifusión de la Secretaría,</w:t>
      </w:r>
      <w:r w:rsidRPr="002E4893">
        <w:rPr>
          <w:rFonts w:ascii="ITC Avant Garde" w:hAnsi="ITC Avant Garde" w:cs="Arial"/>
          <w:bCs/>
          <w:color w:val="000000"/>
          <w:shd w:val="clear" w:color="auto" w:fill="FFFFFF"/>
        </w:rPr>
        <w:t xml:space="preserve"> </w:t>
      </w:r>
      <w:r>
        <w:rPr>
          <w:rFonts w:ascii="ITC Avant Garde" w:hAnsi="ITC Avant Garde" w:cs="Arial"/>
          <w:bCs/>
          <w:color w:val="000000"/>
          <w:shd w:val="clear" w:color="auto" w:fill="FFFFFF"/>
        </w:rPr>
        <w:t xml:space="preserve">la información presentada </w:t>
      </w:r>
      <w:r w:rsidR="00A829EC">
        <w:rPr>
          <w:rFonts w:ascii="ITC Avant Garde" w:hAnsi="ITC Avant Garde" w:cs="Arial"/>
          <w:bCs/>
          <w:color w:val="000000"/>
          <w:shd w:val="clear" w:color="auto" w:fill="FFFFFF"/>
        </w:rPr>
        <w:t>ante el Instituto referida en el Antecedente XI de</w:t>
      </w:r>
      <w:r w:rsidR="00B42E8D">
        <w:rPr>
          <w:rFonts w:ascii="ITC Avant Garde" w:hAnsi="ITC Avant Garde" w:cs="Arial"/>
          <w:bCs/>
          <w:color w:val="000000"/>
          <w:shd w:val="clear" w:color="auto" w:fill="FFFFFF"/>
        </w:rPr>
        <w:t xml:space="preserve"> </w:t>
      </w:r>
      <w:r w:rsidR="00A829EC">
        <w:rPr>
          <w:rFonts w:ascii="ITC Avant Garde" w:hAnsi="ITC Avant Garde" w:cs="Arial"/>
          <w:bCs/>
          <w:color w:val="000000"/>
          <w:shd w:val="clear" w:color="auto" w:fill="FFFFFF"/>
        </w:rPr>
        <w:t>l</w:t>
      </w:r>
      <w:r w:rsidR="00B42E8D">
        <w:rPr>
          <w:rFonts w:ascii="ITC Avant Garde" w:hAnsi="ITC Avant Garde" w:cs="Arial"/>
          <w:bCs/>
          <w:color w:val="000000"/>
          <w:shd w:val="clear" w:color="auto" w:fill="FFFFFF"/>
        </w:rPr>
        <w:t>a</w:t>
      </w:r>
      <w:r w:rsidR="00A829EC">
        <w:rPr>
          <w:rFonts w:ascii="ITC Avant Garde" w:hAnsi="ITC Avant Garde" w:cs="Arial"/>
          <w:bCs/>
          <w:color w:val="000000"/>
          <w:shd w:val="clear" w:color="auto" w:fill="FFFFFF"/>
        </w:rPr>
        <w:t xml:space="preserve"> presente</w:t>
      </w:r>
      <w:r w:rsidR="00B42E8D">
        <w:rPr>
          <w:rFonts w:ascii="ITC Avant Garde" w:hAnsi="ITC Avant Garde" w:cs="Arial"/>
          <w:bCs/>
          <w:color w:val="000000"/>
          <w:shd w:val="clear" w:color="auto" w:fill="FFFFFF"/>
        </w:rPr>
        <w:t xml:space="preserve"> Resolución</w:t>
      </w:r>
      <w:r w:rsidR="00A829EC">
        <w:rPr>
          <w:rFonts w:ascii="ITC Avant Garde" w:hAnsi="ITC Avant Garde" w:cs="Arial"/>
          <w:bCs/>
          <w:color w:val="000000"/>
          <w:shd w:val="clear" w:color="auto" w:fill="FFFFFF"/>
        </w:rPr>
        <w:t>.</w:t>
      </w:r>
    </w:p>
    <w:p w14:paraId="50D5AFBD" w14:textId="77777777" w:rsidR="00CF6CBD" w:rsidRDefault="00CB107D" w:rsidP="00CF6CBD">
      <w:pPr>
        <w:numPr>
          <w:ilvl w:val="0"/>
          <w:numId w:val="4"/>
        </w:numPr>
        <w:spacing w:afterLines="120" w:after="288" w:line="240" w:lineRule="auto"/>
        <w:ind w:left="567"/>
        <w:jc w:val="both"/>
        <w:rPr>
          <w:rFonts w:ascii="ITC Avant Garde" w:hAnsi="ITC Avant Garde"/>
          <w:bCs/>
          <w:lang w:eastAsia="es-MX"/>
        </w:rPr>
      </w:pPr>
      <w:r>
        <w:rPr>
          <w:rFonts w:ascii="ITC Avant Garde" w:hAnsi="ITC Avant Garde" w:cs="Arial"/>
          <w:b/>
          <w:bCs/>
          <w:color w:val="000000"/>
          <w:shd w:val="clear" w:color="auto" w:fill="FFFFFF"/>
        </w:rPr>
        <w:t>Alcances a la Respuesta al Segundo Requerimiento de Información.</w:t>
      </w:r>
      <w:r>
        <w:rPr>
          <w:rFonts w:ascii="ITC Avant Garde" w:hAnsi="ITC Avant Garde"/>
          <w:bCs/>
          <w:lang w:eastAsia="es-MX"/>
        </w:rPr>
        <w:t xml:space="preserve"> Mediante escritos presentados</w:t>
      </w:r>
      <w:r w:rsidR="002C453B">
        <w:rPr>
          <w:rFonts w:ascii="ITC Avant Garde" w:hAnsi="ITC Avant Garde"/>
          <w:bCs/>
          <w:lang w:eastAsia="es-MX"/>
        </w:rPr>
        <w:t xml:space="preserve"> ante el Instituto los días 7 y 8 de noviembre de 2017, el representante legal de </w:t>
      </w:r>
      <w:r w:rsidR="002C453B" w:rsidRPr="003F77C3">
        <w:rPr>
          <w:rFonts w:ascii="ITC Avant Garde" w:hAnsi="ITC Avant Garde" w:cs="Arial"/>
          <w:bCs/>
          <w:color w:val="000000"/>
          <w:shd w:val="clear" w:color="auto" w:fill="FFFFFF"/>
        </w:rPr>
        <w:t>Integración de Servicios y Tecnología, S.A. de C.V.</w:t>
      </w:r>
      <w:r w:rsidR="002C453B">
        <w:rPr>
          <w:rFonts w:ascii="ITC Avant Garde" w:hAnsi="ITC Avant Garde" w:cs="Arial"/>
          <w:bCs/>
          <w:color w:val="000000"/>
          <w:shd w:val="clear" w:color="auto" w:fill="FFFFFF"/>
        </w:rPr>
        <w:t xml:space="preserve">, </w:t>
      </w:r>
      <w:r w:rsidR="00C92B9F">
        <w:rPr>
          <w:rFonts w:ascii="ITC Avant Garde" w:hAnsi="ITC Avant Garde" w:cs="Arial"/>
          <w:bCs/>
          <w:color w:val="000000"/>
          <w:shd w:val="clear" w:color="auto" w:fill="FFFFFF"/>
        </w:rPr>
        <w:t>realizó</w:t>
      </w:r>
      <w:r w:rsidR="002C453B">
        <w:rPr>
          <w:rFonts w:ascii="ITC Avant Garde" w:hAnsi="ITC Avant Garde" w:cs="Arial"/>
          <w:bCs/>
          <w:color w:val="000000"/>
          <w:shd w:val="clear" w:color="auto" w:fill="FFFFFF"/>
        </w:rPr>
        <w:t xml:space="preserve"> </w:t>
      </w:r>
      <w:r w:rsidR="00CF7BF3">
        <w:rPr>
          <w:rFonts w:ascii="ITC Avant Garde" w:hAnsi="ITC Avant Garde" w:cs="Arial"/>
          <w:bCs/>
          <w:color w:val="000000"/>
          <w:shd w:val="clear" w:color="auto" w:fill="FFFFFF"/>
        </w:rPr>
        <w:t xml:space="preserve">diversas correcciones a la </w:t>
      </w:r>
      <w:r w:rsidR="002C453B">
        <w:rPr>
          <w:rFonts w:ascii="ITC Avant Garde" w:hAnsi="ITC Avant Garde" w:cs="Arial"/>
          <w:bCs/>
          <w:color w:val="000000"/>
          <w:shd w:val="clear" w:color="auto" w:fill="FFFFFF"/>
        </w:rPr>
        <w:t xml:space="preserve">información </w:t>
      </w:r>
      <w:r w:rsidR="00CF7BF3">
        <w:rPr>
          <w:rFonts w:ascii="ITC Avant Garde" w:hAnsi="ITC Avant Garde" w:cs="Arial"/>
          <w:bCs/>
          <w:color w:val="000000"/>
          <w:shd w:val="clear" w:color="auto" w:fill="FFFFFF"/>
        </w:rPr>
        <w:t>contenida en</w:t>
      </w:r>
      <w:r w:rsidR="002C453B">
        <w:rPr>
          <w:rFonts w:ascii="ITC Avant Garde" w:hAnsi="ITC Avant Garde" w:cs="Arial"/>
          <w:bCs/>
          <w:color w:val="000000"/>
          <w:shd w:val="clear" w:color="auto" w:fill="FFFFFF"/>
        </w:rPr>
        <w:t xml:space="preserve"> su respuesta </w:t>
      </w:r>
      <w:r w:rsidR="00C92B9F">
        <w:rPr>
          <w:rFonts w:ascii="ITC Avant Garde" w:hAnsi="ITC Avant Garde" w:cs="Arial"/>
          <w:bCs/>
          <w:color w:val="000000"/>
          <w:shd w:val="clear" w:color="auto" w:fill="FFFFFF"/>
        </w:rPr>
        <w:t>señalada en el Antecedente XI anterior</w:t>
      </w:r>
      <w:r w:rsidR="002C453B">
        <w:rPr>
          <w:rFonts w:ascii="ITC Avant Garde" w:hAnsi="ITC Avant Garde"/>
          <w:bCs/>
          <w:lang w:eastAsia="es-MX"/>
        </w:rPr>
        <w:t>.</w:t>
      </w:r>
    </w:p>
    <w:p w14:paraId="6012291F" w14:textId="77777777" w:rsidR="00CF6CBD" w:rsidRDefault="00CF7BF3" w:rsidP="00CF6CBD">
      <w:pPr>
        <w:numPr>
          <w:ilvl w:val="0"/>
          <w:numId w:val="4"/>
        </w:numPr>
        <w:spacing w:afterLines="120" w:after="288" w:line="240" w:lineRule="auto"/>
        <w:ind w:left="567"/>
        <w:jc w:val="both"/>
        <w:rPr>
          <w:rFonts w:ascii="ITC Avant Garde" w:hAnsi="ITC Avant Garde"/>
          <w:bCs/>
          <w:lang w:eastAsia="es-MX"/>
        </w:rPr>
      </w:pPr>
      <w:r>
        <w:rPr>
          <w:rFonts w:ascii="ITC Avant Garde" w:hAnsi="ITC Avant Garde" w:cs="Arial"/>
          <w:b/>
          <w:bCs/>
          <w:color w:val="000000"/>
          <w:shd w:val="clear" w:color="auto" w:fill="FFFFFF"/>
        </w:rPr>
        <w:t>Segundo Alcance a la Solicitud de Opinión en materia de Competencia E</w:t>
      </w:r>
      <w:r w:rsidRPr="002E4893">
        <w:rPr>
          <w:rFonts w:ascii="ITC Avant Garde" w:hAnsi="ITC Avant Garde" w:cs="Arial"/>
          <w:b/>
          <w:bCs/>
          <w:color w:val="000000"/>
          <w:shd w:val="clear" w:color="auto" w:fill="FFFFFF"/>
        </w:rPr>
        <w:t>conómica.</w:t>
      </w:r>
      <w:r w:rsidRPr="002E4893">
        <w:rPr>
          <w:rFonts w:ascii="ITC Avant Garde" w:hAnsi="ITC Avant Garde" w:cs="Arial"/>
          <w:bCs/>
          <w:color w:val="000000"/>
          <w:shd w:val="clear" w:color="auto" w:fill="FFFFFF"/>
        </w:rPr>
        <w:t xml:space="preserve"> </w:t>
      </w:r>
      <w:r>
        <w:rPr>
          <w:rFonts w:ascii="ITC Avant Garde" w:hAnsi="ITC Avant Garde" w:cs="Arial"/>
          <w:bCs/>
          <w:color w:val="000000"/>
          <w:shd w:val="clear" w:color="auto" w:fill="FFFFFF"/>
        </w:rPr>
        <w:t>Mediante oficio IFT/223/UCS/DG-CTEL/2132/2017, de fecha 8 de noviembre</w:t>
      </w:r>
      <w:r w:rsidRPr="002E4893">
        <w:rPr>
          <w:rFonts w:ascii="ITC Avant Garde" w:hAnsi="ITC Avant Garde" w:cs="Arial"/>
          <w:bCs/>
          <w:color w:val="000000"/>
          <w:shd w:val="clear" w:color="auto" w:fill="FFFFFF"/>
        </w:rPr>
        <w:t xml:space="preserve"> de 2017, la Dirección General de Concesiones de Telecomunicaciones, adscrita a la Unidad de Concesiones y Servicios, </w:t>
      </w:r>
      <w:r>
        <w:rPr>
          <w:rFonts w:ascii="ITC Avant Garde" w:hAnsi="ITC Avant Garde" w:cs="Arial"/>
          <w:bCs/>
          <w:color w:val="000000"/>
          <w:shd w:val="clear" w:color="auto" w:fill="FFFFFF"/>
        </w:rPr>
        <w:t>remitió</w:t>
      </w:r>
      <w:r w:rsidRPr="002E4893">
        <w:rPr>
          <w:rFonts w:ascii="ITC Avant Garde" w:hAnsi="ITC Avant Garde" w:cs="Arial"/>
          <w:bCs/>
          <w:color w:val="000000"/>
          <w:shd w:val="clear" w:color="auto" w:fill="FFFFFF"/>
        </w:rPr>
        <w:t xml:space="preserve"> a la Dirección General de Concentraciones y Concesiones de la Unidad de </w:t>
      </w:r>
      <w:r w:rsidRPr="002E4893">
        <w:rPr>
          <w:rFonts w:ascii="ITC Avant Garde" w:hAnsi="ITC Avant Garde" w:cs="Arial"/>
          <w:bCs/>
          <w:color w:val="000000"/>
          <w:shd w:val="clear" w:color="auto" w:fill="FFFFFF"/>
        </w:rPr>
        <w:lastRenderedPageBreak/>
        <w:t>Competencia Económica</w:t>
      </w:r>
      <w:r>
        <w:rPr>
          <w:rFonts w:ascii="ITC Avant Garde" w:hAnsi="ITC Avant Garde" w:cs="Arial"/>
          <w:bCs/>
          <w:color w:val="000000"/>
          <w:shd w:val="clear" w:color="auto" w:fill="FFFFFF"/>
        </w:rPr>
        <w:t>,</w:t>
      </w:r>
      <w:r w:rsidRPr="002E4893">
        <w:rPr>
          <w:rFonts w:ascii="ITC Avant Garde" w:hAnsi="ITC Avant Garde" w:cs="Arial"/>
          <w:bCs/>
          <w:color w:val="000000"/>
          <w:shd w:val="clear" w:color="auto" w:fill="FFFFFF"/>
        </w:rPr>
        <w:t xml:space="preserve"> </w:t>
      </w:r>
      <w:r>
        <w:rPr>
          <w:rFonts w:ascii="ITC Avant Garde" w:hAnsi="ITC Avant Garde" w:cs="Arial"/>
          <w:bCs/>
          <w:color w:val="000000"/>
          <w:shd w:val="clear" w:color="auto" w:fill="FFFFFF"/>
        </w:rPr>
        <w:t>la información presentada a</w:t>
      </w:r>
      <w:r w:rsidR="00B42E8D">
        <w:rPr>
          <w:rFonts w:ascii="ITC Avant Garde" w:hAnsi="ITC Avant Garde" w:cs="Arial"/>
          <w:bCs/>
          <w:color w:val="000000"/>
          <w:shd w:val="clear" w:color="auto" w:fill="FFFFFF"/>
        </w:rPr>
        <w:t>l</w:t>
      </w:r>
      <w:r>
        <w:rPr>
          <w:rFonts w:ascii="ITC Avant Garde" w:hAnsi="ITC Avant Garde" w:cs="Arial"/>
          <w:bCs/>
          <w:color w:val="000000"/>
          <w:shd w:val="clear" w:color="auto" w:fill="FFFFFF"/>
        </w:rPr>
        <w:t xml:space="preserve"> Instituto </w:t>
      </w:r>
      <w:r w:rsidR="00B42E8D">
        <w:rPr>
          <w:rFonts w:ascii="ITC Avant Garde" w:hAnsi="ITC Avant Garde" w:cs="Arial"/>
          <w:bCs/>
          <w:color w:val="000000"/>
          <w:shd w:val="clear" w:color="auto" w:fill="FFFFFF"/>
        </w:rPr>
        <w:t>referida en el Antecedente XIV de la presente Resolución.</w:t>
      </w:r>
    </w:p>
    <w:p w14:paraId="76658FC5" w14:textId="77777777" w:rsidR="00CF6CBD" w:rsidRDefault="006C4E42" w:rsidP="00CF6CBD">
      <w:pPr>
        <w:numPr>
          <w:ilvl w:val="0"/>
          <w:numId w:val="4"/>
        </w:numPr>
        <w:spacing w:afterLines="120" w:after="288" w:line="240" w:lineRule="auto"/>
        <w:ind w:left="567"/>
        <w:jc w:val="both"/>
        <w:rPr>
          <w:rFonts w:ascii="ITC Avant Garde" w:hAnsi="ITC Avant Garde"/>
          <w:b/>
          <w:bCs/>
          <w:lang w:eastAsia="es-MX"/>
        </w:rPr>
      </w:pPr>
      <w:r w:rsidRPr="00C9500A">
        <w:rPr>
          <w:rFonts w:ascii="ITC Avant Garde" w:hAnsi="ITC Avant Garde"/>
          <w:b/>
          <w:bCs/>
          <w:lang w:eastAsia="es-MX"/>
        </w:rPr>
        <w:t xml:space="preserve">Opinión en </w:t>
      </w:r>
      <w:r w:rsidR="00D92300" w:rsidRPr="00C9500A">
        <w:rPr>
          <w:rFonts w:ascii="ITC Avant Garde" w:hAnsi="ITC Avant Garde"/>
          <w:b/>
          <w:bCs/>
          <w:lang w:eastAsia="es-MX"/>
        </w:rPr>
        <w:t xml:space="preserve">materia </w:t>
      </w:r>
      <w:r w:rsidRPr="00C9500A">
        <w:rPr>
          <w:rFonts w:ascii="ITC Avant Garde" w:hAnsi="ITC Avant Garde"/>
          <w:b/>
          <w:bCs/>
          <w:lang w:eastAsia="es-MX"/>
        </w:rPr>
        <w:t xml:space="preserve">de </w:t>
      </w:r>
      <w:r w:rsidR="007715B8" w:rsidRPr="00C9500A">
        <w:rPr>
          <w:rFonts w:ascii="ITC Avant Garde" w:hAnsi="ITC Avant Garde"/>
          <w:b/>
          <w:bCs/>
          <w:lang w:eastAsia="es-MX"/>
        </w:rPr>
        <w:t>competencia económica</w:t>
      </w:r>
      <w:r w:rsidR="00C371AF">
        <w:rPr>
          <w:rFonts w:ascii="ITC Avant Garde" w:hAnsi="ITC Avant Garde"/>
          <w:b/>
          <w:bCs/>
          <w:lang w:eastAsia="es-MX"/>
        </w:rPr>
        <w:t xml:space="preserve">. </w:t>
      </w:r>
      <w:r w:rsidRPr="00C9500A">
        <w:rPr>
          <w:rFonts w:ascii="ITC Avant Garde" w:hAnsi="ITC Avant Garde"/>
          <w:bCs/>
          <w:lang w:eastAsia="es-MX"/>
        </w:rPr>
        <w:t>Mediante oficio IFT/226/UCE/DG-</w:t>
      </w:r>
      <w:r w:rsidRPr="001E3E22">
        <w:rPr>
          <w:rFonts w:ascii="ITC Avant Garde" w:hAnsi="ITC Avant Garde"/>
          <w:bCs/>
          <w:lang w:eastAsia="es-MX"/>
        </w:rPr>
        <w:t>CCON/</w:t>
      </w:r>
      <w:r w:rsidR="001E3E22" w:rsidRPr="001E3E22">
        <w:rPr>
          <w:rFonts w:ascii="ITC Avant Garde" w:hAnsi="ITC Avant Garde"/>
          <w:bCs/>
          <w:lang w:eastAsia="es-MX"/>
        </w:rPr>
        <w:t>743</w:t>
      </w:r>
      <w:r w:rsidRPr="001E3E22">
        <w:rPr>
          <w:rFonts w:ascii="ITC Avant Garde" w:hAnsi="ITC Avant Garde"/>
          <w:bCs/>
          <w:lang w:eastAsia="es-MX"/>
        </w:rPr>
        <w:t>/201</w:t>
      </w:r>
      <w:r w:rsidR="00C90502" w:rsidRPr="001E3E22">
        <w:rPr>
          <w:rFonts w:ascii="ITC Avant Garde" w:hAnsi="ITC Avant Garde"/>
          <w:bCs/>
          <w:lang w:eastAsia="es-MX"/>
        </w:rPr>
        <w:t>7</w:t>
      </w:r>
      <w:r w:rsidRPr="00C9500A">
        <w:rPr>
          <w:rFonts w:ascii="ITC Avant Garde" w:hAnsi="ITC Avant Garde"/>
          <w:bCs/>
          <w:lang w:eastAsia="es-MX"/>
        </w:rPr>
        <w:t xml:space="preserve"> de fecha </w:t>
      </w:r>
      <w:r w:rsidR="001E3E22">
        <w:rPr>
          <w:rFonts w:ascii="ITC Avant Garde" w:hAnsi="ITC Avant Garde"/>
          <w:bCs/>
          <w:lang w:eastAsia="es-MX"/>
        </w:rPr>
        <w:t>8 de noviembre</w:t>
      </w:r>
      <w:r w:rsidR="008D62DD" w:rsidRPr="00C9500A">
        <w:rPr>
          <w:rFonts w:ascii="ITC Avant Garde" w:hAnsi="ITC Avant Garde"/>
          <w:bCs/>
          <w:lang w:eastAsia="es-MX"/>
        </w:rPr>
        <w:t xml:space="preserve"> </w:t>
      </w:r>
      <w:r w:rsidR="008026B1" w:rsidRPr="00C9500A">
        <w:rPr>
          <w:rFonts w:ascii="ITC Avant Garde" w:hAnsi="ITC Avant Garde"/>
          <w:bCs/>
          <w:lang w:eastAsia="es-MX"/>
        </w:rPr>
        <w:t>de 201</w:t>
      </w:r>
      <w:r w:rsidR="00C90502">
        <w:rPr>
          <w:rFonts w:ascii="ITC Avant Garde" w:hAnsi="ITC Avant Garde"/>
          <w:bCs/>
          <w:lang w:eastAsia="es-MX"/>
        </w:rPr>
        <w:t>7</w:t>
      </w:r>
      <w:r w:rsidRPr="00C9500A">
        <w:rPr>
          <w:rFonts w:ascii="ITC Avant Garde" w:hAnsi="ITC Avant Garde"/>
          <w:bCs/>
          <w:lang w:eastAsia="es-MX"/>
        </w:rPr>
        <w:t xml:space="preserve">, </w:t>
      </w:r>
      <w:r w:rsidR="007715B8" w:rsidRPr="007715B8">
        <w:rPr>
          <w:rFonts w:ascii="ITC Avant Garde" w:hAnsi="ITC Avant Garde"/>
          <w:bCs/>
          <w:lang w:eastAsia="es-MX"/>
        </w:rPr>
        <w:t xml:space="preserve">la Dirección General de </w:t>
      </w:r>
      <w:r w:rsidR="007715B8" w:rsidRPr="00A35DAD">
        <w:rPr>
          <w:rFonts w:ascii="ITC Avant Garde" w:hAnsi="ITC Avant Garde"/>
          <w:bCs/>
          <w:lang w:eastAsia="es-MX"/>
        </w:rPr>
        <w:t>Concentraciones y Concesiones</w:t>
      </w:r>
      <w:r w:rsidR="003B790A">
        <w:rPr>
          <w:rFonts w:ascii="ITC Avant Garde" w:hAnsi="ITC Avant Garde"/>
          <w:bCs/>
          <w:lang w:eastAsia="es-MX"/>
        </w:rPr>
        <w:t>, adscrita a</w:t>
      </w:r>
      <w:r w:rsidR="007715B8" w:rsidRPr="00A35DAD">
        <w:rPr>
          <w:rFonts w:ascii="ITC Avant Garde" w:hAnsi="ITC Avant Garde"/>
          <w:bCs/>
          <w:lang w:eastAsia="es-MX"/>
        </w:rPr>
        <w:t xml:space="preserve"> la Unidad de Competencia Económica em</w:t>
      </w:r>
      <w:r w:rsidR="00CF7BF3">
        <w:rPr>
          <w:rFonts w:ascii="ITC Avant Garde" w:hAnsi="ITC Avant Garde"/>
          <w:bCs/>
          <w:lang w:eastAsia="es-MX"/>
        </w:rPr>
        <w:t>itió la opinión correspondiente a la Solicitud de Suscripción de Acciones</w:t>
      </w:r>
      <w:r w:rsidRPr="00A35DAD">
        <w:rPr>
          <w:rFonts w:ascii="ITC Avant Garde" w:hAnsi="ITC Avant Garde"/>
          <w:bCs/>
          <w:lang w:eastAsia="es-MX"/>
        </w:rPr>
        <w:t>.</w:t>
      </w:r>
    </w:p>
    <w:p w14:paraId="69D638E2" w14:textId="77777777" w:rsidR="00CF6CBD" w:rsidRDefault="00B048BA" w:rsidP="00CF6CBD">
      <w:pPr>
        <w:spacing w:afterLines="120" w:after="288" w:line="240" w:lineRule="auto"/>
        <w:jc w:val="both"/>
        <w:rPr>
          <w:rFonts w:ascii="ITC Avant Garde" w:hAnsi="ITC Avant Garde"/>
          <w:bCs/>
          <w:lang w:eastAsia="es-MX"/>
        </w:rPr>
      </w:pPr>
      <w:r w:rsidRPr="00A06D0A">
        <w:rPr>
          <w:rFonts w:ascii="ITC Avant Garde" w:hAnsi="ITC Avant Garde"/>
          <w:bCs/>
          <w:lang w:eastAsia="es-MX"/>
        </w:rPr>
        <w:t>En virtud de los Antecedentes referidos</w:t>
      </w:r>
      <w:r w:rsidR="00ED2F01">
        <w:rPr>
          <w:rFonts w:ascii="ITC Avant Garde" w:hAnsi="ITC Avant Garde"/>
          <w:bCs/>
          <w:lang w:eastAsia="es-MX"/>
        </w:rPr>
        <w:t>, y</w:t>
      </w:r>
    </w:p>
    <w:p w14:paraId="738CBA55" w14:textId="77777777" w:rsidR="00CF6CBD" w:rsidRPr="00CF6CBD" w:rsidRDefault="00B048BA" w:rsidP="00CF6CBD">
      <w:pPr>
        <w:pStyle w:val="Ttulo2"/>
        <w:keepLines w:val="0"/>
        <w:spacing w:before="0" w:afterLines="120" w:after="288"/>
        <w:jc w:val="center"/>
        <w:rPr>
          <w:rFonts w:ascii="ITC Avant Garde" w:eastAsia="Times New Roman" w:hAnsi="ITC Avant Garde" w:cs="Arial"/>
          <w:b/>
          <w:bCs/>
          <w:color w:val="auto"/>
          <w:sz w:val="22"/>
          <w:szCs w:val="22"/>
        </w:rPr>
      </w:pPr>
      <w:r w:rsidRPr="00CF6CBD">
        <w:rPr>
          <w:rFonts w:ascii="ITC Avant Garde" w:eastAsia="Times New Roman" w:hAnsi="ITC Avant Garde" w:cs="Arial"/>
          <w:b/>
          <w:bCs/>
          <w:color w:val="auto"/>
          <w:sz w:val="22"/>
          <w:szCs w:val="22"/>
        </w:rPr>
        <w:t>CONSIDERANDO</w:t>
      </w:r>
    </w:p>
    <w:p w14:paraId="2708EFD4" w14:textId="77777777" w:rsidR="00CF6CBD" w:rsidRDefault="00B048BA" w:rsidP="00CF6CBD">
      <w:pPr>
        <w:autoSpaceDE w:val="0"/>
        <w:autoSpaceDN w:val="0"/>
        <w:adjustRightInd w:val="0"/>
        <w:spacing w:afterLines="120" w:after="288" w:line="240" w:lineRule="auto"/>
        <w:jc w:val="both"/>
        <w:rPr>
          <w:rFonts w:ascii="ITC Avant Garde" w:hAnsi="ITC Avant Garde"/>
          <w:bCs/>
          <w:lang w:eastAsia="es-MX"/>
        </w:rPr>
      </w:pPr>
      <w:r w:rsidRPr="00A06D0A">
        <w:rPr>
          <w:rFonts w:ascii="ITC Avant Garde" w:hAnsi="ITC Avant Garde"/>
          <w:b/>
          <w:bCs/>
        </w:rPr>
        <w:t>Primero.-</w:t>
      </w:r>
      <w:r w:rsidRPr="00A06D0A">
        <w:rPr>
          <w:rFonts w:ascii="ITC Avant Garde" w:hAnsi="ITC Avant Garde"/>
          <w:bCs/>
        </w:rPr>
        <w:t xml:space="preserve"> </w:t>
      </w:r>
      <w:r w:rsidRPr="00A06D0A">
        <w:rPr>
          <w:rFonts w:ascii="ITC Avant Garde" w:hAnsi="ITC Avant Garde"/>
          <w:b/>
          <w:bCs/>
        </w:rPr>
        <w:t>Competencia.</w:t>
      </w:r>
      <w:r w:rsidRPr="00A06D0A">
        <w:rPr>
          <w:rFonts w:ascii="ITC Avant Garde" w:hAnsi="ITC Avant Garde"/>
          <w:bCs/>
        </w:rPr>
        <w:t xml:space="preserve"> </w:t>
      </w:r>
      <w:r w:rsidR="00D04074" w:rsidRPr="00A06D0A">
        <w:rPr>
          <w:rFonts w:ascii="ITC Avant Garde" w:hAnsi="ITC Avant Garde"/>
          <w:bCs/>
          <w:lang w:eastAsia="es-MX"/>
        </w:rPr>
        <w:t xml:space="preserve">Conforme lo dispone el artículo 28 párrafo décimo </w:t>
      </w:r>
      <w:r w:rsidR="003A59B8" w:rsidRPr="00A06D0A">
        <w:rPr>
          <w:rFonts w:ascii="ITC Avant Garde" w:hAnsi="ITC Avant Garde"/>
          <w:bCs/>
          <w:lang w:eastAsia="es-MX"/>
        </w:rPr>
        <w:t>séptimo</w:t>
      </w:r>
      <w:r w:rsidR="00D04074" w:rsidRPr="00A06D0A">
        <w:rPr>
          <w:rFonts w:ascii="ITC Avant Garde" w:hAnsi="ITC Avant Garde"/>
          <w:bCs/>
          <w:lang w:eastAsia="es-MX"/>
        </w:rPr>
        <w:t xml:space="preserve"> de la Constitución</w:t>
      </w:r>
      <w:r w:rsidR="009A5569">
        <w:rPr>
          <w:rFonts w:ascii="ITC Avant Garde" w:hAnsi="ITC Avant Garde"/>
          <w:bCs/>
          <w:lang w:eastAsia="es-MX"/>
        </w:rPr>
        <w:t xml:space="preserve"> Política de los Estados Unidos Mexicanos (la “Constitución”)</w:t>
      </w:r>
      <w:r w:rsidR="00D04074" w:rsidRPr="00A06D0A">
        <w:rPr>
          <w:rFonts w:ascii="ITC Avant Garde" w:hAnsi="ITC Avant Garde"/>
          <w:bCs/>
          <w:lang w:eastAsia="es-MX"/>
        </w:rPr>
        <w:t xml:space="preserve">, </w:t>
      </w:r>
      <w:r w:rsidR="00626EF3" w:rsidRPr="00A06D0A">
        <w:rPr>
          <w:rFonts w:ascii="ITC Avant Garde" w:hAnsi="ITC Avant Garde"/>
          <w:bCs/>
          <w:lang w:eastAsia="es-MX"/>
        </w:rPr>
        <w:t>c</w:t>
      </w:r>
      <w:r w:rsidR="00F571C6" w:rsidRPr="00A06D0A">
        <w:rPr>
          <w:rFonts w:ascii="ITC Avant Garde" w:hAnsi="ITC Avant Garde"/>
          <w:bCs/>
          <w:lang w:eastAsia="es-MX"/>
        </w:rPr>
        <w:t>orresponde al Instituto</w:t>
      </w:r>
      <w:r w:rsidR="007F33CB" w:rsidRPr="00A06D0A">
        <w:rPr>
          <w:rFonts w:ascii="ITC Avant Garde" w:hAnsi="ITC Avant Garde"/>
          <w:bCs/>
          <w:lang w:eastAsia="es-MX"/>
        </w:rPr>
        <w:t xml:space="preserve"> el otorgamiento, la revocación, así como la autorización de cesiones o cambios de control accionario, titularidad u operación de sociedades relacionadas con concesiones en materia de radiodifusión y telecomunicaciones</w:t>
      </w:r>
      <w:r w:rsidR="00D04074" w:rsidRPr="00A06D0A">
        <w:rPr>
          <w:rFonts w:ascii="ITC Avant Garde" w:hAnsi="ITC Avant Garde"/>
          <w:bCs/>
          <w:lang w:eastAsia="es-MX"/>
        </w:rPr>
        <w:t>.</w:t>
      </w:r>
    </w:p>
    <w:p w14:paraId="25D85811" w14:textId="77777777" w:rsidR="00CF6CBD" w:rsidRDefault="00A62AEA" w:rsidP="00CF6CBD">
      <w:pPr>
        <w:autoSpaceDE w:val="0"/>
        <w:autoSpaceDN w:val="0"/>
        <w:adjustRightInd w:val="0"/>
        <w:spacing w:afterLines="120" w:after="288" w:line="240" w:lineRule="auto"/>
        <w:jc w:val="both"/>
        <w:rPr>
          <w:rFonts w:ascii="ITC Avant Garde" w:hAnsi="ITC Avant Garde"/>
          <w:bCs/>
        </w:rPr>
      </w:pPr>
      <w:r w:rsidRPr="00A06D0A">
        <w:rPr>
          <w:rFonts w:ascii="ITC Avant Garde" w:hAnsi="ITC Avant Garde"/>
          <w:bCs/>
          <w:lang w:eastAsia="es-MX"/>
        </w:rPr>
        <w:t>Asimismo,</w:t>
      </w:r>
      <w:r w:rsidR="006376CC" w:rsidRPr="00A06D0A">
        <w:rPr>
          <w:rFonts w:ascii="ITC Avant Garde" w:hAnsi="ITC Avant Garde"/>
          <w:bCs/>
          <w:lang w:eastAsia="es-MX"/>
        </w:rPr>
        <w:t xml:space="preserve"> de conformidad con el párrafo</w:t>
      </w:r>
      <w:r w:rsidR="006376CC" w:rsidRPr="00A06D0A">
        <w:rPr>
          <w:rFonts w:ascii="ITC Avant Garde" w:hAnsi="ITC Avant Garde"/>
          <w:bCs/>
        </w:rPr>
        <w:t xml:space="preserve"> décimo sexto del citado artículo,</w:t>
      </w:r>
      <w:r w:rsidRPr="00A06D0A">
        <w:rPr>
          <w:rFonts w:ascii="ITC Avant Garde" w:hAnsi="ITC Avant Garde"/>
          <w:bCs/>
        </w:rPr>
        <w:t xml:space="preserve"> el Instituto es la autoridad en materia de competencia económica </w:t>
      </w:r>
      <w:r w:rsidR="00A30A13">
        <w:rPr>
          <w:rFonts w:ascii="ITC Avant Garde" w:hAnsi="ITC Avant Garde"/>
          <w:bCs/>
        </w:rPr>
        <w:t>en</w:t>
      </w:r>
      <w:r w:rsidRPr="00A06D0A">
        <w:rPr>
          <w:rFonts w:ascii="ITC Avant Garde" w:hAnsi="ITC Avant Garde"/>
          <w:bCs/>
        </w:rPr>
        <w:t xml:space="preserve"> los sectores de </w:t>
      </w:r>
      <w:r w:rsidRPr="00A06D0A">
        <w:rPr>
          <w:rFonts w:ascii="ITC Avant Garde" w:hAnsi="ITC Avant Garde"/>
          <w:bCs/>
          <w:lang w:eastAsia="es-MX"/>
        </w:rPr>
        <w:t>radiodifusión</w:t>
      </w:r>
      <w:r w:rsidRPr="00A06D0A">
        <w:rPr>
          <w:rFonts w:ascii="ITC Avant Garde" w:hAnsi="ITC Avant Garde"/>
          <w:bCs/>
        </w:rPr>
        <w:t xml:space="preserve"> y telecomunicaciones, por lo que entre otros aspectos, regulará de forma asimétrica a los participantes en estos mercados con el objeto de eliminar eficazmente las barreras a la competencia y la libre </w:t>
      </w:r>
      <w:r w:rsidR="00F571C6" w:rsidRPr="00A06D0A">
        <w:rPr>
          <w:rFonts w:ascii="ITC Avant Garde" w:hAnsi="ITC Avant Garde"/>
          <w:bCs/>
        </w:rPr>
        <w:t>concurrencia</w:t>
      </w:r>
      <w:r w:rsidRPr="00A06D0A">
        <w:rPr>
          <w:rFonts w:ascii="ITC Avant Garde" w:hAnsi="ITC Avant Garde"/>
          <w:bCs/>
        </w:rPr>
        <w:t>; impondrá límites al concesionamiento y a la propiedad cruzada que controle varios medios de comunicación que sean concesionarios de radiodifusión y telecomunicaciones que sirvan a un mismo mercado o zona de cobertura geográfica, garantizando lo dispuesto en los artículos 6o. y 7o. de la Constitución.</w:t>
      </w:r>
    </w:p>
    <w:p w14:paraId="4B4C0E6D" w14:textId="77777777" w:rsidR="00CF6CBD" w:rsidRDefault="00A30A13" w:rsidP="00CF6CBD">
      <w:pPr>
        <w:autoSpaceDE w:val="0"/>
        <w:autoSpaceDN w:val="0"/>
        <w:adjustRightInd w:val="0"/>
        <w:spacing w:afterLines="120" w:after="288" w:line="240" w:lineRule="auto"/>
        <w:jc w:val="both"/>
        <w:rPr>
          <w:rFonts w:ascii="ITC Avant Garde" w:hAnsi="ITC Avant Garde"/>
          <w:bCs/>
        </w:rPr>
      </w:pPr>
      <w:r w:rsidRPr="00E95B2D">
        <w:rPr>
          <w:rFonts w:ascii="ITC Avant Garde" w:hAnsi="ITC Avant Garde"/>
          <w:bCs/>
        </w:rPr>
        <w:t>Ahora bien, el artículo 112 de la Ley establece que en cualquier supuesto de suscripción o enajenación de acciones o partes sociales en un acto o sucesión de actos, que represente el diez por ciento o más del monto de su capital social, y siempre que no se actualice la obligación de notificar la operación conforme a lo previsto en la Ley Federal de Competencia Económica, el concesionario estará obligado a dar aviso al Instituto de la intención de los interesados en realizar la suscripción o enajenación de las acciones o partes sociales, ya sea directa o indirectamente, debiendo acompañar el aviso con la información detallada de las personas interesadas en adquirir las acciones o partes sociales.</w:t>
      </w:r>
    </w:p>
    <w:p w14:paraId="0034B192" w14:textId="77777777" w:rsidR="00CF6CBD" w:rsidRDefault="00D06882" w:rsidP="00CF6CBD">
      <w:pPr>
        <w:autoSpaceDE w:val="0"/>
        <w:autoSpaceDN w:val="0"/>
        <w:adjustRightInd w:val="0"/>
        <w:spacing w:afterLines="120" w:after="288" w:line="240" w:lineRule="auto"/>
        <w:jc w:val="both"/>
        <w:rPr>
          <w:rFonts w:ascii="ITC Avant Garde" w:hAnsi="ITC Avant Garde"/>
          <w:bCs/>
          <w:lang w:eastAsia="es-MX"/>
        </w:rPr>
      </w:pPr>
      <w:r w:rsidRPr="00A06D0A">
        <w:rPr>
          <w:rFonts w:ascii="ITC Avant Garde" w:hAnsi="ITC Avant Garde"/>
          <w:bCs/>
          <w:lang w:eastAsia="es-MX"/>
        </w:rPr>
        <w:t>De igual manera</w:t>
      </w:r>
      <w:r w:rsidR="00BA5A10" w:rsidRPr="00A06D0A">
        <w:rPr>
          <w:rFonts w:ascii="ITC Avant Garde" w:hAnsi="ITC Avant Garde"/>
          <w:bCs/>
          <w:lang w:eastAsia="es-MX"/>
        </w:rPr>
        <w:t>, corresponde al Pleno del Instituto conforme a lo establecido en los artículos 15 fracción IV y 17 fracción I de la Ley, la facultad de autorizar cesiones o cambios de control accionario, titularidad u operación de sociedades relacionadas con concesiones</w:t>
      </w:r>
      <w:r w:rsidR="00D04074" w:rsidRPr="00A06D0A">
        <w:rPr>
          <w:rFonts w:ascii="ITC Avant Garde" w:hAnsi="ITC Avant Garde"/>
          <w:bCs/>
          <w:lang w:eastAsia="es-MX"/>
        </w:rPr>
        <w:t>.</w:t>
      </w:r>
    </w:p>
    <w:p w14:paraId="38890D0F" w14:textId="77777777" w:rsidR="00CF6CBD" w:rsidRDefault="006E2D8C" w:rsidP="00CF6CBD">
      <w:pPr>
        <w:autoSpaceDE w:val="0"/>
        <w:autoSpaceDN w:val="0"/>
        <w:adjustRightInd w:val="0"/>
        <w:spacing w:afterLines="120" w:after="288" w:line="240" w:lineRule="auto"/>
        <w:jc w:val="both"/>
        <w:rPr>
          <w:rFonts w:ascii="ITC Avant Garde" w:hAnsi="ITC Avant Garde"/>
          <w:bCs/>
          <w:lang w:eastAsia="es-MX"/>
        </w:rPr>
      </w:pPr>
      <w:r w:rsidRPr="00A06D0A">
        <w:rPr>
          <w:rFonts w:ascii="ITC Avant Garde" w:hAnsi="ITC Avant Garde"/>
          <w:bCs/>
          <w:lang w:eastAsia="es-MX"/>
        </w:rPr>
        <w:lastRenderedPageBreak/>
        <w:t>En este sentido</w:t>
      </w:r>
      <w:r w:rsidR="00D04074" w:rsidRPr="00A06D0A">
        <w:rPr>
          <w:rFonts w:ascii="ITC Avant Garde" w:hAnsi="ITC Avant Garde"/>
          <w:bCs/>
          <w:lang w:eastAsia="es-MX"/>
        </w:rPr>
        <w:t>, conforme a</w:t>
      </w:r>
      <w:r w:rsidR="00A30A13">
        <w:rPr>
          <w:rFonts w:ascii="ITC Avant Garde" w:hAnsi="ITC Avant Garde"/>
          <w:bCs/>
          <w:lang w:eastAsia="es-MX"/>
        </w:rPr>
        <w:t xml:space="preserve"> </w:t>
      </w:r>
      <w:r w:rsidR="00D04074" w:rsidRPr="00A06D0A">
        <w:rPr>
          <w:rFonts w:ascii="ITC Avant Garde" w:hAnsi="ITC Avant Garde"/>
          <w:bCs/>
          <w:lang w:eastAsia="es-MX"/>
        </w:rPr>
        <w:t>l</w:t>
      </w:r>
      <w:r w:rsidR="00A30A13">
        <w:rPr>
          <w:rFonts w:ascii="ITC Avant Garde" w:hAnsi="ITC Avant Garde"/>
          <w:bCs/>
          <w:lang w:eastAsia="es-MX"/>
        </w:rPr>
        <w:t xml:space="preserve">os </w:t>
      </w:r>
      <w:r w:rsidR="00D04074" w:rsidRPr="00A06D0A">
        <w:rPr>
          <w:rFonts w:ascii="ITC Avant Garde" w:hAnsi="ITC Avant Garde"/>
          <w:bCs/>
          <w:lang w:eastAsia="es-MX"/>
        </w:rPr>
        <w:t>artículo</w:t>
      </w:r>
      <w:r w:rsidR="00A30A13">
        <w:rPr>
          <w:rFonts w:ascii="ITC Avant Garde" w:hAnsi="ITC Avant Garde"/>
          <w:bCs/>
          <w:lang w:eastAsia="es-MX"/>
        </w:rPr>
        <w:t>s 32 y</w:t>
      </w:r>
      <w:r w:rsidR="00D04074" w:rsidRPr="00A06D0A">
        <w:rPr>
          <w:rFonts w:ascii="ITC Avant Garde" w:hAnsi="ITC Avant Garde"/>
          <w:bCs/>
          <w:lang w:eastAsia="es-MX"/>
        </w:rPr>
        <w:t xml:space="preserve"> 33 fracción </w:t>
      </w:r>
      <w:r w:rsidR="003B2407" w:rsidRPr="00A06D0A">
        <w:rPr>
          <w:rFonts w:ascii="ITC Avant Garde" w:hAnsi="ITC Avant Garde"/>
          <w:bCs/>
          <w:lang w:eastAsia="es-MX"/>
        </w:rPr>
        <w:t>IV</w:t>
      </w:r>
      <w:r w:rsidR="00D04074" w:rsidRPr="00A06D0A">
        <w:rPr>
          <w:rFonts w:ascii="ITC Avant Garde" w:hAnsi="ITC Avant Garde"/>
          <w:bCs/>
          <w:lang w:eastAsia="es-MX"/>
        </w:rPr>
        <w:t xml:space="preserve"> del Estatuto Orgánico</w:t>
      </w:r>
      <w:r w:rsidR="003B2407" w:rsidRPr="00A06D0A">
        <w:rPr>
          <w:rFonts w:ascii="ITC Avant Garde" w:hAnsi="ITC Avant Garde"/>
          <w:bCs/>
          <w:lang w:eastAsia="es-MX"/>
        </w:rPr>
        <w:t xml:space="preserve"> </w:t>
      </w:r>
      <w:r w:rsidR="00D04074" w:rsidRPr="00A06D0A">
        <w:rPr>
          <w:rFonts w:ascii="ITC Avant Garde" w:hAnsi="ITC Avant Garde"/>
          <w:bCs/>
          <w:lang w:eastAsia="es-MX"/>
        </w:rPr>
        <w:t xml:space="preserve">corresponde a la </w:t>
      </w:r>
      <w:r w:rsidR="00F17050">
        <w:rPr>
          <w:rFonts w:ascii="ITC Avant Garde" w:hAnsi="ITC Avant Garde"/>
          <w:bCs/>
          <w:lang w:eastAsia="es-MX"/>
        </w:rPr>
        <w:t xml:space="preserve">Unidad de Concesiones y Servicios, a través de la </w:t>
      </w:r>
      <w:r w:rsidR="00D04074" w:rsidRPr="00A06D0A">
        <w:rPr>
          <w:rFonts w:ascii="ITC Avant Garde" w:hAnsi="ITC Avant Garde"/>
          <w:bCs/>
          <w:lang w:eastAsia="es-MX"/>
        </w:rPr>
        <w:t xml:space="preserve">Dirección General de Concesiones de Telecomunicaciones, </w:t>
      </w:r>
      <w:r w:rsidR="008D4107" w:rsidRPr="00A06D0A">
        <w:rPr>
          <w:rFonts w:ascii="ITC Avant Garde" w:hAnsi="ITC Avant Garde"/>
          <w:bCs/>
          <w:lang w:eastAsia="es-MX"/>
        </w:rPr>
        <w:t>tramitar y evaluar</w:t>
      </w:r>
      <w:r w:rsidR="00F17050">
        <w:rPr>
          <w:rFonts w:ascii="ITC Avant Garde" w:hAnsi="ITC Avant Garde"/>
          <w:bCs/>
          <w:lang w:eastAsia="es-MX"/>
        </w:rPr>
        <w:t>, entre otras, los</w:t>
      </w:r>
      <w:r w:rsidR="008D4107" w:rsidRPr="00A06D0A">
        <w:rPr>
          <w:rFonts w:ascii="ITC Avant Garde" w:hAnsi="ITC Avant Garde"/>
          <w:bCs/>
          <w:lang w:eastAsia="es-MX"/>
        </w:rPr>
        <w:t xml:space="preserve"> cambios de control accionario, titularidad u operación de sociedades relacionadas con concesiones en materia de telecomunicaciones para someterlas a consideración del Pleno</w:t>
      </w:r>
      <w:r w:rsidR="00F17050">
        <w:rPr>
          <w:rFonts w:ascii="ITC Avant Garde" w:hAnsi="ITC Avant Garde"/>
          <w:bCs/>
          <w:lang w:eastAsia="es-MX"/>
        </w:rPr>
        <w:t xml:space="preserve"> del Instituto</w:t>
      </w:r>
      <w:r w:rsidR="00D04074" w:rsidRPr="00A06D0A">
        <w:rPr>
          <w:rFonts w:ascii="ITC Avant Garde" w:hAnsi="ITC Avant Garde"/>
          <w:bCs/>
          <w:lang w:eastAsia="es-MX"/>
        </w:rPr>
        <w:t>.</w:t>
      </w:r>
    </w:p>
    <w:p w14:paraId="6F1F5ADF" w14:textId="77777777" w:rsidR="00CF6CBD" w:rsidRDefault="006E2D8C" w:rsidP="00CF6CBD">
      <w:pPr>
        <w:autoSpaceDE w:val="0"/>
        <w:autoSpaceDN w:val="0"/>
        <w:adjustRightInd w:val="0"/>
        <w:spacing w:afterLines="120" w:after="288" w:line="240" w:lineRule="auto"/>
        <w:jc w:val="both"/>
        <w:rPr>
          <w:rFonts w:ascii="ITC Avant Garde" w:hAnsi="ITC Avant Garde"/>
          <w:bCs/>
          <w:lang w:eastAsia="es-MX"/>
        </w:rPr>
      </w:pPr>
      <w:r w:rsidRPr="00A06D0A">
        <w:rPr>
          <w:rFonts w:ascii="ITC Avant Garde" w:hAnsi="ITC Avant Garde"/>
          <w:bCs/>
          <w:lang w:eastAsia="es-MX"/>
        </w:rPr>
        <w:t>En este orden de ideas,</w:t>
      </w:r>
      <w:r w:rsidR="00EA63A8" w:rsidRPr="00A06D0A">
        <w:rPr>
          <w:rFonts w:ascii="ITC Avant Garde" w:hAnsi="ITC Avant Garde"/>
          <w:bCs/>
          <w:lang w:eastAsia="es-MX"/>
        </w:rPr>
        <w:t xml:space="preserve"> y considerando que</w:t>
      </w:r>
      <w:r w:rsidRPr="00A06D0A">
        <w:rPr>
          <w:rFonts w:ascii="ITC Avant Garde" w:hAnsi="ITC Avant Garde"/>
          <w:bCs/>
          <w:lang w:eastAsia="es-MX"/>
        </w:rPr>
        <w:t xml:space="preserve"> el Instituto tiene a su cargo la regulación, promoción y supervisión de las telecomunicaciones, así como la facultad de autorizar cambios de control accionario, titularidad u operación de sociedades relacionadas con concesiones</w:t>
      </w:r>
      <w:r w:rsidR="00EA63A8" w:rsidRPr="00A06D0A">
        <w:rPr>
          <w:rFonts w:ascii="ITC Avant Garde" w:hAnsi="ITC Avant Garde"/>
          <w:bCs/>
          <w:lang w:eastAsia="es-MX"/>
        </w:rPr>
        <w:t>;</w:t>
      </w:r>
      <w:r w:rsidR="00141FE7" w:rsidRPr="00A06D0A">
        <w:rPr>
          <w:rFonts w:ascii="ITC Avant Garde" w:hAnsi="ITC Avant Garde"/>
          <w:bCs/>
          <w:lang w:eastAsia="es-MX"/>
        </w:rPr>
        <w:t xml:space="preserve"> el Pleno</w:t>
      </w:r>
      <w:r w:rsidR="006A65F2" w:rsidRPr="00A06D0A">
        <w:rPr>
          <w:rFonts w:ascii="ITC Avant Garde" w:hAnsi="ITC Avant Garde"/>
          <w:bCs/>
          <w:lang w:eastAsia="es-MX"/>
        </w:rPr>
        <w:t>,</w:t>
      </w:r>
      <w:r w:rsidRPr="00A06D0A">
        <w:rPr>
          <w:rFonts w:ascii="ITC Avant Garde" w:hAnsi="ITC Avant Garde"/>
          <w:bCs/>
          <w:lang w:eastAsia="es-MX"/>
        </w:rPr>
        <w:t xml:space="preserve"> como órgano máximo de gobierno</w:t>
      </w:r>
      <w:r w:rsidR="006A65F2" w:rsidRPr="00A06D0A">
        <w:rPr>
          <w:rFonts w:ascii="ITC Avant Garde" w:hAnsi="ITC Avant Garde"/>
          <w:bCs/>
          <w:lang w:eastAsia="es-MX"/>
        </w:rPr>
        <w:t xml:space="preserve"> y decisión</w:t>
      </w:r>
      <w:r w:rsidRPr="00A06D0A">
        <w:rPr>
          <w:rFonts w:ascii="ITC Avant Garde" w:hAnsi="ITC Avant Garde"/>
          <w:bCs/>
          <w:lang w:eastAsia="es-MX"/>
        </w:rPr>
        <w:t xml:space="preserve"> del Instituto, se encuentra plenamente facultado para resolver la Solic</w:t>
      </w:r>
      <w:r w:rsidR="00D353F2" w:rsidRPr="00A06D0A">
        <w:rPr>
          <w:rFonts w:ascii="ITC Avant Garde" w:hAnsi="ITC Avant Garde"/>
          <w:bCs/>
          <w:lang w:eastAsia="es-MX"/>
        </w:rPr>
        <w:t xml:space="preserve">itud de </w:t>
      </w:r>
      <w:r w:rsidR="00230A26">
        <w:rPr>
          <w:rFonts w:ascii="ITC Avant Garde" w:hAnsi="ITC Avant Garde"/>
          <w:bCs/>
          <w:lang w:eastAsia="es-MX"/>
        </w:rPr>
        <w:t>Suscripción</w:t>
      </w:r>
      <w:r w:rsidR="00D353F2" w:rsidRPr="00A06D0A">
        <w:rPr>
          <w:rFonts w:ascii="ITC Avant Garde" w:hAnsi="ITC Avant Garde"/>
          <w:bCs/>
          <w:lang w:eastAsia="es-MX"/>
        </w:rPr>
        <w:t xml:space="preserve"> de Acciones.</w:t>
      </w:r>
    </w:p>
    <w:p w14:paraId="67A4B297" w14:textId="77777777" w:rsidR="00CF6CBD" w:rsidRDefault="00D04074" w:rsidP="00CF6CBD">
      <w:pPr>
        <w:autoSpaceDE w:val="0"/>
        <w:autoSpaceDN w:val="0"/>
        <w:adjustRightInd w:val="0"/>
        <w:spacing w:afterLines="120" w:after="288" w:line="240" w:lineRule="auto"/>
        <w:jc w:val="both"/>
        <w:rPr>
          <w:rFonts w:ascii="ITC Avant Garde" w:hAnsi="ITC Avant Garde"/>
          <w:bCs/>
          <w:lang w:eastAsia="es-MX"/>
        </w:rPr>
      </w:pPr>
      <w:r w:rsidRPr="00A06D0A">
        <w:rPr>
          <w:rFonts w:ascii="ITC Avant Garde" w:hAnsi="ITC Avant Garde"/>
          <w:b/>
          <w:bCs/>
        </w:rPr>
        <w:t>Segundo.-</w:t>
      </w:r>
      <w:r w:rsidRPr="00A06D0A">
        <w:rPr>
          <w:rFonts w:ascii="ITC Avant Garde" w:hAnsi="ITC Avant Garde"/>
          <w:bCs/>
        </w:rPr>
        <w:t xml:space="preserve"> </w:t>
      </w:r>
      <w:r w:rsidRPr="00A06D0A">
        <w:rPr>
          <w:rFonts w:ascii="ITC Avant Garde" w:hAnsi="ITC Avant Garde"/>
          <w:b/>
          <w:bCs/>
        </w:rPr>
        <w:t xml:space="preserve">Marco legal aplicable a la </w:t>
      </w:r>
      <w:r w:rsidR="00ED674B" w:rsidRPr="00A06D0A">
        <w:rPr>
          <w:rFonts w:ascii="ITC Avant Garde" w:hAnsi="ITC Avant Garde"/>
          <w:b/>
          <w:bCs/>
        </w:rPr>
        <w:t xml:space="preserve">Solicitud de </w:t>
      </w:r>
      <w:r w:rsidR="00230A26">
        <w:rPr>
          <w:rFonts w:ascii="ITC Avant Garde" w:hAnsi="ITC Avant Garde"/>
          <w:b/>
          <w:bCs/>
        </w:rPr>
        <w:t>Suscripción</w:t>
      </w:r>
      <w:r w:rsidR="00637B22">
        <w:rPr>
          <w:rFonts w:ascii="ITC Avant Garde" w:hAnsi="ITC Avant Garde"/>
          <w:b/>
          <w:bCs/>
        </w:rPr>
        <w:t xml:space="preserve"> </w:t>
      </w:r>
      <w:r w:rsidR="00ED674B" w:rsidRPr="00A06D0A">
        <w:rPr>
          <w:rFonts w:ascii="ITC Avant Garde" w:hAnsi="ITC Avant Garde"/>
          <w:b/>
          <w:bCs/>
        </w:rPr>
        <w:t>de Acciones</w:t>
      </w:r>
      <w:r w:rsidRPr="00A06D0A">
        <w:rPr>
          <w:rFonts w:ascii="ITC Avant Garde" w:hAnsi="ITC Avant Garde"/>
          <w:b/>
          <w:bCs/>
        </w:rPr>
        <w:t>.</w:t>
      </w:r>
      <w:r w:rsidRPr="00A06D0A">
        <w:rPr>
          <w:rFonts w:ascii="ITC Avant Garde" w:hAnsi="ITC Avant Garde"/>
          <w:bCs/>
        </w:rPr>
        <w:t xml:space="preserve"> </w:t>
      </w:r>
      <w:r w:rsidR="00651FDE">
        <w:rPr>
          <w:rFonts w:ascii="ITC Avant Garde" w:hAnsi="ITC Avant Garde"/>
          <w:bCs/>
        </w:rPr>
        <w:t>De conformidad con lo antes señalado, la normatividad aplicables que establece los requisitos de procedencia para solicitar la autorización para llevar a cabo la enajenación</w:t>
      </w:r>
      <w:r w:rsidR="00230A26">
        <w:rPr>
          <w:rFonts w:ascii="ITC Avant Garde" w:hAnsi="ITC Avant Garde"/>
          <w:bCs/>
        </w:rPr>
        <w:t xml:space="preserve"> o suscripción</w:t>
      </w:r>
      <w:r w:rsidR="00651FDE">
        <w:rPr>
          <w:rFonts w:ascii="ITC Avant Garde" w:hAnsi="ITC Avant Garde"/>
          <w:bCs/>
        </w:rPr>
        <w:t xml:space="preserve"> de acciones o partes sociales del capital de una empresa, se encuentra contenida en el </w:t>
      </w:r>
      <w:r w:rsidR="00585BB7" w:rsidRPr="00311C26">
        <w:rPr>
          <w:rFonts w:ascii="ITC Avant Garde" w:hAnsi="ITC Avant Garde"/>
          <w:bCs/>
        </w:rPr>
        <w:t xml:space="preserve">artículo </w:t>
      </w:r>
      <w:r w:rsidR="00CE3053">
        <w:rPr>
          <w:rFonts w:ascii="ITC Avant Garde" w:hAnsi="ITC Avant Garde"/>
          <w:bCs/>
        </w:rPr>
        <w:t>112</w:t>
      </w:r>
      <w:r w:rsidR="00585BB7" w:rsidRPr="00311C26">
        <w:rPr>
          <w:rFonts w:ascii="ITC Avant Garde" w:hAnsi="ITC Avant Garde"/>
          <w:bCs/>
        </w:rPr>
        <w:t xml:space="preserve"> de la Ley, </w:t>
      </w:r>
      <w:r w:rsidR="00651FDE">
        <w:rPr>
          <w:rFonts w:ascii="ITC Avant Garde" w:hAnsi="ITC Avant Garde"/>
          <w:bCs/>
        </w:rPr>
        <w:t>el cual establece</w:t>
      </w:r>
      <w:r w:rsidR="00CE3053">
        <w:rPr>
          <w:rFonts w:ascii="ITC Avant Garde" w:hAnsi="ITC Avant Garde"/>
          <w:bCs/>
        </w:rPr>
        <w:t xml:space="preserve"> lo siguiente:</w:t>
      </w:r>
    </w:p>
    <w:p w14:paraId="04A38704" w14:textId="77777777" w:rsidR="00CF6CBD" w:rsidRDefault="00281886" w:rsidP="00CF6CBD">
      <w:pPr>
        <w:spacing w:afterLines="100" w:after="240" w:line="240" w:lineRule="auto"/>
        <w:ind w:left="1134" w:right="616"/>
        <w:jc w:val="both"/>
        <w:rPr>
          <w:rFonts w:ascii="ITC Avant Garde" w:hAnsi="ITC Avant Garde"/>
          <w:bCs/>
          <w:i/>
          <w:sz w:val="18"/>
          <w:szCs w:val="18"/>
          <w:lang w:eastAsia="es-MX"/>
        </w:rPr>
      </w:pPr>
      <w:r w:rsidRPr="00A06D0A">
        <w:rPr>
          <w:rFonts w:ascii="ITC Avant Garde" w:hAnsi="ITC Avant Garde"/>
          <w:sz w:val="18"/>
          <w:szCs w:val="18"/>
        </w:rPr>
        <w:t>“</w:t>
      </w:r>
      <w:r w:rsidR="00701B8C" w:rsidRPr="00A06D0A">
        <w:rPr>
          <w:rFonts w:ascii="ITC Avant Garde" w:hAnsi="ITC Avant Garde"/>
          <w:b/>
          <w:bCs/>
          <w:i/>
          <w:sz w:val="18"/>
          <w:szCs w:val="18"/>
          <w:lang w:eastAsia="es-MX"/>
        </w:rPr>
        <w:t>Artículo 112.</w:t>
      </w:r>
      <w:r w:rsidR="00701B8C" w:rsidRPr="00A06D0A">
        <w:rPr>
          <w:rFonts w:ascii="ITC Avant Garde" w:hAnsi="ITC Avant Garde"/>
          <w:bCs/>
          <w:i/>
          <w:sz w:val="18"/>
          <w:szCs w:val="18"/>
          <w:lang w:eastAsia="es-MX"/>
        </w:rPr>
        <w:t xml:space="preserve"> El concesionario, cuando sea una persona moral, presentará al Instituto, a más tardar el treinta de junio de cada año, su estructura accionaria o de partes sociales de que se trate, con sus respectivos porcentajes de participación, acompañando además una relación de los accionistas que sean titulares del cinco por ciento o más del capital social de la empresa, así como el nombre de las personas físicas que participen directa o indirectamente con el diez por ciento o más del capital social de la empresa, sus principales accionistas y sus respectivos porcentajes de participación, a la que acompañará la información en el formato que determine el Instituto.</w:t>
      </w:r>
    </w:p>
    <w:p w14:paraId="005FF702" w14:textId="77777777" w:rsidR="00CF6CBD" w:rsidRDefault="00701B8C" w:rsidP="00CF6CBD">
      <w:pPr>
        <w:spacing w:afterLines="100" w:after="240" w:line="240" w:lineRule="auto"/>
        <w:ind w:left="1134" w:right="616"/>
        <w:jc w:val="both"/>
        <w:rPr>
          <w:rFonts w:ascii="ITC Avant Garde" w:hAnsi="ITC Avant Garde"/>
          <w:bCs/>
          <w:i/>
          <w:sz w:val="18"/>
          <w:szCs w:val="18"/>
          <w:lang w:eastAsia="es-MX"/>
        </w:rPr>
      </w:pPr>
      <w:r w:rsidRPr="00A06D0A">
        <w:rPr>
          <w:rFonts w:ascii="ITC Avant Garde" w:hAnsi="ITC Avant Garde"/>
          <w:bCs/>
          <w:i/>
          <w:sz w:val="18"/>
          <w:szCs w:val="18"/>
          <w:lang w:eastAsia="es-MX"/>
        </w:rPr>
        <w:t>En cualquier supuesto de suscripción o enajenación de acciones o partes sociales en un acto o sucesión de actos, que represente el diez por ciento o más del monto de su capital social, y siempre que no se actualice la obligación de notificar la operación conforme a lo previsto en la Ley Federal de Competencia Económica, el concesionario estará obligado a observar el régimen siguiente:</w:t>
      </w:r>
    </w:p>
    <w:p w14:paraId="49D23374" w14:textId="77777777" w:rsidR="00CF6CBD" w:rsidRDefault="00701B8C" w:rsidP="00CF6CBD">
      <w:pPr>
        <w:pStyle w:val="Prrafodelista"/>
        <w:numPr>
          <w:ilvl w:val="0"/>
          <w:numId w:val="8"/>
        </w:numPr>
        <w:spacing w:afterLines="100" w:after="240"/>
        <w:ind w:right="616"/>
        <w:jc w:val="both"/>
        <w:rPr>
          <w:rFonts w:ascii="ITC Avant Garde" w:hAnsi="ITC Avant Garde"/>
          <w:bCs/>
          <w:i/>
          <w:sz w:val="18"/>
          <w:szCs w:val="18"/>
          <w:lang w:eastAsia="es-MX"/>
        </w:rPr>
      </w:pPr>
      <w:r w:rsidRPr="00A06D0A">
        <w:rPr>
          <w:rFonts w:ascii="ITC Avant Garde" w:hAnsi="ITC Avant Garde"/>
          <w:bCs/>
          <w:i/>
          <w:sz w:val="18"/>
          <w:szCs w:val="18"/>
          <w:lang w:eastAsia="es-MX"/>
        </w:rPr>
        <w:t>El concesionario deberá dar aviso al Instituto de la intención de los interesados en realizar la suscripción o enajenación de las acciones o partes sociales, ya sea directa o indirectamente, debiendo acompañar el aviso con la información detallada de las personas interesadas en adquirir las acciones o partes sociales;</w:t>
      </w:r>
    </w:p>
    <w:p w14:paraId="24282E4A" w14:textId="77777777" w:rsidR="00CF6CBD" w:rsidRDefault="00701B8C" w:rsidP="00CF6CBD">
      <w:pPr>
        <w:pStyle w:val="Prrafodelista"/>
        <w:numPr>
          <w:ilvl w:val="0"/>
          <w:numId w:val="8"/>
        </w:numPr>
        <w:spacing w:afterLines="100" w:after="240"/>
        <w:ind w:right="616"/>
        <w:jc w:val="both"/>
        <w:rPr>
          <w:rFonts w:ascii="ITC Avant Garde" w:hAnsi="ITC Avant Garde"/>
          <w:bCs/>
          <w:i/>
          <w:sz w:val="18"/>
          <w:szCs w:val="18"/>
          <w:lang w:eastAsia="es-MX"/>
        </w:rPr>
      </w:pPr>
      <w:r w:rsidRPr="00A06D0A">
        <w:rPr>
          <w:rFonts w:ascii="ITC Avant Garde" w:hAnsi="ITC Avant Garde"/>
          <w:bCs/>
          <w:i/>
          <w:sz w:val="18"/>
          <w:szCs w:val="18"/>
          <w:lang w:eastAsia="es-MX"/>
        </w:rPr>
        <w:t>El Instituto tendrá un plazo de diez días hábiles contados a partir de la presentación del aviso, para solicitar la opinión de la Secretaría;</w:t>
      </w:r>
    </w:p>
    <w:p w14:paraId="5D1CF9FC" w14:textId="77777777" w:rsidR="00CF6CBD" w:rsidRDefault="00701B8C" w:rsidP="00CF6CBD">
      <w:pPr>
        <w:pStyle w:val="Prrafodelista"/>
        <w:numPr>
          <w:ilvl w:val="0"/>
          <w:numId w:val="8"/>
        </w:numPr>
        <w:spacing w:afterLines="100" w:after="240"/>
        <w:ind w:right="616"/>
        <w:jc w:val="both"/>
        <w:rPr>
          <w:rFonts w:ascii="ITC Avant Garde" w:hAnsi="ITC Avant Garde"/>
          <w:bCs/>
          <w:i/>
          <w:sz w:val="18"/>
          <w:szCs w:val="18"/>
          <w:lang w:eastAsia="es-MX"/>
        </w:rPr>
      </w:pPr>
      <w:r w:rsidRPr="00A06D0A">
        <w:rPr>
          <w:rFonts w:ascii="ITC Avant Garde" w:hAnsi="ITC Avant Garde"/>
          <w:bCs/>
          <w:i/>
          <w:sz w:val="18"/>
          <w:szCs w:val="18"/>
          <w:lang w:eastAsia="es-MX"/>
        </w:rPr>
        <w:t>La Secretaría tendrá un plazo de treinta días naturales para emitir opinión, y</w:t>
      </w:r>
    </w:p>
    <w:p w14:paraId="492FD14E" w14:textId="77777777" w:rsidR="00CF6CBD" w:rsidRDefault="00701B8C" w:rsidP="00CF6CBD">
      <w:pPr>
        <w:spacing w:afterLines="100" w:after="240" w:line="240" w:lineRule="auto"/>
        <w:ind w:left="2124" w:right="616" w:hanging="696"/>
        <w:jc w:val="both"/>
        <w:rPr>
          <w:rFonts w:ascii="ITC Avant Garde" w:hAnsi="ITC Avant Garde"/>
          <w:bCs/>
          <w:i/>
          <w:sz w:val="18"/>
          <w:szCs w:val="18"/>
          <w:lang w:eastAsia="es-MX"/>
        </w:rPr>
      </w:pPr>
      <w:r w:rsidRPr="00A06D0A">
        <w:rPr>
          <w:rFonts w:ascii="ITC Avant Garde" w:hAnsi="ITC Avant Garde"/>
          <w:bCs/>
          <w:i/>
          <w:sz w:val="18"/>
          <w:szCs w:val="18"/>
          <w:lang w:eastAsia="es-MX"/>
        </w:rPr>
        <w:t xml:space="preserve">IV. </w:t>
      </w:r>
      <w:r w:rsidR="00281886" w:rsidRPr="00A06D0A">
        <w:rPr>
          <w:rFonts w:ascii="ITC Avant Garde" w:hAnsi="ITC Avant Garde"/>
          <w:bCs/>
          <w:i/>
          <w:sz w:val="18"/>
          <w:szCs w:val="18"/>
          <w:lang w:eastAsia="es-MX"/>
        </w:rPr>
        <w:tab/>
      </w:r>
      <w:r w:rsidRPr="00A06D0A">
        <w:rPr>
          <w:rFonts w:ascii="ITC Avant Garde" w:hAnsi="ITC Avant Garde"/>
          <w:bCs/>
          <w:i/>
          <w:sz w:val="18"/>
          <w:szCs w:val="18"/>
          <w:lang w:eastAsia="es-MX"/>
        </w:rPr>
        <w:t xml:space="preserve">El Instituto tendrá un plazo de quince días hábiles contados a partir de que reciba la opinión de la Secretaría o en caso que no se hubiere emitido </w:t>
      </w:r>
      <w:r w:rsidRPr="00A06D0A">
        <w:rPr>
          <w:rFonts w:ascii="ITC Avant Garde" w:hAnsi="ITC Avant Garde"/>
          <w:bCs/>
          <w:i/>
          <w:sz w:val="18"/>
          <w:szCs w:val="18"/>
          <w:lang w:eastAsia="es-MX"/>
        </w:rPr>
        <w:lastRenderedPageBreak/>
        <w:t>opinión, a partir de que fenezca el plazo referido en la fracción que antecede, para objetar con causa justificada la operación de que se trate. Transcurrido dicho plazo sin que la operación hubiere sido objetada por el Instituto, se tendrá por autorizada.</w:t>
      </w:r>
    </w:p>
    <w:p w14:paraId="4B15423A" w14:textId="77777777" w:rsidR="00CF6CBD" w:rsidRDefault="00701B8C" w:rsidP="00CF6CBD">
      <w:pPr>
        <w:spacing w:afterLines="100" w:after="240" w:line="240" w:lineRule="auto"/>
        <w:ind w:left="1134" w:right="616"/>
        <w:jc w:val="both"/>
        <w:rPr>
          <w:rFonts w:ascii="ITC Avant Garde" w:hAnsi="ITC Avant Garde"/>
          <w:bCs/>
          <w:i/>
          <w:sz w:val="18"/>
          <w:szCs w:val="18"/>
          <w:lang w:eastAsia="es-MX"/>
        </w:rPr>
      </w:pPr>
      <w:r w:rsidRPr="00A06D0A">
        <w:rPr>
          <w:rFonts w:ascii="ITC Avant Garde" w:hAnsi="ITC Avant Garde"/>
          <w:bCs/>
          <w:i/>
          <w:sz w:val="18"/>
          <w:szCs w:val="18"/>
          <w:lang w:eastAsia="es-MX"/>
        </w:rPr>
        <w:t>Las operaciones que no hubieren sido objetadas por el Instituto deberán inscribirse en el libro de registro de accionistas o socios de la persona moral, sin perjuicio de las autorizaciones que se requieran de otras autoridades conforme a las disposiciones legales, reglamentarias y administrativas aplicables.</w:t>
      </w:r>
    </w:p>
    <w:p w14:paraId="06180545" w14:textId="77777777" w:rsidR="00CF6CBD" w:rsidRDefault="00281886" w:rsidP="00CF6CBD">
      <w:pPr>
        <w:spacing w:afterLines="100" w:after="240" w:line="240" w:lineRule="auto"/>
        <w:ind w:left="1134" w:right="616"/>
        <w:jc w:val="both"/>
        <w:rPr>
          <w:rFonts w:ascii="ITC Avant Garde" w:hAnsi="ITC Avant Garde"/>
          <w:bCs/>
          <w:i/>
          <w:sz w:val="18"/>
          <w:szCs w:val="18"/>
          <w:lang w:eastAsia="es-MX"/>
        </w:rPr>
      </w:pPr>
      <w:r w:rsidRPr="00A06D0A">
        <w:rPr>
          <w:rFonts w:ascii="ITC Avant Garde" w:hAnsi="ITC Avant Garde"/>
          <w:bCs/>
          <w:i/>
          <w:sz w:val="18"/>
          <w:szCs w:val="18"/>
          <w:lang w:eastAsia="es-MX"/>
        </w:rPr>
        <w:t>…</w:t>
      </w:r>
    </w:p>
    <w:p w14:paraId="1FC81B4E" w14:textId="77777777" w:rsidR="00CF6CBD" w:rsidRDefault="00701B8C" w:rsidP="00CF6CBD">
      <w:pPr>
        <w:spacing w:afterLines="100" w:after="240" w:line="240" w:lineRule="auto"/>
        <w:ind w:left="1134" w:right="616"/>
        <w:jc w:val="both"/>
        <w:rPr>
          <w:rFonts w:ascii="ITC Avant Garde" w:hAnsi="ITC Avant Garde"/>
          <w:bCs/>
          <w:i/>
          <w:sz w:val="18"/>
          <w:szCs w:val="18"/>
          <w:lang w:eastAsia="es-MX"/>
        </w:rPr>
      </w:pPr>
      <w:r w:rsidRPr="00A06D0A">
        <w:rPr>
          <w:rFonts w:ascii="ITC Avant Garde" w:hAnsi="ITC Avant Garde"/>
          <w:bCs/>
          <w:i/>
          <w:sz w:val="18"/>
          <w:szCs w:val="18"/>
          <w:lang w:eastAsia="es-MX"/>
        </w:rPr>
        <w:t>En caso de que el interesado en suscribir o adquirir acciones o partes sociales sea una persona moral, en el aviso al que se refiere la fracción I de este artículo, deberá presentar la información necesaria para que el Instituto conozca la identidad de las personas físicas que tengan intereses patrimoniales mayores al diez por ciento del capital de dicha persona moral.</w:t>
      </w:r>
    </w:p>
    <w:p w14:paraId="6D0DFD62" w14:textId="628EEA87" w:rsidR="00C517B5" w:rsidRPr="00A06D0A" w:rsidRDefault="00C517B5" w:rsidP="00CF6CBD">
      <w:pPr>
        <w:spacing w:afterLines="100" w:after="240" w:line="240" w:lineRule="auto"/>
        <w:ind w:left="1134" w:right="616"/>
        <w:jc w:val="both"/>
        <w:rPr>
          <w:rFonts w:ascii="ITC Avant Garde" w:hAnsi="ITC Avant Garde"/>
          <w:bCs/>
          <w:i/>
          <w:sz w:val="18"/>
          <w:szCs w:val="18"/>
          <w:lang w:eastAsia="es-MX"/>
        </w:rPr>
      </w:pPr>
      <w:r w:rsidRPr="00A06D0A">
        <w:rPr>
          <w:rFonts w:ascii="ITC Avant Garde" w:hAnsi="ITC Avant Garde"/>
          <w:bCs/>
          <w:i/>
          <w:sz w:val="18"/>
          <w:szCs w:val="18"/>
          <w:lang w:eastAsia="es-MX"/>
        </w:rPr>
        <w:t>En caso de que se actualice la obligación de notificar una concentración conforme a lo previsto en la Ley Federal de Competencia Económica, el Instituto dará trámite a la solicitud conforme a lo previsto para dicho procedimiento en la ley de la materia, considerando además los criterios establecidos en esta Ley</w:t>
      </w:r>
      <w:r w:rsidR="00441755" w:rsidRPr="00A06D0A">
        <w:rPr>
          <w:rFonts w:ascii="ITC Avant Garde" w:hAnsi="ITC Avant Garde"/>
          <w:bCs/>
          <w:i/>
          <w:sz w:val="18"/>
          <w:szCs w:val="18"/>
          <w:lang w:eastAsia="es-MX"/>
        </w:rPr>
        <w:t>.</w:t>
      </w:r>
    </w:p>
    <w:p w14:paraId="69ABC5DE" w14:textId="77777777" w:rsidR="00CF6CBD" w:rsidRDefault="00441755" w:rsidP="00CF6CBD">
      <w:pPr>
        <w:spacing w:afterLines="120" w:after="288" w:line="240" w:lineRule="auto"/>
        <w:ind w:left="1134" w:right="616"/>
        <w:rPr>
          <w:rFonts w:ascii="ITC Avant Garde" w:hAnsi="ITC Avant Garde"/>
          <w:bCs/>
          <w:i/>
          <w:sz w:val="18"/>
          <w:szCs w:val="18"/>
          <w:lang w:eastAsia="es-MX"/>
        </w:rPr>
      </w:pPr>
      <w:r w:rsidRPr="00A06D0A">
        <w:rPr>
          <w:rFonts w:ascii="ITC Avant Garde" w:hAnsi="ITC Avant Garde"/>
          <w:bCs/>
          <w:i/>
          <w:sz w:val="18"/>
          <w:szCs w:val="18"/>
          <w:lang w:eastAsia="es-MX"/>
        </w:rPr>
        <w:t>[</w:t>
      </w:r>
      <w:r w:rsidR="00281886" w:rsidRPr="00A06D0A">
        <w:rPr>
          <w:rFonts w:ascii="ITC Avant Garde" w:hAnsi="ITC Avant Garde"/>
          <w:bCs/>
          <w:i/>
          <w:sz w:val="18"/>
          <w:szCs w:val="18"/>
          <w:lang w:eastAsia="es-MX"/>
        </w:rPr>
        <w:t>…</w:t>
      </w:r>
      <w:r w:rsidRPr="00A06D0A">
        <w:rPr>
          <w:rFonts w:ascii="ITC Avant Garde" w:hAnsi="ITC Avant Garde"/>
          <w:bCs/>
          <w:i/>
          <w:sz w:val="18"/>
          <w:szCs w:val="18"/>
          <w:lang w:eastAsia="es-MX"/>
        </w:rPr>
        <w:t>]</w:t>
      </w:r>
      <w:r w:rsidR="00281886" w:rsidRPr="00A06D0A">
        <w:rPr>
          <w:rFonts w:ascii="ITC Avant Garde" w:hAnsi="ITC Avant Garde"/>
          <w:bCs/>
          <w:i/>
          <w:sz w:val="18"/>
          <w:szCs w:val="18"/>
          <w:lang w:eastAsia="es-MX"/>
        </w:rPr>
        <w:t>”</w:t>
      </w:r>
    </w:p>
    <w:p w14:paraId="18358DFB" w14:textId="77777777" w:rsidR="00CF6CBD" w:rsidRDefault="00B27CA4" w:rsidP="00CF6CBD">
      <w:pPr>
        <w:autoSpaceDE w:val="0"/>
        <w:autoSpaceDN w:val="0"/>
        <w:adjustRightInd w:val="0"/>
        <w:spacing w:afterLines="120" w:after="288" w:line="240" w:lineRule="auto"/>
        <w:jc w:val="both"/>
        <w:rPr>
          <w:rFonts w:ascii="ITC Avant Garde" w:hAnsi="ITC Avant Garde"/>
          <w:bCs/>
          <w:lang w:eastAsia="es-MX"/>
        </w:rPr>
      </w:pPr>
      <w:r w:rsidRPr="00A06D0A">
        <w:rPr>
          <w:rFonts w:ascii="ITC Avant Garde" w:hAnsi="ITC Avant Garde"/>
          <w:bCs/>
          <w:lang w:eastAsia="es-MX"/>
        </w:rPr>
        <w:t xml:space="preserve">Ahora bien, cabe destacar que para este tipo de solicitudes debe acatarse el requisito de procedencia </w:t>
      </w:r>
      <w:r w:rsidR="006E13FD">
        <w:rPr>
          <w:rFonts w:ascii="ITC Avant Garde" w:hAnsi="ITC Avant Garde"/>
          <w:bCs/>
          <w:lang w:eastAsia="es-MX"/>
        </w:rPr>
        <w:t>establecido en el artículo 174-C fracción VII de la Ley Federal de Derechos,</w:t>
      </w:r>
      <w:r w:rsidR="002A79B2">
        <w:rPr>
          <w:rFonts w:ascii="ITC Avant Garde" w:hAnsi="ITC Avant Garde"/>
          <w:bCs/>
          <w:lang w:eastAsia="es-MX"/>
        </w:rPr>
        <w:t xml:space="preserve"> correspondiente al pago de derechos relativo a la </w:t>
      </w:r>
      <w:r w:rsidR="00BB2383" w:rsidRPr="00A06D0A">
        <w:rPr>
          <w:rFonts w:ascii="ITC Avant Garde" w:hAnsi="ITC Avant Garde"/>
          <w:bCs/>
          <w:lang w:eastAsia="es-MX"/>
        </w:rPr>
        <w:t>suscripción o enajenación de acciones o partes sociales</w:t>
      </w:r>
      <w:r w:rsidRPr="00A06D0A">
        <w:rPr>
          <w:rFonts w:ascii="ITC Avant Garde" w:hAnsi="ITC Avant Garde"/>
          <w:bCs/>
          <w:lang w:eastAsia="es-MX"/>
        </w:rPr>
        <w:t xml:space="preserve"> </w:t>
      </w:r>
      <w:r w:rsidR="002A79B2">
        <w:rPr>
          <w:rFonts w:ascii="ITC Avant Garde" w:hAnsi="ITC Avant Garde"/>
          <w:bCs/>
          <w:lang w:eastAsia="es-MX"/>
        </w:rPr>
        <w:t>en las concesiones en materia de telecomunicaciones</w:t>
      </w:r>
      <w:r w:rsidRPr="00A06D0A">
        <w:rPr>
          <w:rFonts w:ascii="ITC Avant Garde" w:hAnsi="ITC Avant Garde"/>
          <w:bCs/>
          <w:lang w:eastAsia="es-MX"/>
        </w:rPr>
        <w:t xml:space="preserve">, </w:t>
      </w:r>
      <w:r w:rsidR="00265997">
        <w:rPr>
          <w:rFonts w:ascii="ITC Avant Garde" w:hAnsi="ITC Avant Garde"/>
          <w:bCs/>
          <w:lang w:eastAsia="es-MX"/>
        </w:rPr>
        <w:t>como es el caso que nos ocupa</w:t>
      </w:r>
      <w:r w:rsidRPr="00A06D0A">
        <w:rPr>
          <w:rFonts w:ascii="ITC Avant Garde" w:hAnsi="ITC Avant Garde"/>
          <w:bCs/>
          <w:lang w:eastAsia="es-MX"/>
        </w:rPr>
        <w:t>.</w:t>
      </w:r>
    </w:p>
    <w:p w14:paraId="322CED2C" w14:textId="77777777" w:rsidR="00CF6CBD" w:rsidRDefault="000A1E6A" w:rsidP="00CF6CBD">
      <w:pPr>
        <w:autoSpaceDE w:val="0"/>
        <w:autoSpaceDN w:val="0"/>
        <w:adjustRightInd w:val="0"/>
        <w:spacing w:afterLines="120" w:after="288" w:line="240" w:lineRule="auto"/>
        <w:jc w:val="both"/>
        <w:rPr>
          <w:rFonts w:ascii="ITC Avant Garde" w:hAnsi="ITC Avant Garde"/>
          <w:bCs/>
          <w:lang w:eastAsia="es-MX"/>
        </w:rPr>
      </w:pPr>
      <w:r w:rsidRPr="00A06D0A">
        <w:rPr>
          <w:rFonts w:ascii="ITC Avant Garde" w:hAnsi="ITC Avant Garde"/>
          <w:b/>
          <w:bCs/>
        </w:rPr>
        <w:t>Tercero.- Concentración.</w:t>
      </w:r>
      <w:r w:rsidRPr="00A06D0A">
        <w:rPr>
          <w:rFonts w:ascii="ITC Avant Garde" w:hAnsi="ITC Avant Garde"/>
          <w:bCs/>
        </w:rPr>
        <w:t xml:space="preserve"> </w:t>
      </w:r>
      <w:r w:rsidRPr="00A06D0A">
        <w:rPr>
          <w:rFonts w:ascii="ITC Avant Garde" w:hAnsi="ITC Avant Garde"/>
          <w:bCs/>
          <w:lang w:eastAsia="es-MX"/>
        </w:rPr>
        <w:t>Como se señaló en el Considerando Primero de la presente Resolución, el Instituto es la autoridad en materia de competencia económica en los sectores de radiodifusión y telecomunicaciones, por lo que en estos ejercerá en forma exclusiva las facultades que las leyes establecen para la Comisión Federal de Competencia Económica y regulará de forma asimétrica a los participantes en estos mercados</w:t>
      </w:r>
      <w:r w:rsidR="002A79B2">
        <w:rPr>
          <w:rFonts w:ascii="ITC Avant Garde" w:hAnsi="ITC Avant Garde"/>
          <w:bCs/>
          <w:lang w:eastAsia="es-MX"/>
        </w:rPr>
        <w:t>,</w:t>
      </w:r>
      <w:r w:rsidRPr="00A06D0A">
        <w:rPr>
          <w:rFonts w:ascii="ITC Avant Garde" w:hAnsi="ITC Avant Garde"/>
          <w:bCs/>
          <w:lang w:eastAsia="es-MX"/>
        </w:rPr>
        <w:t xml:space="preserve"> con el objeto de eliminar eficazmente las barreras a la competencia y la libre </w:t>
      </w:r>
      <w:r w:rsidRPr="00D27E42">
        <w:rPr>
          <w:rFonts w:ascii="ITC Avant Garde" w:hAnsi="ITC Avant Garde"/>
          <w:bCs/>
          <w:lang w:eastAsia="es-MX"/>
        </w:rPr>
        <w:t>concurrencia, garantizando lo dispuesto en los artículos 6o. y 7o. de la Constitución.</w:t>
      </w:r>
    </w:p>
    <w:p w14:paraId="34C36F09" w14:textId="77777777" w:rsidR="00CF6CBD" w:rsidRDefault="000A1E6A" w:rsidP="00CF6CBD">
      <w:pPr>
        <w:autoSpaceDE w:val="0"/>
        <w:autoSpaceDN w:val="0"/>
        <w:adjustRightInd w:val="0"/>
        <w:spacing w:afterLines="120" w:after="288" w:line="240" w:lineRule="auto"/>
        <w:jc w:val="both"/>
        <w:rPr>
          <w:rFonts w:ascii="ITC Avant Garde" w:hAnsi="ITC Avant Garde"/>
          <w:bCs/>
          <w:lang w:eastAsia="es-MX"/>
        </w:rPr>
      </w:pPr>
      <w:r w:rsidRPr="00D27E42">
        <w:rPr>
          <w:rFonts w:ascii="ITC Avant Garde" w:hAnsi="ITC Avant Garde"/>
          <w:bCs/>
          <w:lang w:eastAsia="es-MX"/>
        </w:rPr>
        <w:t>En este sentido, la Ley en el artículo 112</w:t>
      </w:r>
      <w:r w:rsidR="002A79B2" w:rsidRPr="00D27E42">
        <w:rPr>
          <w:rFonts w:ascii="ITC Avant Garde" w:hAnsi="ITC Avant Garde"/>
          <w:bCs/>
          <w:lang w:eastAsia="es-MX"/>
        </w:rPr>
        <w:t>,</w:t>
      </w:r>
      <w:r w:rsidRPr="00D27E42">
        <w:rPr>
          <w:rFonts w:ascii="ITC Avant Garde" w:hAnsi="ITC Avant Garde"/>
          <w:bCs/>
          <w:lang w:eastAsia="es-MX"/>
        </w:rPr>
        <w:t xml:space="preserve"> establece como regla general la obligación que tienen a su cargo todos los concesionarios de telecomunicaciones y radiodifusión</w:t>
      </w:r>
      <w:r w:rsidR="002A79B2" w:rsidRPr="00D27E42">
        <w:rPr>
          <w:rFonts w:ascii="ITC Avant Garde" w:hAnsi="ITC Avant Garde"/>
          <w:bCs/>
          <w:lang w:eastAsia="es-MX"/>
        </w:rPr>
        <w:t>,</w:t>
      </w:r>
      <w:r w:rsidRPr="00D27E42">
        <w:rPr>
          <w:rFonts w:ascii="ITC Avant Garde" w:hAnsi="ITC Avant Garde"/>
          <w:bCs/>
          <w:lang w:eastAsia="es-MX"/>
        </w:rPr>
        <w:t xml:space="preserve"> de observar el régimen para cualquier supuesto de suscripción o enajenación de acciones o partes sociales en un acto o sucesión de actos, que represente el </w:t>
      </w:r>
      <w:r w:rsidR="009D7975" w:rsidRPr="00D27E42">
        <w:rPr>
          <w:rFonts w:ascii="ITC Avant Garde" w:hAnsi="ITC Avant Garde"/>
          <w:bCs/>
          <w:lang w:eastAsia="es-MX"/>
        </w:rPr>
        <w:t>10% (</w:t>
      </w:r>
      <w:r w:rsidRPr="00D27E42">
        <w:rPr>
          <w:rFonts w:ascii="ITC Avant Garde" w:hAnsi="ITC Avant Garde"/>
          <w:bCs/>
          <w:lang w:eastAsia="es-MX"/>
        </w:rPr>
        <w:t>diez por ciento</w:t>
      </w:r>
      <w:r w:rsidR="009D7975" w:rsidRPr="00D27E42">
        <w:rPr>
          <w:rFonts w:ascii="ITC Avant Garde" w:hAnsi="ITC Avant Garde"/>
          <w:bCs/>
          <w:lang w:eastAsia="es-MX"/>
        </w:rPr>
        <w:t>)</w:t>
      </w:r>
      <w:r w:rsidRPr="00D27E42">
        <w:rPr>
          <w:rFonts w:ascii="ITC Avant Garde" w:hAnsi="ITC Avant Garde"/>
          <w:bCs/>
          <w:lang w:eastAsia="es-MX"/>
        </w:rPr>
        <w:t xml:space="preserve"> o más del monto de su capital social; siempre y cuando no se actualice la obligación del concesionario de notificar al Instituto una concentración conforme a lo previsto en la Ley Federal de Competencia Económica (la “Ley de Competencia”).</w:t>
      </w:r>
    </w:p>
    <w:p w14:paraId="113F4836" w14:textId="77777777" w:rsidR="00CF6CBD" w:rsidRDefault="00FA1BA8" w:rsidP="00CF6CBD">
      <w:pPr>
        <w:autoSpaceDE w:val="0"/>
        <w:autoSpaceDN w:val="0"/>
        <w:adjustRightInd w:val="0"/>
        <w:spacing w:afterLines="120" w:after="288" w:line="240" w:lineRule="auto"/>
        <w:jc w:val="both"/>
        <w:rPr>
          <w:rFonts w:ascii="ITC Avant Garde" w:hAnsi="ITC Avant Garde"/>
          <w:bCs/>
          <w:lang w:eastAsia="es-MX"/>
        </w:rPr>
      </w:pPr>
      <w:r w:rsidRPr="00A06D0A">
        <w:rPr>
          <w:rFonts w:ascii="ITC Avant Garde" w:hAnsi="ITC Avant Garde"/>
          <w:bCs/>
          <w:lang w:eastAsia="es-MX"/>
        </w:rPr>
        <w:t>Asimismo, el artículo 61 d</w:t>
      </w:r>
      <w:r w:rsidR="00585784" w:rsidRPr="00A06D0A">
        <w:rPr>
          <w:rFonts w:ascii="ITC Avant Garde" w:hAnsi="ITC Avant Garde"/>
          <w:bCs/>
          <w:lang w:eastAsia="es-MX"/>
        </w:rPr>
        <w:t xml:space="preserve">e la Ley </w:t>
      </w:r>
      <w:r w:rsidR="007A2B10" w:rsidRPr="00A06D0A">
        <w:rPr>
          <w:rFonts w:ascii="ITC Avant Garde" w:hAnsi="ITC Avant Garde"/>
          <w:bCs/>
          <w:lang w:eastAsia="es-MX"/>
        </w:rPr>
        <w:t xml:space="preserve">de </w:t>
      </w:r>
      <w:r w:rsidR="00585784" w:rsidRPr="00A06D0A">
        <w:rPr>
          <w:rFonts w:ascii="ITC Avant Garde" w:hAnsi="ITC Avant Garde"/>
          <w:bCs/>
          <w:lang w:eastAsia="es-MX"/>
        </w:rPr>
        <w:t>Competencia, señala qué</w:t>
      </w:r>
      <w:r w:rsidRPr="00A06D0A">
        <w:rPr>
          <w:rFonts w:ascii="ITC Avant Garde" w:hAnsi="ITC Avant Garde"/>
          <w:bCs/>
          <w:lang w:eastAsia="es-MX"/>
        </w:rPr>
        <w:t xml:space="preserve"> se entiende por Concentración: la fusión, adquisición del control o cualquier acto por virtud del cual se </w:t>
      </w:r>
      <w:r w:rsidRPr="00A06D0A">
        <w:rPr>
          <w:rFonts w:ascii="ITC Avant Garde" w:hAnsi="ITC Avant Garde"/>
          <w:bCs/>
          <w:lang w:eastAsia="es-MX"/>
        </w:rPr>
        <w:lastRenderedPageBreak/>
        <w:t>unan sociedades, asociaciones, acciones, partes sociales, fideicomisos o activos en general que se realice entre competidores, proveedores, clientes o cualesquiera otros agentes económicos.</w:t>
      </w:r>
    </w:p>
    <w:p w14:paraId="04D97766" w14:textId="77777777" w:rsidR="00CF6CBD" w:rsidRDefault="00FA1BA8" w:rsidP="00CF6CBD">
      <w:pPr>
        <w:autoSpaceDE w:val="0"/>
        <w:autoSpaceDN w:val="0"/>
        <w:adjustRightInd w:val="0"/>
        <w:spacing w:afterLines="120" w:after="288" w:line="240" w:lineRule="auto"/>
        <w:jc w:val="both"/>
        <w:rPr>
          <w:rFonts w:ascii="ITC Avant Garde" w:hAnsi="ITC Avant Garde"/>
          <w:bCs/>
          <w:lang w:eastAsia="es-MX"/>
        </w:rPr>
      </w:pPr>
      <w:r w:rsidRPr="00A06D0A">
        <w:rPr>
          <w:rFonts w:ascii="ITC Avant Garde" w:hAnsi="ITC Avant Garde"/>
          <w:bCs/>
          <w:lang w:eastAsia="es-MX"/>
        </w:rPr>
        <w:t>En este tenor, el artículo 86 de la Ley de Competencia ordena textualmente lo siguiente:</w:t>
      </w:r>
    </w:p>
    <w:p w14:paraId="4294B3D3" w14:textId="77777777" w:rsidR="00CF6CBD" w:rsidRDefault="00FA1BA8" w:rsidP="00CF6CBD">
      <w:pPr>
        <w:autoSpaceDE w:val="0"/>
        <w:autoSpaceDN w:val="0"/>
        <w:adjustRightInd w:val="0"/>
        <w:spacing w:afterLines="100" w:after="240" w:line="240" w:lineRule="auto"/>
        <w:ind w:left="426" w:right="332"/>
        <w:jc w:val="both"/>
        <w:rPr>
          <w:rFonts w:ascii="ITC Avant Garde" w:hAnsi="ITC Avant Garde"/>
          <w:bCs/>
          <w:i/>
          <w:sz w:val="18"/>
          <w:szCs w:val="18"/>
        </w:rPr>
      </w:pPr>
      <w:r w:rsidRPr="00A06D0A">
        <w:rPr>
          <w:rFonts w:ascii="ITC Avant Garde" w:hAnsi="ITC Avant Garde"/>
          <w:bCs/>
          <w:i/>
          <w:sz w:val="18"/>
          <w:szCs w:val="18"/>
        </w:rPr>
        <w:t>“</w:t>
      </w:r>
      <w:r w:rsidRPr="00A06D0A">
        <w:rPr>
          <w:rFonts w:ascii="ITC Avant Garde" w:hAnsi="ITC Avant Garde"/>
          <w:b/>
          <w:bCs/>
          <w:i/>
          <w:sz w:val="18"/>
          <w:szCs w:val="18"/>
        </w:rPr>
        <w:t>Artículo 86.</w:t>
      </w:r>
      <w:r w:rsidRPr="00A06D0A">
        <w:rPr>
          <w:rFonts w:ascii="ITC Avant Garde" w:hAnsi="ITC Avant Garde"/>
          <w:bCs/>
          <w:i/>
          <w:sz w:val="18"/>
          <w:szCs w:val="18"/>
        </w:rPr>
        <w:t xml:space="preserve"> Las siguientes concentraciones deberán ser autorizadas por la Comisión antes de que se lleven a cabo:</w:t>
      </w:r>
    </w:p>
    <w:p w14:paraId="310A2A6B" w14:textId="77777777" w:rsidR="00CF6CBD" w:rsidRDefault="00FA1BA8" w:rsidP="00CF6CBD">
      <w:pPr>
        <w:pStyle w:val="Prrafodelista"/>
        <w:numPr>
          <w:ilvl w:val="0"/>
          <w:numId w:val="9"/>
        </w:numPr>
        <w:autoSpaceDE w:val="0"/>
        <w:autoSpaceDN w:val="0"/>
        <w:adjustRightInd w:val="0"/>
        <w:spacing w:afterLines="100" w:after="240"/>
        <w:ind w:right="615" w:hanging="11"/>
        <w:jc w:val="both"/>
        <w:rPr>
          <w:rFonts w:ascii="ITC Avant Garde" w:hAnsi="ITC Avant Garde"/>
          <w:bCs/>
          <w:i/>
          <w:sz w:val="18"/>
          <w:szCs w:val="18"/>
        </w:rPr>
      </w:pPr>
      <w:r w:rsidRPr="00A06D0A">
        <w:rPr>
          <w:rFonts w:ascii="ITC Avant Garde" w:hAnsi="ITC Avant Garde"/>
          <w:bCs/>
          <w:i/>
          <w:sz w:val="18"/>
          <w:szCs w:val="18"/>
        </w:rPr>
        <w:t xml:space="preserve"> Cuando el acto o sucesión de actos que les den origen, independientemente del lugar de su celebración, importen en el territorio nacional, directa o indirectamente, un monto superior al equivalente a dieciocho millones de veces el salario mínimo general diario vigente para el Distrito Federal;</w:t>
      </w:r>
    </w:p>
    <w:p w14:paraId="162C4BEC" w14:textId="77777777" w:rsidR="00CF6CBD" w:rsidRDefault="00FA1BA8" w:rsidP="00CF6CBD">
      <w:pPr>
        <w:pStyle w:val="Prrafodelista"/>
        <w:numPr>
          <w:ilvl w:val="0"/>
          <w:numId w:val="9"/>
        </w:numPr>
        <w:autoSpaceDE w:val="0"/>
        <w:autoSpaceDN w:val="0"/>
        <w:adjustRightInd w:val="0"/>
        <w:spacing w:afterLines="100" w:after="240"/>
        <w:ind w:right="615" w:hanging="11"/>
        <w:jc w:val="both"/>
        <w:rPr>
          <w:rFonts w:ascii="ITC Avant Garde" w:hAnsi="ITC Avant Garde"/>
          <w:bCs/>
          <w:i/>
          <w:sz w:val="18"/>
          <w:szCs w:val="18"/>
        </w:rPr>
      </w:pPr>
      <w:r w:rsidRPr="00A06D0A">
        <w:rPr>
          <w:rFonts w:ascii="ITC Avant Garde" w:hAnsi="ITC Avant Garde"/>
          <w:bCs/>
          <w:i/>
          <w:sz w:val="18"/>
          <w:szCs w:val="18"/>
        </w:rPr>
        <w:t xml:space="preserve"> Cuando el acto o sucesión de actos que les den origen, impliquen la acumulación del treinta y cinco por ciento o más de los activos o acciones de un Agente Económico, cuyas ventas anuales originadas en el territorio nacional o activos en el territorio nacional importen más del equivalente a dieciocho millones de veces el salario mínimo general diario vigente para el Distrito Federal, o</w:t>
      </w:r>
    </w:p>
    <w:p w14:paraId="2FC6B2D3" w14:textId="77777777" w:rsidR="00CF6CBD" w:rsidRDefault="00FA1BA8" w:rsidP="00CF6CBD">
      <w:pPr>
        <w:numPr>
          <w:ilvl w:val="0"/>
          <w:numId w:val="9"/>
        </w:numPr>
        <w:autoSpaceDE w:val="0"/>
        <w:autoSpaceDN w:val="0"/>
        <w:adjustRightInd w:val="0"/>
        <w:spacing w:afterLines="100" w:after="240" w:line="240" w:lineRule="auto"/>
        <w:ind w:right="615" w:hanging="11"/>
        <w:jc w:val="both"/>
        <w:rPr>
          <w:rFonts w:ascii="ITC Avant Garde" w:hAnsi="ITC Avant Garde"/>
          <w:bCs/>
          <w:i/>
          <w:sz w:val="18"/>
          <w:szCs w:val="18"/>
          <w:lang w:val="es-ES"/>
        </w:rPr>
      </w:pPr>
      <w:r w:rsidRPr="00A06D0A">
        <w:rPr>
          <w:rFonts w:ascii="ITC Avant Garde" w:hAnsi="ITC Avant Garde"/>
          <w:bCs/>
          <w:i/>
          <w:sz w:val="18"/>
          <w:szCs w:val="18"/>
          <w:lang w:val="es-ES"/>
        </w:rPr>
        <w:t xml:space="preserve"> Cuando el acto o sucesión de actos que les den origen impliquen una acumulación en el territorio nacional de activos o capital social superior al equivalente a ocho millones cuatrocientas mil veces el salario mínimo general diario vigente para el Distrito Federal y en la concentración participen dos o más Agentes Económicos cuyas ventas anuales originadas en el territorio nacional o activos en el territorio nacional conjunta o separadamente, importen más de cuarenta y ocho millones de veces el salario mínimo general diario vigente para el Distrito Federal.</w:t>
      </w:r>
    </w:p>
    <w:p w14:paraId="144FA6CC" w14:textId="77777777" w:rsidR="00CF6CBD" w:rsidRDefault="00FA1BA8" w:rsidP="00CF6CBD">
      <w:pPr>
        <w:autoSpaceDE w:val="0"/>
        <w:autoSpaceDN w:val="0"/>
        <w:adjustRightInd w:val="0"/>
        <w:spacing w:afterLines="100" w:after="240" w:line="240" w:lineRule="auto"/>
        <w:ind w:left="426" w:right="332"/>
        <w:jc w:val="both"/>
        <w:rPr>
          <w:rFonts w:ascii="ITC Avant Garde" w:hAnsi="ITC Avant Garde"/>
          <w:bCs/>
          <w:i/>
          <w:sz w:val="18"/>
          <w:szCs w:val="18"/>
        </w:rPr>
      </w:pPr>
      <w:r w:rsidRPr="00A06D0A">
        <w:rPr>
          <w:rFonts w:ascii="ITC Avant Garde" w:hAnsi="ITC Avant Garde"/>
          <w:bCs/>
          <w:i/>
          <w:sz w:val="18"/>
          <w:szCs w:val="18"/>
        </w:rPr>
        <w:t>Los actos realizados en contravención a este artículo no producirán efectos jurídicos, sin perjuicio de la responsabilidad administrativa, civil o penal de los Agentes Económicos y de las personas que ordenaron o coadyuvaron en la ejecución, así como de los fedatarios públicos que hayan intervenido en los mismos.</w:t>
      </w:r>
    </w:p>
    <w:p w14:paraId="0075B010" w14:textId="77777777" w:rsidR="00CF6CBD" w:rsidRDefault="00FA1BA8" w:rsidP="00CF6CBD">
      <w:pPr>
        <w:autoSpaceDE w:val="0"/>
        <w:autoSpaceDN w:val="0"/>
        <w:adjustRightInd w:val="0"/>
        <w:spacing w:afterLines="100" w:after="240" w:line="240" w:lineRule="auto"/>
        <w:ind w:left="426" w:right="332"/>
        <w:jc w:val="both"/>
        <w:rPr>
          <w:rFonts w:ascii="ITC Avant Garde" w:hAnsi="ITC Avant Garde"/>
          <w:bCs/>
          <w:i/>
          <w:sz w:val="18"/>
          <w:szCs w:val="18"/>
        </w:rPr>
      </w:pPr>
      <w:r w:rsidRPr="00A06D0A">
        <w:rPr>
          <w:rFonts w:ascii="ITC Avant Garde" w:hAnsi="ITC Avant Garde"/>
          <w:bCs/>
          <w:i/>
          <w:sz w:val="18"/>
          <w:szCs w:val="18"/>
        </w:rPr>
        <w:t>Los actos relativos a una concentración no podrán registrarse en los libros corporativos, formalizarse en instrumento público ni inscribirse en el Registro Público de Comercio hasta que se obtenga la autorización favorable de la Comisión o haya transcurrido el plazo a que se refiere el artículo 90, fracción V, sin que el Pleno haya emitido resolución.</w:t>
      </w:r>
    </w:p>
    <w:p w14:paraId="3EFCD266" w14:textId="77777777" w:rsidR="00CF6CBD" w:rsidRDefault="00FA1BA8" w:rsidP="00CF6CBD">
      <w:pPr>
        <w:autoSpaceDE w:val="0"/>
        <w:autoSpaceDN w:val="0"/>
        <w:adjustRightInd w:val="0"/>
        <w:spacing w:afterLines="120" w:after="288" w:line="240" w:lineRule="auto"/>
        <w:ind w:left="426" w:right="332"/>
        <w:jc w:val="both"/>
        <w:rPr>
          <w:rFonts w:ascii="ITC Avant Garde" w:hAnsi="ITC Avant Garde"/>
          <w:bCs/>
          <w:i/>
          <w:sz w:val="18"/>
          <w:szCs w:val="18"/>
        </w:rPr>
      </w:pPr>
      <w:r w:rsidRPr="00A06D0A">
        <w:rPr>
          <w:rFonts w:ascii="ITC Avant Garde" w:hAnsi="ITC Avant Garde"/>
          <w:bCs/>
          <w:i/>
          <w:sz w:val="18"/>
          <w:szCs w:val="18"/>
        </w:rPr>
        <w:t xml:space="preserve">Los Agentes Económicos involucrados que no se encuentren en los supuestos establecidos en las fracciones I, II y III de este artículo podrán notificarla voluntariamente a la Comisión.” </w:t>
      </w:r>
    </w:p>
    <w:p w14:paraId="696ED0D6" w14:textId="77777777" w:rsidR="00CF6CBD" w:rsidRDefault="00FA1BA8" w:rsidP="00CF6CBD">
      <w:pPr>
        <w:autoSpaceDE w:val="0"/>
        <w:autoSpaceDN w:val="0"/>
        <w:adjustRightInd w:val="0"/>
        <w:spacing w:afterLines="120" w:after="288" w:line="240" w:lineRule="auto"/>
        <w:jc w:val="both"/>
        <w:rPr>
          <w:rFonts w:ascii="ITC Avant Garde" w:hAnsi="ITC Avant Garde"/>
          <w:bCs/>
        </w:rPr>
      </w:pPr>
      <w:r w:rsidRPr="00A06D0A">
        <w:rPr>
          <w:rFonts w:ascii="ITC Avant Garde" w:hAnsi="ITC Avant Garde"/>
          <w:bCs/>
        </w:rPr>
        <w:t>Como se desprende del citado precepto, únicamente los casos que encuadren en los supuestos normativos indicados en las fracciones I, II y III del mismo, deberán ser autorizados previamente por este Instituto en términos de</w:t>
      </w:r>
      <w:r w:rsidR="002A79B2">
        <w:rPr>
          <w:rFonts w:ascii="ITC Avant Garde" w:hAnsi="ITC Avant Garde"/>
          <w:bCs/>
        </w:rPr>
        <w:t xml:space="preserve"> </w:t>
      </w:r>
      <w:r w:rsidRPr="00A06D0A">
        <w:rPr>
          <w:rFonts w:ascii="ITC Avant Garde" w:hAnsi="ITC Avant Garde"/>
          <w:bCs/>
        </w:rPr>
        <w:t>l</w:t>
      </w:r>
      <w:r w:rsidR="002A79B2">
        <w:rPr>
          <w:rFonts w:ascii="ITC Avant Garde" w:hAnsi="ITC Avant Garde"/>
          <w:bCs/>
        </w:rPr>
        <w:t>os</w:t>
      </w:r>
      <w:r w:rsidRPr="00A06D0A">
        <w:rPr>
          <w:rFonts w:ascii="ITC Avant Garde" w:hAnsi="ITC Avant Garde"/>
          <w:bCs/>
        </w:rPr>
        <w:t xml:space="preserve"> artículo</w:t>
      </w:r>
      <w:r w:rsidR="002A79B2">
        <w:rPr>
          <w:rFonts w:ascii="ITC Avant Garde" w:hAnsi="ITC Avant Garde"/>
          <w:bCs/>
        </w:rPr>
        <w:t>s 5 y</w:t>
      </w:r>
      <w:r w:rsidRPr="00A06D0A">
        <w:rPr>
          <w:rFonts w:ascii="ITC Avant Garde" w:hAnsi="ITC Avant Garde"/>
          <w:bCs/>
        </w:rPr>
        <w:t xml:space="preserve"> 87 de la Ley de Competencia; y de igual forma, los Agentes Económicos que participen directamente en la concentración de que se trate están obligados a notificarla a este Instituto, tal y como lo dispone el artículo 88 de la Ley de Competencia.</w:t>
      </w:r>
    </w:p>
    <w:p w14:paraId="7231B7E3" w14:textId="77777777" w:rsidR="00CF6CBD" w:rsidRDefault="00126DEC" w:rsidP="00CF6CBD">
      <w:pPr>
        <w:autoSpaceDE w:val="0"/>
        <w:autoSpaceDN w:val="0"/>
        <w:adjustRightInd w:val="0"/>
        <w:spacing w:afterLines="120" w:after="288" w:line="240" w:lineRule="auto"/>
        <w:jc w:val="both"/>
        <w:rPr>
          <w:rFonts w:ascii="ITC Avant Garde" w:hAnsi="ITC Avant Garde"/>
          <w:bCs/>
        </w:rPr>
      </w:pPr>
      <w:r w:rsidRPr="00A06D0A">
        <w:rPr>
          <w:rFonts w:ascii="ITC Avant Garde" w:hAnsi="ITC Avant Garde"/>
          <w:b/>
          <w:bCs/>
        </w:rPr>
        <w:t>Cuarto</w:t>
      </w:r>
      <w:r w:rsidR="00D04074" w:rsidRPr="00A06D0A">
        <w:rPr>
          <w:rFonts w:ascii="ITC Avant Garde" w:hAnsi="ITC Avant Garde"/>
          <w:b/>
          <w:bCs/>
        </w:rPr>
        <w:t xml:space="preserve">.- </w:t>
      </w:r>
      <w:r w:rsidR="003172FD" w:rsidRPr="00A06D0A">
        <w:rPr>
          <w:rFonts w:ascii="ITC Avant Garde" w:hAnsi="ITC Avant Garde"/>
          <w:b/>
          <w:bCs/>
        </w:rPr>
        <w:t>Análisis de la Solicitu</w:t>
      </w:r>
      <w:r w:rsidR="00726BA0" w:rsidRPr="00A06D0A">
        <w:rPr>
          <w:rFonts w:ascii="ITC Avant Garde" w:hAnsi="ITC Avant Garde"/>
          <w:b/>
          <w:bCs/>
        </w:rPr>
        <w:t xml:space="preserve">d de </w:t>
      </w:r>
      <w:r w:rsidR="00230A26">
        <w:rPr>
          <w:rFonts w:ascii="ITC Avant Garde" w:hAnsi="ITC Avant Garde"/>
          <w:b/>
          <w:bCs/>
        </w:rPr>
        <w:t>Suscripción</w:t>
      </w:r>
      <w:r w:rsidR="00726BA0" w:rsidRPr="00A06D0A">
        <w:rPr>
          <w:rFonts w:ascii="ITC Avant Garde" w:hAnsi="ITC Avant Garde"/>
          <w:b/>
          <w:bCs/>
        </w:rPr>
        <w:t xml:space="preserve"> de Acciones</w:t>
      </w:r>
      <w:r w:rsidR="003172FD" w:rsidRPr="00A06D0A">
        <w:rPr>
          <w:rFonts w:ascii="ITC Avant Garde" w:hAnsi="ITC Avant Garde"/>
          <w:b/>
          <w:bCs/>
        </w:rPr>
        <w:t>.</w:t>
      </w:r>
      <w:r w:rsidR="003172FD" w:rsidRPr="00A06D0A">
        <w:rPr>
          <w:rFonts w:ascii="ITC Avant Garde" w:hAnsi="ITC Avant Garde"/>
          <w:bCs/>
        </w:rPr>
        <w:t xml:space="preserve"> </w:t>
      </w:r>
      <w:r w:rsidR="002512DD" w:rsidRPr="00A06D0A">
        <w:rPr>
          <w:rFonts w:ascii="ITC Avant Garde" w:hAnsi="ITC Avant Garde"/>
          <w:bCs/>
        </w:rPr>
        <w:t xml:space="preserve">De la revisión al marco legal aplicable, </w:t>
      </w:r>
      <w:r w:rsidR="005F6492" w:rsidRPr="00A06D0A">
        <w:rPr>
          <w:rFonts w:ascii="ITC Avant Garde" w:hAnsi="ITC Avant Garde"/>
          <w:bCs/>
        </w:rPr>
        <w:t>se concluye</w:t>
      </w:r>
      <w:r w:rsidR="002512DD" w:rsidRPr="00A06D0A">
        <w:rPr>
          <w:rFonts w:ascii="ITC Avant Garde" w:hAnsi="ITC Avant Garde"/>
          <w:bCs/>
        </w:rPr>
        <w:t xml:space="preserve"> que los requisitos de procedencia que debe cumplir </w:t>
      </w:r>
      <w:r w:rsidR="008E46F0" w:rsidRPr="00A06D0A">
        <w:rPr>
          <w:rFonts w:ascii="ITC Avant Garde" w:hAnsi="ITC Avant Garde"/>
          <w:bCs/>
        </w:rPr>
        <w:t xml:space="preserve">el </w:t>
      </w:r>
      <w:r w:rsidR="008E46F0" w:rsidRPr="00A06D0A">
        <w:rPr>
          <w:rFonts w:ascii="ITC Avant Garde" w:hAnsi="ITC Avant Garde"/>
          <w:bCs/>
        </w:rPr>
        <w:lastRenderedPageBreak/>
        <w:t>c</w:t>
      </w:r>
      <w:r w:rsidR="002512DD" w:rsidRPr="00A06D0A">
        <w:rPr>
          <w:rFonts w:ascii="ITC Avant Garde" w:hAnsi="ITC Avant Garde"/>
          <w:bCs/>
        </w:rPr>
        <w:t>oncesionario que solicite autorización para llevar a cabo la</w:t>
      </w:r>
      <w:r w:rsidR="00952C8A">
        <w:rPr>
          <w:rFonts w:ascii="ITC Avant Garde" w:hAnsi="ITC Avant Garde"/>
          <w:bCs/>
        </w:rPr>
        <w:t xml:space="preserve"> suscripción o </w:t>
      </w:r>
      <w:r w:rsidR="002512DD" w:rsidRPr="00A06D0A">
        <w:rPr>
          <w:rFonts w:ascii="ITC Avant Garde" w:hAnsi="ITC Avant Garde"/>
          <w:bCs/>
        </w:rPr>
        <w:t>enajenación de acciones</w:t>
      </w:r>
      <w:r w:rsidR="008E46F0" w:rsidRPr="00A06D0A">
        <w:rPr>
          <w:rFonts w:ascii="ITC Avant Garde" w:hAnsi="ITC Avant Garde"/>
          <w:bCs/>
        </w:rPr>
        <w:t xml:space="preserve"> o partes sociales del capital</w:t>
      </w:r>
      <w:r w:rsidR="009F74AB" w:rsidRPr="00A06D0A">
        <w:rPr>
          <w:rFonts w:ascii="ITC Avant Garde" w:hAnsi="ITC Avant Garde"/>
          <w:bCs/>
        </w:rPr>
        <w:t>,</w:t>
      </w:r>
      <w:r w:rsidR="008E46F0" w:rsidRPr="00A06D0A">
        <w:rPr>
          <w:rFonts w:ascii="ITC Avant Garde" w:hAnsi="ITC Avant Garde"/>
          <w:bCs/>
        </w:rPr>
        <w:t xml:space="preserve"> </w:t>
      </w:r>
      <w:r w:rsidR="002512DD" w:rsidRPr="00A06D0A">
        <w:rPr>
          <w:rFonts w:ascii="ITC Avant Garde" w:hAnsi="ITC Avant Garde"/>
          <w:bCs/>
        </w:rPr>
        <w:t>son:</w:t>
      </w:r>
    </w:p>
    <w:p w14:paraId="5DA6830E" w14:textId="5B4E9EDF" w:rsidR="002512DD" w:rsidRPr="00A06D0A" w:rsidRDefault="002512DD" w:rsidP="00CF6CBD">
      <w:pPr>
        <w:pStyle w:val="Prrafodelista"/>
        <w:numPr>
          <w:ilvl w:val="0"/>
          <w:numId w:val="7"/>
        </w:numPr>
        <w:spacing w:afterLines="120" w:after="288"/>
        <w:ind w:left="1077" w:hanging="368"/>
        <w:jc w:val="both"/>
        <w:rPr>
          <w:rFonts w:ascii="ITC Avant Garde" w:eastAsia="Calibri" w:hAnsi="ITC Avant Garde"/>
          <w:bCs/>
          <w:sz w:val="22"/>
          <w:szCs w:val="22"/>
          <w:lang w:val="es-MX" w:eastAsia="en-US"/>
        </w:rPr>
      </w:pPr>
      <w:r w:rsidRPr="00A06D0A">
        <w:rPr>
          <w:rFonts w:ascii="ITC Avant Garde" w:eastAsia="Calibri" w:hAnsi="ITC Avant Garde"/>
          <w:bCs/>
          <w:sz w:val="22"/>
          <w:szCs w:val="22"/>
          <w:lang w:val="es-MX" w:eastAsia="en-US"/>
        </w:rPr>
        <w:t xml:space="preserve">Que el titular de la concesión dé aviso al Instituto por escrito que pretende llevar a cabo una </w:t>
      </w:r>
      <w:r w:rsidR="00230A26">
        <w:rPr>
          <w:rFonts w:ascii="ITC Avant Garde" w:eastAsia="Calibri" w:hAnsi="ITC Avant Garde"/>
          <w:bCs/>
          <w:sz w:val="22"/>
          <w:szCs w:val="22"/>
          <w:lang w:val="es-MX" w:eastAsia="en-US"/>
        </w:rPr>
        <w:t xml:space="preserve">suscripción o </w:t>
      </w:r>
      <w:r w:rsidRPr="00A06D0A">
        <w:rPr>
          <w:rFonts w:ascii="ITC Avant Garde" w:eastAsia="Calibri" w:hAnsi="ITC Avant Garde"/>
          <w:bCs/>
          <w:sz w:val="22"/>
          <w:szCs w:val="22"/>
          <w:lang w:val="es-MX" w:eastAsia="en-US"/>
        </w:rPr>
        <w:t xml:space="preserve">enajenación de acciones, </w:t>
      </w:r>
      <w:r w:rsidR="000A1861" w:rsidRPr="00A06D0A">
        <w:rPr>
          <w:rFonts w:ascii="ITC Avant Garde" w:eastAsia="Calibri" w:hAnsi="ITC Avant Garde"/>
          <w:bCs/>
          <w:sz w:val="22"/>
          <w:szCs w:val="22"/>
          <w:lang w:val="es-MX" w:eastAsia="en-US"/>
        </w:rPr>
        <w:t>debiendo acompañar el aviso con la información detallada de las personas interesadas en adquirir las acciones o partes sociales</w:t>
      </w:r>
      <w:r w:rsidRPr="00A06D0A">
        <w:rPr>
          <w:rFonts w:ascii="ITC Avant Garde" w:eastAsia="Calibri" w:hAnsi="ITC Avant Garde"/>
          <w:bCs/>
          <w:sz w:val="22"/>
          <w:szCs w:val="22"/>
          <w:lang w:val="es-MX" w:eastAsia="en-US"/>
        </w:rPr>
        <w:t>.</w:t>
      </w:r>
    </w:p>
    <w:p w14:paraId="57FE8E7F" w14:textId="77777777" w:rsidR="002512DD" w:rsidRPr="00952C8A" w:rsidRDefault="002512DD" w:rsidP="00CF6CBD">
      <w:pPr>
        <w:pStyle w:val="Prrafodelista"/>
        <w:numPr>
          <w:ilvl w:val="0"/>
          <w:numId w:val="7"/>
        </w:numPr>
        <w:autoSpaceDE w:val="0"/>
        <w:autoSpaceDN w:val="0"/>
        <w:adjustRightInd w:val="0"/>
        <w:spacing w:afterLines="120" w:after="288"/>
        <w:ind w:left="1077" w:hanging="368"/>
        <w:jc w:val="both"/>
        <w:rPr>
          <w:rFonts w:ascii="ITC Avant Garde" w:hAnsi="ITC Avant Garde"/>
          <w:bCs/>
          <w:sz w:val="22"/>
          <w:szCs w:val="22"/>
        </w:rPr>
      </w:pPr>
      <w:r w:rsidRPr="00A06D0A">
        <w:rPr>
          <w:rFonts w:ascii="ITC Avant Garde" w:eastAsia="Calibri" w:hAnsi="ITC Avant Garde"/>
          <w:bCs/>
          <w:sz w:val="22"/>
          <w:szCs w:val="22"/>
        </w:rPr>
        <w:t xml:space="preserve">Que el concesionario exhiba </w:t>
      </w:r>
      <w:r w:rsidR="00230A26">
        <w:rPr>
          <w:rFonts w:ascii="ITC Avant Garde" w:eastAsia="Calibri" w:hAnsi="ITC Avant Garde"/>
          <w:bCs/>
          <w:sz w:val="22"/>
          <w:szCs w:val="22"/>
        </w:rPr>
        <w:t xml:space="preserve">el </w:t>
      </w:r>
      <w:r w:rsidRPr="00A06D0A">
        <w:rPr>
          <w:rFonts w:ascii="ITC Avant Garde" w:eastAsia="Calibri" w:hAnsi="ITC Avant Garde"/>
          <w:bCs/>
          <w:sz w:val="22"/>
          <w:szCs w:val="22"/>
        </w:rPr>
        <w:t>comprobante de pago de derechos establecido en la Ley Federal de Derechos.</w:t>
      </w:r>
    </w:p>
    <w:p w14:paraId="58789D03" w14:textId="77777777" w:rsidR="00CF6CBD" w:rsidRDefault="00D27E42" w:rsidP="00CF6CBD">
      <w:pPr>
        <w:pStyle w:val="Prrafodelista"/>
        <w:numPr>
          <w:ilvl w:val="0"/>
          <w:numId w:val="7"/>
        </w:numPr>
        <w:autoSpaceDE w:val="0"/>
        <w:autoSpaceDN w:val="0"/>
        <w:adjustRightInd w:val="0"/>
        <w:spacing w:afterLines="120" w:after="288"/>
        <w:ind w:left="1077" w:hanging="368"/>
        <w:jc w:val="both"/>
        <w:rPr>
          <w:rFonts w:ascii="ITC Avant Garde" w:hAnsi="ITC Avant Garde"/>
          <w:bCs/>
          <w:sz w:val="22"/>
          <w:szCs w:val="22"/>
        </w:rPr>
      </w:pPr>
      <w:r w:rsidRPr="002B5704">
        <w:rPr>
          <w:rFonts w:ascii="ITC Avant Garde" w:eastAsia="Calibri" w:hAnsi="ITC Avant Garde"/>
          <w:bCs/>
          <w:sz w:val="22"/>
          <w:szCs w:val="22"/>
        </w:rPr>
        <w:t>Que</w:t>
      </w:r>
      <w:r w:rsidR="00365223">
        <w:rPr>
          <w:rFonts w:ascii="ITC Avant Garde" w:eastAsia="Calibri" w:hAnsi="ITC Avant Garde"/>
          <w:bCs/>
          <w:sz w:val="22"/>
          <w:szCs w:val="22"/>
        </w:rPr>
        <w:t xml:space="preserve"> se solicite a la</w:t>
      </w:r>
      <w:r w:rsidR="00952C8A" w:rsidRPr="002B5704">
        <w:rPr>
          <w:rFonts w:ascii="ITC Avant Garde" w:eastAsia="Calibri" w:hAnsi="ITC Avant Garde"/>
          <w:bCs/>
          <w:sz w:val="22"/>
          <w:szCs w:val="22"/>
        </w:rPr>
        <w:t xml:space="preserve"> Secretaría</w:t>
      </w:r>
      <w:r w:rsidRPr="002B5704">
        <w:rPr>
          <w:rFonts w:ascii="ITC Avant Garde" w:eastAsia="Calibri" w:hAnsi="ITC Avant Garde"/>
          <w:bCs/>
          <w:sz w:val="22"/>
          <w:szCs w:val="22"/>
        </w:rPr>
        <w:t xml:space="preserve"> </w:t>
      </w:r>
      <w:r w:rsidRPr="008108A1">
        <w:rPr>
          <w:rFonts w:ascii="ITC Avant Garde" w:eastAsia="Calibri" w:hAnsi="ITC Avant Garde"/>
          <w:bCs/>
          <w:sz w:val="22"/>
          <w:szCs w:val="22"/>
        </w:rPr>
        <w:t>la opinión técnica no</w:t>
      </w:r>
      <w:r w:rsidRPr="002B5704">
        <w:rPr>
          <w:rFonts w:ascii="ITC Avant Garde" w:eastAsia="Calibri" w:hAnsi="ITC Avant Garde"/>
          <w:bCs/>
          <w:sz w:val="22"/>
          <w:szCs w:val="22"/>
        </w:rPr>
        <w:t xml:space="preserve"> vinculante, prevista en el artículo 28 párrafo décimo séptimo de la Constitución y el artículo 112 párrafo segundo fracción III de la Ley, respecto de la Solicitud de </w:t>
      </w:r>
      <w:r w:rsidR="00230A26">
        <w:rPr>
          <w:rFonts w:ascii="ITC Avant Garde" w:eastAsia="Calibri" w:hAnsi="ITC Avant Garde"/>
          <w:bCs/>
          <w:sz w:val="22"/>
          <w:szCs w:val="22"/>
        </w:rPr>
        <w:t>Suscripción</w:t>
      </w:r>
      <w:r w:rsidRPr="002B5704">
        <w:rPr>
          <w:rFonts w:ascii="ITC Avant Garde" w:eastAsia="Calibri" w:hAnsi="ITC Avant Garde"/>
          <w:bCs/>
          <w:sz w:val="22"/>
          <w:szCs w:val="22"/>
        </w:rPr>
        <w:t xml:space="preserve"> de Acciones</w:t>
      </w:r>
      <w:r w:rsidR="00952C8A" w:rsidRPr="002B5704">
        <w:rPr>
          <w:rFonts w:ascii="ITC Avant Garde" w:eastAsia="Calibri" w:hAnsi="ITC Avant Garde"/>
          <w:bCs/>
          <w:sz w:val="22"/>
          <w:szCs w:val="22"/>
        </w:rPr>
        <w:t>.</w:t>
      </w:r>
    </w:p>
    <w:p w14:paraId="1033C2C1" w14:textId="77777777" w:rsidR="00CF6CBD" w:rsidRDefault="000A7590" w:rsidP="00CF6CBD">
      <w:pPr>
        <w:autoSpaceDE w:val="0"/>
        <w:autoSpaceDN w:val="0"/>
        <w:adjustRightInd w:val="0"/>
        <w:spacing w:afterLines="120" w:after="288" w:line="240" w:lineRule="auto"/>
        <w:jc w:val="both"/>
        <w:rPr>
          <w:rFonts w:ascii="ITC Avant Garde" w:hAnsi="ITC Avant Garde"/>
          <w:bCs/>
          <w:lang w:val="es-ES" w:eastAsia="es-ES"/>
        </w:rPr>
      </w:pPr>
      <w:r>
        <w:rPr>
          <w:rFonts w:ascii="ITC Avant Garde" w:hAnsi="ITC Avant Garde"/>
          <w:bCs/>
        </w:rPr>
        <w:t xml:space="preserve">Respecto del primer requisito de procedencia, </w:t>
      </w:r>
      <w:r w:rsidR="005E4E7D">
        <w:rPr>
          <w:rFonts w:ascii="ITC Avant Garde" w:hAnsi="ITC Avant Garde"/>
          <w:bCs/>
        </w:rPr>
        <w:t xml:space="preserve">relativo a que el titular de la concesión dé aviso al Instituto de su intención de llevar a cabo una suscripción de acciones, el 25 de agosto de 2017, </w:t>
      </w:r>
      <w:r w:rsidR="005E4E7D">
        <w:rPr>
          <w:rFonts w:ascii="ITC Avant Garde" w:hAnsi="ITC Avant Garde"/>
          <w:bCs/>
          <w:lang w:val="es-ES" w:eastAsia="es-ES"/>
        </w:rPr>
        <w:t xml:space="preserve">Integración de Servicios y Tecnología, S.A. de C.V. presentó </w:t>
      </w:r>
      <w:r w:rsidR="00E67B43">
        <w:rPr>
          <w:rFonts w:ascii="ITC Avant Garde" w:hAnsi="ITC Avant Garde"/>
          <w:bCs/>
          <w:lang w:val="es-ES" w:eastAsia="es-ES"/>
        </w:rPr>
        <w:t>la Solicitud de Suscripción de Acciones, en la que manifestó su</w:t>
      </w:r>
      <w:r w:rsidR="005E4E7D">
        <w:rPr>
          <w:rFonts w:ascii="ITC Avant Garde" w:hAnsi="ITC Avant Garde"/>
          <w:bCs/>
          <w:lang w:val="es-ES" w:eastAsia="es-ES"/>
        </w:rPr>
        <w:t xml:space="preserve"> intención de llevar a cabo el aumento de</w:t>
      </w:r>
      <w:r w:rsidR="00E67B43">
        <w:rPr>
          <w:rFonts w:ascii="ITC Avant Garde" w:hAnsi="ITC Avant Garde"/>
          <w:bCs/>
          <w:lang w:val="es-ES" w:eastAsia="es-ES"/>
        </w:rPr>
        <w:t>l</w:t>
      </w:r>
      <w:r w:rsidR="005E4E7D">
        <w:rPr>
          <w:rFonts w:ascii="ITC Avant Garde" w:hAnsi="ITC Avant Garde"/>
          <w:bCs/>
          <w:lang w:val="es-ES" w:eastAsia="es-ES"/>
        </w:rPr>
        <w:t xml:space="preserve"> capital social </w:t>
      </w:r>
      <w:r w:rsidR="00E67B43">
        <w:rPr>
          <w:rFonts w:ascii="ITC Avant Garde" w:hAnsi="ITC Avant Garde"/>
          <w:bCs/>
          <w:lang w:val="es-ES" w:eastAsia="es-ES"/>
        </w:rPr>
        <w:t xml:space="preserve">de la empresa </w:t>
      </w:r>
      <w:r w:rsidR="005E4E7D">
        <w:rPr>
          <w:rFonts w:ascii="ITC Avant Garde" w:hAnsi="ITC Avant Garde"/>
          <w:bCs/>
          <w:lang w:val="es-ES" w:eastAsia="es-ES"/>
        </w:rPr>
        <w:t>mediante la emisión de 3,425 acciones de capital variable e indicó que la empresa Prosperist, S.A.P.I. de C.V. sería la persona moral que suscribiría dichas acciones.</w:t>
      </w:r>
      <w:r w:rsidR="00E67B43">
        <w:rPr>
          <w:rFonts w:ascii="ITC Avant Garde" w:hAnsi="ITC Avant Garde"/>
          <w:bCs/>
          <w:lang w:val="es-ES" w:eastAsia="es-ES"/>
        </w:rPr>
        <w:t xml:space="preserve"> </w:t>
      </w:r>
    </w:p>
    <w:p w14:paraId="5426C29D" w14:textId="77777777" w:rsidR="00CF6CBD" w:rsidRDefault="00E67B43" w:rsidP="00CF6CBD">
      <w:pPr>
        <w:autoSpaceDE w:val="0"/>
        <w:autoSpaceDN w:val="0"/>
        <w:adjustRightInd w:val="0"/>
        <w:spacing w:afterLines="120" w:after="288" w:line="240" w:lineRule="auto"/>
        <w:jc w:val="both"/>
        <w:rPr>
          <w:rFonts w:ascii="ITC Avant Garde" w:hAnsi="ITC Avant Garde"/>
          <w:bCs/>
          <w:lang w:val="es-ES" w:eastAsia="es-ES"/>
        </w:rPr>
      </w:pPr>
      <w:r>
        <w:rPr>
          <w:rFonts w:ascii="ITC Avant Garde" w:hAnsi="ITC Avant Garde"/>
          <w:bCs/>
          <w:lang w:val="es-ES" w:eastAsia="es-ES"/>
        </w:rPr>
        <w:t>Asimismo, en el “</w:t>
      </w:r>
      <w:r w:rsidRPr="00152453">
        <w:rPr>
          <w:rFonts w:ascii="ITC Avant Garde" w:hAnsi="ITC Avant Garde"/>
          <w:bCs/>
          <w:i/>
          <w:lang w:val="es-ES" w:eastAsia="es-ES"/>
        </w:rPr>
        <w:t>ANEXO D</w:t>
      </w:r>
      <w:r>
        <w:rPr>
          <w:rFonts w:ascii="ITC Avant Garde" w:hAnsi="ITC Avant Garde"/>
          <w:bCs/>
          <w:lang w:val="es-ES" w:eastAsia="es-ES"/>
        </w:rPr>
        <w:t xml:space="preserve">” de la Solicitud de Suscripción de Acciones, </w:t>
      </w:r>
      <w:r w:rsidR="00152453">
        <w:rPr>
          <w:rFonts w:ascii="ITC Avant Garde" w:hAnsi="ITC Avant Garde"/>
          <w:bCs/>
          <w:lang w:val="es-ES" w:eastAsia="es-ES"/>
        </w:rPr>
        <w:t xml:space="preserve">correspondiente al Acta de Asamblea General Ordinaria de Accionistas, celebrada el 7 de junio de 2017, se </w:t>
      </w:r>
      <w:r>
        <w:rPr>
          <w:rFonts w:ascii="ITC Avant Garde" w:hAnsi="ITC Avant Garde"/>
          <w:bCs/>
          <w:lang w:val="es-ES" w:eastAsia="es-ES"/>
        </w:rPr>
        <w:t>señaló lo siguiente:</w:t>
      </w:r>
    </w:p>
    <w:p w14:paraId="4AC39B41" w14:textId="77777777" w:rsidR="00CF6CBD" w:rsidRDefault="00CC6D46" w:rsidP="00CF6CBD">
      <w:pPr>
        <w:pStyle w:val="Default"/>
        <w:spacing w:afterLines="100" w:after="240"/>
        <w:ind w:left="1134" w:right="566"/>
        <w:jc w:val="both"/>
        <w:rPr>
          <w:rFonts w:ascii="ITC Avant Garde" w:eastAsia="Times New Roman" w:hAnsi="ITC Avant Garde" w:cs="Times New Roman"/>
          <w:i/>
          <w:sz w:val="18"/>
          <w:szCs w:val="18"/>
        </w:rPr>
      </w:pPr>
      <w:r w:rsidRPr="00CC6D46">
        <w:rPr>
          <w:rFonts w:ascii="ITC Avant Garde" w:eastAsia="Times New Roman" w:hAnsi="ITC Avant Garde" w:cs="Times New Roman"/>
          <w:i/>
          <w:sz w:val="18"/>
          <w:szCs w:val="18"/>
        </w:rPr>
        <w:t>“[…]</w:t>
      </w:r>
    </w:p>
    <w:p w14:paraId="0F9B37FD" w14:textId="77777777" w:rsidR="00CF6CBD" w:rsidRDefault="00152453" w:rsidP="00CF6CBD">
      <w:pPr>
        <w:pStyle w:val="Default"/>
        <w:numPr>
          <w:ilvl w:val="0"/>
          <w:numId w:val="33"/>
        </w:numPr>
        <w:spacing w:afterLines="100" w:after="240"/>
        <w:ind w:left="1134" w:right="566" w:firstLine="0"/>
        <w:jc w:val="both"/>
        <w:rPr>
          <w:rFonts w:ascii="ITC Avant Garde" w:eastAsia="Times New Roman" w:hAnsi="ITC Avant Garde" w:cs="Times New Roman"/>
          <w:b/>
          <w:i/>
          <w:sz w:val="18"/>
          <w:szCs w:val="18"/>
        </w:rPr>
      </w:pPr>
      <w:r w:rsidRPr="005A7A37">
        <w:rPr>
          <w:rFonts w:ascii="ITC Avant Garde" w:eastAsia="Times New Roman" w:hAnsi="ITC Avant Garde" w:cs="Times New Roman"/>
          <w:b/>
          <w:i/>
          <w:sz w:val="18"/>
          <w:szCs w:val="18"/>
        </w:rPr>
        <w:t>LISTA DE ASISTENCIA</w:t>
      </w:r>
    </w:p>
    <w:p w14:paraId="2DEE9630" w14:textId="4D27EC25" w:rsidR="00152453" w:rsidRDefault="00152453" w:rsidP="00CF6CBD">
      <w:pPr>
        <w:pStyle w:val="Default"/>
        <w:spacing w:afterLines="120" w:after="288"/>
        <w:ind w:left="1134" w:right="566"/>
        <w:jc w:val="both"/>
        <w:rPr>
          <w:rFonts w:ascii="ITC Avant Garde" w:eastAsia="Times New Roman" w:hAnsi="ITC Avant Garde" w:cs="Times New Roman"/>
          <w:i/>
          <w:sz w:val="18"/>
          <w:szCs w:val="18"/>
        </w:rPr>
      </w:pPr>
      <w:r w:rsidRPr="005A7A37">
        <w:rPr>
          <w:rFonts w:ascii="ITC Avant Garde" w:eastAsia="Times New Roman" w:hAnsi="ITC Avant Garde" w:cs="Times New Roman"/>
          <w:i/>
          <w:sz w:val="18"/>
          <w:szCs w:val="18"/>
        </w:rPr>
        <w:t xml:space="preserve">En el desahogo del primer punto del orden del día, el escrutador asienta constancia de encontrarse reunido el </w:t>
      </w:r>
      <w:r w:rsidRPr="005A7A37">
        <w:rPr>
          <w:rFonts w:ascii="ITC Avant Garde" w:eastAsia="Times New Roman" w:hAnsi="ITC Avant Garde" w:cs="Times New Roman"/>
          <w:b/>
          <w:i/>
          <w:sz w:val="18"/>
          <w:szCs w:val="18"/>
        </w:rPr>
        <w:t>total del capital social, serie A,</w:t>
      </w:r>
      <w:r w:rsidRPr="005A7A37">
        <w:rPr>
          <w:rFonts w:ascii="ITC Avant Garde" w:eastAsia="Times New Roman" w:hAnsi="ITC Avant Garde" w:cs="Times New Roman"/>
          <w:i/>
          <w:sz w:val="18"/>
          <w:szCs w:val="18"/>
        </w:rPr>
        <w:t xml:space="preserve"> conforme a lo siguiente: </w:t>
      </w:r>
    </w:p>
    <w:p w14:paraId="60432B46" w14:textId="2E9A2D88" w:rsidR="00CF6CBD" w:rsidRDefault="00994516" w:rsidP="0054673B">
      <w:pPr>
        <w:pStyle w:val="Default"/>
        <w:spacing w:before="120" w:afterLines="120" w:after="288"/>
        <w:ind w:left="1134" w:right="566"/>
        <w:jc w:val="both"/>
        <w:rPr>
          <w:rFonts w:ascii="ITC Avant Garde" w:eastAsia="Times New Roman" w:hAnsi="ITC Avant Garde" w:cs="Times New Roman"/>
          <w:i/>
          <w:sz w:val="18"/>
          <w:szCs w:val="18"/>
        </w:rPr>
      </w:pPr>
      <w:r>
        <w:rPr>
          <w:noProof/>
        </w:rPr>
        <w:drawing>
          <wp:inline distT="0" distB="0" distL="0" distR="0" wp14:anchorId="7A5BDE0D" wp14:editId="2813E3EF">
            <wp:extent cx="5041446" cy="1238250"/>
            <wp:effectExtent l="0" t="0" r="6985" b="0"/>
            <wp:docPr id="3" name="Imagen 3" descr="Imgen de tabla de 3 columnas que proporciona información &quot;CONFIDENCIAL POR LEY&quot; relacionada con los socios y sus acciones." title="Lista de Asis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949" t="43046" r="10245" b="40884"/>
                    <a:stretch/>
                  </pic:blipFill>
                  <pic:spPr bwMode="auto">
                    <a:xfrm>
                      <a:off x="0" y="0"/>
                      <a:ext cx="5053197" cy="1241136"/>
                    </a:xfrm>
                    <a:prstGeom prst="rect">
                      <a:avLst/>
                    </a:prstGeom>
                    <a:ln>
                      <a:noFill/>
                    </a:ln>
                    <a:extLst>
                      <a:ext uri="{53640926-AAD7-44D8-BBD7-CCE9431645EC}">
                        <a14:shadowObscured xmlns:a14="http://schemas.microsoft.com/office/drawing/2010/main"/>
                      </a:ext>
                    </a:extLst>
                  </pic:spPr>
                </pic:pic>
              </a:graphicData>
            </a:graphic>
          </wp:inline>
        </w:drawing>
      </w:r>
      <w:r w:rsidRPr="005A7A37">
        <w:rPr>
          <w:rFonts w:ascii="ITC Avant Garde" w:eastAsia="Times New Roman" w:hAnsi="ITC Avant Garde" w:cs="Times New Roman"/>
          <w:i/>
          <w:sz w:val="18"/>
          <w:szCs w:val="18"/>
        </w:rPr>
        <w:t xml:space="preserve"> </w:t>
      </w:r>
      <w:r w:rsidR="00152453" w:rsidRPr="005A7A37">
        <w:rPr>
          <w:rFonts w:ascii="ITC Avant Garde" w:eastAsia="Times New Roman" w:hAnsi="ITC Avant Garde" w:cs="Times New Roman"/>
          <w:i/>
          <w:sz w:val="18"/>
          <w:szCs w:val="18"/>
        </w:rPr>
        <w:t>[…]”</w:t>
      </w:r>
      <w:r w:rsidR="0041079A">
        <w:rPr>
          <w:rFonts w:ascii="ITC Avant Garde" w:eastAsia="Times New Roman" w:hAnsi="ITC Avant Garde" w:cs="Times New Roman"/>
          <w:i/>
          <w:sz w:val="18"/>
          <w:szCs w:val="18"/>
        </w:rPr>
        <w:t xml:space="preserve"> </w:t>
      </w:r>
      <w:r w:rsidR="0041079A" w:rsidRPr="0041079A">
        <w:rPr>
          <w:rFonts w:ascii="ITC Avant Garde" w:eastAsia="Times New Roman" w:hAnsi="ITC Avant Garde" w:cs="Times New Roman"/>
          <w:sz w:val="18"/>
          <w:szCs w:val="18"/>
        </w:rPr>
        <w:t>[Sic]</w:t>
      </w:r>
    </w:p>
    <w:p w14:paraId="2DBD5B49" w14:textId="77777777" w:rsidR="00CF6CBD" w:rsidRDefault="00CC6D46" w:rsidP="00CF6CBD">
      <w:pPr>
        <w:pStyle w:val="Default"/>
        <w:spacing w:afterLines="120" w:after="288"/>
        <w:jc w:val="both"/>
        <w:rPr>
          <w:rFonts w:ascii="ITC Avant Garde" w:eastAsia="Times New Roman" w:hAnsi="ITC Avant Garde" w:cs="Times New Roman"/>
          <w:color w:val="auto"/>
          <w:sz w:val="22"/>
          <w:szCs w:val="22"/>
        </w:rPr>
      </w:pPr>
      <w:r>
        <w:rPr>
          <w:rFonts w:ascii="ITC Avant Garde" w:eastAsia="Times New Roman" w:hAnsi="ITC Avant Garde" w:cs="Times New Roman"/>
          <w:color w:val="auto"/>
          <w:sz w:val="22"/>
          <w:szCs w:val="22"/>
        </w:rPr>
        <w:t>Por su parte</w:t>
      </w:r>
      <w:r w:rsidRPr="00CC6D46">
        <w:rPr>
          <w:rFonts w:ascii="ITC Avant Garde" w:eastAsia="Times New Roman" w:hAnsi="ITC Avant Garde" w:cs="Times New Roman"/>
          <w:color w:val="auto"/>
          <w:sz w:val="22"/>
          <w:szCs w:val="22"/>
        </w:rPr>
        <w:t xml:space="preserve">, el 26 de abril de 2017 </w:t>
      </w:r>
      <w:r>
        <w:rPr>
          <w:rFonts w:ascii="ITC Avant Garde" w:eastAsia="Times New Roman" w:hAnsi="ITC Avant Garde" w:cs="Times New Roman"/>
          <w:color w:val="auto"/>
          <w:sz w:val="22"/>
          <w:szCs w:val="22"/>
        </w:rPr>
        <w:t xml:space="preserve">Integración de Servicios y Tecnología, S.A. de C.V. </w:t>
      </w:r>
      <w:r w:rsidRPr="00CC6D46">
        <w:rPr>
          <w:rFonts w:ascii="ITC Avant Garde" w:eastAsia="Times New Roman" w:hAnsi="ITC Avant Garde" w:cs="Times New Roman"/>
          <w:color w:val="auto"/>
          <w:sz w:val="22"/>
          <w:szCs w:val="22"/>
        </w:rPr>
        <w:t xml:space="preserve">presentó ante el Instituto </w:t>
      </w:r>
      <w:r>
        <w:rPr>
          <w:rFonts w:ascii="ITC Avant Garde" w:eastAsia="Times New Roman" w:hAnsi="ITC Avant Garde" w:cs="Times New Roman"/>
          <w:color w:val="auto"/>
          <w:sz w:val="22"/>
          <w:szCs w:val="22"/>
        </w:rPr>
        <w:t>su estructura accionari</w:t>
      </w:r>
      <w:r w:rsidRPr="00CC6D46">
        <w:rPr>
          <w:rFonts w:ascii="ITC Avant Garde" w:eastAsia="Times New Roman" w:hAnsi="ITC Avant Garde" w:cs="Times New Roman"/>
          <w:color w:val="auto"/>
          <w:sz w:val="22"/>
          <w:szCs w:val="22"/>
        </w:rPr>
        <w:t xml:space="preserve">a, en la que señaló la relación de los </w:t>
      </w:r>
      <w:r w:rsidRPr="00CC6D46">
        <w:rPr>
          <w:rFonts w:ascii="ITC Avant Garde" w:eastAsia="Times New Roman" w:hAnsi="ITC Avant Garde" w:cs="Times New Roman"/>
          <w:color w:val="auto"/>
          <w:sz w:val="22"/>
          <w:szCs w:val="22"/>
        </w:rPr>
        <w:lastRenderedPageBreak/>
        <w:t xml:space="preserve">principales accionistas de dicha empresa con sus respectivos porcentajes de participación, de conformidad con el siguiente cuadro: </w:t>
      </w:r>
    </w:p>
    <w:p w14:paraId="46E57902" w14:textId="0BE00F73" w:rsidR="00CC6D46" w:rsidRPr="005A7A37" w:rsidRDefault="00CC6D46" w:rsidP="00CF6CBD">
      <w:pPr>
        <w:pStyle w:val="Default"/>
        <w:spacing w:afterLines="120" w:after="288"/>
        <w:ind w:left="1134"/>
        <w:jc w:val="both"/>
        <w:rPr>
          <w:rFonts w:ascii="ITC Avant Garde" w:eastAsia="Times New Roman" w:hAnsi="ITC Avant Garde" w:cs="Times New Roman"/>
          <w:i/>
          <w:color w:val="auto"/>
          <w:sz w:val="16"/>
          <w:szCs w:val="16"/>
        </w:rPr>
      </w:pPr>
      <w:r w:rsidRPr="005A7A37">
        <w:rPr>
          <w:rFonts w:ascii="ITC Avant Garde" w:eastAsia="Times New Roman" w:hAnsi="ITC Avant Garde" w:cs="Times New Roman"/>
          <w:i/>
          <w:color w:val="auto"/>
          <w:sz w:val="16"/>
          <w:szCs w:val="16"/>
        </w:rPr>
        <w:t>“[…]</w:t>
      </w:r>
    </w:p>
    <w:tbl>
      <w:tblPr>
        <w:tblStyle w:val="Tablaconcuadrcula"/>
        <w:tblW w:w="8232" w:type="dxa"/>
        <w:jc w:val="center"/>
        <w:tblLayout w:type="fixed"/>
        <w:tblLook w:val="04A0" w:firstRow="1" w:lastRow="0" w:firstColumn="1" w:lastColumn="0" w:noHBand="0" w:noVBand="1"/>
        <w:tblCaption w:val="Estructura accionaria"/>
        <w:tblDescription w:val="Tabla de 6 columnas que proporciona información relativa a la estructura accionaria con sus respectivos porcentajes de participación."/>
      </w:tblPr>
      <w:tblGrid>
        <w:gridCol w:w="1980"/>
        <w:gridCol w:w="992"/>
        <w:gridCol w:w="1276"/>
        <w:gridCol w:w="1276"/>
        <w:gridCol w:w="1275"/>
        <w:gridCol w:w="1433"/>
      </w:tblGrid>
      <w:tr w:rsidR="00CC6D46" w:rsidRPr="005A7A37" w14:paraId="256D25DE" w14:textId="77777777" w:rsidTr="0054673B">
        <w:trPr>
          <w:tblHeader/>
          <w:jc w:val="center"/>
        </w:trPr>
        <w:tc>
          <w:tcPr>
            <w:tcW w:w="1980" w:type="dxa"/>
            <w:vAlign w:val="center"/>
          </w:tcPr>
          <w:p w14:paraId="41053935" w14:textId="77777777" w:rsidR="00CC6D46" w:rsidRPr="005A7A37" w:rsidRDefault="00CC6D46" w:rsidP="0054673B">
            <w:pPr>
              <w:spacing w:after="0" w:line="240" w:lineRule="auto"/>
              <w:jc w:val="center"/>
              <w:rPr>
                <w:rFonts w:ascii="ITC Avant Garde" w:eastAsia="Times New Roman" w:hAnsi="ITC Avant Garde"/>
                <w:b/>
                <w:bCs/>
                <w:i/>
                <w:sz w:val="16"/>
                <w:szCs w:val="16"/>
                <w:lang w:eastAsia="es-ES"/>
              </w:rPr>
            </w:pPr>
            <w:r w:rsidRPr="005A7A37">
              <w:rPr>
                <w:rFonts w:ascii="ITC Avant Garde" w:eastAsia="Times New Roman" w:hAnsi="ITC Avant Garde"/>
                <w:b/>
                <w:bCs/>
                <w:i/>
                <w:sz w:val="16"/>
                <w:szCs w:val="16"/>
                <w:lang w:eastAsia="es-ES"/>
              </w:rPr>
              <w:t>Nombre de la persona física o moral titular de las acciones o partes sociales o aportaciones</w:t>
            </w:r>
          </w:p>
        </w:tc>
        <w:tc>
          <w:tcPr>
            <w:tcW w:w="992" w:type="dxa"/>
            <w:vAlign w:val="center"/>
          </w:tcPr>
          <w:p w14:paraId="00707203" w14:textId="77777777" w:rsidR="00CC6D46" w:rsidRPr="005A7A37" w:rsidRDefault="00D214BA" w:rsidP="0054673B">
            <w:pPr>
              <w:spacing w:after="0" w:line="240" w:lineRule="auto"/>
              <w:jc w:val="center"/>
              <w:rPr>
                <w:rFonts w:ascii="ITC Avant Garde" w:eastAsia="Times New Roman" w:hAnsi="ITC Avant Garde"/>
                <w:b/>
                <w:bCs/>
                <w:i/>
                <w:sz w:val="16"/>
                <w:szCs w:val="16"/>
                <w:lang w:eastAsia="es-ES"/>
              </w:rPr>
            </w:pPr>
            <w:r>
              <w:rPr>
                <w:rFonts w:ascii="ITC Avant Garde" w:eastAsia="Times New Roman" w:hAnsi="ITC Avant Garde"/>
                <w:b/>
                <w:bCs/>
                <w:i/>
                <w:sz w:val="16"/>
                <w:szCs w:val="16"/>
                <w:lang w:eastAsia="es-ES"/>
              </w:rPr>
              <w:t>Nombre o t</w:t>
            </w:r>
            <w:r w:rsidR="00CC6D46" w:rsidRPr="005A7A37">
              <w:rPr>
                <w:rFonts w:ascii="ITC Avant Garde" w:eastAsia="Times New Roman" w:hAnsi="ITC Avant Garde"/>
                <w:b/>
                <w:bCs/>
                <w:i/>
                <w:sz w:val="16"/>
                <w:szCs w:val="16"/>
                <w:lang w:eastAsia="es-ES"/>
              </w:rPr>
              <w:t>ipo de serie</w:t>
            </w:r>
          </w:p>
        </w:tc>
        <w:tc>
          <w:tcPr>
            <w:tcW w:w="1276" w:type="dxa"/>
            <w:vAlign w:val="center"/>
          </w:tcPr>
          <w:p w14:paraId="74D282B3" w14:textId="77777777" w:rsidR="00CC6D46" w:rsidRPr="005A7A37" w:rsidRDefault="00CC6D46" w:rsidP="0054673B">
            <w:pPr>
              <w:spacing w:after="0" w:line="240" w:lineRule="auto"/>
              <w:jc w:val="center"/>
              <w:rPr>
                <w:rFonts w:ascii="ITC Avant Garde" w:eastAsia="Times New Roman" w:hAnsi="ITC Avant Garde"/>
                <w:b/>
                <w:bCs/>
                <w:i/>
                <w:sz w:val="16"/>
                <w:szCs w:val="16"/>
                <w:lang w:eastAsia="es-ES"/>
              </w:rPr>
            </w:pPr>
            <w:r w:rsidRPr="005A7A37">
              <w:rPr>
                <w:rFonts w:ascii="ITC Avant Garde" w:eastAsia="Times New Roman" w:hAnsi="ITC Avant Garde"/>
                <w:b/>
                <w:bCs/>
                <w:i/>
                <w:sz w:val="16"/>
                <w:szCs w:val="16"/>
                <w:lang w:eastAsia="es-ES"/>
              </w:rPr>
              <w:t>Número total de acciones o partes sociales o aportaciones de las que sea titular la persona física o moral</w:t>
            </w:r>
          </w:p>
        </w:tc>
        <w:tc>
          <w:tcPr>
            <w:tcW w:w="1276" w:type="dxa"/>
            <w:vAlign w:val="center"/>
          </w:tcPr>
          <w:p w14:paraId="4AED1446" w14:textId="77777777" w:rsidR="00CC6D46" w:rsidRPr="005A7A37" w:rsidRDefault="00CC6D46" w:rsidP="0054673B">
            <w:pPr>
              <w:spacing w:after="0" w:line="240" w:lineRule="auto"/>
              <w:jc w:val="center"/>
              <w:rPr>
                <w:rFonts w:ascii="ITC Avant Garde" w:eastAsia="Times New Roman" w:hAnsi="ITC Avant Garde"/>
                <w:b/>
                <w:bCs/>
                <w:i/>
                <w:sz w:val="16"/>
                <w:szCs w:val="16"/>
                <w:lang w:eastAsia="es-ES"/>
              </w:rPr>
            </w:pPr>
            <w:r w:rsidRPr="005A7A37">
              <w:rPr>
                <w:rFonts w:ascii="ITC Avant Garde" w:eastAsia="Times New Roman" w:hAnsi="ITC Avant Garde"/>
                <w:b/>
                <w:bCs/>
                <w:i/>
                <w:sz w:val="16"/>
                <w:szCs w:val="16"/>
                <w:lang w:eastAsia="es-ES"/>
              </w:rPr>
              <w:t>% respecto al capital social o partes sociales o aportaciones</w:t>
            </w:r>
          </w:p>
        </w:tc>
        <w:tc>
          <w:tcPr>
            <w:tcW w:w="1275" w:type="dxa"/>
            <w:vAlign w:val="center"/>
          </w:tcPr>
          <w:p w14:paraId="042FA191" w14:textId="77777777" w:rsidR="00CC6D46" w:rsidRPr="005A7A37" w:rsidRDefault="00CC6D46" w:rsidP="0054673B">
            <w:pPr>
              <w:spacing w:after="0" w:line="240" w:lineRule="auto"/>
              <w:jc w:val="center"/>
              <w:rPr>
                <w:rFonts w:ascii="ITC Avant Garde" w:eastAsia="Times New Roman" w:hAnsi="ITC Avant Garde"/>
                <w:b/>
                <w:bCs/>
                <w:i/>
                <w:sz w:val="16"/>
                <w:szCs w:val="16"/>
                <w:lang w:eastAsia="es-ES"/>
              </w:rPr>
            </w:pPr>
            <w:r w:rsidRPr="005A7A37">
              <w:rPr>
                <w:rFonts w:ascii="ITC Avant Garde" w:eastAsia="Times New Roman" w:hAnsi="ITC Avant Garde"/>
                <w:b/>
                <w:bCs/>
                <w:i/>
                <w:sz w:val="16"/>
                <w:szCs w:val="16"/>
                <w:lang w:eastAsia="es-ES"/>
              </w:rPr>
              <w:t>Empresa Controladora (SI/NO)</w:t>
            </w:r>
          </w:p>
        </w:tc>
        <w:tc>
          <w:tcPr>
            <w:tcW w:w="1433" w:type="dxa"/>
            <w:vAlign w:val="center"/>
          </w:tcPr>
          <w:p w14:paraId="3255ECE0" w14:textId="77777777" w:rsidR="00CC6D46" w:rsidRPr="005A7A37" w:rsidRDefault="00CC6D46" w:rsidP="0054673B">
            <w:pPr>
              <w:spacing w:after="0" w:line="240" w:lineRule="auto"/>
              <w:jc w:val="center"/>
              <w:rPr>
                <w:rFonts w:ascii="ITC Avant Garde" w:eastAsia="Times New Roman" w:hAnsi="ITC Avant Garde"/>
                <w:b/>
                <w:bCs/>
                <w:i/>
                <w:sz w:val="16"/>
                <w:szCs w:val="16"/>
                <w:lang w:eastAsia="es-ES"/>
              </w:rPr>
            </w:pPr>
            <w:r w:rsidRPr="005A7A37">
              <w:rPr>
                <w:rFonts w:ascii="ITC Avant Garde" w:eastAsia="Times New Roman" w:hAnsi="ITC Avant Garde"/>
                <w:b/>
                <w:bCs/>
                <w:i/>
                <w:sz w:val="16"/>
                <w:szCs w:val="16"/>
                <w:lang w:eastAsia="es-ES"/>
              </w:rPr>
              <w:t>¿Con derecho a voto? (SI/NO)</w:t>
            </w:r>
          </w:p>
        </w:tc>
      </w:tr>
      <w:tr w:rsidR="00CC6D46" w:rsidRPr="005A7A37" w14:paraId="41D6AD99" w14:textId="77777777" w:rsidTr="0054673B">
        <w:trPr>
          <w:trHeight w:val="337"/>
          <w:jc w:val="center"/>
        </w:trPr>
        <w:tc>
          <w:tcPr>
            <w:tcW w:w="1980" w:type="dxa"/>
          </w:tcPr>
          <w:p w14:paraId="67527CFA" w14:textId="77777777" w:rsidR="00CC6D46" w:rsidRPr="005A7A37" w:rsidRDefault="00CC6D46" w:rsidP="00CF6CBD">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Ace Telecomunicaciones, S.A. de C.V.</w:t>
            </w:r>
          </w:p>
        </w:tc>
        <w:tc>
          <w:tcPr>
            <w:tcW w:w="992" w:type="dxa"/>
          </w:tcPr>
          <w:p w14:paraId="62918006" w14:textId="77777777" w:rsidR="00CC6D46" w:rsidRPr="005A7A37" w:rsidRDefault="00CC6D46" w:rsidP="00CF6CBD">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Capital Fijo, Serie “A”</w:t>
            </w:r>
          </w:p>
        </w:tc>
        <w:tc>
          <w:tcPr>
            <w:tcW w:w="1276" w:type="dxa"/>
            <w:vAlign w:val="center"/>
          </w:tcPr>
          <w:p w14:paraId="02E95407"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45</w:t>
            </w:r>
          </w:p>
        </w:tc>
        <w:tc>
          <w:tcPr>
            <w:tcW w:w="1276" w:type="dxa"/>
            <w:vAlign w:val="center"/>
          </w:tcPr>
          <w:p w14:paraId="4C494EF5"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1.29%</w:t>
            </w:r>
          </w:p>
        </w:tc>
        <w:tc>
          <w:tcPr>
            <w:tcW w:w="1275" w:type="dxa"/>
            <w:vAlign w:val="center"/>
          </w:tcPr>
          <w:p w14:paraId="3366F29C"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SI</w:t>
            </w:r>
          </w:p>
        </w:tc>
        <w:tc>
          <w:tcPr>
            <w:tcW w:w="1433" w:type="dxa"/>
            <w:vAlign w:val="center"/>
          </w:tcPr>
          <w:p w14:paraId="0F7620D8"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SI</w:t>
            </w:r>
          </w:p>
        </w:tc>
      </w:tr>
      <w:tr w:rsidR="00CC6D46" w:rsidRPr="005A7A37" w14:paraId="3AE946CB" w14:textId="77777777" w:rsidTr="0054673B">
        <w:trPr>
          <w:trHeight w:val="285"/>
          <w:jc w:val="center"/>
        </w:trPr>
        <w:tc>
          <w:tcPr>
            <w:tcW w:w="1980" w:type="dxa"/>
          </w:tcPr>
          <w:p w14:paraId="63CEAA16" w14:textId="77777777" w:rsidR="00CC6D46" w:rsidRPr="005A7A37" w:rsidRDefault="00CC6D46" w:rsidP="00CF6CBD">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Ace Telecomunicaciones, S.A. de C.V.</w:t>
            </w:r>
          </w:p>
        </w:tc>
        <w:tc>
          <w:tcPr>
            <w:tcW w:w="992" w:type="dxa"/>
          </w:tcPr>
          <w:p w14:paraId="0A5FF03A" w14:textId="77777777" w:rsidR="00CC6D46" w:rsidRPr="005A7A37" w:rsidRDefault="00CC6D46" w:rsidP="00CF6CBD">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Capital Variable, Serie “B”</w:t>
            </w:r>
          </w:p>
        </w:tc>
        <w:tc>
          <w:tcPr>
            <w:tcW w:w="1276" w:type="dxa"/>
            <w:vAlign w:val="center"/>
          </w:tcPr>
          <w:p w14:paraId="1D8F9992"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3,314</w:t>
            </w:r>
          </w:p>
        </w:tc>
        <w:tc>
          <w:tcPr>
            <w:tcW w:w="1276" w:type="dxa"/>
            <w:vAlign w:val="center"/>
          </w:tcPr>
          <w:p w14:paraId="290327DE"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95.37%</w:t>
            </w:r>
          </w:p>
        </w:tc>
        <w:tc>
          <w:tcPr>
            <w:tcW w:w="1275" w:type="dxa"/>
            <w:vAlign w:val="center"/>
          </w:tcPr>
          <w:p w14:paraId="791D4178"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SI</w:t>
            </w:r>
          </w:p>
        </w:tc>
        <w:tc>
          <w:tcPr>
            <w:tcW w:w="1433" w:type="dxa"/>
            <w:vAlign w:val="center"/>
          </w:tcPr>
          <w:p w14:paraId="72657FEB"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SI</w:t>
            </w:r>
          </w:p>
        </w:tc>
      </w:tr>
      <w:tr w:rsidR="00CC6D46" w:rsidRPr="005A7A37" w14:paraId="197264EC" w14:textId="77777777" w:rsidTr="0054673B">
        <w:trPr>
          <w:trHeight w:val="268"/>
          <w:jc w:val="center"/>
        </w:trPr>
        <w:tc>
          <w:tcPr>
            <w:tcW w:w="1980" w:type="dxa"/>
          </w:tcPr>
          <w:p w14:paraId="224DAD4B" w14:textId="77777777" w:rsidR="00CC6D46" w:rsidRPr="005A7A37" w:rsidRDefault="00CC6D46" w:rsidP="00CF6CBD">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Roberto Alfonso Rentería Fernández</w:t>
            </w:r>
          </w:p>
        </w:tc>
        <w:tc>
          <w:tcPr>
            <w:tcW w:w="992" w:type="dxa"/>
          </w:tcPr>
          <w:p w14:paraId="18FDDE08" w14:textId="77777777" w:rsidR="00CC6D46" w:rsidRPr="005A7A37" w:rsidRDefault="00CC6D46" w:rsidP="00CF6CBD">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Capital Fijo, Serie “A”</w:t>
            </w:r>
          </w:p>
        </w:tc>
        <w:tc>
          <w:tcPr>
            <w:tcW w:w="1276" w:type="dxa"/>
            <w:vAlign w:val="center"/>
          </w:tcPr>
          <w:p w14:paraId="5E3B8CD4"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5</w:t>
            </w:r>
          </w:p>
        </w:tc>
        <w:tc>
          <w:tcPr>
            <w:tcW w:w="1276" w:type="dxa"/>
            <w:vAlign w:val="center"/>
          </w:tcPr>
          <w:p w14:paraId="2D969C80"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0.14%</w:t>
            </w:r>
          </w:p>
        </w:tc>
        <w:tc>
          <w:tcPr>
            <w:tcW w:w="1275" w:type="dxa"/>
            <w:vAlign w:val="center"/>
          </w:tcPr>
          <w:p w14:paraId="05FE9B2B"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NO</w:t>
            </w:r>
          </w:p>
        </w:tc>
        <w:tc>
          <w:tcPr>
            <w:tcW w:w="1433" w:type="dxa"/>
            <w:vAlign w:val="center"/>
          </w:tcPr>
          <w:p w14:paraId="13936ABC"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p>
        </w:tc>
      </w:tr>
      <w:tr w:rsidR="00CC6D46" w:rsidRPr="005A7A37" w14:paraId="2610AB6C" w14:textId="77777777" w:rsidTr="0054673B">
        <w:trPr>
          <w:trHeight w:val="268"/>
          <w:jc w:val="center"/>
        </w:trPr>
        <w:tc>
          <w:tcPr>
            <w:tcW w:w="1980" w:type="dxa"/>
          </w:tcPr>
          <w:p w14:paraId="5496752B" w14:textId="77777777" w:rsidR="00CC6D46" w:rsidRPr="005A7A37" w:rsidRDefault="00CC6D46" w:rsidP="00CF6CBD">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Roberto Alfonso Rentería Fernández</w:t>
            </w:r>
          </w:p>
        </w:tc>
        <w:tc>
          <w:tcPr>
            <w:tcW w:w="992" w:type="dxa"/>
          </w:tcPr>
          <w:p w14:paraId="2B19DEBF" w14:textId="77777777" w:rsidR="00CC6D46" w:rsidRPr="005A7A37" w:rsidRDefault="00CC6D46" w:rsidP="00CF6CBD">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Capital Variable, Serie “B”</w:t>
            </w:r>
          </w:p>
        </w:tc>
        <w:tc>
          <w:tcPr>
            <w:tcW w:w="1276" w:type="dxa"/>
            <w:vAlign w:val="center"/>
          </w:tcPr>
          <w:p w14:paraId="1A82FCFC"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111</w:t>
            </w:r>
          </w:p>
        </w:tc>
        <w:tc>
          <w:tcPr>
            <w:tcW w:w="1276" w:type="dxa"/>
            <w:vAlign w:val="center"/>
          </w:tcPr>
          <w:p w14:paraId="2E3020D8"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3.19%</w:t>
            </w:r>
          </w:p>
        </w:tc>
        <w:tc>
          <w:tcPr>
            <w:tcW w:w="1275" w:type="dxa"/>
            <w:vAlign w:val="center"/>
          </w:tcPr>
          <w:p w14:paraId="0768DB62"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NO</w:t>
            </w:r>
          </w:p>
        </w:tc>
        <w:tc>
          <w:tcPr>
            <w:tcW w:w="1433" w:type="dxa"/>
            <w:vAlign w:val="center"/>
          </w:tcPr>
          <w:p w14:paraId="5CB4FB11" w14:textId="77777777" w:rsidR="00CC6D46" w:rsidRPr="005A7A37" w:rsidRDefault="00CC6D46" w:rsidP="0054673B">
            <w:pPr>
              <w:spacing w:after="0" w:line="240" w:lineRule="auto"/>
              <w:jc w:val="center"/>
              <w:rPr>
                <w:rFonts w:ascii="ITC Avant Garde" w:eastAsia="Times New Roman" w:hAnsi="ITC Avant Garde"/>
                <w:bCs/>
                <w:i/>
                <w:sz w:val="16"/>
                <w:szCs w:val="16"/>
                <w:lang w:eastAsia="es-ES"/>
              </w:rPr>
            </w:pPr>
            <w:r w:rsidRPr="005A7A37">
              <w:rPr>
                <w:rFonts w:ascii="ITC Avant Garde" w:eastAsia="Times New Roman" w:hAnsi="ITC Avant Garde"/>
                <w:bCs/>
                <w:i/>
                <w:sz w:val="16"/>
                <w:szCs w:val="16"/>
                <w:lang w:eastAsia="es-ES"/>
              </w:rPr>
              <w:t>SI</w:t>
            </w:r>
          </w:p>
        </w:tc>
      </w:tr>
    </w:tbl>
    <w:p w14:paraId="14FB3715" w14:textId="77777777" w:rsidR="00CF6CBD" w:rsidRDefault="00CC6D46" w:rsidP="00CF6CBD">
      <w:pPr>
        <w:pStyle w:val="Default"/>
        <w:spacing w:afterLines="120" w:after="288"/>
        <w:ind w:left="1134"/>
        <w:jc w:val="both"/>
        <w:rPr>
          <w:rFonts w:ascii="ITC Avant Garde" w:eastAsia="Times New Roman" w:hAnsi="ITC Avant Garde" w:cs="Times New Roman"/>
          <w:i/>
          <w:color w:val="auto"/>
          <w:sz w:val="16"/>
          <w:szCs w:val="16"/>
        </w:rPr>
      </w:pPr>
      <w:r w:rsidRPr="005A7A37">
        <w:rPr>
          <w:rFonts w:ascii="ITC Avant Garde" w:eastAsia="Times New Roman" w:hAnsi="ITC Avant Garde" w:cs="Times New Roman"/>
          <w:i/>
          <w:color w:val="auto"/>
          <w:sz w:val="16"/>
          <w:szCs w:val="16"/>
        </w:rPr>
        <w:t>[…]”</w:t>
      </w:r>
    </w:p>
    <w:p w14:paraId="202E1E4C" w14:textId="5463D550" w:rsidR="00CC6D46" w:rsidRPr="00E67B43" w:rsidRDefault="00CC6D46" w:rsidP="00CF6CBD">
      <w:pPr>
        <w:autoSpaceDE w:val="0"/>
        <w:autoSpaceDN w:val="0"/>
        <w:adjustRightInd w:val="0"/>
        <w:spacing w:afterLines="120" w:after="288" w:line="240" w:lineRule="auto"/>
        <w:jc w:val="both"/>
        <w:rPr>
          <w:rFonts w:ascii="ITC Avant Garde" w:hAnsi="ITC Avant Garde"/>
          <w:bCs/>
        </w:rPr>
      </w:pPr>
      <w:r w:rsidRPr="007A7D3A">
        <w:rPr>
          <w:rFonts w:ascii="ITC Avant Garde" w:eastAsia="Times New Roman" w:hAnsi="ITC Avant Garde"/>
        </w:rPr>
        <w:t xml:space="preserve">De lo anterior se desprende que la composición accionaria </w:t>
      </w:r>
      <w:r w:rsidR="00D214BA">
        <w:rPr>
          <w:rFonts w:ascii="ITC Avant Garde" w:eastAsia="Times New Roman" w:hAnsi="ITC Avant Garde"/>
        </w:rPr>
        <w:t xml:space="preserve">de Integración de Servicios y Tecnología, S.A. de C.V. </w:t>
      </w:r>
      <w:r w:rsidRPr="007A7D3A">
        <w:rPr>
          <w:rFonts w:ascii="ITC Avant Garde" w:eastAsia="Times New Roman" w:hAnsi="ITC Avant Garde"/>
        </w:rPr>
        <w:t xml:space="preserve">señalada en el Acta de Asamblea de fecha 7 de junio de 2017, no </w:t>
      </w:r>
      <w:r w:rsidRPr="00D214BA">
        <w:rPr>
          <w:rFonts w:ascii="ITC Avant Garde" w:eastAsia="Times New Roman" w:hAnsi="ITC Avant Garde"/>
        </w:rPr>
        <w:t>corresponde en su totalidad</w:t>
      </w:r>
      <w:r w:rsidRPr="007A7D3A">
        <w:rPr>
          <w:rFonts w:ascii="ITC Avant Garde" w:eastAsia="Times New Roman" w:hAnsi="ITC Avant Garde"/>
        </w:rPr>
        <w:t>, a la composición accionaria presenta</w:t>
      </w:r>
      <w:r>
        <w:rPr>
          <w:rFonts w:ascii="ITC Avant Garde" w:eastAsia="Times New Roman" w:hAnsi="ITC Avant Garde"/>
        </w:rPr>
        <w:t>da a</w:t>
      </w:r>
      <w:r w:rsidRPr="007A7D3A">
        <w:rPr>
          <w:rFonts w:ascii="ITC Avant Garde" w:eastAsia="Times New Roman" w:hAnsi="ITC Avant Garde"/>
        </w:rPr>
        <w:t>nte el Instituto el 26 de abril de 2017.</w:t>
      </w:r>
    </w:p>
    <w:p w14:paraId="42AB6F73" w14:textId="77777777" w:rsidR="00CF6CBD" w:rsidRDefault="00A02F80" w:rsidP="00CF6CBD">
      <w:pPr>
        <w:pStyle w:val="Default"/>
        <w:spacing w:afterLines="120" w:after="288"/>
        <w:jc w:val="both"/>
        <w:rPr>
          <w:rFonts w:ascii="ITC Avant Garde" w:eastAsia="Times New Roman" w:hAnsi="ITC Avant Garde" w:cs="Times New Roman"/>
          <w:color w:val="auto"/>
          <w:sz w:val="22"/>
          <w:szCs w:val="22"/>
        </w:rPr>
      </w:pPr>
      <w:r>
        <w:rPr>
          <w:rFonts w:ascii="ITC Avant Garde" w:eastAsia="Times New Roman" w:hAnsi="ITC Avant Garde" w:cs="Times New Roman"/>
          <w:color w:val="auto"/>
          <w:sz w:val="22"/>
          <w:szCs w:val="22"/>
        </w:rPr>
        <w:t>Asimismo</w:t>
      </w:r>
      <w:r w:rsidRPr="00A02F80">
        <w:rPr>
          <w:rFonts w:ascii="ITC Avant Garde" w:eastAsia="Times New Roman" w:hAnsi="ITC Avant Garde" w:cs="Times New Roman"/>
          <w:color w:val="auto"/>
          <w:sz w:val="22"/>
          <w:szCs w:val="22"/>
        </w:rPr>
        <w:t>, en la Solicitud</w:t>
      </w:r>
      <w:r>
        <w:rPr>
          <w:rFonts w:ascii="ITC Avant Garde" w:eastAsia="Times New Roman" w:hAnsi="ITC Avant Garde" w:cs="Times New Roman"/>
          <w:color w:val="auto"/>
          <w:sz w:val="22"/>
          <w:szCs w:val="22"/>
        </w:rPr>
        <w:t xml:space="preserve"> de Suscripción de Acciones el solicitante</w:t>
      </w:r>
      <w:r w:rsidRPr="00A02F80">
        <w:rPr>
          <w:rFonts w:ascii="ITC Avant Garde" w:eastAsia="Times New Roman" w:hAnsi="ITC Avant Garde" w:cs="Times New Roman"/>
          <w:color w:val="auto"/>
          <w:sz w:val="22"/>
          <w:szCs w:val="22"/>
        </w:rPr>
        <w:t xml:space="preserve"> describ</w:t>
      </w:r>
      <w:r>
        <w:rPr>
          <w:rFonts w:ascii="ITC Avant Garde" w:eastAsia="Times New Roman" w:hAnsi="ITC Avant Garde" w:cs="Times New Roman"/>
          <w:color w:val="auto"/>
          <w:sz w:val="22"/>
          <w:szCs w:val="22"/>
        </w:rPr>
        <w:t>ió</w:t>
      </w:r>
      <w:r w:rsidRPr="00A02F80">
        <w:rPr>
          <w:rFonts w:ascii="ITC Avant Garde" w:eastAsia="Times New Roman" w:hAnsi="ITC Avant Garde" w:cs="Times New Roman"/>
          <w:color w:val="auto"/>
          <w:sz w:val="22"/>
          <w:szCs w:val="22"/>
        </w:rPr>
        <w:t xml:space="preserve"> la composición accionaria actual de Prosperist, S.A.P.I. de C.V., de conformidad con lo siguiente cuadro:</w:t>
      </w:r>
    </w:p>
    <w:p w14:paraId="68979ABD" w14:textId="047CCC04" w:rsidR="00A02F80" w:rsidRDefault="00A02F80" w:rsidP="00CF6CBD">
      <w:pPr>
        <w:pStyle w:val="Default"/>
        <w:spacing w:afterLines="120" w:after="288"/>
        <w:ind w:left="1134"/>
        <w:jc w:val="both"/>
        <w:rPr>
          <w:rFonts w:ascii="ITC Avant Garde" w:eastAsia="Times New Roman" w:hAnsi="ITC Avant Garde"/>
          <w:bCs/>
          <w:i/>
          <w:sz w:val="18"/>
          <w:szCs w:val="18"/>
          <w:lang w:eastAsia="es-ES"/>
        </w:rPr>
      </w:pPr>
      <w:r w:rsidRPr="00795AE0">
        <w:rPr>
          <w:rFonts w:ascii="ITC Avant Garde" w:eastAsia="Times New Roman" w:hAnsi="ITC Avant Garde"/>
          <w:bCs/>
          <w:i/>
          <w:sz w:val="18"/>
          <w:szCs w:val="18"/>
          <w:lang w:eastAsia="es-ES"/>
        </w:rPr>
        <w:t>“[…]</w:t>
      </w:r>
    </w:p>
    <w:p w14:paraId="4F5A7D2A" w14:textId="5B77A4FF" w:rsidR="0054673B" w:rsidRPr="00795AE0" w:rsidRDefault="00994516" w:rsidP="0054673B">
      <w:pPr>
        <w:pStyle w:val="Default"/>
        <w:spacing w:afterLines="120" w:after="288"/>
        <w:ind w:left="1418"/>
        <w:jc w:val="both"/>
        <w:rPr>
          <w:rFonts w:ascii="ITC Avant Garde" w:eastAsia="Times New Roman" w:hAnsi="ITC Avant Garde"/>
          <w:bCs/>
          <w:i/>
          <w:sz w:val="18"/>
          <w:szCs w:val="18"/>
          <w:lang w:eastAsia="es-ES"/>
        </w:rPr>
      </w:pPr>
      <w:r>
        <w:rPr>
          <w:noProof/>
        </w:rPr>
        <w:drawing>
          <wp:inline distT="0" distB="0" distL="0" distR="0" wp14:anchorId="12F467F0" wp14:editId="18C7F5DE">
            <wp:extent cx="3977770" cy="933450"/>
            <wp:effectExtent l="0" t="0" r="3810" b="0"/>
            <wp:docPr id="1" name="Imagen 1" descr="Imagen de tabla de 3 columnas que proporciona información &quot;CONFIDENCIAL POR LEY&quot;, relativa a la composisción accionaria actual de Prosperist, S.A.P.I de C.V." title="Composición accionari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337" t="51633" r="15154" b="38978"/>
                    <a:stretch/>
                  </pic:blipFill>
                  <pic:spPr bwMode="auto">
                    <a:xfrm>
                      <a:off x="0" y="0"/>
                      <a:ext cx="4023558" cy="944195"/>
                    </a:xfrm>
                    <a:prstGeom prst="rect">
                      <a:avLst/>
                    </a:prstGeom>
                    <a:ln>
                      <a:noFill/>
                    </a:ln>
                    <a:extLst>
                      <a:ext uri="{53640926-AAD7-44D8-BBD7-CCE9431645EC}">
                        <a14:shadowObscured xmlns:a14="http://schemas.microsoft.com/office/drawing/2010/main"/>
                      </a:ext>
                    </a:extLst>
                  </pic:spPr>
                </pic:pic>
              </a:graphicData>
            </a:graphic>
          </wp:inline>
        </w:drawing>
      </w:r>
    </w:p>
    <w:p w14:paraId="2461A23B" w14:textId="77777777" w:rsidR="00CF6CBD" w:rsidRDefault="00A02F80" w:rsidP="0054673B">
      <w:pPr>
        <w:pStyle w:val="Default"/>
        <w:spacing w:before="120" w:afterLines="120" w:after="288"/>
        <w:ind w:left="1276"/>
        <w:jc w:val="both"/>
        <w:rPr>
          <w:rFonts w:ascii="ITC Avant Garde" w:eastAsia="Times New Roman" w:hAnsi="ITC Avant Garde" w:cs="Times New Roman"/>
          <w:color w:val="auto"/>
          <w:sz w:val="18"/>
          <w:szCs w:val="18"/>
        </w:rPr>
      </w:pPr>
      <w:r w:rsidRPr="00795AE0">
        <w:rPr>
          <w:rFonts w:ascii="ITC Avant Garde" w:eastAsia="Times New Roman" w:hAnsi="ITC Avant Garde"/>
          <w:bCs/>
          <w:i/>
          <w:sz w:val="18"/>
          <w:szCs w:val="18"/>
          <w:lang w:eastAsia="es-ES"/>
        </w:rPr>
        <w:t>[…]”</w:t>
      </w:r>
    </w:p>
    <w:p w14:paraId="2AE5EC1B" w14:textId="77777777" w:rsidR="00CF6CBD" w:rsidRDefault="00A02F80" w:rsidP="00CF6CBD">
      <w:pPr>
        <w:pStyle w:val="Default"/>
        <w:spacing w:afterLines="120" w:after="288"/>
        <w:jc w:val="both"/>
        <w:rPr>
          <w:rFonts w:ascii="ITC Avant Garde" w:eastAsia="Times New Roman" w:hAnsi="ITC Avant Garde" w:cs="Times New Roman"/>
          <w:sz w:val="22"/>
          <w:szCs w:val="22"/>
        </w:rPr>
      </w:pPr>
      <w:r w:rsidRPr="00A02F80">
        <w:rPr>
          <w:rFonts w:ascii="ITC Avant Garde" w:eastAsia="Times New Roman" w:hAnsi="ITC Avant Garde" w:cs="Times New Roman"/>
          <w:color w:val="auto"/>
          <w:sz w:val="22"/>
          <w:szCs w:val="22"/>
        </w:rPr>
        <w:t xml:space="preserve">Sin embargo, en el </w:t>
      </w:r>
      <w:r w:rsidRPr="00A02F80">
        <w:rPr>
          <w:rFonts w:ascii="ITC Avant Garde" w:eastAsia="Times New Roman" w:hAnsi="ITC Avant Garde" w:cs="Times New Roman"/>
          <w:i/>
          <w:color w:val="auto"/>
          <w:sz w:val="22"/>
          <w:szCs w:val="22"/>
        </w:rPr>
        <w:t>“ANEXO C”</w:t>
      </w:r>
      <w:r w:rsidRPr="00A02F80">
        <w:rPr>
          <w:rFonts w:ascii="ITC Avant Garde" w:eastAsia="Times New Roman" w:hAnsi="ITC Avant Garde" w:cs="Times New Roman"/>
          <w:color w:val="auto"/>
          <w:sz w:val="22"/>
          <w:szCs w:val="22"/>
        </w:rPr>
        <w:t xml:space="preserve"> de la Solicitud de Suscripción de Acciones </w:t>
      </w:r>
      <w:r>
        <w:rPr>
          <w:rFonts w:ascii="ITC Avant Garde" w:eastAsia="Times New Roman" w:hAnsi="ITC Avant Garde" w:cs="Times New Roman"/>
          <w:color w:val="auto"/>
          <w:sz w:val="22"/>
          <w:szCs w:val="22"/>
        </w:rPr>
        <w:t xml:space="preserve">el solicitante </w:t>
      </w:r>
      <w:r w:rsidRPr="00A02F80">
        <w:rPr>
          <w:rFonts w:ascii="ITC Avant Garde" w:eastAsia="Times New Roman" w:hAnsi="ITC Avant Garde" w:cs="Times New Roman"/>
          <w:color w:val="auto"/>
          <w:sz w:val="22"/>
          <w:szCs w:val="22"/>
        </w:rPr>
        <w:t xml:space="preserve">adjuntó copia certificada del instrumento notarial número 54, 882 (cincuenta y cuatro mil ochocientos ochenta y dos) de fecha 27 de octubre de 2015, pasada ante la fe del Notario Público nueve de Tijuana, Baja California, relativa a la constitución de la </w:t>
      </w:r>
      <w:r w:rsidRPr="00A02F80">
        <w:rPr>
          <w:rFonts w:ascii="ITC Avant Garde" w:eastAsia="Times New Roman" w:hAnsi="ITC Avant Garde" w:cs="Times New Roman"/>
          <w:color w:val="auto"/>
          <w:sz w:val="22"/>
          <w:szCs w:val="22"/>
        </w:rPr>
        <w:lastRenderedPageBreak/>
        <w:t xml:space="preserve">empresa </w:t>
      </w:r>
      <w:r w:rsidRPr="00A02F80">
        <w:rPr>
          <w:rFonts w:ascii="ITC Avant Garde" w:eastAsia="Times New Roman" w:hAnsi="ITC Avant Garde" w:cs="Times New Roman"/>
          <w:sz w:val="22"/>
          <w:szCs w:val="22"/>
        </w:rPr>
        <w:t xml:space="preserve">Prosperist, S.A.P.I. de C.V., en la cual se hace constar la composición del capital social de dicha empresa, de conformidad con la siguiente transcripción: </w:t>
      </w:r>
    </w:p>
    <w:p w14:paraId="7384F4EC" w14:textId="77777777" w:rsidR="00CF6CBD" w:rsidRDefault="00A02F80" w:rsidP="00CF6CBD">
      <w:pPr>
        <w:pStyle w:val="Default"/>
        <w:spacing w:afterLines="100" w:after="240"/>
        <w:ind w:left="1134" w:right="708"/>
        <w:jc w:val="both"/>
        <w:rPr>
          <w:rFonts w:ascii="ITC Avant Garde" w:eastAsia="Times New Roman" w:hAnsi="ITC Avant Garde"/>
          <w:bCs/>
          <w:i/>
          <w:sz w:val="18"/>
          <w:szCs w:val="18"/>
          <w:lang w:eastAsia="es-ES"/>
        </w:rPr>
      </w:pPr>
      <w:r w:rsidRPr="00A05E79">
        <w:rPr>
          <w:rFonts w:ascii="ITC Avant Garde" w:eastAsia="Times New Roman" w:hAnsi="ITC Avant Garde"/>
          <w:bCs/>
          <w:i/>
          <w:sz w:val="18"/>
          <w:szCs w:val="18"/>
          <w:lang w:eastAsia="es-ES"/>
        </w:rPr>
        <w:t>“[…]</w:t>
      </w:r>
    </w:p>
    <w:p w14:paraId="10B0AA98" w14:textId="77777777" w:rsidR="00CF6CBD" w:rsidRDefault="00A02F80" w:rsidP="00CF6CBD">
      <w:pPr>
        <w:pStyle w:val="Default"/>
        <w:spacing w:afterLines="100" w:after="240"/>
        <w:ind w:left="1134" w:right="708"/>
        <w:jc w:val="both"/>
        <w:rPr>
          <w:rFonts w:ascii="ITC Avant Garde" w:eastAsia="Times New Roman" w:hAnsi="ITC Avant Garde"/>
          <w:bCs/>
          <w:i/>
          <w:sz w:val="18"/>
          <w:szCs w:val="18"/>
          <w:lang w:eastAsia="es-ES"/>
        </w:rPr>
      </w:pPr>
      <w:r w:rsidRPr="00A05E79">
        <w:rPr>
          <w:rFonts w:ascii="ITC Avant Garde" w:eastAsia="Times New Roman" w:hAnsi="ITC Avant Garde"/>
          <w:bCs/>
          <w:i/>
          <w:sz w:val="18"/>
          <w:szCs w:val="18"/>
          <w:lang w:eastAsia="es-ES"/>
        </w:rPr>
        <w:t xml:space="preserve">SEGUNDA.- El capital social mínimo sin derecho a retiro e inicial, es la cantidad de </w:t>
      </w:r>
      <w:r>
        <w:rPr>
          <w:rFonts w:ascii="ITC Avant Garde" w:eastAsia="Times New Roman" w:hAnsi="ITC Avant Garde"/>
          <w:b/>
          <w:bCs/>
          <w:i/>
          <w:sz w:val="18"/>
          <w:szCs w:val="18"/>
          <w:lang w:eastAsia="es-ES"/>
        </w:rPr>
        <w:t>…</w:t>
      </w:r>
      <w:r w:rsidRPr="00A05E79">
        <w:rPr>
          <w:rFonts w:ascii="ITC Avant Garde" w:eastAsia="Times New Roman" w:hAnsi="ITC Avant Garde"/>
          <w:b/>
          <w:bCs/>
          <w:i/>
          <w:sz w:val="18"/>
          <w:szCs w:val="18"/>
          <w:lang w:eastAsia="es-ES"/>
        </w:rPr>
        <w:t xml:space="preserve"> </w:t>
      </w:r>
      <w:r w:rsidRPr="00A05E79">
        <w:rPr>
          <w:rFonts w:ascii="ITC Avant Garde" w:eastAsia="Times New Roman" w:hAnsi="ITC Avant Garde"/>
          <w:bCs/>
          <w:i/>
          <w:sz w:val="18"/>
          <w:szCs w:val="18"/>
          <w:lang w:eastAsia="es-ES"/>
        </w:rPr>
        <w:t xml:space="preserve">y el máximo es ilimitado, representado </w:t>
      </w:r>
      <w:r w:rsidRPr="00A05E79">
        <w:rPr>
          <w:rFonts w:ascii="ITC Avant Garde" w:eastAsia="Times New Roman" w:hAnsi="ITC Avant Garde"/>
          <w:b/>
          <w:bCs/>
          <w:i/>
          <w:sz w:val="18"/>
          <w:szCs w:val="18"/>
          <w:lang w:eastAsia="es-ES"/>
        </w:rPr>
        <w:t xml:space="preserve">cien acciones con valor nominal de </w:t>
      </w:r>
      <w:r>
        <w:rPr>
          <w:rFonts w:ascii="ITC Avant Garde" w:eastAsia="Times New Roman" w:hAnsi="ITC Avant Garde"/>
          <w:b/>
          <w:bCs/>
          <w:i/>
          <w:sz w:val="18"/>
          <w:szCs w:val="18"/>
          <w:lang w:eastAsia="es-ES"/>
        </w:rPr>
        <w:t>…</w:t>
      </w:r>
      <w:r w:rsidRPr="00A05E79">
        <w:rPr>
          <w:rFonts w:ascii="ITC Avant Garde" w:eastAsia="Times New Roman" w:hAnsi="ITC Avant Garde"/>
          <w:b/>
          <w:bCs/>
          <w:i/>
          <w:sz w:val="18"/>
          <w:szCs w:val="18"/>
          <w:lang w:eastAsia="es-ES"/>
        </w:rPr>
        <w:t xml:space="preserve"> cada una,</w:t>
      </w:r>
      <w:r w:rsidRPr="00A05E79">
        <w:rPr>
          <w:rFonts w:ascii="ITC Avant Garde" w:eastAsia="Times New Roman" w:hAnsi="ITC Avant Garde"/>
          <w:bCs/>
          <w:i/>
          <w:sz w:val="18"/>
          <w:szCs w:val="18"/>
          <w:lang w:eastAsia="es-ES"/>
        </w:rPr>
        <w:t xml:space="preserve"> íntegramente suscrito y pagado en efectivo en la siguiente forma: </w:t>
      </w:r>
      <w:r w:rsidRPr="00A05E79">
        <w:rPr>
          <w:rFonts w:ascii="ITC Avant Garde" w:eastAsia="Times New Roman" w:hAnsi="ITC Avant Garde"/>
          <w:b/>
          <w:bCs/>
          <w:i/>
          <w:sz w:val="18"/>
          <w:szCs w:val="18"/>
          <w:lang w:eastAsia="es-ES"/>
        </w:rPr>
        <w:t xml:space="preserve">“IP SAT”, Sociedad Anónima de Capital Variable, cincuenta y cuatro acciones, </w:t>
      </w:r>
      <w:r w:rsidRPr="00A05E79">
        <w:rPr>
          <w:rFonts w:ascii="ITC Avant Garde" w:eastAsia="Times New Roman" w:hAnsi="ITC Avant Garde"/>
          <w:bCs/>
          <w:i/>
          <w:sz w:val="18"/>
          <w:szCs w:val="18"/>
          <w:lang w:eastAsia="es-ES"/>
        </w:rPr>
        <w:t xml:space="preserve">con valor de </w:t>
      </w:r>
      <w:r>
        <w:rPr>
          <w:rFonts w:ascii="ITC Avant Garde" w:eastAsia="Times New Roman" w:hAnsi="ITC Avant Garde"/>
          <w:b/>
          <w:bCs/>
          <w:i/>
          <w:sz w:val="18"/>
          <w:szCs w:val="18"/>
          <w:lang w:eastAsia="es-ES"/>
        </w:rPr>
        <w:t>…</w:t>
      </w:r>
      <w:r w:rsidRPr="00A05E79">
        <w:rPr>
          <w:rFonts w:ascii="ITC Avant Garde" w:eastAsia="Times New Roman" w:hAnsi="ITC Avant Garde"/>
          <w:b/>
          <w:bCs/>
          <w:i/>
          <w:sz w:val="18"/>
          <w:szCs w:val="18"/>
          <w:lang w:eastAsia="es-ES"/>
        </w:rPr>
        <w:t xml:space="preserve"> </w:t>
      </w:r>
      <w:r w:rsidRPr="00A05E79">
        <w:rPr>
          <w:rFonts w:ascii="ITC Avant Garde" w:eastAsia="Times New Roman" w:hAnsi="ITC Avant Garde"/>
          <w:bCs/>
          <w:i/>
          <w:sz w:val="18"/>
          <w:szCs w:val="18"/>
          <w:lang w:eastAsia="es-ES"/>
        </w:rPr>
        <w:t xml:space="preserve">y </w:t>
      </w:r>
      <w:r w:rsidRPr="00A05E79">
        <w:rPr>
          <w:rFonts w:ascii="ITC Avant Garde" w:eastAsia="Times New Roman" w:hAnsi="ITC Avant Garde"/>
          <w:b/>
          <w:bCs/>
          <w:i/>
          <w:sz w:val="18"/>
          <w:szCs w:val="18"/>
          <w:lang w:eastAsia="es-ES"/>
        </w:rPr>
        <w:t xml:space="preserve">“PROMOTORA DURAVIHO”, Sociedad Anónima Promotora de Inversión de Capital Variable, cuarenta y seis acciones, </w:t>
      </w:r>
      <w:r w:rsidRPr="00A05E79">
        <w:rPr>
          <w:rFonts w:ascii="ITC Avant Garde" w:eastAsia="Times New Roman" w:hAnsi="ITC Avant Garde"/>
          <w:bCs/>
          <w:i/>
          <w:sz w:val="18"/>
          <w:szCs w:val="18"/>
          <w:lang w:eastAsia="es-ES"/>
        </w:rPr>
        <w:t xml:space="preserve">con valor de </w:t>
      </w:r>
      <w:r>
        <w:rPr>
          <w:rFonts w:ascii="ITC Avant Garde" w:eastAsia="Times New Roman" w:hAnsi="ITC Avant Garde"/>
          <w:b/>
          <w:bCs/>
          <w:i/>
          <w:sz w:val="18"/>
          <w:szCs w:val="18"/>
          <w:lang w:eastAsia="es-ES"/>
        </w:rPr>
        <w:t>…</w:t>
      </w:r>
      <w:r w:rsidRPr="00A05E79">
        <w:rPr>
          <w:rFonts w:ascii="ITC Avant Garde" w:eastAsia="Times New Roman" w:hAnsi="ITC Avant Garde"/>
          <w:b/>
          <w:bCs/>
          <w:i/>
          <w:sz w:val="18"/>
          <w:szCs w:val="18"/>
          <w:lang w:eastAsia="es-ES"/>
        </w:rPr>
        <w:t xml:space="preserve">.- </w:t>
      </w:r>
      <w:r w:rsidRPr="00A05E79">
        <w:rPr>
          <w:rFonts w:ascii="ITC Avant Garde" w:eastAsia="Times New Roman" w:hAnsi="ITC Avant Garde"/>
          <w:bCs/>
          <w:i/>
          <w:sz w:val="18"/>
          <w:szCs w:val="18"/>
          <w:lang w:eastAsia="es-ES"/>
        </w:rPr>
        <w:t xml:space="preserve">Total de accionistas, </w:t>
      </w:r>
      <w:r w:rsidRPr="00A05E79">
        <w:rPr>
          <w:rFonts w:ascii="ITC Avant Garde" w:eastAsia="Times New Roman" w:hAnsi="ITC Avant Garde"/>
          <w:b/>
          <w:bCs/>
          <w:i/>
          <w:sz w:val="18"/>
          <w:szCs w:val="18"/>
          <w:lang w:eastAsia="es-ES"/>
        </w:rPr>
        <w:t xml:space="preserve">dos, </w:t>
      </w:r>
      <w:r w:rsidRPr="00A05E79">
        <w:rPr>
          <w:rFonts w:ascii="ITC Avant Garde" w:eastAsia="Times New Roman" w:hAnsi="ITC Avant Garde"/>
          <w:bCs/>
          <w:i/>
          <w:sz w:val="18"/>
          <w:szCs w:val="18"/>
          <w:lang w:eastAsia="es-ES"/>
        </w:rPr>
        <w:t xml:space="preserve">representado </w:t>
      </w:r>
      <w:r w:rsidRPr="00A05E79">
        <w:rPr>
          <w:rFonts w:ascii="ITC Avant Garde" w:eastAsia="Times New Roman" w:hAnsi="ITC Avant Garde"/>
          <w:b/>
          <w:bCs/>
          <w:i/>
          <w:sz w:val="18"/>
          <w:szCs w:val="18"/>
          <w:lang w:eastAsia="es-ES"/>
        </w:rPr>
        <w:t xml:space="preserve">cincuenta mil acciones, </w:t>
      </w:r>
      <w:r w:rsidRPr="00A05E79">
        <w:rPr>
          <w:rFonts w:ascii="ITC Avant Garde" w:eastAsia="Times New Roman" w:hAnsi="ITC Avant Garde"/>
          <w:bCs/>
          <w:i/>
          <w:sz w:val="18"/>
          <w:szCs w:val="18"/>
          <w:lang w:eastAsia="es-ES"/>
        </w:rPr>
        <w:t xml:space="preserve">con valor de </w:t>
      </w:r>
      <w:r>
        <w:rPr>
          <w:rFonts w:ascii="ITC Avant Garde" w:eastAsia="Times New Roman" w:hAnsi="ITC Avant Garde"/>
          <w:b/>
          <w:bCs/>
          <w:i/>
          <w:sz w:val="18"/>
          <w:szCs w:val="18"/>
          <w:lang w:eastAsia="es-ES"/>
        </w:rPr>
        <w:t>..</w:t>
      </w:r>
      <w:r w:rsidRPr="00A05E79">
        <w:rPr>
          <w:rFonts w:ascii="ITC Avant Garde" w:eastAsia="Times New Roman" w:hAnsi="ITC Avant Garde"/>
          <w:b/>
          <w:bCs/>
          <w:i/>
          <w:sz w:val="18"/>
          <w:szCs w:val="18"/>
          <w:lang w:eastAsia="es-ES"/>
        </w:rPr>
        <w:t>.</w:t>
      </w:r>
      <w:r w:rsidRPr="00A05E79">
        <w:rPr>
          <w:rFonts w:ascii="ITC Avant Garde" w:eastAsia="Times New Roman" w:hAnsi="ITC Avant Garde"/>
          <w:bCs/>
          <w:i/>
          <w:sz w:val="18"/>
          <w:szCs w:val="18"/>
          <w:lang w:eastAsia="es-ES"/>
        </w:rPr>
        <w:t xml:space="preserve"> </w:t>
      </w:r>
    </w:p>
    <w:p w14:paraId="1994E7E2" w14:textId="77777777" w:rsidR="00CF6CBD" w:rsidRDefault="00A02F80" w:rsidP="00CF6CBD">
      <w:pPr>
        <w:pStyle w:val="Default"/>
        <w:spacing w:afterLines="100" w:after="240"/>
        <w:ind w:left="1134" w:right="708"/>
        <w:jc w:val="both"/>
        <w:rPr>
          <w:rFonts w:ascii="ITC Avant Garde" w:eastAsia="Times New Roman" w:hAnsi="ITC Avant Garde"/>
          <w:bCs/>
          <w:i/>
          <w:sz w:val="18"/>
          <w:szCs w:val="18"/>
          <w:lang w:eastAsia="es-ES"/>
        </w:rPr>
      </w:pPr>
      <w:r w:rsidRPr="00A05E79">
        <w:rPr>
          <w:rFonts w:ascii="ITC Avant Garde" w:eastAsia="Times New Roman" w:hAnsi="ITC Avant Garde"/>
          <w:bCs/>
          <w:i/>
          <w:sz w:val="18"/>
          <w:szCs w:val="18"/>
          <w:lang w:eastAsia="es-ES"/>
        </w:rPr>
        <w:t>[…]”</w:t>
      </w:r>
    </w:p>
    <w:p w14:paraId="41BA6EEE" w14:textId="77777777" w:rsidR="00CF6CBD" w:rsidRDefault="00A02F80" w:rsidP="00CF6CBD">
      <w:pPr>
        <w:pStyle w:val="Default"/>
        <w:spacing w:afterLines="100" w:after="240"/>
        <w:jc w:val="both"/>
        <w:rPr>
          <w:rFonts w:ascii="ITC Avant Garde" w:eastAsia="Times New Roman" w:hAnsi="ITC Avant Garde" w:cs="Times New Roman"/>
          <w:sz w:val="22"/>
          <w:szCs w:val="22"/>
        </w:rPr>
      </w:pPr>
      <w:r w:rsidRPr="00A02F80">
        <w:rPr>
          <w:rFonts w:ascii="ITC Avant Garde" w:eastAsia="Times New Roman" w:hAnsi="ITC Avant Garde" w:cs="Times New Roman"/>
          <w:sz w:val="22"/>
          <w:szCs w:val="22"/>
        </w:rPr>
        <w:t xml:space="preserve">Asimismo, en </w:t>
      </w:r>
      <w:r>
        <w:rPr>
          <w:rFonts w:ascii="ITC Avant Garde" w:eastAsia="Times New Roman" w:hAnsi="ITC Avant Garde" w:cs="Times New Roman"/>
          <w:sz w:val="22"/>
          <w:szCs w:val="22"/>
        </w:rPr>
        <w:t>el segundo cuadro descrito en la</w:t>
      </w:r>
      <w:r w:rsidRPr="00A02F80">
        <w:rPr>
          <w:rFonts w:ascii="ITC Avant Garde" w:eastAsia="Times New Roman" w:hAnsi="ITC Avant Garde" w:cs="Times New Roman"/>
          <w:sz w:val="22"/>
          <w:szCs w:val="22"/>
        </w:rPr>
        <w:t xml:space="preserve"> Solicitud</w:t>
      </w:r>
      <w:r>
        <w:rPr>
          <w:rFonts w:ascii="ITC Avant Garde" w:eastAsia="Times New Roman" w:hAnsi="ITC Avant Garde" w:cs="Times New Roman"/>
          <w:sz w:val="22"/>
          <w:szCs w:val="22"/>
        </w:rPr>
        <w:t xml:space="preserve"> de Suscripción de Acciones, Integración de Servicios y Tecnología, S.A. de C.V.</w:t>
      </w:r>
      <w:r w:rsidRPr="00A02F80">
        <w:rPr>
          <w:rFonts w:ascii="ITC Avant Garde" w:eastAsia="Times New Roman" w:hAnsi="ITC Avant Garde" w:cs="Times New Roman"/>
          <w:sz w:val="22"/>
          <w:szCs w:val="22"/>
        </w:rPr>
        <w:t xml:space="preserve">, señaló a aquellas personas físicas que de autorizarse la </w:t>
      </w:r>
      <w:r w:rsidR="007457E9">
        <w:rPr>
          <w:rFonts w:ascii="ITC Avant Garde" w:eastAsia="Times New Roman" w:hAnsi="ITC Avant Garde" w:cs="Times New Roman"/>
          <w:sz w:val="22"/>
          <w:szCs w:val="22"/>
        </w:rPr>
        <w:t>Solicitud de Suscripción de A</w:t>
      </w:r>
      <w:r w:rsidRPr="00A02F80">
        <w:rPr>
          <w:rFonts w:ascii="ITC Avant Garde" w:eastAsia="Times New Roman" w:hAnsi="ITC Avant Garde" w:cs="Times New Roman"/>
          <w:sz w:val="22"/>
          <w:szCs w:val="22"/>
        </w:rPr>
        <w:t>cciones que nos ocupa, tendrían participación en el capital variable de la empresa Prosperist, S.A.P.I. de C.V., mismas que se describen a continuación:</w:t>
      </w:r>
    </w:p>
    <w:p w14:paraId="3B094DC4" w14:textId="00907A8F" w:rsidR="00A02F80" w:rsidRDefault="00A02F80" w:rsidP="00CF6CBD">
      <w:pPr>
        <w:pStyle w:val="Default"/>
        <w:spacing w:afterLines="50" w:after="120"/>
        <w:ind w:left="1134"/>
        <w:jc w:val="both"/>
        <w:rPr>
          <w:rFonts w:ascii="ITC Avant Garde" w:eastAsia="Times New Roman" w:hAnsi="ITC Avant Garde"/>
          <w:bCs/>
          <w:i/>
          <w:sz w:val="18"/>
          <w:szCs w:val="18"/>
          <w:lang w:eastAsia="es-ES"/>
        </w:rPr>
      </w:pPr>
      <w:r w:rsidRPr="00CD36A9">
        <w:rPr>
          <w:rFonts w:ascii="ITC Avant Garde" w:eastAsia="Times New Roman" w:hAnsi="ITC Avant Garde"/>
          <w:bCs/>
          <w:i/>
          <w:sz w:val="18"/>
          <w:szCs w:val="18"/>
          <w:lang w:eastAsia="es-ES"/>
        </w:rPr>
        <w:t>“[…]</w:t>
      </w:r>
    </w:p>
    <w:p w14:paraId="5E705F84" w14:textId="77777777" w:rsidR="00994516" w:rsidRDefault="00994516" w:rsidP="00CF6CBD">
      <w:pPr>
        <w:pStyle w:val="Default"/>
        <w:spacing w:afterLines="120" w:after="288"/>
        <w:ind w:left="1134"/>
        <w:jc w:val="both"/>
        <w:rPr>
          <w:rFonts w:ascii="ITC Avant Garde" w:eastAsia="Times New Roman" w:hAnsi="ITC Avant Garde"/>
          <w:bCs/>
          <w:i/>
          <w:sz w:val="18"/>
          <w:szCs w:val="18"/>
          <w:lang w:eastAsia="es-ES"/>
        </w:rPr>
      </w:pPr>
      <w:r>
        <w:rPr>
          <w:noProof/>
        </w:rPr>
        <w:drawing>
          <wp:inline distT="0" distB="0" distL="0" distR="0" wp14:anchorId="6BD6C05E" wp14:editId="3020A7AF">
            <wp:extent cx="4736307" cy="971550"/>
            <wp:effectExtent l="0" t="0" r="7620" b="0"/>
            <wp:docPr id="4" name="Imagen 4" descr="Tabla de 3 columnas que proporcionan información &quot;CONFIDENCIAL POR LEY&quot;,  relativa a los socios y acciones de Prosperist, SA.A.P.I. de C.V." title="Personas físicas a participar en el capital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859" t="33002" r="13958" b="57815"/>
                    <a:stretch/>
                  </pic:blipFill>
                  <pic:spPr bwMode="auto">
                    <a:xfrm>
                      <a:off x="0" y="0"/>
                      <a:ext cx="4762714" cy="976967"/>
                    </a:xfrm>
                    <a:prstGeom prst="rect">
                      <a:avLst/>
                    </a:prstGeom>
                    <a:ln>
                      <a:noFill/>
                    </a:ln>
                    <a:extLst>
                      <a:ext uri="{53640926-AAD7-44D8-BBD7-CCE9431645EC}">
                        <a14:shadowObscured xmlns:a14="http://schemas.microsoft.com/office/drawing/2010/main"/>
                      </a:ext>
                    </a:extLst>
                  </pic:spPr>
                </pic:pic>
              </a:graphicData>
            </a:graphic>
          </wp:inline>
        </w:drawing>
      </w:r>
    </w:p>
    <w:p w14:paraId="7CB06ADF" w14:textId="461F8173" w:rsidR="00994516" w:rsidRDefault="00A02F80" w:rsidP="00CF6CBD">
      <w:pPr>
        <w:pStyle w:val="Default"/>
        <w:spacing w:afterLines="120" w:after="288"/>
        <w:ind w:left="1134"/>
        <w:jc w:val="both"/>
        <w:rPr>
          <w:rFonts w:ascii="ITC Avant Garde" w:eastAsia="Times New Roman" w:hAnsi="ITC Avant Garde"/>
          <w:bCs/>
          <w:i/>
          <w:sz w:val="18"/>
          <w:szCs w:val="18"/>
          <w:lang w:eastAsia="es-ES"/>
        </w:rPr>
      </w:pPr>
      <w:r w:rsidRPr="00CD36A9">
        <w:rPr>
          <w:rFonts w:ascii="ITC Avant Garde" w:eastAsia="Times New Roman" w:hAnsi="ITC Avant Garde"/>
          <w:bCs/>
          <w:i/>
          <w:sz w:val="18"/>
          <w:szCs w:val="18"/>
          <w:lang w:eastAsia="es-ES"/>
        </w:rPr>
        <w:t>[…]”</w:t>
      </w:r>
    </w:p>
    <w:p w14:paraId="048034E6" w14:textId="77777777" w:rsidR="00CF6CBD" w:rsidRDefault="00E67B43" w:rsidP="00CF6CBD">
      <w:pPr>
        <w:autoSpaceDE w:val="0"/>
        <w:autoSpaceDN w:val="0"/>
        <w:adjustRightInd w:val="0"/>
        <w:spacing w:afterLines="120" w:after="288" w:line="240" w:lineRule="auto"/>
        <w:jc w:val="both"/>
        <w:rPr>
          <w:rFonts w:ascii="ITC Avant Garde" w:hAnsi="ITC Avant Garde"/>
          <w:bCs/>
        </w:rPr>
      </w:pPr>
      <w:r>
        <w:rPr>
          <w:rFonts w:ascii="ITC Avant Garde" w:hAnsi="ITC Avant Garde"/>
          <w:bCs/>
        </w:rPr>
        <w:t>Al respecto</w:t>
      </w:r>
      <w:r w:rsidR="005E4E7D">
        <w:rPr>
          <w:rFonts w:ascii="ITC Avant Garde" w:hAnsi="ITC Avant Garde"/>
          <w:bCs/>
        </w:rPr>
        <w:t xml:space="preserve">, tal </w:t>
      </w:r>
      <w:r w:rsidR="000A7590">
        <w:rPr>
          <w:rFonts w:ascii="ITC Avant Garde" w:hAnsi="ITC Avant Garde"/>
          <w:bCs/>
        </w:rPr>
        <w:t>como se señaló en el Considerando Segundo de la presente Resolución, el artículo 112 de la Ley señala</w:t>
      </w:r>
      <w:r>
        <w:rPr>
          <w:rFonts w:ascii="ITC Avant Garde" w:hAnsi="ITC Avant Garde"/>
          <w:bCs/>
        </w:rPr>
        <w:t>,</w:t>
      </w:r>
      <w:r w:rsidR="000A7590">
        <w:rPr>
          <w:rFonts w:ascii="ITC Avant Garde" w:hAnsi="ITC Avant Garde"/>
          <w:bCs/>
        </w:rPr>
        <w:t xml:space="preserve"> entre otras</w:t>
      </w:r>
      <w:r>
        <w:rPr>
          <w:rFonts w:ascii="ITC Avant Garde" w:hAnsi="ITC Avant Garde"/>
          <w:bCs/>
        </w:rPr>
        <w:t>,</w:t>
      </w:r>
      <w:r w:rsidR="000A7590">
        <w:rPr>
          <w:rFonts w:ascii="ITC Avant Garde" w:hAnsi="ITC Avant Garde"/>
          <w:bCs/>
        </w:rPr>
        <w:t xml:space="preserve"> cosas lo siguiente: </w:t>
      </w:r>
    </w:p>
    <w:p w14:paraId="73FBF5F8" w14:textId="77777777" w:rsidR="00CF6CBD" w:rsidRDefault="000A7590" w:rsidP="00CF6CBD">
      <w:pPr>
        <w:autoSpaceDE w:val="0"/>
        <w:autoSpaceDN w:val="0"/>
        <w:adjustRightInd w:val="0"/>
        <w:spacing w:afterLines="100" w:after="240" w:line="240" w:lineRule="auto"/>
        <w:ind w:left="993"/>
        <w:jc w:val="both"/>
        <w:rPr>
          <w:rFonts w:ascii="ITC Avant Garde" w:hAnsi="ITC Avant Garde"/>
          <w:bCs/>
          <w:i/>
          <w:sz w:val="18"/>
          <w:szCs w:val="18"/>
          <w:lang w:eastAsia="es-MX"/>
        </w:rPr>
      </w:pPr>
      <w:r w:rsidRPr="000A7590">
        <w:rPr>
          <w:rFonts w:ascii="ITC Avant Garde" w:hAnsi="ITC Avant Garde"/>
          <w:bCs/>
          <w:i/>
          <w:sz w:val="18"/>
          <w:szCs w:val="18"/>
          <w:lang w:eastAsia="es-MX"/>
        </w:rPr>
        <w:t>“[…]</w:t>
      </w:r>
    </w:p>
    <w:p w14:paraId="40B270C9" w14:textId="4579FD6C" w:rsidR="000A7590" w:rsidRPr="00A06D0A" w:rsidRDefault="000A7590" w:rsidP="00CF6CBD">
      <w:pPr>
        <w:pStyle w:val="Prrafodelista"/>
        <w:numPr>
          <w:ilvl w:val="0"/>
          <w:numId w:val="30"/>
        </w:numPr>
        <w:spacing w:afterLines="100" w:after="240"/>
        <w:ind w:right="616"/>
        <w:jc w:val="both"/>
        <w:rPr>
          <w:rFonts w:ascii="ITC Avant Garde" w:hAnsi="ITC Avant Garde"/>
          <w:bCs/>
          <w:i/>
          <w:sz w:val="18"/>
          <w:szCs w:val="18"/>
          <w:lang w:eastAsia="es-MX"/>
        </w:rPr>
      </w:pPr>
      <w:r w:rsidRPr="00A06D0A">
        <w:rPr>
          <w:rFonts w:ascii="ITC Avant Garde" w:hAnsi="ITC Avant Garde"/>
          <w:bCs/>
          <w:i/>
          <w:sz w:val="18"/>
          <w:szCs w:val="18"/>
          <w:lang w:eastAsia="es-MX"/>
        </w:rPr>
        <w:t xml:space="preserve">El concesionario deberá dar aviso al Instituto de la intención de los interesados en realizar la suscripción o enajenación de las acciones o partes sociales, ya sea directa o indirectamente, </w:t>
      </w:r>
      <w:r w:rsidRPr="000A7590">
        <w:rPr>
          <w:rFonts w:ascii="ITC Avant Garde" w:hAnsi="ITC Avant Garde"/>
          <w:b/>
          <w:bCs/>
          <w:i/>
          <w:sz w:val="18"/>
          <w:szCs w:val="18"/>
          <w:lang w:eastAsia="es-MX"/>
        </w:rPr>
        <w:t>debiendo acompañar el aviso con la información detallada de las personas interesadas en adquirir las acciones o partes sociales;</w:t>
      </w:r>
    </w:p>
    <w:p w14:paraId="49D82742" w14:textId="77777777" w:rsidR="00CF6CBD" w:rsidRDefault="000A7590" w:rsidP="00CF6CBD">
      <w:pPr>
        <w:spacing w:afterLines="100" w:after="240" w:line="240" w:lineRule="auto"/>
        <w:ind w:left="1134" w:right="616"/>
        <w:jc w:val="both"/>
        <w:rPr>
          <w:rFonts w:ascii="ITC Avant Garde" w:hAnsi="ITC Avant Garde"/>
          <w:bCs/>
          <w:i/>
          <w:sz w:val="18"/>
          <w:szCs w:val="18"/>
          <w:lang w:eastAsia="es-MX"/>
        </w:rPr>
      </w:pPr>
      <w:r>
        <w:rPr>
          <w:rFonts w:ascii="ITC Avant Garde" w:hAnsi="ITC Avant Garde"/>
          <w:bCs/>
          <w:i/>
          <w:sz w:val="18"/>
          <w:szCs w:val="18"/>
          <w:lang w:eastAsia="es-MX"/>
        </w:rPr>
        <w:t>[…]</w:t>
      </w:r>
    </w:p>
    <w:p w14:paraId="7883282D" w14:textId="77777777" w:rsidR="00CF6CBD" w:rsidRDefault="000A7590" w:rsidP="00CF6CBD">
      <w:pPr>
        <w:spacing w:afterLines="100" w:after="240" w:line="240" w:lineRule="auto"/>
        <w:ind w:left="1134" w:right="616"/>
        <w:jc w:val="both"/>
        <w:rPr>
          <w:rFonts w:ascii="ITC Avant Garde" w:hAnsi="ITC Avant Garde"/>
          <w:b/>
          <w:bCs/>
          <w:i/>
          <w:sz w:val="18"/>
          <w:szCs w:val="18"/>
          <w:lang w:eastAsia="es-MX"/>
        </w:rPr>
      </w:pPr>
      <w:r w:rsidRPr="000A7590">
        <w:rPr>
          <w:rFonts w:ascii="ITC Avant Garde" w:hAnsi="ITC Avant Garde"/>
          <w:b/>
          <w:bCs/>
          <w:i/>
          <w:sz w:val="18"/>
          <w:szCs w:val="18"/>
          <w:lang w:eastAsia="es-MX"/>
        </w:rPr>
        <w:t>En caso de que el interesado en suscribir o adquirir acciones o partes sociales sea una persona moral, en el aviso al que se refiere la fracción I de este artículo, deberá presentar la información necesaria para que el Instituto conozca la identidad de las personas físicas que tengan intereses patrimoniales mayores al diez por ciento del capital de dicha persona moral.</w:t>
      </w:r>
    </w:p>
    <w:p w14:paraId="2974D2DF" w14:textId="77777777" w:rsidR="00CF6CBD" w:rsidRDefault="000A7590" w:rsidP="00CF6CBD">
      <w:pPr>
        <w:spacing w:afterLines="120" w:after="288" w:line="240" w:lineRule="auto"/>
        <w:ind w:left="1134" w:right="616"/>
        <w:jc w:val="both"/>
        <w:rPr>
          <w:rFonts w:ascii="ITC Avant Garde" w:hAnsi="ITC Avant Garde"/>
          <w:bCs/>
          <w:sz w:val="18"/>
          <w:szCs w:val="18"/>
          <w:lang w:eastAsia="es-MX"/>
        </w:rPr>
      </w:pPr>
      <w:r>
        <w:rPr>
          <w:rFonts w:ascii="ITC Avant Garde" w:hAnsi="ITC Avant Garde"/>
          <w:bCs/>
          <w:i/>
          <w:sz w:val="18"/>
          <w:szCs w:val="18"/>
          <w:lang w:eastAsia="es-MX"/>
        </w:rPr>
        <w:lastRenderedPageBreak/>
        <w:t xml:space="preserve">[…]” </w:t>
      </w:r>
      <w:r w:rsidRPr="000A7590">
        <w:rPr>
          <w:rFonts w:ascii="ITC Avant Garde" w:hAnsi="ITC Avant Garde"/>
          <w:bCs/>
          <w:sz w:val="18"/>
          <w:szCs w:val="18"/>
          <w:lang w:eastAsia="es-MX"/>
        </w:rPr>
        <w:t>[Énfasis añadido]</w:t>
      </w:r>
    </w:p>
    <w:p w14:paraId="5261382B" w14:textId="77777777" w:rsidR="00CF6CBD" w:rsidRDefault="000A7590" w:rsidP="00CF6CBD">
      <w:pPr>
        <w:autoSpaceDE w:val="0"/>
        <w:autoSpaceDN w:val="0"/>
        <w:adjustRightInd w:val="0"/>
        <w:spacing w:afterLines="120" w:after="288" w:line="240" w:lineRule="auto"/>
        <w:jc w:val="both"/>
        <w:rPr>
          <w:rFonts w:ascii="ITC Avant Garde" w:hAnsi="ITC Avant Garde"/>
          <w:bCs/>
          <w:lang w:val="es-ES" w:eastAsia="es-ES"/>
        </w:rPr>
      </w:pPr>
      <w:r>
        <w:rPr>
          <w:rFonts w:ascii="ITC Avant Garde" w:hAnsi="ITC Avant Garde"/>
          <w:bCs/>
          <w:lang w:val="es-ES" w:eastAsia="es-ES"/>
        </w:rPr>
        <w:t xml:space="preserve">Con base en lo anterior, y una vez analizada la información presentada por Integración de Servicios y Tecnología, S.A. de C.V., la Dirección General de Concesiones de Telecomunicaciones, adscrita a la Unidad de Concesiones y Servicios, </w:t>
      </w:r>
      <w:r w:rsidR="00602187">
        <w:rPr>
          <w:rFonts w:ascii="ITC Avant Garde" w:hAnsi="ITC Avant Garde"/>
          <w:bCs/>
          <w:lang w:val="es-ES" w:eastAsia="es-ES"/>
        </w:rPr>
        <w:t xml:space="preserve">mediante oficio IFT/223/UCS/DG-CTEL/1719/2017 de fecha 31 de agosto de 2017, </w:t>
      </w:r>
      <w:r w:rsidR="005E4E7D">
        <w:rPr>
          <w:rFonts w:ascii="ITC Avant Garde" w:hAnsi="ITC Avant Garde"/>
          <w:bCs/>
          <w:lang w:val="es-ES" w:eastAsia="es-ES"/>
        </w:rPr>
        <w:t>solicitó a dicha concesion</w:t>
      </w:r>
      <w:r w:rsidR="00602187">
        <w:rPr>
          <w:rFonts w:ascii="ITC Avant Garde" w:hAnsi="ITC Avant Garde"/>
          <w:bCs/>
          <w:lang w:val="es-ES" w:eastAsia="es-ES"/>
        </w:rPr>
        <w:t xml:space="preserve">aria, entre otras cosas, aclarar </w:t>
      </w:r>
      <w:r w:rsidR="00BC71F2">
        <w:rPr>
          <w:rFonts w:ascii="ITC Avant Garde" w:hAnsi="ITC Avant Garde"/>
          <w:bCs/>
          <w:lang w:val="es-ES" w:eastAsia="es-ES"/>
        </w:rPr>
        <w:t>las</w:t>
      </w:r>
      <w:r w:rsidR="00602187">
        <w:rPr>
          <w:rFonts w:ascii="ITC Avant Garde" w:hAnsi="ITC Avant Garde"/>
          <w:bCs/>
          <w:lang w:val="es-ES" w:eastAsia="es-ES"/>
        </w:rPr>
        <w:t xml:space="preserve"> variaciones en la composición accionaria, tanto de Integración de Servicios y Tecnología, S.A. de C.V., como de Prosperist, S.A.P.I. de C.V.</w:t>
      </w:r>
      <w:r w:rsidR="00E67B43">
        <w:rPr>
          <w:rFonts w:ascii="ITC Avant Garde" w:hAnsi="ITC Avant Garde"/>
          <w:bCs/>
          <w:lang w:val="es-ES" w:eastAsia="es-ES"/>
        </w:rPr>
        <w:t>, personal moral interesada en suscribir las acciones.</w:t>
      </w:r>
    </w:p>
    <w:p w14:paraId="0D31948D" w14:textId="77777777" w:rsidR="00CF6CBD" w:rsidRDefault="00E67B43" w:rsidP="00CF6CBD">
      <w:pPr>
        <w:autoSpaceDE w:val="0"/>
        <w:autoSpaceDN w:val="0"/>
        <w:adjustRightInd w:val="0"/>
        <w:spacing w:afterLines="120" w:after="288" w:line="240" w:lineRule="auto"/>
        <w:jc w:val="both"/>
        <w:rPr>
          <w:rFonts w:ascii="ITC Avant Garde" w:hAnsi="ITC Avant Garde"/>
          <w:bCs/>
          <w:lang w:val="es-ES" w:eastAsia="es-ES"/>
        </w:rPr>
      </w:pPr>
      <w:r>
        <w:rPr>
          <w:rFonts w:ascii="ITC Avant Garde" w:hAnsi="ITC Avant Garde"/>
          <w:bCs/>
          <w:lang w:val="es-ES" w:eastAsia="es-ES"/>
        </w:rPr>
        <w:t xml:space="preserve">En respuesta a lo anterior, </w:t>
      </w:r>
      <w:r w:rsidR="00BC71F2">
        <w:rPr>
          <w:rFonts w:ascii="ITC Avant Garde" w:hAnsi="ITC Avant Garde"/>
          <w:bCs/>
          <w:lang w:val="es-ES" w:eastAsia="es-ES"/>
        </w:rPr>
        <w:t xml:space="preserve">mediante escrito presentado ante el Instituto el 25 de septiembre de 2017, Integración de Servicios y Tecnología, S.A. de C.V., a través de su representante legal señaló, entre otras cosas, lo siguiente: </w:t>
      </w:r>
    </w:p>
    <w:p w14:paraId="5F0C51D6" w14:textId="77777777" w:rsidR="00CF6CBD" w:rsidRDefault="00BC71F2" w:rsidP="00CF6CBD">
      <w:pPr>
        <w:spacing w:afterLines="50" w:after="120" w:line="240" w:lineRule="auto"/>
        <w:ind w:left="1134" w:right="616"/>
        <w:jc w:val="both"/>
        <w:rPr>
          <w:rFonts w:ascii="ITC Avant Garde" w:hAnsi="ITC Avant Garde"/>
          <w:bCs/>
          <w:i/>
          <w:sz w:val="18"/>
          <w:szCs w:val="18"/>
          <w:lang w:eastAsia="es-MX"/>
        </w:rPr>
      </w:pPr>
      <w:r w:rsidRPr="00447E94">
        <w:rPr>
          <w:rFonts w:ascii="ITC Avant Garde" w:hAnsi="ITC Avant Garde"/>
          <w:bCs/>
          <w:i/>
          <w:sz w:val="18"/>
          <w:szCs w:val="18"/>
          <w:lang w:eastAsia="es-MX"/>
        </w:rPr>
        <w:t>“[…]</w:t>
      </w:r>
    </w:p>
    <w:p w14:paraId="4C9B6021" w14:textId="77777777" w:rsidR="00CF6CBD" w:rsidRDefault="00BC71F2" w:rsidP="00CF6CBD">
      <w:pPr>
        <w:spacing w:afterLines="50" w:after="120" w:line="240" w:lineRule="auto"/>
        <w:ind w:left="1134" w:right="616"/>
        <w:jc w:val="both"/>
        <w:rPr>
          <w:rFonts w:ascii="ITC Avant Garde" w:hAnsi="ITC Avant Garde"/>
          <w:bCs/>
          <w:i/>
          <w:sz w:val="18"/>
          <w:szCs w:val="18"/>
          <w:lang w:eastAsia="es-MX"/>
        </w:rPr>
      </w:pPr>
      <w:r w:rsidRPr="00447E94">
        <w:rPr>
          <w:rFonts w:ascii="ITC Avant Garde" w:hAnsi="ITC Avant Garde"/>
          <w:bCs/>
          <w:i/>
          <w:sz w:val="18"/>
          <w:szCs w:val="18"/>
          <w:lang w:eastAsia="es-MX"/>
        </w:rPr>
        <w:t>En efecto, en la fecha de presentación de la estructura accionaria ante el instituto según acuse del 26 de abril de 2017, la estructura del capital variable aún no se había disminuido. Mediante acta de asamblea datada del 30 de mayo de 2017, los socios conforme a los principios de autonomía de las partes y libertad contractual, así como al derecho humano de libertad de asociación decidieron disminuir el capital variable. La disminución del capital variable no afectó los porcentajes de participación o de control en la sociedad, además, la disminución de capital variable no encuadra en los supuestos de aviso establecidos en la condición 1.16 del título de concesión de red pública otorgado a mi representada el 6 de septiembre de 2012</w:t>
      </w:r>
      <w:r w:rsidR="00644B70" w:rsidRPr="00447E94">
        <w:rPr>
          <w:rFonts w:ascii="ITC Avant Garde" w:hAnsi="ITC Avant Garde"/>
          <w:bCs/>
          <w:i/>
          <w:sz w:val="18"/>
          <w:szCs w:val="18"/>
          <w:lang w:eastAsia="es-MX"/>
        </w:rPr>
        <w:t xml:space="preserve"> [</w:t>
      </w:r>
      <w:r w:rsidRPr="00447E94">
        <w:rPr>
          <w:rFonts w:ascii="ITC Avant Garde" w:hAnsi="ITC Avant Garde"/>
          <w:bCs/>
          <w:i/>
          <w:sz w:val="18"/>
          <w:szCs w:val="18"/>
          <w:lang w:eastAsia="es-MX"/>
        </w:rPr>
        <w:t>…]</w:t>
      </w:r>
      <w:r w:rsidR="00644B70" w:rsidRPr="00447E94">
        <w:rPr>
          <w:rFonts w:ascii="ITC Avant Garde" w:hAnsi="ITC Avant Garde"/>
          <w:bCs/>
          <w:i/>
          <w:sz w:val="18"/>
          <w:szCs w:val="18"/>
          <w:lang w:eastAsia="es-MX"/>
        </w:rPr>
        <w:t>.</w:t>
      </w:r>
    </w:p>
    <w:p w14:paraId="1030BADD" w14:textId="77777777" w:rsidR="00CF6CBD" w:rsidRDefault="00BC71F2" w:rsidP="00CF6CBD">
      <w:pPr>
        <w:spacing w:afterLines="50" w:after="120" w:line="240" w:lineRule="auto"/>
        <w:ind w:left="1134" w:right="616"/>
        <w:jc w:val="both"/>
        <w:rPr>
          <w:rFonts w:ascii="ITC Avant Garde" w:hAnsi="ITC Avant Garde"/>
          <w:bCs/>
          <w:i/>
          <w:sz w:val="18"/>
          <w:szCs w:val="18"/>
          <w:lang w:eastAsia="es-MX"/>
        </w:rPr>
      </w:pPr>
      <w:r w:rsidRPr="00447E94">
        <w:rPr>
          <w:rFonts w:ascii="ITC Avant Garde" w:hAnsi="ITC Avant Garde"/>
          <w:bCs/>
          <w:i/>
          <w:sz w:val="18"/>
          <w:szCs w:val="18"/>
          <w:lang w:eastAsia="es-MX"/>
        </w:rPr>
        <w:t>[…]</w:t>
      </w:r>
    </w:p>
    <w:p w14:paraId="3F126E5F" w14:textId="77777777" w:rsidR="00CF6CBD" w:rsidRDefault="00644B70" w:rsidP="00CF6CBD">
      <w:pPr>
        <w:spacing w:afterLines="50" w:after="120" w:line="240" w:lineRule="auto"/>
        <w:ind w:left="1134" w:right="616"/>
        <w:jc w:val="both"/>
        <w:rPr>
          <w:rFonts w:ascii="ITC Avant Garde" w:hAnsi="ITC Avant Garde"/>
          <w:bCs/>
          <w:i/>
          <w:sz w:val="18"/>
          <w:szCs w:val="18"/>
          <w:lang w:eastAsia="es-MX"/>
        </w:rPr>
      </w:pPr>
      <w:r w:rsidRPr="00447E94">
        <w:rPr>
          <w:rFonts w:ascii="ITC Avant Garde" w:hAnsi="ITC Avant Garde"/>
          <w:bCs/>
          <w:i/>
          <w:sz w:val="18"/>
          <w:szCs w:val="18"/>
          <w:lang w:eastAsia="es-MX"/>
        </w:rPr>
        <w:t>Por otro lado, con relación a la aclaración sobre la composición accionaria de la empresa PROSPERIST SAPI DE CV, me permito precisar que en efecto, cuando dicha sociedad fue constituida en 27 de octubre de 2015, los socios eran IP SAT SA DE CV y Promotora DURAVIHO SAPI de CV; no obstante lo anterior, según consta en escritura pública 57,295, volumen 2,191, del protocolo de la notaria Numero 9 de Tijuana, B.C. a cargo del Lic. Guillermo González Herrera, inscrito en registro público de comercio bajo número único de documento 201600093862007K; en el que se dio fe de la transacción realizada el 29 de enero de 2016 respecto a la transmisión de acciones de capital fijo a favor de Eric Cataño Araiza y Roberto Alfonso Rentería Fernández, en la proporción que fue informada en el escrito inicial de solicitud de autorización de suscripción de acciones que nos ocupa […].</w:t>
      </w:r>
    </w:p>
    <w:p w14:paraId="61BA89E0" w14:textId="387D6EDA" w:rsidR="00AA142D" w:rsidRPr="00447E94" w:rsidRDefault="00AA142D" w:rsidP="00CF6CBD">
      <w:pPr>
        <w:spacing w:afterLines="120" w:after="288" w:line="240" w:lineRule="auto"/>
        <w:ind w:left="1134" w:right="616"/>
        <w:jc w:val="both"/>
        <w:rPr>
          <w:rFonts w:ascii="ITC Avant Garde" w:hAnsi="ITC Avant Garde"/>
          <w:bCs/>
          <w:i/>
          <w:sz w:val="18"/>
          <w:szCs w:val="18"/>
          <w:lang w:eastAsia="es-MX"/>
        </w:rPr>
      </w:pPr>
      <w:r w:rsidRPr="00447E94">
        <w:rPr>
          <w:rFonts w:ascii="ITC Avant Garde" w:hAnsi="ITC Avant Garde"/>
          <w:bCs/>
          <w:i/>
          <w:sz w:val="18"/>
          <w:szCs w:val="18"/>
          <w:lang w:eastAsia="es-MX"/>
        </w:rPr>
        <w:t>Los socios (personas físicas) del Adquiriente PROSPERIST SAPI DE CV que tienen injerencia en actividades relacionadas con el sector de telecomunicaciones son los siguientes:</w:t>
      </w:r>
    </w:p>
    <w:p w14:paraId="23759207" w14:textId="4875416C" w:rsidR="00592000" w:rsidRDefault="00592000" w:rsidP="00CF6CBD">
      <w:pPr>
        <w:spacing w:afterLines="120" w:after="288" w:line="240" w:lineRule="auto"/>
        <w:ind w:left="1134" w:right="616"/>
        <w:jc w:val="both"/>
        <w:rPr>
          <w:rFonts w:ascii="ITC Avant Garde" w:hAnsi="ITC Avant Garde"/>
          <w:bCs/>
          <w:i/>
          <w:sz w:val="18"/>
          <w:szCs w:val="18"/>
          <w:lang w:eastAsia="es-MX"/>
        </w:rPr>
      </w:pPr>
      <w:r>
        <w:rPr>
          <w:noProof/>
          <w:lang w:eastAsia="es-MX"/>
        </w:rPr>
        <w:lastRenderedPageBreak/>
        <w:drawing>
          <wp:inline distT="0" distB="0" distL="0" distR="0" wp14:anchorId="555BB68F" wp14:editId="1FB1428A">
            <wp:extent cx="4686300" cy="1675413"/>
            <wp:effectExtent l="0" t="0" r="0" b="1270"/>
            <wp:docPr id="5" name="Imagen 5" descr="Tabla de 3 columnas que contiene información &quot;CONFDENCIAL POR LEY&quot; relacionada con los socios, participación accionaria y ocupación (personas físicas) del adquiriente PROSPERIST SAPI DE CV" title="Socios del adquiriente Prosperit, S.A.P.I. de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792" t="26688" r="11053" b="53511"/>
                    <a:stretch/>
                  </pic:blipFill>
                  <pic:spPr bwMode="auto">
                    <a:xfrm>
                      <a:off x="0" y="0"/>
                      <a:ext cx="4716953" cy="1686372"/>
                    </a:xfrm>
                    <a:prstGeom prst="rect">
                      <a:avLst/>
                    </a:prstGeom>
                    <a:ln>
                      <a:noFill/>
                    </a:ln>
                    <a:extLst>
                      <a:ext uri="{53640926-AAD7-44D8-BBD7-CCE9431645EC}">
                        <a14:shadowObscured xmlns:a14="http://schemas.microsoft.com/office/drawing/2010/main"/>
                      </a:ext>
                    </a:extLst>
                  </pic:spPr>
                </pic:pic>
              </a:graphicData>
            </a:graphic>
          </wp:inline>
        </w:drawing>
      </w:r>
    </w:p>
    <w:p w14:paraId="3E71C18D" w14:textId="77777777" w:rsidR="00592000" w:rsidRDefault="00592000" w:rsidP="00592000">
      <w:pPr>
        <w:spacing w:afterLines="120" w:after="288" w:line="240" w:lineRule="auto"/>
        <w:ind w:left="1134" w:right="616"/>
        <w:jc w:val="both"/>
        <w:rPr>
          <w:rFonts w:ascii="ITC Avant Garde" w:hAnsi="ITC Avant Garde"/>
          <w:bCs/>
          <w:i/>
          <w:sz w:val="18"/>
          <w:szCs w:val="18"/>
          <w:lang w:eastAsia="es-MX"/>
        </w:rPr>
      </w:pPr>
      <w:r w:rsidRPr="00447E94">
        <w:rPr>
          <w:rFonts w:ascii="ITC Avant Garde" w:hAnsi="ITC Avant Garde"/>
          <w:bCs/>
          <w:i/>
          <w:sz w:val="18"/>
          <w:szCs w:val="18"/>
          <w:lang w:eastAsia="es-MX"/>
        </w:rPr>
        <w:t>[…]”</w:t>
      </w:r>
    </w:p>
    <w:p w14:paraId="34722815" w14:textId="41210FCC" w:rsidR="00F71574" w:rsidRDefault="00F71574" w:rsidP="00CF6CBD">
      <w:pPr>
        <w:autoSpaceDE w:val="0"/>
        <w:autoSpaceDN w:val="0"/>
        <w:adjustRightInd w:val="0"/>
        <w:spacing w:afterLines="120" w:after="288" w:line="240" w:lineRule="auto"/>
        <w:jc w:val="both"/>
        <w:rPr>
          <w:rFonts w:ascii="ITC Avant Garde" w:hAnsi="ITC Avant Garde"/>
          <w:bCs/>
        </w:rPr>
      </w:pPr>
      <w:r w:rsidRPr="00F80A22">
        <w:rPr>
          <w:rFonts w:ascii="ITC Avant Garde" w:hAnsi="ITC Avant Garde"/>
          <w:bCs/>
        </w:rPr>
        <w:t>De esta manera</w:t>
      </w:r>
      <w:r>
        <w:rPr>
          <w:rFonts w:ascii="ITC Avant Garde" w:hAnsi="ITC Avant Garde"/>
          <w:bCs/>
        </w:rPr>
        <w:t xml:space="preserve">, y de conformidad con la información señalada </w:t>
      </w:r>
      <w:r w:rsidR="00447E94">
        <w:rPr>
          <w:rFonts w:ascii="ITC Avant Garde" w:hAnsi="ITC Avant Garde"/>
          <w:bCs/>
        </w:rPr>
        <w:t>previamente</w:t>
      </w:r>
      <w:r>
        <w:rPr>
          <w:rFonts w:ascii="ITC Avant Garde" w:hAnsi="ITC Avant Garde"/>
          <w:bCs/>
        </w:rPr>
        <w:t>, así como la que obra en el expediente abierto a</w:t>
      </w:r>
      <w:r w:rsidR="00DA25CE">
        <w:rPr>
          <w:rFonts w:ascii="ITC Avant Garde" w:hAnsi="ITC Avant Garde"/>
          <w:bCs/>
        </w:rPr>
        <w:t xml:space="preserve"> nombre de</w:t>
      </w:r>
      <w:r>
        <w:rPr>
          <w:rFonts w:ascii="ITC Avant Garde" w:hAnsi="ITC Avant Garde"/>
          <w:bCs/>
        </w:rPr>
        <w:t xml:space="preserve"> </w:t>
      </w:r>
      <w:r w:rsidR="00447E94">
        <w:rPr>
          <w:rFonts w:ascii="ITC Avant Garde" w:hAnsi="ITC Avant Garde"/>
          <w:bCs/>
        </w:rPr>
        <w:t>la</w:t>
      </w:r>
      <w:r>
        <w:rPr>
          <w:rFonts w:ascii="ITC Avant Garde" w:hAnsi="ITC Avant Garde"/>
          <w:bCs/>
        </w:rPr>
        <w:t xml:space="preserve"> concesionaria en este Instituto, la </w:t>
      </w:r>
      <w:r w:rsidRPr="00F80A22">
        <w:rPr>
          <w:rFonts w:ascii="ITC Avant Garde" w:hAnsi="ITC Avant Garde"/>
          <w:bCs/>
        </w:rPr>
        <w:t>estructura accionaria</w:t>
      </w:r>
      <w:r>
        <w:rPr>
          <w:rFonts w:ascii="ITC Avant Garde" w:hAnsi="ITC Avant Garde"/>
          <w:bCs/>
        </w:rPr>
        <w:t xml:space="preserve"> de </w:t>
      </w:r>
      <w:r w:rsidR="00447E94">
        <w:rPr>
          <w:rFonts w:ascii="ITC Avant Garde" w:hAnsi="ITC Avant Garde" w:cs="Arial"/>
          <w:bCs/>
          <w:color w:val="000000"/>
          <w:shd w:val="clear" w:color="auto" w:fill="FFFFFF"/>
        </w:rPr>
        <w:t>Integración de Servicios y Tecnologías</w:t>
      </w:r>
      <w:r w:rsidRPr="005E7162">
        <w:rPr>
          <w:rFonts w:ascii="ITC Avant Garde" w:hAnsi="ITC Avant Garde" w:cs="Arial"/>
          <w:bCs/>
          <w:color w:val="000000"/>
          <w:shd w:val="clear" w:color="auto" w:fill="FFFFFF"/>
        </w:rPr>
        <w:t>, S.A. de C.V</w:t>
      </w:r>
      <w:r w:rsidR="002346C1">
        <w:rPr>
          <w:rFonts w:ascii="ITC Avant Garde" w:hAnsi="ITC Avant Garde" w:cs="Arial"/>
          <w:bCs/>
          <w:color w:val="000000"/>
          <w:shd w:val="clear" w:color="auto" w:fill="FFFFFF"/>
        </w:rPr>
        <w:t>.</w:t>
      </w:r>
      <w:r>
        <w:rPr>
          <w:rFonts w:ascii="ITC Avant Garde" w:hAnsi="ITC Avant Garde"/>
          <w:bCs/>
        </w:rPr>
        <w:t>, previamente a que se lleve a cabo la operación,</w:t>
      </w:r>
      <w:r w:rsidRPr="000F5A77">
        <w:rPr>
          <w:rFonts w:ascii="ITC Avant Garde" w:hAnsi="ITC Avant Garde"/>
          <w:bCs/>
        </w:rPr>
        <w:t xml:space="preserve"> </w:t>
      </w:r>
      <w:r w:rsidRPr="00F80A22">
        <w:rPr>
          <w:rFonts w:ascii="ITC Avant Garde" w:hAnsi="ITC Avant Garde"/>
          <w:bCs/>
        </w:rPr>
        <w:t>se encuentra integrada de la siguiente manera</w:t>
      </w:r>
      <w:r>
        <w:rPr>
          <w:rFonts w:ascii="ITC Avant Garde" w:hAnsi="ITC Avant Garde"/>
          <w:bCs/>
        </w:rPr>
        <w:t>:</w:t>
      </w:r>
    </w:p>
    <w:tbl>
      <w:tblPr>
        <w:tblStyle w:val="Tablaconcuadrcula"/>
        <w:tblW w:w="0" w:type="auto"/>
        <w:jc w:val="center"/>
        <w:tblLook w:val="0000" w:firstRow="0" w:lastRow="0" w:firstColumn="0" w:lastColumn="0" w:noHBand="0" w:noVBand="0"/>
        <w:tblCaption w:val="Estructura accionaria original de Integración de Servicios y Tecnologías, S.A. de C.V."/>
        <w:tblDescription w:val="Tabla de 5 columnas que describe la estructura accionaria de Integración de Servicios y Tecnologías, S.A. de C.V., previamente a que se lleve a cabo la operación."/>
      </w:tblPr>
      <w:tblGrid>
        <w:gridCol w:w="3573"/>
        <w:gridCol w:w="1238"/>
        <w:gridCol w:w="1739"/>
        <w:gridCol w:w="1034"/>
        <w:gridCol w:w="1698"/>
      </w:tblGrid>
      <w:tr w:rsidR="00580026" w:rsidRPr="00910B3F" w14:paraId="53387D52" w14:textId="77777777" w:rsidTr="00580026">
        <w:trPr>
          <w:trHeight w:val="514"/>
          <w:tblHeader/>
          <w:jc w:val="center"/>
        </w:trPr>
        <w:tc>
          <w:tcPr>
            <w:tcW w:w="0" w:type="auto"/>
            <w:noWrap/>
          </w:tcPr>
          <w:p w14:paraId="1B092E41" w14:textId="77777777" w:rsidR="00580026" w:rsidRPr="00E15C78"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Accionistas</w:t>
            </w:r>
          </w:p>
        </w:tc>
        <w:tc>
          <w:tcPr>
            <w:tcW w:w="1238" w:type="dxa"/>
          </w:tcPr>
          <w:p w14:paraId="4A4030AE" w14:textId="3A375DA0" w:rsidR="00580026"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Capital Fijo Serie “A”</w:t>
            </w:r>
          </w:p>
        </w:tc>
        <w:tc>
          <w:tcPr>
            <w:tcW w:w="1739" w:type="dxa"/>
          </w:tcPr>
          <w:p w14:paraId="1B985E7A" w14:textId="470AD282" w:rsidR="00580026"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Capital Variable Serie “B”</w:t>
            </w:r>
          </w:p>
        </w:tc>
        <w:tc>
          <w:tcPr>
            <w:tcW w:w="0" w:type="auto"/>
          </w:tcPr>
          <w:p w14:paraId="3F6D2AF0" w14:textId="77777777" w:rsidR="00580026"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Acciones</w:t>
            </w:r>
          </w:p>
          <w:p w14:paraId="5A151101" w14:textId="77777777" w:rsidR="00580026"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Totales</w:t>
            </w:r>
          </w:p>
        </w:tc>
        <w:tc>
          <w:tcPr>
            <w:tcW w:w="0" w:type="auto"/>
          </w:tcPr>
          <w:p w14:paraId="753A28B4" w14:textId="77777777" w:rsidR="00580026" w:rsidRPr="00910B3F"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Participación</w:t>
            </w:r>
            <w:r w:rsidRPr="00910B3F">
              <w:rPr>
                <w:rFonts w:ascii="ITC Avant Garde" w:hAnsi="ITC Avant Garde"/>
                <w:b/>
                <w:bCs/>
                <w:sz w:val="18"/>
                <w:szCs w:val="18"/>
              </w:rPr>
              <w:t xml:space="preserve"> (%)</w:t>
            </w:r>
          </w:p>
        </w:tc>
      </w:tr>
      <w:tr w:rsidR="00474CE9" w:rsidRPr="00910B3F" w14:paraId="10C1F65C" w14:textId="77777777" w:rsidTr="00580026">
        <w:trPr>
          <w:trHeight w:val="252"/>
          <w:jc w:val="center"/>
        </w:trPr>
        <w:tc>
          <w:tcPr>
            <w:tcW w:w="0" w:type="auto"/>
          </w:tcPr>
          <w:p w14:paraId="048906C6" w14:textId="77777777" w:rsidR="00474CE9" w:rsidRPr="00E15C78" w:rsidRDefault="00447E94" w:rsidP="00CF6CBD">
            <w:pPr>
              <w:autoSpaceDE w:val="0"/>
              <w:autoSpaceDN w:val="0"/>
              <w:adjustRightInd w:val="0"/>
              <w:spacing w:after="0" w:line="240" w:lineRule="auto"/>
              <w:rPr>
                <w:rFonts w:ascii="ITC Avant Garde" w:hAnsi="ITC Avant Garde"/>
                <w:bCs/>
                <w:sz w:val="18"/>
                <w:szCs w:val="18"/>
              </w:rPr>
            </w:pPr>
            <w:proofErr w:type="spellStart"/>
            <w:r>
              <w:rPr>
                <w:rFonts w:ascii="ITC Avant Garde" w:hAnsi="ITC Avant Garde"/>
                <w:bCs/>
                <w:sz w:val="18"/>
                <w:szCs w:val="18"/>
              </w:rPr>
              <w:t>Ace</w:t>
            </w:r>
            <w:proofErr w:type="spellEnd"/>
            <w:r>
              <w:rPr>
                <w:rFonts w:ascii="ITC Avant Garde" w:hAnsi="ITC Avant Garde"/>
                <w:bCs/>
                <w:sz w:val="18"/>
                <w:szCs w:val="18"/>
              </w:rPr>
              <w:t xml:space="preserve"> Telecomunicaciones, S.A. de C.V.</w:t>
            </w:r>
          </w:p>
        </w:tc>
        <w:tc>
          <w:tcPr>
            <w:tcW w:w="1238" w:type="dxa"/>
          </w:tcPr>
          <w:p w14:paraId="17D58BC3" w14:textId="77777777" w:rsidR="00474CE9" w:rsidDel="00A51519" w:rsidRDefault="00447E94"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45</w:t>
            </w:r>
          </w:p>
        </w:tc>
        <w:tc>
          <w:tcPr>
            <w:tcW w:w="1739" w:type="dxa"/>
          </w:tcPr>
          <w:p w14:paraId="765F634C" w14:textId="77777777" w:rsidR="00474CE9" w:rsidRPr="00447E94" w:rsidDel="00A51519" w:rsidRDefault="00447E94"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0</w:t>
            </w:r>
          </w:p>
        </w:tc>
        <w:tc>
          <w:tcPr>
            <w:tcW w:w="0" w:type="auto"/>
          </w:tcPr>
          <w:p w14:paraId="447141F0" w14:textId="77777777" w:rsidR="00474CE9" w:rsidDel="00A51519" w:rsidRDefault="00447E94"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45</w:t>
            </w:r>
          </w:p>
        </w:tc>
        <w:tc>
          <w:tcPr>
            <w:tcW w:w="0" w:type="auto"/>
          </w:tcPr>
          <w:p w14:paraId="47FB5A3F" w14:textId="77777777" w:rsidR="00474CE9" w:rsidRPr="00910B3F"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90</w:t>
            </w:r>
            <w:r w:rsidR="00474CE9">
              <w:rPr>
                <w:rFonts w:ascii="ITC Avant Garde" w:hAnsi="ITC Avant Garde"/>
                <w:bCs/>
                <w:sz w:val="18"/>
                <w:szCs w:val="18"/>
              </w:rPr>
              <w:t xml:space="preserve"> %</w:t>
            </w:r>
          </w:p>
        </w:tc>
      </w:tr>
      <w:tr w:rsidR="00474CE9" w:rsidRPr="00910B3F" w14:paraId="12DA0949" w14:textId="77777777" w:rsidTr="00580026">
        <w:trPr>
          <w:trHeight w:val="252"/>
          <w:jc w:val="center"/>
        </w:trPr>
        <w:tc>
          <w:tcPr>
            <w:tcW w:w="0" w:type="auto"/>
          </w:tcPr>
          <w:p w14:paraId="7C14E83B" w14:textId="77777777" w:rsidR="00474CE9" w:rsidRPr="00E15C78" w:rsidRDefault="00447E94" w:rsidP="00CF6CBD">
            <w:pPr>
              <w:autoSpaceDE w:val="0"/>
              <w:autoSpaceDN w:val="0"/>
              <w:adjustRightInd w:val="0"/>
              <w:spacing w:after="0" w:line="240" w:lineRule="auto"/>
              <w:rPr>
                <w:rFonts w:ascii="ITC Avant Garde" w:hAnsi="ITC Avant Garde"/>
                <w:bCs/>
                <w:sz w:val="18"/>
                <w:szCs w:val="18"/>
              </w:rPr>
            </w:pPr>
            <w:r>
              <w:rPr>
                <w:rFonts w:ascii="ITC Avant Garde" w:hAnsi="ITC Avant Garde"/>
                <w:bCs/>
                <w:sz w:val="18"/>
                <w:szCs w:val="18"/>
              </w:rPr>
              <w:t>Roberto Alfonso Rentería Fernández</w:t>
            </w:r>
          </w:p>
        </w:tc>
        <w:tc>
          <w:tcPr>
            <w:tcW w:w="1238" w:type="dxa"/>
          </w:tcPr>
          <w:p w14:paraId="491E2435" w14:textId="77777777" w:rsidR="00474CE9" w:rsidDel="00A51519"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5</w:t>
            </w:r>
          </w:p>
        </w:tc>
        <w:tc>
          <w:tcPr>
            <w:tcW w:w="1739" w:type="dxa"/>
          </w:tcPr>
          <w:p w14:paraId="245FDA00" w14:textId="77777777" w:rsidR="00474CE9" w:rsidDel="00A51519"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0</w:t>
            </w:r>
          </w:p>
        </w:tc>
        <w:tc>
          <w:tcPr>
            <w:tcW w:w="0" w:type="auto"/>
          </w:tcPr>
          <w:p w14:paraId="0C3AF630" w14:textId="77777777" w:rsidR="00474CE9" w:rsidDel="00A51519"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5</w:t>
            </w:r>
          </w:p>
        </w:tc>
        <w:tc>
          <w:tcPr>
            <w:tcW w:w="0" w:type="auto"/>
          </w:tcPr>
          <w:p w14:paraId="4D034E27" w14:textId="77777777" w:rsidR="00474CE9" w:rsidRPr="00910B3F"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10</w:t>
            </w:r>
            <w:r w:rsidR="00474CE9">
              <w:rPr>
                <w:rFonts w:ascii="ITC Avant Garde" w:hAnsi="ITC Avant Garde"/>
                <w:bCs/>
                <w:sz w:val="18"/>
                <w:szCs w:val="18"/>
              </w:rPr>
              <w:t xml:space="preserve"> %</w:t>
            </w:r>
          </w:p>
        </w:tc>
      </w:tr>
      <w:tr w:rsidR="00474CE9" w:rsidRPr="00910B3F" w14:paraId="05537CD5" w14:textId="77777777" w:rsidTr="00580026">
        <w:trPr>
          <w:trHeight w:val="252"/>
          <w:jc w:val="center"/>
        </w:trPr>
        <w:tc>
          <w:tcPr>
            <w:tcW w:w="0" w:type="auto"/>
          </w:tcPr>
          <w:p w14:paraId="51A2E433" w14:textId="77777777" w:rsidR="00474CE9" w:rsidRPr="00E15C78" w:rsidRDefault="00474CE9" w:rsidP="00CF6CBD">
            <w:pPr>
              <w:autoSpaceDE w:val="0"/>
              <w:autoSpaceDN w:val="0"/>
              <w:adjustRightInd w:val="0"/>
              <w:spacing w:after="0" w:line="240" w:lineRule="auto"/>
              <w:rPr>
                <w:rFonts w:ascii="ITC Avant Garde" w:hAnsi="ITC Avant Garde"/>
                <w:b/>
                <w:bCs/>
                <w:sz w:val="18"/>
                <w:szCs w:val="18"/>
              </w:rPr>
            </w:pPr>
            <w:r>
              <w:rPr>
                <w:rFonts w:ascii="ITC Avant Garde" w:hAnsi="ITC Avant Garde"/>
                <w:b/>
                <w:bCs/>
                <w:sz w:val="18"/>
                <w:szCs w:val="18"/>
              </w:rPr>
              <w:t>Total</w:t>
            </w:r>
          </w:p>
        </w:tc>
        <w:tc>
          <w:tcPr>
            <w:tcW w:w="1238" w:type="dxa"/>
          </w:tcPr>
          <w:p w14:paraId="71195895" w14:textId="77777777" w:rsidR="00474CE9" w:rsidRPr="00910B3F" w:rsidDel="00A51519" w:rsidRDefault="00267EB0"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50</w:t>
            </w:r>
          </w:p>
        </w:tc>
        <w:tc>
          <w:tcPr>
            <w:tcW w:w="1739" w:type="dxa"/>
          </w:tcPr>
          <w:p w14:paraId="74684715" w14:textId="77777777" w:rsidR="00474CE9" w:rsidRPr="00910B3F" w:rsidDel="00A51519" w:rsidRDefault="00267EB0"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0</w:t>
            </w:r>
          </w:p>
        </w:tc>
        <w:tc>
          <w:tcPr>
            <w:tcW w:w="0" w:type="auto"/>
          </w:tcPr>
          <w:p w14:paraId="5F7BF3AD" w14:textId="77777777" w:rsidR="00474CE9" w:rsidRPr="00910B3F" w:rsidDel="00A51519" w:rsidRDefault="00267EB0"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50</w:t>
            </w:r>
          </w:p>
        </w:tc>
        <w:tc>
          <w:tcPr>
            <w:tcW w:w="0" w:type="auto"/>
          </w:tcPr>
          <w:p w14:paraId="31402836" w14:textId="77777777" w:rsidR="00474CE9" w:rsidRPr="00910B3F" w:rsidRDefault="00474CE9"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100 %</w:t>
            </w:r>
          </w:p>
        </w:tc>
      </w:tr>
    </w:tbl>
    <w:p w14:paraId="6EB5E7D0" w14:textId="77777777" w:rsidR="00F71574" w:rsidRDefault="00267EB0" w:rsidP="00CF6CBD">
      <w:pPr>
        <w:autoSpaceDE w:val="0"/>
        <w:autoSpaceDN w:val="0"/>
        <w:adjustRightInd w:val="0"/>
        <w:spacing w:before="240" w:afterLines="120" w:after="288" w:line="240" w:lineRule="auto"/>
        <w:jc w:val="both"/>
        <w:rPr>
          <w:rFonts w:ascii="ITC Avant Garde" w:hAnsi="ITC Avant Garde"/>
          <w:bCs/>
        </w:rPr>
      </w:pPr>
      <w:r>
        <w:rPr>
          <w:rFonts w:ascii="ITC Avant Garde" w:hAnsi="ITC Avant Garde"/>
          <w:bCs/>
        </w:rPr>
        <w:t>Ahora bien,</w:t>
      </w:r>
      <w:r w:rsidR="00D1012C" w:rsidRPr="00365223">
        <w:rPr>
          <w:rFonts w:ascii="ITC Avant Garde" w:hAnsi="ITC Avant Garde"/>
          <w:bCs/>
        </w:rPr>
        <w:t xml:space="preserve"> </w:t>
      </w:r>
      <w:r w:rsidR="00CD18BD" w:rsidRPr="00365223">
        <w:rPr>
          <w:rFonts w:ascii="ITC Avant Garde" w:hAnsi="ITC Avant Garde"/>
          <w:bCs/>
        </w:rPr>
        <w:t xml:space="preserve">de autorizarse </w:t>
      </w:r>
      <w:r w:rsidR="0087759C" w:rsidRPr="00365223">
        <w:rPr>
          <w:rFonts w:ascii="ITC Avant Garde" w:hAnsi="ITC Avant Garde"/>
          <w:bCs/>
        </w:rPr>
        <w:t xml:space="preserve">por el Instituto </w:t>
      </w:r>
      <w:r w:rsidR="00CD18BD" w:rsidRPr="00365223">
        <w:rPr>
          <w:rFonts w:ascii="ITC Avant Garde" w:hAnsi="ITC Avant Garde"/>
          <w:bCs/>
        </w:rPr>
        <w:t xml:space="preserve">la </w:t>
      </w:r>
      <w:r w:rsidR="002346C1" w:rsidRPr="00365223">
        <w:rPr>
          <w:rFonts w:ascii="ITC Avant Garde" w:hAnsi="ITC Avant Garde"/>
          <w:bCs/>
        </w:rPr>
        <w:t xml:space="preserve">Solicitud de </w:t>
      </w:r>
      <w:r>
        <w:rPr>
          <w:rFonts w:ascii="ITC Avant Garde" w:hAnsi="ITC Avant Garde"/>
          <w:bCs/>
        </w:rPr>
        <w:t>Suscripción</w:t>
      </w:r>
      <w:r w:rsidR="002346C1" w:rsidRPr="00365223">
        <w:rPr>
          <w:rFonts w:ascii="ITC Avant Garde" w:hAnsi="ITC Avant Garde"/>
          <w:bCs/>
        </w:rPr>
        <w:t xml:space="preserve"> de Acciones, la estructura accionaria de </w:t>
      </w:r>
      <w:r>
        <w:rPr>
          <w:rFonts w:ascii="ITC Avant Garde" w:hAnsi="ITC Avant Garde" w:cs="Arial"/>
          <w:bCs/>
          <w:color w:val="000000"/>
          <w:shd w:val="clear" w:color="auto" w:fill="FFFFFF"/>
        </w:rPr>
        <w:t>Integración de Servicios y Tecnología</w:t>
      </w:r>
      <w:r w:rsidR="002346C1" w:rsidRPr="00365223">
        <w:rPr>
          <w:rFonts w:ascii="ITC Avant Garde" w:hAnsi="ITC Avant Garde" w:cs="Arial"/>
          <w:bCs/>
          <w:color w:val="000000"/>
          <w:shd w:val="clear" w:color="auto" w:fill="FFFFFF"/>
        </w:rPr>
        <w:t>, S.A. de C.V</w:t>
      </w:r>
      <w:r w:rsidR="002346C1" w:rsidRPr="00365223">
        <w:rPr>
          <w:rFonts w:ascii="ITC Avant Garde" w:hAnsi="ITC Avant Garde"/>
          <w:bCs/>
        </w:rPr>
        <w:t>. quedaría de la siguiente forma:</w:t>
      </w:r>
    </w:p>
    <w:tbl>
      <w:tblPr>
        <w:tblStyle w:val="Tablaconcuadrcula"/>
        <w:tblW w:w="0" w:type="auto"/>
        <w:jc w:val="center"/>
        <w:tblLook w:val="0000" w:firstRow="0" w:lastRow="0" w:firstColumn="0" w:lastColumn="0" w:noHBand="0" w:noVBand="0"/>
        <w:tblCaption w:val="Estructura accionaria a autorizarse."/>
        <w:tblDescription w:val="Tabla de 5 columnas que describe la estructura accionaria de Integración de Servicios y Tecnologías, S.A. de C.V., si se autoriza que se lleve a cabo la operación."/>
      </w:tblPr>
      <w:tblGrid>
        <w:gridCol w:w="3573"/>
        <w:gridCol w:w="1238"/>
        <w:gridCol w:w="1739"/>
        <w:gridCol w:w="1034"/>
        <w:gridCol w:w="1698"/>
      </w:tblGrid>
      <w:tr w:rsidR="00580026" w:rsidRPr="00910B3F" w14:paraId="6F6FA431" w14:textId="77777777" w:rsidTr="001A661F">
        <w:trPr>
          <w:trHeight w:val="420"/>
          <w:tblHeader/>
          <w:jc w:val="center"/>
        </w:trPr>
        <w:tc>
          <w:tcPr>
            <w:tcW w:w="0" w:type="auto"/>
            <w:noWrap/>
          </w:tcPr>
          <w:p w14:paraId="1AC425A4" w14:textId="77777777" w:rsidR="00580026" w:rsidRPr="00E15C78"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Accionistas</w:t>
            </w:r>
          </w:p>
        </w:tc>
        <w:tc>
          <w:tcPr>
            <w:tcW w:w="1238" w:type="dxa"/>
          </w:tcPr>
          <w:p w14:paraId="71E4C8C3" w14:textId="17B8AB2F" w:rsidR="00580026"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Capital Fijo Serie “A”</w:t>
            </w:r>
          </w:p>
        </w:tc>
        <w:tc>
          <w:tcPr>
            <w:tcW w:w="1739" w:type="dxa"/>
          </w:tcPr>
          <w:p w14:paraId="70F6C5EA" w14:textId="705320B9" w:rsidR="00580026"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Capital Variable Serie “B”</w:t>
            </w:r>
          </w:p>
        </w:tc>
        <w:tc>
          <w:tcPr>
            <w:tcW w:w="0" w:type="auto"/>
          </w:tcPr>
          <w:p w14:paraId="4613A38F" w14:textId="77777777" w:rsidR="00580026"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Acciones</w:t>
            </w:r>
          </w:p>
          <w:p w14:paraId="7A768108" w14:textId="77777777" w:rsidR="00580026"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Totales</w:t>
            </w:r>
          </w:p>
        </w:tc>
        <w:tc>
          <w:tcPr>
            <w:tcW w:w="0" w:type="auto"/>
          </w:tcPr>
          <w:p w14:paraId="2F41192D" w14:textId="77777777" w:rsidR="00580026" w:rsidRPr="00910B3F" w:rsidRDefault="00580026"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Participación</w:t>
            </w:r>
            <w:r w:rsidRPr="00910B3F">
              <w:rPr>
                <w:rFonts w:ascii="ITC Avant Garde" w:hAnsi="ITC Avant Garde"/>
                <w:b/>
                <w:bCs/>
                <w:sz w:val="18"/>
                <w:szCs w:val="18"/>
              </w:rPr>
              <w:t xml:space="preserve"> (%)</w:t>
            </w:r>
          </w:p>
        </w:tc>
      </w:tr>
      <w:tr w:rsidR="00267EB0" w:rsidRPr="00910B3F" w14:paraId="5947CDEC" w14:textId="77777777" w:rsidTr="00580026">
        <w:trPr>
          <w:trHeight w:val="252"/>
          <w:jc w:val="center"/>
        </w:trPr>
        <w:tc>
          <w:tcPr>
            <w:tcW w:w="0" w:type="auto"/>
          </w:tcPr>
          <w:p w14:paraId="1DFEA963" w14:textId="77777777" w:rsidR="00267EB0" w:rsidRPr="00E15C78" w:rsidRDefault="00267EB0" w:rsidP="00CF6CBD">
            <w:pPr>
              <w:autoSpaceDE w:val="0"/>
              <w:autoSpaceDN w:val="0"/>
              <w:adjustRightInd w:val="0"/>
              <w:spacing w:after="0" w:line="240" w:lineRule="auto"/>
              <w:rPr>
                <w:rFonts w:ascii="ITC Avant Garde" w:hAnsi="ITC Avant Garde"/>
                <w:bCs/>
                <w:sz w:val="18"/>
                <w:szCs w:val="18"/>
              </w:rPr>
            </w:pPr>
            <w:proofErr w:type="spellStart"/>
            <w:r>
              <w:rPr>
                <w:rFonts w:ascii="ITC Avant Garde" w:hAnsi="ITC Avant Garde"/>
                <w:bCs/>
                <w:sz w:val="18"/>
                <w:szCs w:val="18"/>
              </w:rPr>
              <w:t>Ace</w:t>
            </w:r>
            <w:proofErr w:type="spellEnd"/>
            <w:r>
              <w:rPr>
                <w:rFonts w:ascii="ITC Avant Garde" w:hAnsi="ITC Avant Garde"/>
                <w:bCs/>
                <w:sz w:val="18"/>
                <w:szCs w:val="18"/>
              </w:rPr>
              <w:t xml:space="preserve"> Telecomunicaciones, S.A. de C.V.</w:t>
            </w:r>
          </w:p>
        </w:tc>
        <w:tc>
          <w:tcPr>
            <w:tcW w:w="1238" w:type="dxa"/>
          </w:tcPr>
          <w:p w14:paraId="4DB4F82E" w14:textId="77777777" w:rsidR="00267EB0" w:rsidDel="00A51519"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45</w:t>
            </w:r>
          </w:p>
        </w:tc>
        <w:tc>
          <w:tcPr>
            <w:tcW w:w="1739" w:type="dxa"/>
          </w:tcPr>
          <w:p w14:paraId="32A1E5E9" w14:textId="77777777" w:rsidR="00267EB0" w:rsidRPr="00447E94" w:rsidDel="00A51519"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0</w:t>
            </w:r>
          </w:p>
        </w:tc>
        <w:tc>
          <w:tcPr>
            <w:tcW w:w="0" w:type="auto"/>
          </w:tcPr>
          <w:p w14:paraId="07FDF663" w14:textId="77777777" w:rsidR="00267EB0" w:rsidDel="00A51519"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45</w:t>
            </w:r>
          </w:p>
        </w:tc>
        <w:tc>
          <w:tcPr>
            <w:tcW w:w="0" w:type="auto"/>
          </w:tcPr>
          <w:p w14:paraId="34E1E62B" w14:textId="77777777" w:rsidR="00267EB0" w:rsidRPr="001E4C7D" w:rsidRDefault="00267EB0" w:rsidP="00CF6CBD">
            <w:pPr>
              <w:autoSpaceDE w:val="0"/>
              <w:autoSpaceDN w:val="0"/>
              <w:adjustRightInd w:val="0"/>
              <w:spacing w:after="0" w:line="240" w:lineRule="auto"/>
              <w:jc w:val="center"/>
              <w:rPr>
                <w:rFonts w:ascii="ITC Avant Garde" w:hAnsi="ITC Avant Garde"/>
                <w:bCs/>
                <w:sz w:val="18"/>
                <w:szCs w:val="18"/>
              </w:rPr>
            </w:pPr>
            <w:r w:rsidRPr="001E4C7D">
              <w:rPr>
                <w:rFonts w:ascii="ITC Avant Garde" w:hAnsi="ITC Avant Garde"/>
                <w:bCs/>
                <w:sz w:val="18"/>
                <w:szCs w:val="18"/>
              </w:rPr>
              <w:t>1.29 %</w:t>
            </w:r>
          </w:p>
        </w:tc>
      </w:tr>
      <w:tr w:rsidR="00267EB0" w:rsidRPr="00910B3F" w14:paraId="3C5C6CDB" w14:textId="77777777" w:rsidTr="00580026">
        <w:trPr>
          <w:trHeight w:val="252"/>
          <w:jc w:val="center"/>
        </w:trPr>
        <w:tc>
          <w:tcPr>
            <w:tcW w:w="0" w:type="auto"/>
          </w:tcPr>
          <w:p w14:paraId="32B3A975" w14:textId="77777777" w:rsidR="00267EB0" w:rsidRPr="00E15C78" w:rsidRDefault="00267EB0" w:rsidP="00CF6CBD">
            <w:pPr>
              <w:autoSpaceDE w:val="0"/>
              <w:autoSpaceDN w:val="0"/>
              <w:adjustRightInd w:val="0"/>
              <w:spacing w:after="0" w:line="240" w:lineRule="auto"/>
              <w:rPr>
                <w:rFonts w:ascii="ITC Avant Garde" w:hAnsi="ITC Avant Garde"/>
                <w:bCs/>
                <w:sz w:val="18"/>
                <w:szCs w:val="18"/>
              </w:rPr>
            </w:pPr>
            <w:r>
              <w:rPr>
                <w:rFonts w:ascii="ITC Avant Garde" w:hAnsi="ITC Avant Garde"/>
                <w:bCs/>
                <w:sz w:val="18"/>
                <w:szCs w:val="18"/>
              </w:rPr>
              <w:t>Roberto Alfonso Rentería Fernández</w:t>
            </w:r>
          </w:p>
        </w:tc>
        <w:tc>
          <w:tcPr>
            <w:tcW w:w="1238" w:type="dxa"/>
          </w:tcPr>
          <w:p w14:paraId="3178B55D" w14:textId="77777777" w:rsidR="00267EB0" w:rsidDel="00A51519"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5</w:t>
            </w:r>
          </w:p>
        </w:tc>
        <w:tc>
          <w:tcPr>
            <w:tcW w:w="1739" w:type="dxa"/>
          </w:tcPr>
          <w:p w14:paraId="7ED26BAD" w14:textId="77777777" w:rsidR="00267EB0" w:rsidDel="00A51519"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0</w:t>
            </w:r>
          </w:p>
        </w:tc>
        <w:tc>
          <w:tcPr>
            <w:tcW w:w="0" w:type="auto"/>
          </w:tcPr>
          <w:p w14:paraId="6979C335" w14:textId="77777777" w:rsidR="00267EB0" w:rsidDel="00A51519"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5</w:t>
            </w:r>
          </w:p>
        </w:tc>
        <w:tc>
          <w:tcPr>
            <w:tcW w:w="0" w:type="auto"/>
          </w:tcPr>
          <w:p w14:paraId="7F42AFBA" w14:textId="77777777" w:rsidR="00267EB0" w:rsidRPr="001E4C7D" w:rsidRDefault="00267EB0" w:rsidP="00CF6CBD">
            <w:pPr>
              <w:autoSpaceDE w:val="0"/>
              <w:autoSpaceDN w:val="0"/>
              <w:adjustRightInd w:val="0"/>
              <w:spacing w:after="0" w:line="240" w:lineRule="auto"/>
              <w:jc w:val="center"/>
              <w:rPr>
                <w:rFonts w:ascii="ITC Avant Garde" w:hAnsi="ITC Avant Garde"/>
                <w:bCs/>
                <w:sz w:val="18"/>
                <w:szCs w:val="18"/>
              </w:rPr>
            </w:pPr>
            <w:r w:rsidRPr="001E4C7D">
              <w:rPr>
                <w:rFonts w:ascii="ITC Avant Garde" w:hAnsi="ITC Avant Garde"/>
                <w:bCs/>
                <w:sz w:val="18"/>
                <w:szCs w:val="18"/>
              </w:rPr>
              <w:t>0.14 %</w:t>
            </w:r>
          </w:p>
        </w:tc>
      </w:tr>
      <w:tr w:rsidR="00267EB0" w:rsidRPr="00910B3F" w14:paraId="09D83B46" w14:textId="77777777" w:rsidTr="00580026">
        <w:trPr>
          <w:trHeight w:val="252"/>
          <w:jc w:val="center"/>
        </w:trPr>
        <w:tc>
          <w:tcPr>
            <w:tcW w:w="0" w:type="auto"/>
          </w:tcPr>
          <w:p w14:paraId="40C8D1D2" w14:textId="77777777" w:rsidR="00267EB0" w:rsidRDefault="00267EB0" w:rsidP="00CF6CBD">
            <w:pPr>
              <w:autoSpaceDE w:val="0"/>
              <w:autoSpaceDN w:val="0"/>
              <w:adjustRightInd w:val="0"/>
              <w:spacing w:after="0" w:line="240" w:lineRule="auto"/>
              <w:rPr>
                <w:rFonts w:ascii="ITC Avant Garde" w:hAnsi="ITC Avant Garde"/>
                <w:bCs/>
                <w:sz w:val="18"/>
                <w:szCs w:val="18"/>
              </w:rPr>
            </w:pPr>
            <w:r>
              <w:rPr>
                <w:rFonts w:ascii="ITC Avant Garde" w:hAnsi="ITC Avant Garde"/>
                <w:bCs/>
                <w:sz w:val="18"/>
                <w:szCs w:val="18"/>
              </w:rPr>
              <w:t>Prosperist, S.A.P.I. de C.V.</w:t>
            </w:r>
          </w:p>
        </w:tc>
        <w:tc>
          <w:tcPr>
            <w:tcW w:w="1238" w:type="dxa"/>
          </w:tcPr>
          <w:p w14:paraId="73262AF8" w14:textId="77777777" w:rsidR="00267EB0"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0</w:t>
            </w:r>
          </w:p>
        </w:tc>
        <w:tc>
          <w:tcPr>
            <w:tcW w:w="1739" w:type="dxa"/>
          </w:tcPr>
          <w:p w14:paraId="1A4B6974" w14:textId="77777777" w:rsidR="00267EB0"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3425</w:t>
            </w:r>
          </w:p>
        </w:tc>
        <w:tc>
          <w:tcPr>
            <w:tcW w:w="0" w:type="auto"/>
          </w:tcPr>
          <w:p w14:paraId="5A193645" w14:textId="77777777" w:rsidR="00267EB0" w:rsidRDefault="00267EB0"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3425</w:t>
            </w:r>
          </w:p>
        </w:tc>
        <w:tc>
          <w:tcPr>
            <w:tcW w:w="0" w:type="auto"/>
          </w:tcPr>
          <w:p w14:paraId="1443D893" w14:textId="77777777" w:rsidR="00267EB0" w:rsidRPr="001E4C7D" w:rsidRDefault="00267EB0" w:rsidP="00CF6CBD">
            <w:pPr>
              <w:autoSpaceDE w:val="0"/>
              <w:autoSpaceDN w:val="0"/>
              <w:adjustRightInd w:val="0"/>
              <w:spacing w:after="0" w:line="240" w:lineRule="auto"/>
              <w:jc w:val="center"/>
              <w:rPr>
                <w:rFonts w:ascii="ITC Avant Garde" w:hAnsi="ITC Avant Garde"/>
                <w:bCs/>
                <w:sz w:val="18"/>
                <w:szCs w:val="18"/>
              </w:rPr>
            </w:pPr>
            <w:r w:rsidRPr="001E4C7D">
              <w:rPr>
                <w:rFonts w:ascii="ITC Avant Garde" w:hAnsi="ITC Avant Garde"/>
                <w:bCs/>
                <w:sz w:val="18"/>
                <w:szCs w:val="18"/>
              </w:rPr>
              <w:t>98.56%</w:t>
            </w:r>
          </w:p>
        </w:tc>
      </w:tr>
      <w:tr w:rsidR="00267EB0" w:rsidRPr="00910B3F" w14:paraId="5F3FE1AA" w14:textId="77777777" w:rsidTr="00580026">
        <w:trPr>
          <w:trHeight w:val="252"/>
          <w:jc w:val="center"/>
        </w:trPr>
        <w:tc>
          <w:tcPr>
            <w:tcW w:w="0" w:type="auto"/>
          </w:tcPr>
          <w:p w14:paraId="4766A4ED" w14:textId="77777777" w:rsidR="00267EB0" w:rsidRPr="00E15C78" w:rsidRDefault="00267EB0" w:rsidP="00CF6CBD">
            <w:pPr>
              <w:autoSpaceDE w:val="0"/>
              <w:autoSpaceDN w:val="0"/>
              <w:adjustRightInd w:val="0"/>
              <w:spacing w:after="0" w:line="240" w:lineRule="auto"/>
              <w:rPr>
                <w:rFonts w:ascii="ITC Avant Garde" w:hAnsi="ITC Avant Garde"/>
                <w:b/>
                <w:bCs/>
                <w:sz w:val="18"/>
                <w:szCs w:val="18"/>
              </w:rPr>
            </w:pPr>
            <w:r>
              <w:rPr>
                <w:rFonts w:ascii="ITC Avant Garde" w:hAnsi="ITC Avant Garde"/>
                <w:b/>
                <w:bCs/>
                <w:sz w:val="18"/>
                <w:szCs w:val="18"/>
              </w:rPr>
              <w:t>Total</w:t>
            </w:r>
          </w:p>
        </w:tc>
        <w:tc>
          <w:tcPr>
            <w:tcW w:w="1238" w:type="dxa"/>
          </w:tcPr>
          <w:p w14:paraId="47D1F04A" w14:textId="77777777" w:rsidR="00267EB0" w:rsidRPr="00910B3F" w:rsidDel="00A51519" w:rsidRDefault="00267EB0"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50</w:t>
            </w:r>
          </w:p>
        </w:tc>
        <w:tc>
          <w:tcPr>
            <w:tcW w:w="1739" w:type="dxa"/>
          </w:tcPr>
          <w:p w14:paraId="5BFC18B4" w14:textId="77777777" w:rsidR="00267EB0" w:rsidRPr="00910B3F" w:rsidDel="00A51519" w:rsidRDefault="00267EB0"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3425</w:t>
            </w:r>
          </w:p>
        </w:tc>
        <w:tc>
          <w:tcPr>
            <w:tcW w:w="0" w:type="auto"/>
          </w:tcPr>
          <w:p w14:paraId="714C98B7" w14:textId="77777777" w:rsidR="00267EB0" w:rsidRPr="00910B3F" w:rsidDel="00A51519" w:rsidRDefault="00267EB0"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3475</w:t>
            </w:r>
          </w:p>
        </w:tc>
        <w:tc>
          <w:tcPr>
            <w:tcW w:w="0" w:type="auto"/>
          </w:tcPr>
          <w:p w14:paraId="228B90D4" w14:textId="77777777" w:rsidR="00267EB0" w:rsidRPr="00910B3F" w:rsidRDefault="00267EB0"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100 %</w:t>
            </w:r>
          </w:p>
        </w:tc>
      </w:tr>
    </w:tbl>
    <w:p w14:paraId="6B5D32AF" w14:textId="77777777" w:rsidR="00CF6CBD" w:rsidRDefault="00C06E77" w:rsidP="00CF6CBD">
      <w:pPr>
        <w:autoSpaceDE w:val="0"/>
        <w:autoSpaceDN w:val="0"/>
        <w:adjustRightInd w:val="0"/>
        <w:spacing w:before="240" w:afterLines="120" w:after="288" w:line="240" w:lineRule="auto"/>
        <w:jc w:val="both"/>
        <w:rPr>
          <w:rFonts w:ascii="ITC Avant Garde" w:hAnsi="ITC Avant Garde"/>
          <w:bCs/>
        </w:rPr>
      </w:pPr>
      <w:r w:rsidRPr="00A06D0A">
        <w:rPr>
          <w:rFonts w:ascii="ITC Avant Garde" w:hAnsi="ITC Avant Garde"/>
          <w:bCs/>
        </w:rPr>
        <w:t>Por otra parte</w:t>
      </w:r>
      <w:r w:rsidR="004D43D6" w:rsidRPr="00A06D0A">
        <w:rPr>
          <w:rFonts w:ascii="ITC Avant Garde" w:hAnsi="ITC Avant Garde"/>
          <w:bCs/>
        </w:rPr>
        <w:t xml:space="preserve">, </w:t>
      </w:r>
      <w:r w:rsidR="0041079A">
        <w:rPr>
          <w:rFonts w:ascii="ITC Avant Garde" w:hAnsi="ITC Avant Garde"/>
          <w:bCs/>
        </w:rPr>
        <w:t xml:space="preserve">tal como se señaló en el Considerando Primero de la presente Resolución, el Instituto es la autoridad en materia de </w:t>
      </w:r>
      <w:r w:rsidR="0041079A" w:rsidRPr="00A06D0A">
        <w:rPr>
          <w:rFonts w:ascii="ITC Avant Garde" w:hAnsi="ITC Avant Garde"/>
          <w:bCs/>
        </w:rPr>
        <w:t xml:space="preserve">competencia económica </w:t>
      </w:r>
      <w:r w:rsidR="0041079A">
        <w:rPr>
          <w:rFonts w:ascii="ITC Avant Garde" w:hAnsi="ITC Avant Garde"/>
          <w:bCs/>
        </w:rPr>
        <w:t>en</w:t>
      </w:r>
      <w:r w:rsidR="0041079A" w:rsidRPr="00A06D0A">
        <w:rPr>
          <w:rFonts w:ascii="ITC Avant Garde" w:hAnsi="ITC Avant Garde"/>
          <w:bCs/>
        </w:rPr>
        <w:t xml:space="preserve"> los sectores de </w:t>
      </w:r>
      <w:r w:rsidR="0041079A" w:rsidRPr="00A06D0A">
        <w:rPr>
          <w:rFonts w:ascii="ITC Avant Garde" w:hAnsi="ITC Avant Garde"/>
          <w:bCs/>
          <w:lang w:eastAsia="es-MX"/>
        </w:rPr>
        <w:t>radiodifusión</w:t>
      </w:r>
      <w:r w:rsidR="0041079A" w:rsidRPr="00A06D0A">
        <w:rPr>
          <w:rFonts w:ascii="ITC Avant Garde" w:hAnsi="ITC Avant Garde"/>
          <w:bCs/>
        </w:rPr>
        <w:t xml:space="preserve"> y telecomunicaciones</w:t>
      </w:r>
      <w:r w:rsidR="0041079A">
        <w:rPr>
          <w:rFonts w:ascii="ITC Avant Garde" w:hAnsi="ITC Avant Garde"/>
          <w:bCs/>
        </w:rPr>
        <w:t xml:space="preserve">, por lo que a efecto de contar con mayores elementos para resolver la Solicitud de Suscripción de Acciones, mediante oficio IFT/223/UCS/DG-CTEL/1838/2017 de fecha 27 de septiembre de 2017, la Unidad de Concesiones y Servicios, a través de la Dirección General de Concesiones de Telecomunicaciones, solicitó a la </w:t>
      </w:r>
      <w:r w:rsidR="0041079A" w:rsidRPr="00A06D0A">
        <w:rPr>
          <w:rFonts w:ascii="ITC Avant Garde" w:hAnsi="ITC Avant Garde"/>
          <w:bCs/>
        </w:rPr>
        <w:t>Dirección General de Concentraciones y Concesiones, adscrita a la Unidad de Competencia Económica</w:t>
      </w:r>
      <w:r w:rsidR="0041079A">
        <w:rPr>
          <w:rFonts w:ascii="ITC Avant Garde" w:hAnsi="ITC Avant Garde"/>
          <w:bCs/>
        </w:rPr>
        <w:t>, remitir su opinión respecto de la Solicitud de Suscripción de Acciones.</w:t>
      </w:r>
    </w:p>
    <w:p w14:paraId="2F928219" w14:textId="77777777" w:rsidR="00CF6CBD" w:rsidRDefault="0041079A" w:rsidP="00CF6CBD">
      <w:pPr>
        <w:autoSpaceDE w:val="0"/>
        <w:autoSpaceDN w:val="0"/>
        <w:adjustRightInd w:val="0"/>
        <w:spacing w:afterLines="120" w:after="288" w:line="240" w:lineRule="auto"/>
        <w:jc w:val="both"/>
        <w:rPr>
          <w:rFonts w:ascii="ITC Avant Garde" w:hAnsi="ITC Avant Garde"/>
          <w:bCs/>
        </w:rPr>
      </w:pPr>
      <w:r>
        <w:rPr>
          <w:rFonts w:ascii="ITC Avant Garde" w:hAnsi="ITC Avant Garde"/>
          <w:bCs/>
        </w:rPr>
        <w:lastRenderedPageBreak/>
        <w:t xml:space="preserve">Al respecto, mediante oficio IFT/226/UCE/DG-CCON/668/2017, de fecha 4 de octubre de 2017, la Dirección General de Concentraciones y Concesiones solicitó a la Dirección General de Concesiones de Telecomunicaciones, requerir a Integración de Servicios y Tecnología, S.A. de C.V. </w:t>
      </w:r>
      <w:r w:rsidR="009873CF">
        <w:rPr>
          <w:rFonts w:ascii="ITC Avant Garde" w:hAnsi="ITC Avant Garde"/>
          <w:bCs/>
        </w:rPr>
        <w:t>diversa información</w:t>
      </w:r>
      <w:r w:rsidR="000F0DA1">
        <w:rPr>
          <w:rFonts w:ascii="ITC Avant Garde" w:hAnsi="ITC Avant Garde"/>
          <w:bCs/>
        </w:rPr>
        <w:t>,</w:t>
      </w:r>
      <w:r w:rsidR="009873CF">
        <w:rPr>
          <w:rFonts w:ascii="ITC Avant Garde" w:hAnsi="ITC Avant Garde"/>
          <w:bCs/>
        </w:rPr>
        <w:t xml:space="preserve"> a efecto de sustancia</w:t>
      </w:r>
      <w:r w:rsidR="000F0DA1">
        <w:rPr>
          <w:rFonts w:ascii="ITC Avant Garde" w:hAnsi="ITC Avant Garde"/>
          <w:bCs/>
        </w:rPr>
        <w:t>r</w:t>
      </w:r>
      <w:r w:rsidR="009873CF">
        <w:rPr>
          <w:rFonts w:ascii="ITC Avant Garde" w:hAnsi="ITC Avant Garde"/>
          <w:bCs/>
        </w:rPr>
        <w:t xml:space="preserve"> e</w:t>
      </w:r>
      <w:r w:rsidR="000F0DA1">
        <w:rPr>
          <w:rFonts w:ascii="ITC Avant Garde" w:hAnsi="ITC Avant Garde"/>
          <w:bCs/>
        </w:rPr>
        <w:t>l</w:t>
      </w:r>
      <w:r w:rsidR="009873CF">
        <w:rPr>
          <w:rFonts w:ascii="ITC Avant Garde" w:hAnsi="ITC Avant Garde"/>
          <w:bCs/>
        </w:rPr>
        <w:t xml:space="preserve"> análisis respectivo en materia de competencia económica. Dicha información fue requerida al concesionario por la Dirección General de Concesiones de Telecomunicaciones,</w:t>
      </w:r>
      <w:r w:rsidR="000F0DA1">
        <w:rPr>
          <w:rFonts w:ascii="ITC Avant Garde" w:hAnsi="ITC Avant Garde"/>
          <w:bCs/>
        </w:rPr>
        <w:t xml:space="preserve"> </w:t>
      </w:r>
      <w:r w:rsidR="009873CF">
        <w:rPr>
          <w:rFonts w:ascii="ITC Avant Garde" w:hAnsi="ITC Avant Garde"/>
          <w:bCs/>
        </w:rPr>
        <w:t xml:space="preserve">mediante oficio IFT/223/UCS/DG-CTEL/1922/2017 de fecha 10 </w:t>
      </w:r>
      <w:r w:rsidR="000F0DA1">
        <w:rPr>
          <w:rFonts w:ascii="ITC Avant Garde" w:hAnsi="ITC Avant Garde"/>
          <w:bCs/>
        </w:rPr>
        <w:t>d</w:t>
      </w:r>
      <w:r w:rsidR="009873CF">
        <w:rPr>
          <w:rFonts w:ascii="ITC Avant Garde" w:hAnsi="ITC Avant Garde"/>
          <w:bCs/>
        </w:rPr>
        <w:t>e oc</w:t>
      </w:r>
      <w:r w:rsidR="000F0DA1">
        <w:rPr>
          <w:rFonts w:ascii="ITC Avant Garde" w:hAnsi="ITC Avant Garde"/>
          <w:bCs/>
        </w:rPr>
        <w:t xml:space="preserve">tubre de 2017. </w:t>
      </w:r>
    </w:p>
    <w:p w14:paraId="66905303" w14:textId="77777777" w:rsidR="00CF6CBD" w:rsidRDefault="000F0DA1" w:rsidP="00CF6CBD">
      <w:pPr>
        <w:autoSpaceDE w:val="0"/>
        <w:autoSpaceDN w:val="0"/>
        <w:adjustRightInd w:val="0"/>
        <w:spacing w:afterLines="120" w:after="288" w:line="240" w:lineRule="auto"/>
        <w:jc w:val="both"/>
        <w:rPr>
          <w:rFonts w:ascii="ITC Avant Garde" w:hAnsi="ITC Avant Garde"/>
          <w:bCs/>
        </w:rPr>
      </w:pPr>
      <w:r>
        <w:rPr>
          <w:rFonts w:ascii="ITC Avant Garde" w:hAnsi="ITC Avant Garde"/>
          <w:bCs/>
        </w:rPr>
        <w:t xml:space="preserve">En atención a lo anterior, mediante escritos presentados ante el Instituto los días 20 de octubre, 7 y 8 de noviembre de 2017, Integración de Servicios y Tecnología, S.A. de C.V. remitió al Instituto diversa información con el objeto de desahogar el requerimiento referido previamente. Dicha información fue remitida a la </w:t>
      </w:r>
      <w:r w:rsidRPr="00A06D0A">
        <w:rPr>
          <w:rFonts w:ascii="ITC Avant Garde" w:hAnsi="ITC Avant Garde"/>
          <w:bCs/>
        </w:rPr>
        <w:t>Dirección General de Concentraciones y Concesiones, adscrita a la Unidad de Competencia Económica</w:t>
      </w:r>
      <w:r>
        <w:rPr>
          <w:rFonts w:ascii="ITC Avant Garde" w:hAnsi="ITC Avant Garde"/>
          <w:bCs/>
        </w:rPr>
        <w:t>, mediante oficios IFT/223/UCS/DG-CTEL/2059/2017 de fecha 24 de octubre de 2017 e IFT</w:t>
      </w:r>
      <w:r w:rsidR="00167F29">
        <w:rPr>
          <w:rFonts w:ascii="ITC Avant Garde" w:hAnsi="ITC Avant Garde"/>
          <w:bCs/>
        </w:rPr>
        <w:t>/223/UCS/DG-CTEL/2132/2017 de fecha 8 de noviembre de 2017.</w:t>
      </w:r>
    </w:p>
    <w:p w14:paraId="6B60B20F" w14:textId="77777777" w:rsidR="00CF6CBD" w:rsidRDefault="00BB61F0" w:rsidP="00CF6CBD">
      <w:pPr>
        <w:autoSpaceDE w:val="0"/>
        <w:autoSpaceDN w:val="0"/>
        <w:adjustRightInd w:val="0"/>
        <w:spacing w:afterLines="120" w:after="288" w:line="240" w:lineRule="auto"/>
        <w:jc w:val="both"/>
        <w:rPr>
          <w:rFonts w:ascii="ITC Avant Garde" w:hAnsi="ITC Avant Garde"/>
          <w:bCs/>
        </w:rPr>
      </w:pPr>
      <w:r>
        <w:rPr>
          <w:rFonts w:ascii="ITC Avant Garde" w:hAnsi="ITC Avant Garde"/>
          <w:bCs/>
        </w:rPr>
        <w:t xml:space="preserve">En ese sentido, </w:t>
      </w:r>
      <w:r w:rsidR="004D43D6" w:rsidRPr="00A06D0A">
        <w:rPr>
          <w:rFonts w:ascii="ITC Avant Garde" w:hAnsi="ITC Avant Garde"/>
          <w:bCs/>
        </w:rPr>
        <w:t xml:space="preserve">la Dirección General de Concentraciones y Concesiones, adscrita a la Unidad de Competencia Económica, </w:t>
      </w:r>
      <w:r w:rsidR="00C06E77" w:rsidRPr="00A06D0A">
        <w:rPr>
          <w:rFonts w:ascii="ITC Avant Garde" w:hAnsi="ITC Avant Garde"/>
          <w:bCs/>
        </w:rPr>
        <w:t>emitió</w:t>
      </w:r>
      <w:r w:rsidR="006479C5">
        <w:rPr>
          <w:rFonts w:ascii="ITC Avant Garde" w:hAnsi="ITC Avant Garde"/>
          <w:bCs/>
        </w:rPr>
        <w:t xml:space="preserve"> opinión</w:t>
      </w:r>
      <w:r w:rsidR="004D43D6" w:rsidRPr="00A06D0A">
        <w:rPr>
          <w:rFonts w:ascii="ITC Avant Garde" w:hAnsi="ITC Avant Garde"/>
          <w:bCs/>
        </w:rPr>
        <w:t xml:space="preserve"> respecto </w:t>
      </w:r>
      <w:r w:rsidR="00C06E77" w:rsidRPr="00A06D0A">
        <w:rPr>
          <w:rFonts w:ascii="ITC Avant Garde" w:hAnsi="ITC Avant Garde"/>
          <w:bCs/>
        </w:rPr>
        <w:t xml:space="preserve">de la Solicitud de </w:t>
      </w:r>
      <w:r>
        <w:rPr>
          <w:rFonts w:ascii="ITC Avant Garde" w:hAnsi="ITC Avant Garde"/>
          <w:bCs/>
        </w:rPr>
        <w:t>Suscripción</w:t>
      </w:r>
      <w:r w:rsidR="00C06E77" w:rsidRPr="00A06D0A">
        <w:rPr>
          <w:rFonts w:ascii="ITC Avant Garde" w:hAnsi="ITC Avant Garde"/>
          <w:bCs/>
        </w:rPr>
        <w:t xml:space="preserve"> de Ac</w:t>
      </w:r>
      <w:r w:rsidR="00C06E77" w:rsidRPr="00630FF9">
        <w:rPr>
          <w:rFonts w:ascii="ITC Avant Garde" w:hAnsi="ITC Avant Garde"/>
          <w:bCs/>
        </w:rPr>
        <w:t>ciones</w:t>
      </w:r>
      <w:r w:rsidR="00405310" w:rsidRPr="00630FF9">
        <w:rPr>
          <w:rFonts w:ascii="ITC Avant Garde" w:hAnsi="ITC Avant Garde"/>
          <w:bCs/>
        </w:rPr>
        <w:t xml:space="preserve"> a través del oficio </w:t>
      </w:r>
      <w:r w:rsidR="00405310" w:rsidRPr="00EE6CA8">
        <w:rPr>
          <w:rFonts w:ascii="ITC Avant Garde" w:hAnsi="ITC Avant Garde"/>
          <w:bCs/>
        </w:rPr>
        <w:t>IFT/226/UCE/DG-CCON/</w:t>
      </w:r>
      <w:r w:rsidR="00EE6CA8" w:rsidRPr="00EE6CA8">
        <w:rPr>
          <w:rFonts w:ascii="ITC Avant Garde" w:hAnsi="ITC Avant Garde"/>
          <w:bCs/>
        </w:rPr>
        <w:t>743</w:t>
      </w:r>
      <w:r w:rsidR="00405310" w:rsidRPr="00EE6CA8">
        <w:rPr>
          <w:rFonts w:ascii="ITC Avant Garde" w:hAnsi="ITC Avant Garde"/>
          <w:bCs/>
        </w:rPr>
        <w:t xml:space="preserve">/2017 de fecha </w:t>
      </w:r>
      <w:r w:rsidR="00EE6CA8" w:rsidRPr="00EE6CA8">
        <w:rPr>
          <w:rFonts w:ascii="ITC Avant Garde" w:hAnsi="ITC Avant Garde"/>
          <w:bCs/>
        </w:rPr>
        <w:t>2017</w:t>
      </w:r>
      <w:r w:rsidR="0066687B" w:rsidRPr="00EE6CA8">
        <w:rPr>
          <w:rFonts w:ascii="ITC Avant Garde" w:hAnsi="ITC Avant Garde"/>
          <w:bCs/>
        </w:rPr>
        <w:t xml:space="preserve"> </w:t>
      </w:r>
      <w:r w:rsidR="00405310" w:rsidRPr="00EE6CA8">
        <w:rPr>
          <w:rFonts w:ascii="ITC Avant Garde" w:hAnsi="ITC Avant Garde"/>
          <w:bCs/>
        </w:rPr>
        <w:t xml:space="preserve">de 2017, </w:t>
      </w:r>
      <w:r w:rsidRPr="00EE6CA8">
        <w:rPr>
          <w:rFonts w:ascii="ITC Avant Garde" w:hAnsi="ITC Avant Garde"/>
          <w:bCs/>
        </w:rPr>
        <w:t>en el que señaló</w:t>
      </w:r>
      <w:r w:rsidR="00405310" w:rsidRPr="00EE6CA8">
        <w:rPr>
          <w:rFonts w:ascii="ITC Avant Garde" w:hAnsi="ITC Avant Garde"/>
          <w:bCs/>
        </w:rPr>
        <w:t xml:space="preserve"> lo siguiente:</w:t>
      </w:r>
    </w:p>
    <w:p w14:paraId="3245CA17" w14:textId="77777777" w:rsidR="00CF6CBD" w:rsidRDefault="00010FB7" w:rsidP="00CF6CBD">
      <w:pPr>
        <w:autoSpaceDE w:val="0"/>
        <w:autoSpaceDN w:val="0"/>
        <w:adjustRightInd w:val="0"/>
        <w:spacing w:afterLines="120" w:after="288" w:line="240" w:lineRule="auto"/>
        <w:ind w:left="1134" w:right="612"/>
        <w:jc w:val="both"/>
        <w:rPr>
          <w:rFonts w:ascii="ITC Avant Garde" w:hAnsi="ITC Avant Garde"/>
          <w:bCs/>
          <w:i/>
          <w:sz w:val="18"/>
          <w:szCs w:val="18"/>
        </w:rPr>
      </w:pPr>
      <w:r w:rsidRPr="00630FF9">
        <w:rPr>
          <w:rFonts w:ascii="ITC Avant Garde" w:hAnsi="ITC Avant Garde"/>
          <w:bCs/>
          <w:i/>
          <w:sz w:val="18"/>
          <w:szCs w:val="18"/>
        </w:rPr>
        <w:t>“</w:t>
      </w:r>
      <w:r w:rsidR="00BF1C17" w:rsidRPr="00630FF9">
        <w:rPr>
          <w:rFonts w:ascii="ITC Avant Garde" w:hAnsi="ITC Avant Garde"/>
          <w:bCs/>
          <w:i/>
          <w:sz w:val="18"/>
          <w:szCs w:val="18"/>
        </w:rPr>
        <w:t>[…]</w:t>
      </w:r>
    </w:p>
    <w:p w14:paraId="61437361" w14:textId="779BE24E" w:rsidR="001E3E22" w:rsidRPr="0054673B" w:rsidRDefault="001E3E22" w:rsidP="0054673B">
      <w:pPr>
        <w:pStyle w:val="Sinespaciado"/>
        <w:numPr>
          <w:ilvl w:val="0"/>
          <w:numId w:val="38"/>
        </w:numPr>
        <w:spacing w:afterLines="120" w:after="288"/>
        <w:ind w:left="1418" w:right="566"/>
        <w:jc w:val="both"/>
        <w:rPr>
          <w:rFonts w:ascii="ITC Avant Garde" w:hAnsi="ITC Avant Garde"/>
          <w:b/>
          <w:i/>
          <w:sz w:val="18"/>
          <w:szCs w:val="18"/>
        </w:rPr>
      </w:pPr>
      <w:r w:rsidRPr="0054673B">
        <w:rPr>
          <w:rFonts w:ascii="ITC Avant Garde" w:hAnsi="ITC Avant Garde"/>
          <w:b/>
          <w:i/>
          <w:sz w:val="18"/>
          <w:szCs w:val="18"/>
        </w:rPr>
        <w:t xml:space="preserve">Análisis y opinión en materia de competencia económica de la Operación </w:t>
      </w:r>
    </w:p>
    <w:p w14:paraId="73AE3E28" w14:textId="77777777" w:rsidR="001E3E22" w:rsidRPr="001E3E22" w:rsidRDefault="001E3E22" w:rsidP="00CF6CBD">
      <w:pPr>
        <w:pStyle w:val="Sinespaciado"/>
        <w:spacing w:afterLines="120" w:after="288"/>
        <w:ind w:left="1134" w:right="566"/>
        <w:jc w:val="both"/>
        <w:rPr>
          <w:rFonts w:ascii="ITC Avant Garde" w:hAnsi="ITC Avant Garde"/>
          <w:i/>
          <w:sz w:val="18"/>
          <w:szCs w:val="18"/>
        </w:rPr>
      </w:pPr>
      <w:r w:rsidRPr="001E3E22">
        <w:rPr>
          <w:rFonts w:ascii="ITC Avant Garde" w:hAnsi="ITC Avant Garde"/>
          <w:i/>
          <w:sz w:val="18"/>
          <w:szCs w:val="18"/>
        </w:rPr>
        <w:t>A partir de la información remitida por la DGCT y la disponible para esta DGCC, se tienen los siguientes elementos:</w:t>
      </w:r>
    </w:p>
    <w:p w14:paraId="7E937046" w14:textId="77777777" w:rsidR="001E3E22" w:rsidRPr="001E3E22" w:rsidRDefault="001E3E22" w:rsidP="00CF6CBD">
      <w:pPr>
        <w:pStyle w:val="Sinespaciado"/>
        <w:numPr>
          <w:ilvl w:val="0"/>
          <w:numId w:val="37"/>
        </w:numPr>
        <w:spacing w:afterLines="120" w:after="288"/>
        <w:ind w:left="1134" w:right="566" w:firstLine="0"/>
        <w:jc w:val="both"/>
        <w:rPr>
          <w:rFonts w:ascii="ITC Avant Garde" w:hAnsi="ITC Avant Garde"/>
          <w:i/>
          <w:sz w:val="18"/>
          <w:szCs w:val="18"/>
        </w:rPr>
      </w:pPr>
      <w:r w:rsidRPr="001E3E22">
        <w:rPr>
          <w:rFonts w:ascii="ITC Avant Garde" w:hAnsi="ITC Avant Garde"/>
          <w:i/>
          <w:sz w:val="18"/>
          <w:szCs w:val="18"/>
        </w:rPr>
        <w:t>La Operación consiste en la emisión de 3,425 (tres mil cuatrocientos veinticinco) acciones de Integración de Servicios y Tecnología, que serían suscritas por Prosperist.</w:t>
      </w:r>
    </w:p>
    <w:p w14:paraId="7947356C" w14:textId="53668B6F" w:rsidR="001E3E22" w:rsidRPr="001E3E22" w:rsidRDefault="001E3E22" w:rsidP="00CF6CBD">
      <w:pPr>
        <w:pStyle w:val="Sinespaciado"/>
        <w:numPr>
          <w:ilvl w:val="0"/>
          <w:numId w:val="37"/>
        </w:numPr>
        <w:spacing w:afterLines="120" w:after="288"/>
        <w:ind w:left="1134" w:right="566" w:firstLine="0"/>
        <w:jc w:val="both"/>
        <w:rPr>
          <w:rFonts w:ascii="ITC Avant Garde" w:hAnsi="ITC Avant Garde"/>
          <w:i/>
          <w:sz w:val="18"/>
          <w:szCs w:val="18"/>
        </w:rPr>
      </w:pPr>
      <w:r w:rsidRPr="001E3E22">
        <w:rPr>
          <w:rFonts w:ascii="ITC Avant Garde" w:hAnsi="ITC Avant Garde"/>
          <w:i/>
          <w:sz w:val="18"/>
          <w:szCs w:val="18"/>
        </w:rPr>
        <w:t xml:space="preserve">Como consecuencia de la Operación, la estructura accionaria de Prosperist también se vería modificada, producto de la emisión de una nueva serie acciones de su capital variable; no obstante los poseedores de esas nuevas acciones serían los accionistas actuales de Prosperist, salvo las personas físicas </w:t>
      </w:r>
      <w:r w:rsidR="00592000" w:rsidRPr="00592000">
        <w:rPr>
          <w:rFonts w:ascii="ITC Avant Garde" w:hAnsi="ITC Avant Garde"/>
          <w:b/>
          <w:i/>
          <w:color w:val="0000CC"/>
          <w:sz w:val="16"/>
          <w:szCs w:val="16"/>
        </w:rPr>
        <w:t>“CONFIDENCIAL POR LEY”</w:t>
      </w:r>
      <w:r w:rsidR="00592000">
        <w:rPr>
          <w:rFonts w:ascii="ITC Avant Garde" w:hAnsi="ITC Avant Garde"/>
          <w:b/>
          <w:i/>
          <w:color w:val="0000CC"/>
          <w:sz w:val="16"/>
          <w:szCs w:val="16"/>
        </w:rPr>
        <w:t xml:space="preserve"> </w:t>
      </w:r>
      <w:r w:rsidRPr="001E3E22">
        <w:rPr>
          <w:rFonts w:ascii="ITC Avant Garde" w:hAnsi="ITC Avant Garde"/>
          <w:i/>
          <w:sz w:val="18"/>
          <w:szCs w:val="18"/>
        </w:rPr>
        <w:t xml:space="preserve"> y </w:t>
      </w:r>
      <w:r w:rsidR="00592000" w:rsidRPr="00592000">
        <w:rPr>
          <w:rFonts w:ascii="ITC Avant Garde" w:hAnsi="ITC Avant Garde"/>
          <w:b/>
          <w:i/>
          <w:color w:val="0000CC"/>
          <w:sz w:val="16"/>
          <w:szCs w:val="16"/>
        </w:rPr>
        <w:t>“CONFIDENCIAL POR LEY”</w:t>
      </w:r>
      <w:r w:rsidRPr="001E3E22">
        <w:rPr>
          <w:rFonts w:ascii="ITC Avant Garde" w:hAnsi="ITC Avant Garde"/>
          <w:i/>
          <w:sz w:val="18"/>
          <w:szCs w:val="18"/>
        </w:rPr>
        <w:t>,</w:t>
      </w:r>
      <w:r w:rsidRPr="001E3E22">
        <w:rPr>
          <w:rFonts w:ascii="ITC Avant Garde" w:hAnsi="ITC Avant Garde"/>
          <w:i/>
          <w:sz w:val="18"/>
          <w:szCs w:val="18"/>
        </w:rPr>
        <w:t xml:space="preserve"> cuyas participaciones en Prosperist (y por lo tanto en Integración de Servicios y Tecnología) no serían significativas (son menores al </w:t>
      </w:r>
      <w:r w:rsidR="00592000" w:rsidRPr="00592000">
        <w:rPr>
          <w:rFonts w:ascii="ITC Avant Garde" w:hAnsi="ITC Avant Garde"/>
          <w:b/>
          <w:i/>
          <w:color w:val="0000CC"/>
          <w:sz w:val="16"/>
          <w:szCs w:val="16"/>
        </w:rPr>
        <w:t>“CONFIDENCIAL POR LEY”</w:t>
      </w:r>
      <w:r w:rsidRPr="001E3E22">
        <w:rPr>
          <w:rFonts w:ascii="ITC Avant Garde" w:hAnsi="ITC Avant Garde"/>
          <w:i/>
          <w:sz w:val="18"/>
          <w:szCs w:val="18"/>
        </w:rPr>
        <w:t>%).</w:t>
      </w:r>
    </w:p>
    <w:p w14:paraId="3BD96426" w14:textId="77777777" w:rsidR="001E3E22" w:rsidRPr="001E3E22" w:rsidRDefault="001E3E22" w:rsidP="00CF6CBD">
      <w:pPr>
        <w:pStyle w:val="Sinespaciado"/>
        <w:numPr>
          <w:ilvl w:val="0"/>
          <w:numId w:val="37"/>
        </w:numPr>
        <w:spacing w:afterLines="120" w:after="288"/>
        <w:ind w:left="1134" w:right="566" w:firstLine="0"/>
        <w:jc w:val="both"/>
        <w:rPr>
          <w:rFonts w:ascii="ITC Avant Garde" w:hAnsi="ITC Avant Garde"/>
          <w:i/>
          <w:sz w:val="18"/>
          <w:szCs w:val="18"/>
        </w:rPr>
      </w:pPr>
      <w:r w:rsidRPr="001E3E22">
        <w:rPr>
          <w:rFonts w:ascii="ITC Avant Garde" w:hAnsi="ITC Avant Garde"/>
          <w:i/>
          <w:sz w:val="18"/>
          <w:szCs w:val="18"/>
        </w:rPr>
        <w:t>Antes y después de la Operación, Prosperist ejerce el control, en última instancia, sobre Integración de Servicios y Tecnología.</w:t>
      </w:r>
    </w:p>
    <w:p w14:paraId="1DE3DFA5" w14:textId="77777777" w:rsidR="001E3E22" w:rsidRPr="001E3E22" w:rsidRDefault="001E3E22" w:rsidP="00CF6CBD">
      <w:pPr>
        <w:pStyle w:val="Textoindependiente2"/>
        <w:numPr>
          <w:ilvl w:val="0"/>
          <w:numId w:val="37"/>
        </w:numPr>
        <w:tabs>
          <w:tab w:val="left" w:pos="1134"/>
        </w:tabs>
        <w:spacing w:afterLines="120" w:after="288" w:line="240" w:lineRule="auto"/>
        <w:ind w:left="1134" w:right="566" w:firstLine="0"/>
        <w:jc w:val="both"/>
        <w:rPr>
          <w:rFonts w:ascii="ITC Avant Garde" w:hAnsi="ITC Avant Garde"/>
          <w:i/>
          <w:sz w:val="18"/>
          <w:szCs w:val="18"/>
        </w:rPr>
      </w:pPr>
      <w:r w:rsidRPr="001E3E22">
        <w:rPr>
          <w:rFonts w:ascii="ITC Avant Garde" w:hAnsi="ITC Avant Garde"/>
          <w:i/>
          <w:sz w:val="18"/>
          <w:szCs w:val="18"/>
        </w:rPr>
        <w:t>De acuerdo con la información presentada por el Concesionario, Prosperist y sus accionistas no participan directa o indirectamente en otras empresas, sociedades o asociaciones, distintas a ACE Telecomunicaciones e Integración de Servicios y Tecnología, con actividades comerciales relacionadas en los sectores de telecomunicaciones o radiodifusión en México.</w:t>
      </w:r>
    </w:p>
    <w:p w14:paraId="4A078E9D" w14:textId="77777777" w:rsidR="001E3E22" w:rsidRPr="001E3E22" w:rsidRDefault="001E3E22" w:rsidP="00CF6CBD">
      <w:pPr>
        <w:pStyle w:val="Textoindependiente2"/>
        <w:numPr>
          <w:ilvl w:val="0"/>
          <w:numId w:val="37"/>
        </w:numPr>
        <w:tabs>
          <w:tab w:val="left" w:pos="1134"/>
        </w:tabs>
        <w:spacing w:afterLines="120" w:after="288" w:line="240" w:lineRule="auto"/>
        <w:ind w:left="1134" w:right="566" w:firstLine="0"/>
        <w:jc w:val="both"/>
        <w:rPr>
          <w:rFonts w:ascii="ITC Avant Garde" w:hAnsi="ITC Avant Garde"/>
          <w:i/>
          <w:sz w:val="18"/>
          <w:szCs w:val="18"/>
        </w:rPr>
      </w:pPr>
      <w:r w:rsidRPr="001E3E22">
        <w:rPr>
          <w:rFonts w:ascii="ITC Avant Garde" w:hAnsi="ITC Avant Garde"/>
          <w:i/>
          <w:sz w:val="18"/>
          <w:szCs w:val="18"/>
        </w:rPr>
        <w:lastRenderedPageBreak/>
        <w:t>Así, como consecuencia de la operación, no se afectan las estructuras de participación actuales en el mercado donde participa Integración de Servicios y Tecnología, por lo que no se advierten efectos adversos a la competencia económica.</w:t>
      </w:r>
    </w:p>
    <w:p w14:paraId="1EF6F66D" w14:textId="77777777" w:rsidR="001E3E22" w:rsidRPr="001E3E22" w:rsidRDefault="001E3E22" w:rsidP="00CF6CBD">
      <w:pPr>
        <w:spacing w:afterLines="120" w:after="288" w:line="240" w:lineRule="auto"/>
        <w:ind w:left="1134" w:right="566"/>
        <w:jc w:val="both"/>
        <w:rPr>
          <w:rFonts w:ascii="ITC Avant Garde" w:hAnsi="ITC Avant Garde"/>
          <w:i/>
          <w:sz w:val="18"/>
          <w:szCs w:val="18"/>
        </w:rPr>
      </w:pPr>
      <w:r w:rsidRPr="001E3E22">
        <w:rPr>
          <w:rFonts w:ascii="ITC Avant Garde" w:hAnsi="ITC Avant Garde"/>
          <w:b/>
          <w:i/>
          <w:sz w:val="18"/>
          <w:szCs w:val="18"/>
        </w:rPr>
        <w:t>NOTA</w:t>
      </w:r>
      <w:r w:rsidRPr="001E3E22">
        <w:rPr>
          <w:rFonts w:ascii="ITC Avant Garde" w:hAnsi="ITC Avant Garde"/>
          <w:i/>
          <w:sz w:val="18"/>
          <w:szCs w:val="18"/>
        </w:rPr>
        <w:t xml:space="preserve">.- Previo a la realización de la Operación, se identifican diversos movimientos accionarios en ACE Telecomunicaciones e Integración de Servicios y Tecnología, que pudieron no haberse notificado al Instituto (Véase </w:t>
      </w:r>
      <w:r w:rsidRPr="001E3E22">
        <w:rPr>
          <w:rFonts w:ascii="ITC Avant Garde" w:hAnsi="ITC Avant Garde"/>
          <w:b/>
          <w:i/>
          <w:sz w:val="18"/>
          <w:szCs w:val="18"/>
        </w:rPr>
        <w:t>Anexo</w:t>
      </w:r>
      <w:r w:rsidRPr="001E3E22">
        <w:rPr>
          <w:rFonts w:ascii="ITC Avant Garde" w:hAnsi="ITC Avant Garde"/>
          <w:i/>
          <w:sz w:val="18"/>
          <w:szCs w:val="18"/>
        </w:rPr>
        <w:t xml:space="preserve">). Lo anterior, a pesar de que el Concesionario podría </w:t>
      </w:r>
      <w:r w:rsidRPr="001E3E22">
        <w:rPr>
          <w:rFonts w:ascii="ITC Avant Garde" w:eastAsia="Times New Roman" w:hAnsi="ITC Avant Garde" w:cs="Tahoma"/>
          <w:i/>
          <w:color w:val="000000"/>
          <w:sz w:val="18"/>
          <w:szCs w:val="18"/>
          <w:lang w:eastAsia="es-MX"/>
        </w:rPr>
        <w:t>haber estado obligado a presentarlos al Instituto para su autorización, en términos del artículo 112 de la Ley Federal de Telecomunicaciones y Radiodifusión (LFTR).</w:t>
      </w:r>
    </w:p>
    <w:p w14:paraId="035881D4" w14:textId="77777777" w:rsidR="001E3E22" w:rsidRPr="001E3E22" w:rsidRDefault="001E3E22" w:rsidP="00CF6CBD">
      <w:pPr>
        <w:spacing w:afterLines="120" w:after="288" w:line="240" w:lineRule="auto"/>
        <w:ind w:left="1134" w:right="566"/>
        <w:jc w:val="both"/>
        <w:rPr>
          <w:rFonts w:ascii="ITC Avant Garde" w:hAnsi="ITC Avant Garde"/>
          <w:i/>
          <w:sz w:val="18"/>
          <w:szCs w:val="18"/>
        </w:rPr>
      </w:pPr>
      <w:r w:rsidRPr="001E3E22">
        <w:rPr>
          <w:rFonts w:ascii="ITC Avant Garde" w:hAnsi="ITC Avant Garde"/>
          <w:i/>
          <w:sz w:val="18"/>
          <w:szCs w:val="18"/>
        </w:rPr>
        <w:t xml:space="preserve">Al respecto, </w:t>
      </w:r>
      <w:r w:rsidRPr="001E3E22">
        <w:rPr>
          <w:rFonts w:ascii="ITC Avant Garde" w:eastAsia="Times New Roman" w:hAnsi="ITC Avant Garde" w:cs="Tahoma"/>
          <w:i/>
          <w:color w:val="000000"/>
          <w:sz w:val="18"/>
          <w:szCs w:val="18"/>
          <w:lang w:eastAsia="es-MX"/>
        </w:rPr>
        <w:t xml:space="preserve">en términos de la información presentada por el Concesionario, </w:t>
      </w:r>
      <w:r w:rsidRPr="001E3E22">
        <w:rPr>
          <w:rFonts w:ascii="ITC Avant Garde" w:hAnsi="ITC Avant Garde"/>
          <w:i/>
          <w:sz w:val="18"/>
          <w:szCs w:val="18"/>
        </w:rPr>
        <w:t xml:space="preserve">no se prevé que los movimientos accionarios descritos en el Anexo hubieran tenido efectos contrarios a la competencia en los mercados en los que participan ACE Telecomunicaciones e Integración de Servicios y Tecnología. Sin embargo, esta opinión no prejuzga sobre la obligación que el Concesionario pudiera haber tenido de presentarlos al Instituto. </w:t>
      </w:r>
    </w:p>
    <w:p w14:paraId="0E7AD9C1" w14:textId="77777777" w:rsidR="00CF6CBD" w:rsidRDefault="004663FA" w:rsidP="00CF6CBD">
      <w:pPr>
        <w:autoSpaceDE w:val="0"/>
        <w:autoSpaceDN w:val="0"/>
        <w:adjustRightInd w:val="0"/>
        <w:spacing w:afterLines="120" w:after="288" w:line="240" w:lineRule="auto"/>
        <w:ind w:left="1134" w:right="566"/>
        <w:jc w:val="both"/>
        <w:rPr>
          <w:rFonts w:ascii="ITC Avant Garde" w:hAnsi="ITC Avant Garde"/>
          <w:bCs/>
          <w:i/>
          <w:sz w:val="18"/>
          <w:szCs w:val="18"/>
        </w:rPr>
      </w:pPr>
      <w:r w:rsidRPr="00630FF9">
        <w:rPr>
          <w:rFonts w:ascii="ITC Avant Garde" w:hAnsi="ITC Avant Garde"/>
          <w:bCs/>
          <w:i/>
          <w:sz w:val="18"/>
          <w:szCs w:val="18"/>
        </w:rPr>
        <w:t>[…]</w:t>
      </w:r>
      <w:r w:rsidR="00164246" w:rsidRPr="00630FF9">
        <w:rPr>
          <w:rFonts w:ascii="ITC Avant Garde" w:hAnsi="ITC Avant Garde"/>
          <w:bCs/>
          <w:i/>
          <w:sz w:val="18"/>
          <w:szCs w:val="18"/>
        </w:rPr>
        <w:t>”</w:t>
      </w:r>
    </w:p>
    <w:p w14:paraId="2193735A" w14:textId="77777777" w:rsidR="00CF6CBD" w:rsidRDefault="001E3E22" w:rsidP="00CF6CBD">
      <w:pPr>
        <w:autoSpaceDE w:val="0"/>
        <w:autoSpaceDN w:val="0"/>
        <w:adjustRightInd w:val="0"/>
        <w:spacing w:afterLines="120" w:after="288" w:line="240" w:lineRule="auto"/>
        <w:jc w:val="both"/>
        <w:rPr>
          <w:rFonts w:ascii="ITC Avant Garde" w:hAnsi="ITC Avant Garde"/>
          <w:bCs/>
        </w:rPr>
      </w:pPr>
      <w:r>
        <w:rPr>
          <w:rFonts w:ascii="ITC Avant Garde" w:hAnsi="ITC Avant Garde"/>
          <w:bCs/>
        </w:rPr>
        <w:t>Derivado de lo anterior, se concluye que como consecuencia de la Solicitud de Suscripción de Acciones, no se afectan las estructuras de participación actuales en el mercado  en donde participa Integración de Servicios y Tecnología, por lo que no se advierten efectos adversos a la competencia económica.</w:t>
      </w:r>
    </w:p>
    <w:p w14:paraId="60CFB1B3" w14:textId="77777777" w:rsidR="00CF6CBD" w:rsidRDefault="006F004E" w:rsidP="00CF6CBD">
      <w:pPr>
        <w:autoSpaceDE w:val="0"/>
        <w:autoSpaceDN w:val="0"/>
        <w:adjustRightInd w:val="0"/>
        <w:spacing w:afterLines="120" w:after="288" w:line="240" w:lineRule="auto"/>
        <w:jc w:val="both"/>
        <w:rPr>
          <w:rFonts w:ascii="ITC Avant Garde" w:hAnsi="ITC Avant Garde"/>
          <w:bCs/>
        </w:rPr>
      </w:pPr>
      <w:r w:rsidRPr="007C188F">
        <w:rPr>
          <w:rFonts w:ascii="ITC Avant Garde" w:hAnsi="ITC Avant Garde"/>
          <w:bCs/>
        </w:rPr>
        <w:t>Por lo que se refiere al segundo requisito de procedencia</w:t>
      </w:r>
      <w:r w:rsidRPr="00F80A22">
        <w:rPr>
          <w:rFonts w:ascii="ITC Avant Garde" w:hAnsi="ITC Avant Garde"/>
          <w:bCs/>
        </w:rPr>
        <w:t xml:space="preserve">, </w:t>
      </w:r>
      <w:r w:rsidR="0025654D">
        <w:rPr>
          <w:rFonts w:ascii="ITC Avant Garde" w:hAnsi="ITC Avant Garde"/>
          <w:bCs/>
        </w:rPr>
        <w:t>Integración de Servicios y Tecnología</w:t>
      </w:r>
      <w:r w:rsidR="008A5B25" w:rsidRPr="006369E2">
        <w:rPr>
          <w:rFonts w:ascii="ITC Avant Garde" w:hAnsi="ITC Avant Garde"/>
          <w:bCs/>
        </w:rPr>
        <w:t>, S.A. de C.V.</w:t>
      </w:r>
      <w:r w:rsidR="008A5B25">
        <w:rPr>
          <w:rFonts w:ascii="ITC Avant Garde" w:hAnsi="ITC Avant Garde"/>
          <w:bCs/>
        </w:rPr>
        <w:t xml:space="preserve"> </w:t>
      </w:r>
      <w:r w:rsidR="00296907">
        <w:rPr>
          <w:rFonts w:ascii="ITC Avant Garde" w:hAnsi="ITC Avant Garde"/>
          <w:bCs/>
        </w:rPr>
        <w:t>acompañó</w:t>
      </w:r>
      <w:r w:rsidR="00384485">
        <w:rPr>
          <w:rFonts w:ascii="ITC Avant Garde" w:hAnsi="ITC Avant Garde"/>
          <w:bCs/>
        </w:rPr>
        <w:t xml:space="preserve"> a</w:t>
      </w:r>
      <w:r>
        <w:rPr>
          <w:rFonts w:ascii="ITC Avant Garde" w:hAnsi="ITC Avant Garde"/>
          <w:bCs/>
        </w:rPr>
        <w:t xml:space="preserve"> la Solicitud de </w:t>
      </w:r>
      <w:r w:rsidR="0025654D">
        <w:rPr>
          <w:rFonts w:ascii="ITC Avant Garde" w:hAnsi="ITC Avant Garde"/>
          <w:bCs/>
        </w:rPr>
        <w:t>Suscripción</w:t>
      </w:r>
      <w:r>
        <w:rPr>
          <w:rFonts w:ascii="ITC Avant Garde" w:hAnsi="ITC Avant Garde"/>
          <w:bCs/>
        </w:rPr>
        <w:t xml:space="preserve"> de Acciones la factura </w:t>
      </w:r>
      <w:r w:rsidRPr="007C188F">
        <w:rPr>
          <w:rFonts w:ascii="ITC Avant Garde" w:hAnsi="ITC Avant Garde"/>
          <w:bCs/>
        </w:rPr>
        <w:t xml:space="preserve">número </w:t>
      </w:r>
      <w:r w:rsidR="0025654D">
        <w:rPr>
          <w:rFonts w:ascii="ITC Avant Garde" w:hAnsi="ITC Avant Garde"/>
          <w:bCs/>
        </w:rPr>
        <w:t>170008685</w:t>
      </w:r>
      <w:r>
        <w:rPr>
          <w:rFonts w:ascii="ITC Avant Garde" w:hAnsi="ITC Avant Garde"/>
          <w:bCs/>
        </w:rPr>
        <w:t xml:space="preserve">, por </w:t>
      </w:r>
      <w:r w:rsidRPr="00F80A22">
        <w:rPr>
          <w:rFonts w:ascii="ITC Avant Garde" w:hAnsi="ITC Avant Garde"/>
          <w:bCs/>
        </w:rPr>
        <w:t>el estudio</w:t>
      </w:r>
      <w:r>
        <w:rPr>
          <w:rFonts w:ascii="ITC Avant Garde" w:hAnsi="ITC Avant Garde"/>
          <w:bCs/>
        </w:rPr>
        <w:t xml:space="preserve"> y, en su caso, la autorización</w:t>
      </w:r>
      <w:r w:rsidRPr="00F80A22">
        <w:rPr>
          <w:rFonts w:ascii="ITC Avant Garde" w:hAnsi="ITC Avant Garde"/>
          <w:bCs/>
        </w:rPr>
        <w:t xml:space="preserve"> de solicitud</w:t>
      </w:r>
      <w:r>
        <w:rPr>
          <w:rFonts w:ascii="ITC Avant Garde" w:hAnsi="ITC Avant Garde"/>
          <w:bCs/>
        </w:rPr>
        <w:t>es</w:t>
      </w:r>
      <w:r w:rsidRPr="00F80A22">
        <w:rPr>
          <w:rFonts w:ascii="ITC Avant Garde" w:hAnsi="ITC Avant Garde"/>
          <w:bCs/>
        </w:rPr>
        <w:t xml:space="preserve"> de modificaciones técnicas, administrativas</w:t>
      </w:r>
      <w:r>
        <w:rPr>
          <w:rFonts w:ascii="ITC Avant Garde" w:hAnsi="ITC Avant Garde"/>
          <w:bCs/>
        </w:rPr>
        <w:t>,</w:t>
      </w:r>
      <w:r w:rsidRPr="00F80A22">
        <w:rPr>
          <w:rFonts w:ascii="ITC Avant Garde" w:hAnsi="ITC Avant Garde"/>
          <w:bCs/>
        </w:rPr>
        <w:t xml:space="preserve"> operativas y legales, relativa a la suscripción o enajenación de acciones o partes sociales que requiera autorización en términos de la Ley, atendiendo de esta forma a lo dispuesto por el artículo 174-C fracción VI</w:t>
      </w:r>
      <w:r>
        <w:rPr>
          <w:rFonts w:ascii="ITC Avant Garde" w:hAnsi="ITC Avant Garde"/>
          <w:bCs/>
        </w:rPr>
        <w:t>I de la Ley Federal de Derechos.</w:t>
      </w:r>
    </w:p>
    <w:p w14:paraId="47AFDF59" w14:textId="77777777" w:rsidR="00CF6CBD" w:rsidRDefault="006F004E" w:rsidP="00CF6CBD">
      <w:pPr>
        <w:autoSpaceDE w:val="0"/>
        <w:autoSpaceDN w:val="0"/>
        <w:adjustRightInd w:val="0"/>
        <w:spacing w:afterLines="120" w:after="288" w:line="240" w:lineRule="auto"/>
        <w:jc w:val="both"/>
        <w:rPr>
          <w:rFonts w:ascii="ITC Avant Garde" w:hAnsi="ITC Avant Garde"/>
          <w:bCs/>
          <w:color w:val="000000"/>
          <w:lang w:eastAsia="es-MX"/>
        </w:rPr>
      </w:pPr>
      <w:r>
        <w:rPr>
          <w:rFonts w:ascii="ITC Avant Garde" w:hAnsi="ITC Avant Garde"/>
          <w:bCs/>
          <w:color w:val="000000"/>
          <w:lang w:eastAsia="es-MX"/>
        </w:rPr>
        <w:t xml:space="preserve">Finalmente, en relación con lo señalado en el párrafo décimo séptimo del artículo 28 de la Constitución, a través del oficio </w:t>
      </w:r>
      <w:r>
        <w:rPr>
          <w:rFonts w:ascii="ITC Avant Garde" w:hAnsi="ITC Avant Garde"/>
          <w:bCs/>
        </w:rPr>
        <w:t>IFT/223/UCS/</w:t>
      </w:r>
      <w:r w:rsidR="00C05614">
        <w:rPr>
          <w:rFonts w:ascii="ITC Avant Garde" w:hAnsi="ITC Avant Garde"/>
          <w:bCs/>
        </w:rPr>
        <w:t>18</w:t>
      </w:r>
      <w:r w:rsidR="0025654D">
        <w:rPr>
          <w:rFonts w:ascii="ITC Avant Garde" w:hAnsi="ITC Avant Garde"/>
          <w:bCs/>
        </w:rPr>
        <w:t>35</w:t>
      </w:r>
      <w:r>
        <w:rPr>
          <w:rFonts w:ascii="ITC Avant Garde" w:hAnsi="ITC Avant Garde"/>
          <w:bCs/>
        </w:rPr>
        <w:t xml:space="preserve">/2017 notificado el </w:t>
      </w:r>
      <w:r w:rsidR="00C05614">
        <w:rPr>
          <w:rFonts w:ascii="ITC Avant Garde" w:hAnsi="ITC Avant Garde"/>
          <w:bCs/>
        </w:rPr>
        <w:t>29</w:t>
      </w:r>
      <w:r>
        <w:rPr>
          <w:rFonts w:ascii="ITC Avant Garde" w:hAnsi="ITC Avant Garde"/>
          <w:bCs/>
        </w:rPr>
        <w:t xml:space="preserve"> de </w:t>
      </w:r>
      <w:r w:rsidR="00C05614">
        <w:rPr>
          <w:rFonts w:ascii="ITC Avant Garde" w:hAnsi="ITC Avant Garde"/>
          <w:bCs/>
        </w:rPr>
        <w:t xml:space="preserve">septiembre </w:t>
      </w:r>
      <w:r>
        <w:rPr>
          <w:rFonts w:ascii="ITC Avant Garde" w:hAnsi="ITC Avant Garde"/>
          <w:bCs/>
        </w:rPr>
        <w:t>de 2017</w:t>
      </w:r>
      <w:r>
        <w:rPr>
          <w:rFonts w:ascii="ITC Avant Garde" w:hAnsi="ITC Avant Garde"/>
          <w:bCs/>
          <w:color w:val="000000"/>
          <w:lang w:eastAsia="es-MX"/>
        </w:rPr>
        <w:t xml:space="preserve">, el Instituto solicitó a la Secretaría opinión técnica correspondiente a la </w:t>
      </w:r>
      <w:r w:rsidRPr="00F80A22">
        <w:rPr>
          <w:rFonts w:ascii="ITC Avant Garde" w:hAnsi="ITC Avant Garde"/>
          <w:bCs/>
        </w:rPr>
        <w:t xml:space="preserve">Solicitud de </w:t>
      </w:r>
      <w:r w:rsidR="0025654D">
        <w:rPr>
          <w:rFonts w:ascii="ITC Avant Garde" w:hAnsi="ITC Avant Garde"/>
          <w:bCs/>
        </w:rPr>
        <w:t>Suscripción</w:t>
      </w:r>
      <w:r w:rsidRPr="00F80A22">
        <w:rPr>
          <w:rFonts w:ascii="ITC Avant Garde" w:hAnsi="ITC Avant Garde"/>
          <w:bCs/>
        </w:rPr>
        <w:t xml:space="preserve"> de Acciones</w:t>
      </w:r>
      <w:r>
        <w:rPr>
          <w:rFonts w:ascii="ITC Avant Garde" w:hAnsi="ITC Avant Garde"/>
          <w:bCs/>
          <w:color w:val="000000"/>
          <w:lang w:eastAsia="es-MX"/>
        </w:rPr>
        <w:t xml:space="preserve">. </w:t>
      </w:r>
      <w:r w:rsidR="00C05614" w:rsidRPr="00740A8E">
        <w:rPr>
          <w:rFonts w:ascii="ITC Avant Garde" w:hAnsi="ITC Avant Garde" w:cs="Arial"/>
          <w:bCs/>
          <w:color w:val="000000"/>
          <w:shd w:val="clear" w:color="auto" w:fill="FFFFFF"/>
        </w:rPr>
        <w:t>P</w:t>
      </w:r>
      <w:r w:rsidR="00C05614" w:rsidRPr="005E7162">
        <w:rPr>
          <w:rFonts w:ascii="ITC Avant Garde" w:hAnsi="ITC Avant Garde" w:cs="Arial"/>
          <w:bCs/>
          <w:color w:val="000000"/>
          <w:shd w:val="clear" w:color="auto" w:fill="FFFFFF"/>
        </w:rPr>
        <w:t>osteriormente</w:t>
      </w:r>
      <w:r w:rsidR="00C05614">
        <w:rPr>
          <w:rFonts w:ascii="ITC Avant Garde" w:hAnsi="ITC Avant Garde" w:cs="Arial"/>
          <w:bCs/>
          <w:color w:val="000000"/>
          <w:shd w:val="clear" w:color="auto" w:fill="FFFFFF"/>
        </w:rPr>
        <w:t>, mediante oficio IFT/223/UCS/DG-CTEL/</w:t>
      </w:r>
      <w:r w:rsidR="0025654D">
        <w:rPr>
          <w:rFonts w:ascii="ITC Avant Garde" w:hAnsi="ITC Avant Garde" w:cs="Arial"/>
          <w:bCs/>
          <w:color w:val="000000"/>
          <w:shd w:val="clear" w:color="auto" w:fill="FFFFFF"/>
        </w:rPr>
        <w:t>2060</w:t>
      </w:r>
      <w:r w:rsidR="00C05614">
        <w:rPr>
          <w:rFonts w:ascii="ITC Avant Garde" w:hAnsi="ITC Avant Garde" w:cs="Arial"/>
          <w:bCs/>
          <w:color w:val="000000"/>
          <w:shd w:val="clear" w:color="auto" w:fill="FFFFFF"/>
        </w:rPr>
        <w:t xml:space="preserve">/2017, notificado el </w:t>
      </w:r>
      <w:r w:rsidR="0025654D">
        <w:rPr>
          <w:rFonts w:ascii="ITC Avant Garde" w:hAnsi="ITC Avant Garde" w:cs="Arial"/>
          <w:bCs/>
          <w:color w:val="000000"/>
          <w:shd w:val="clear" w:color="auto" w:fill="FFFFFF"/>
        </w:rPr>
        <w:t>3 de noviembre</w:t>
      </w:r>
      <w:r w:rsidR="00C05614">
        <w:rPr>
          <w:rFonts w:ascii="ITC Avant Garde" w:hAnsi="ITC Avant Garde" w:cs="Arial"/>
          <w:bCs/>
          <w:color w:val="000000"/>
          <w:shd w:val="clear" w:color="auto" w:fill="FFFFFF"/>
        </w:rPr>
        <w:t xml:space="preserve"> de 2017, </w:t>
      </w:r>
      <w:r w:rsidR="00C05614" w:rsidRPr="002E4893">
        <w:rPr>
          <w:rFonts w:ascii="ITC Avant Garde" w:hAnsi="ITC Avant Garde" w:cs="Arial"/>
          <w:bCs/>
          <w:color w:val="000000"/>
          <w:shd w:val="clear" w:color="auto" w:fill="FFFFFF"/>
        </w:rPr>
        <w:t>la Dirección General de Concesiones de Telecomunicaciones, adscrita a la Unidad de Concesiones y Servicios del Instituto,</w:t>
      </w:r>
      <w:r w:rsidR="00C05614">
        <w:rPr>
          <w:rFonts w:ascii="ITC Avant Garde" w:hAnsi="ITC Avant Garde" w:cs="Arial"/>
          <w:bCs/>
          <w:color w:val="000000"/>
          <w:shd w:val="clear" w:color="auto" w:fill="FFFFFF"/>
        </w:rPr>
        <w:t xml:space="preserve"> envío</w:t>
      </w:r>
      <w:r w:rsidR="009825B3">
        <w:rPr>
          <w:rFonts w:ascii="ITC Avant Garde" w:hAnsi="ITC Avant Garde" w:cs="Arial"/>
          <w:bCs/>
          <w:color w:val="000000"/>
          <w:shd w:val="clear" w:color="auto" w:fill="FFFFFF"/>
        </w:rPr>
        <w:t xml:space="preserve"> a dicha Dependencia</w:t>
      </w:r>
      <w:r w:rsidR="00C05614">
        <w:rPr>
          <w:rFonts w:ascii="ITC Avant Garde" w:hAnsi="ITC Avant Garde" w:cs="Arial"/>
          <w:bCs/>
          <w:color w:val="000000"/>
          <w:shd w:val="clear" w:color="auto" w:fill="FFFFFF"/>
        </w:rPr>
        <w:t xml:space="preserve"> información complementaria presentada por </w:t>
      </w:r>
      <w:r w:rsidR="0025654D">
        <w:rPr>
          <w:rFonts w:ascii="ITC Avant Garde" w:hAnsi="ITC Avant Garde" w:cs="Arial"/>
          <w:bCs/>
          <w:color w:val="000000"/>
          <w:shd w:val="clear" w:color="auto" w:fill="FFFFFF"/>
        </w:rPr>
        <w:t>Integración de Servicios y Tecnología</w:t>
      </w:r>
      <w:r w:rsidR="00C05614" w:rsidRPr="005E7162">
        <w:rPr>
          <w:rFonts w:ascii="ITC Avant Garde" w:hAnsi="ITC Avant Garde" w:cs="Arial"/>
          <w:bCs/>
          <w:color w:val="000000"/>
          <w:shd w:val="clear" w:color="auto" w:fill="FFFFFF"/>
        </w:rPr>
        <w:t>, S.A. de C.V</w:t>
      </w:r>
      <w:r w:rsidR="009825B3">
        <w:rPr>
          <w:rFonts w:ascii="ITC Avant Garde" w:hAnsi="ITC Avant Garde" w:cs="Arial"/>
          <w:bCs/>
          <w:color w:val="000000"/>
          <w:shd w:val="clear" w:color="auto" w:fill="FFFFFF"/>
        </w:rPr>
        <w:t>.</w:t>
      </w:r>
    </w:p>
    <w:p w14:paraId="5B1C11E0" w14:textId="77777777" w:rsidR="00CF6CBD" w:rsidRDefault="00C05A44" w:rsidP="00CF6CBD">
      <w:pPr>
        <w:autoSpaceDE w:val="0"/>
        <w:autoSpaceDN w:val="0"/>
        <w:adjustRightInd w:val="0"/>
        <w:spacing w:afterLines="120" w:after="288" w:line="240" w:lineRule="auto"/>
        <w:jc w:val="both"/>
        <w:rPr>
          <w:rFonts w:ascii="ITC Avant Garde" w:hAnsi="ITC Avant Garde"/>
          <w:bCs/>
        </w:rPr>
      </w:pPr>
      <w:r w:rsidRPr="00C05A44">
        <w:rPr>
          <w:rFonts w:ascii="ITC Avant Garde" w:hAnsi="ITC Avant Garde"/>
          <w:bCs/>
          <w:color w:val="000000"/>
          <w:lang w:eastAsia="es-MX"/>
        </w:rPr>
        <w:t xml:space="preserve">Al respecto, se debe considerar que la emisión de </w:t>
      </w:r>
      <w:r w:rsidR="009825B3">
        <w:rPr>
          <w:rFonts w:ascii="ITC Avant Garde" w:hAnsi="ITC Avant Garde"/>
          <w:bCs/>
          <w:color w:val="000000"/>
          <w:lang w:eastAsia="es-MX"/>
        </w:rPr>
        <w:t>la</w:t>
      </w:r>
      <w:r w:rsidRPr="00C05A44">
        <w:rPr>
          <w:rFonts w:ascii="ITC Avant Garde" w:hAnsi="ITC Avant Garde"/>
          <w:bCs/>
          <w:color w:val="000000"/>
          <w:lang w:eastAsia="es-MX"/>
        </w:rPr>
        <w:t xml:space="preserve"> opinión</w:t>
      </w:r>
      <w:r w:rsidR="009825B3">
        <w:rPr>
          <w:rFonts w:ascii="ITC Avant Garde" w:hAnsi="ITC Avant Garde"/>
          <w:bCs/>
          <w:color w:val="000000"/>
          <w:lang w:eastAsia="es-MX"/>
        </w:rPr>
        <w:t xml:space="preserve"> técnica antes señalada</w:t>
      </w:r>
      <w:r w:rsidRPr="00C05A44">
        <w:rPr>
          <w:rFonts w:ascii="ITC Avant Garde" w:hAnsi="ITC Avant Garde"/>
          <w:bCs/>
          <w:color w:val="000000"/>
          <w:lang w:eastAsia="es-MX"/>
        </w:rPr>
        <w:t xml:space="preserve"> es facultad potestativa de la citada Dependencia, por lo que su emisión no es un requisito necesario para continuar con el trámite que nos ocupa. Por lo anterior, al haber transcurrido el plazo de 30 (treinta) días establecido en el párrafo décimo séptimo del artículo 28 de la Constitución, y tomando en cuenta que la Secretaría no emitió </w:t>
      </w:r>
      <w:r w:rsidRPr="00C05A44">
        <w:rPr>
          <w:rFonts w:ascii="ITC Avant Garde" w:hAnsi="ITC Avant Garde"/>
          <w:bCs/>
          <w:color w:val="000000"/>
          <w:lang w:eastAsia="es-MX"/>
        </w:rPr>
        <w:lastRenderedPageBreak/>
        <w:t xml:space="preserve">pronunciamiento alguno respecto de la Solicitud de </w:t>
      </w:r>
      <w:r w:rsidR="00413E7F">
        <w:rPr>
          <w:rFonts w:ascii="ITC Avant Garde" w:hAnsi="ITC Avant Garde"/>
          <w:bCs/>
          <w:color w:val="000000"/>
          <w:lang w:eastAsia="es-MX"/>
        </w:rPr>
        <w:t>Suscripción</w:t>
      </w:r>
      <w:r w:rsidR="00AC135A">
        <w:rPr>
          <w:rFonts w:ascii="ITC Avant Garde" w:hAnsi="ITC Avant Garde"/>
          <w:bCs/>
          <w:color w:val="000000"/>
          <w:lang w:eastAsia="es-MX"/>
        </w:rPr>
        <w:t xml:space="preserve"> de Acciones</w:t>
      </w:r>
      <w:r w:rsidRPr="00C05A44">
        <w:rPr>
          <w:rFonts w:ascii="ITC Avant Garde" w:hAnsi="ITC Avant Garde"/>
          <w:bCs/>
          <w:color w:val="000000"/>
          <w:lang w:eastAsia="es-MX"/>
        </w:rPr>
        <w:t>, este Instituto puede continuar con el trámite respectivo</w:t>
      </w:r>
      <w:r w:rsidR="00881826" w:rsidRPr="00C05A44">
        <w:rPr>
          <w:rFonts w:ascii="ITC Avant Garde" w:hAnsi="ITC Avant Garde"/>
          <w:bCs/>
          <w:color w:val="000000"/>
          <w:lang w:eastAsia="es-MX"/>
        </w:rPr>
        <w:t>.</w:t>
      </w:r>
    </w:p>
    <w:p w14:paraId="51D72BB8" w14:textId="77777777" w:rsidR="00CF6CBD" w:rsidRDefault="006F004E" w:rsidP="00CF6CBD">
      <w:pPr>
        <w:autoSpaceDE w:val="0"/>
        <w:autoSpaceDN w:val="0"/>
        <w:adjustRightInd w:val="0"/>
        <w:spacing w:afterLines="120" w:after="288" w:line="240" w:lineRule="auto"/>
        <w:jc w:val="both"/>
        <w:rPr>
          <w:rFonts w:ascii="ITC Avant Garde" w:hAnsi="ITC Avant Garde"/>
          <w:bCs/>
        </w:rPr>
      </w:pPr>
      <w:r w:rsidRPr="00F80A22">
        <w:rPr>
          <w:rFonts w:ascii="ITC Avant Garde" w:hAnsi="ITC Avant Garde"/>
          <w:bCs/>
        </w:rPr>
        <w:t xml:space="preserve">Por lo anteriormente señalado, y con fundamento en los artículos 28 párrafos décimo </w:t>
      </w:r>
      <w:r>
        <w:rPr>
          <w:rFonts w:ascii="ITC Avant Garde" w:hAnsi="ITC Avant Garde"/>
          <w:bCs/>
        </w:rPr>
        <w:t xml:space="preserve">quinto, décimo </w:t>
      </w:r>
      <w:r w:rsidRPr="00F80A22">
        <w:rPr>
          <w:rFonts w:ascii="ITC Avant Garde" w:hAnsi="ITC Avant Garde"/>
          <w:bCs/>
        </w:rPr>
        <w:t>sexto y décimo séptimo de la Constitución Política de los Estados Unidos Mexicanos; 6 fracción IV, 7, 15 fracción IV, 17 fracción I</w:t>
      </w:r>
      <w:r>
        <w:rPr>
          <w:rFonts w:ascii="ITC Avant Garde" w:hAnsi="ITC Avant Garde"/>
          <w:bCs/>
        </w:rPr>
        <w:t xml:space="preserve">, </w:t>
      </w:r>
      <w:r w:rsidRPr="00F80A22">
        <w:rPr>
          <w:rFonts w:ascii="ITC Avant Garde" w:hAnsi="ITC Avant Garde"/>
          <w:bCs/>
        </w:rPr>
        <w:t>112</w:t>
      </w:r>
      <w:r w:rsidR="00DA3C27">
        <w:rPr>
          <w:rFonts w:ascii="ITC Avant Garde" w:hAnsi="ITC Avant Garde"/>
          <w:bCs/>
        </w:rPr>
        <w:t xml:space="preserve"> y 177 fracción</w:t>
      </w:r>
      <w:r>
        <w:rPr>
          <w:rFonts w:ascii="ITC Avant Garde" w:hAnsi="ITC Avant Garde"/>
          <w:bCs/>
        </w:rPr>
        <w:t xml:space="preserve"> </w:t>
      </w:r>
      <w:r w:rsidRPr="00EF13D2">
        <w:rPr>
          <w:rFonts w:ascii="ITC Avant Garde" w:hAnsi="ITC Avant Garde"/>
          <w:bCs/>
        </w:rPr>
        <w:t>XI</w:t>
      </w:r>
      <w:r>
        <w:rPr>
          <w:rFonts w:ascii="ITC Avant Garde" w:hAnsi="ITC Avant Garde"/>
          <w:bCs/>
        </w:rPr>
        <w:t xml:space="preserve"> </w:t>
      </w:r>
      <w:r w:rsidRPr="00F80A22">
        <w:rPr>
          <w:rFonts w:ascii="ITC Avant Garde" w:hAnsi="ITC Avant Garde"/>
          <w:bCs/>
        </w:rPr>
        <w:t xml:space="preserve">de la Ley Federal de </w:t>
      </w:r>
      <w:r w:rsidRPr="00245856">
        <w:rPr>
          <w:rFonts w:ascii="ITC Avant Garde" w:hAnsi="ITC Avant Garde"/>
          <w:bCs/>
        </w:rPr>
        <w:t xml:space="preserve">Telecomunicaciones y Radiodifusión; 5 y 86 de la Ley Federal de Competencia Económica; </w:t>
      </w:r>
      <w:r w:rsidR="00245856">
        <w:rPr>
          <w:rFonts w:ascii="ITC Avant Garde" w:hAnsi="ITC Avant Garde"/>
          <w:bCs/>
        </w:rPr>
        <w:t>35 fracción I, 36, 38,</w:t>
      </w:r>
      <w:r w:rsidRPr="00245856">
        <w:rPr>
          <w:rFonts w:ascii="ITC Avant Garde" w:hAnsi="ITC Avant Garde"/>
          <w:bCs/>
        </w:rPr>
        <w:t xml:space="preserve"> 39</w:t>
      </w:r>
      <w:r w:rsidR="00245856">
        <w:rPr>
          <w:rFonts w:ascii="ITC Avant Garde" w:hAnsi="ITC Avant Garde"/>
          <w:bCs/>
        </w:rPr>
        <w:t xml:space="preserve"> y 57 fracción I</w:t>
      </w:r>
      <w:r w:rsidRPr="00245856">
        <w:rPr>
          <w:rFonts w:ascii="ITC Avant Garde" w:hAnsi="ITC Avant Garde"/>
          <w:bCs/>
        </w:rPr>
        <w:t xml:space="preserve"> de la Ley Federal de Procedimiento Administrativo; </w:t>
      </w:r>
      <w:r w:rsidR="009825B3">
        <w:rPr>
          <w:rFonts w:ascii="ITC Avant Garde" w:hAnsi="ITC Avant Garde"/>
          <w:bCs/>
          <w:color w:val="000000" w:themeColor="text1"/>
          <w:lang w:eastAsia="es-MX"/>
        </w:rPr>
        <w:t>174-C</w:t>
      </w:r>
      <w:r w:rsidR="008C1C5E">
        <w:rPr>
          <w:rFonts w:ascii="ITC Avant Garde" w:hAnsi="ITC Avant Garde"/>
          <w:bCs/>
          <w:color w:val="000000" w:themeColor="text1"/>
          <w:lang w:eastAsia="es-MX"/>
        </w:rPr>
        <w:t xml:space="preserve"> fracción VII</w:t>
      </w:r>
      <w:r w:rsidRPr="00245856">
        <w:rPr>
          <w:rFonts w:ascii="ITC Avant Garde" w:hAnsi="ITC Avant Garde"/>
          <w:bCs/>
          <w:color w:val="000000" w:themeColor="text1"/>
          <w:lang w:eastAsia="es-MX"/>
        </w:rPr>
        <w:t xml:space="preserve"> de la Ley</w:t>
      </w:r>
      <w:r w:rsidRPr="00F80A22">
        <w:rPr>
          <w:rFonts w:ascii="ITC Avant Garde" w:hAnsi="ITC Avant Garde"/>
          <w:bCs/>
          <w:color w:val="000000" w:themeColor="text1"/>
          <w:lang w:eastAsia="es-MX"/>
        </w:rPr>
        <w:t xml:space="preserve"> Federal de Derechos</w:t>
      </w:r>
      <w:r w:rsidRPr="00F80A22">
        <w:rPr>
          <w:rFonts w:ascii="ITC Avant Garde" w:hAnsi="ITC Avant Garde"/>
          <w:bCs/>
        </w:rPr>
        <w:t>; y 1, 6 fracción XXXVII</w:t>
      </w:r>
      <w:r>
        <w:rPr>
          <w:rFonts w:ascii="ITC Avant Garde" w:hAnsi="ITC Avant Garde"/>
          <w:bCs/>
        </w:rPr>
        <w:t xml:space="preserve">I, 32, 33 fracción </w:t>
      </w:r>
      <w:r w:rsidRPr="00F80A22">
        <w:rPr>
          <w:rFonts w:ascii="ITC Avant Garde" w:hAnsi="ITC Avant Garde"/>
          <w:bCs/>
        </w:rPr>
        <w:t>IV del Estatuto Orgánico del Instituto Federal de Telecomunicaciones, este órgano autónomo emite los siguientes:</w:t>
      </w:r>
    </w:p>
    <w:p w14:paraId="2951D879" w14:textId="77777777" w:rsidR="00CF6CBD" w:rsidRPr="00CF6CBD" w:rsidRDefault="00B048BA" w:rsidP="00CF6CBD">
      <w:pPr>
        <w:pStyle w:val="Ttulo2"/>
        <w:keepLines w:val="0"/>
        <w:spacing w:before="0" w:afterLines="120" w:after="288"/>
        <w:jc w:val="center"/>
        <w:rPr>
          <w:rFonts w:ascii="ITC Avant Garde" w:eastAsia="Times New Roman" w:hAnsi="ITC Avant Garde" w:cs="Arial"/>
          <w:b/>
          <w:bCs/>
          <w:color w:val="auto"/>
          <w:sz w:val="22"/>
          <w:szCs w:val="22"/>
        </w:rPr>
      </w:pPr>
      <w:r w:rsidRPr="00CF6CBD">
        <w:rPr>
          <w:rFonts w:ascii="ITC Avant Garde" w:eastAsia="Times New Roman" w:hAnsi="ITC Avant Garde" w:cs="Arial"/>
          <w:b/>
          <w:bCs/>
          <w:color w:val="auto"/>
          <w:sz w:val="22"/>
          <w:szCs w:val="22"/>
        </w:rPr>
        <w:t>RESOLUTIVOS</w:t>
      </w:r>
    </w:p>
    <w:p w14:paraId="73050D54" w14:textId="46B50371" w:rsidR="000A62EA" w:rsidRDefault="00C630FF" w:rsidP="00CF6CBD">
      <w:pPr>
        <w:spacing w:afterLines="120" w:after="288" w:line="240" w:lineRule="auto"/>
        <w:jc w:val="both"/>
        <w:rPr>
          <w:rFonts w:ascii="ITC Avant Garde" w:hAnsi="ITC Avant Garde"/>
          <w:bCs/>
        </w:rPr>
      </w:pPr>
      <w:r w:rsidRPr="00D278A1">
        <w:rPr>
          <w:rFonts w:ascii="ITC Avant Garde" w:hAnsi="ITC Avant Garde"/>
          <w:b/>
          <w:bCs/>
        </w:rPr>
        <w:t>PRIMERO</w:t>
      </w:r>
      <w:r w:rsidR="00B048BA" w:rsidRPr="00D278A1">
        <w:rPr>
          <w:rFonts w:ascii="ITC Avant Garde" w:hAnsi="ITC Avant Garde"/>
          <w:b/>
          <w:bCs/>
        </w:rPr>
        <w:t>.-</w:t>
      </w:r>
      <w:r w:rsidR="008815FA" w:rsidRPr="00D278A1">
        <w:rPr>
          <w:rFonts w:ascii="ITC Avant Garde" w:hAnsi="ITC Avant Garde"/>
          <w:b/>
          <w:bCs/>
        </w:rPr>
        <w:t xml:space="preserve"> </w:t>
      </w:r>
      <w:r w:rsidR="008810B4" w:rsidRPr="00D278A1">
        <w:rPr>
          <w:rFonts w:ascii="ITC Avant Garde" w:hAnsi="ITC Avant Garde"/>
          <w:bCs/>
        </w:rPr>
        <w:t xml:space="preserve">Se </w:t>
      </w:r>
      <w:r w:rsidR="00416051" w:rsidRPr="00D278A1">
        <w:rPr>
          <w:rFonts w:ascii="ITC Avant Garde" w:hAnsi="ITC Avant Garde"/>
          <w:bCs/>
        </w:rPr>
        <w:t>autoriza</w:t>
      </w:r>
      <w:r w:rsidR="00C4495D" w:rsidRPr="00D278A1">
        <w:rPr>
          <w:rFonts w:ascii="ITC Avant Garde" w:hAnsi="ITC Avant Garde"/>
          <w:bCs/>
        </w:rPr>
        <w:t xml:space="preserve"> a</w:t>
      </w:r>
      <w:r w:rsidR="00416051" w:rsidRPr="00D278A1">
        <w:rPr>
          <w:rFonts w:ascii="ITC Avant Garde" w:hAnsi="ITC Avant Garde"/>
          <w:bCs/>
        </w:rPr>
        <w:t xml:space="preserve"> </w:t>
      </w:r>
      <w:r w:rsidR="007457E9" w:rsidRPr="00D278A1">
        <w:rPr>
          <w:rFonts w:ascii="ITC Avant Garde" w:hAnsi="ITC Avant Garde" w:cs="Arial"/>
          <w:bCs/>
          <w:color w:val="000000"/>
          <w:shd w:val="clear" w:color="auto" w:fill="FFFFFF"/>
        </w:rPr>
        <w:t>Integración de Servicios y Tecnología</w:t>
      </w:r>
      <w:r w:rsidR="00B51D27" w:rsidRPr="00D278A1">
        <w:rPr>
          <w:rFonts w:ascii="ITC Avant Garde" w:hAnsi="ITC Avant Garde" w:cs="Arial"/>
          <w:bCs/>
          <w:color w:val="000000"/>
          <w:shd w:val="clear" w:color="auto" w:fill="FFFFFF"/>
        </w:rPr>
        <w:t>, S.A. de C.V.</w:t>
      </w:r>
      <w:r w:rsidR="00416051" w:rsidRPr="00D278A1">
        <w:rPr>
          <w:rFonts w:ascii="ITC Avant Garde" w:hAnsi="ITC Avant Garde"/>
          <w:bCs/>
        </w:rPr>
        <w:t xml:space="preserve">, </w:t>
      </w:r>
      <w:r w:rsidR="00504F34" w:rsidRPr="00D278A1">
        <w:rPr>
          <w:rFonts w:ascii="ITC Avant Garde" w:hAnsi="ITC Avant Garde"/>
          <w:bCs/>
        </w:rPr>
        <w:t xml:space="preserve">a llevar a cabo </w:t>
      </w:r>
      <w:r w:rsidR="009A5FC4" w:rsidRPr="00D278A1">
        <w:rPr>
          <w:rFonts w:ascii="ITC Avant Garde" w:hAnsi="ITC Avant Garde"/>
          <w:bCs/>
        </w:rPr>
        <w:t xml:space="preserve">la </w:t>
      </w:r>
      <w:r w:rsidR="007457E9" w:rsidRPr="00D278A1">
        <w:rPr>
          <w:rFonts w:ascii="ITC Avant Garde" w:hAnsi="ITC Avant Garde"/>
          <w:bCs/>
        </w:rPr>
        <w:t>suscripción</w:t>
      </w:r>
      <w:r w:rsidR="00504F34" w:rsidRPr="00D278A1">
        <w:rPr>
          <w:rFonts w:ascii="ITC Avant Garde" w:hAnsi="ITC Avant Garde"/>
          <w:bCs/>
        </w:rPr>
        <w:t xml:space="preserve"> de acciones </w:t>
      </w:r>
      <w:r w:rsidR="00D72AA0" w:rsidRPr="00D278A1">
        <w:rPr>
          <w:rFonts w:ascii="ITC Avant Garde" w:hAnsi="ITC Avant Garde"/>
          <w:bCs/>
        </w:rPr>
        <w:t>solicitada</w:t>
      </w:r>
      <w:r w:rsidR="00504F34" w:rsidRPr="00D278A1">
        <w:rPr>
          <w:rFonts w:ascii="ITC Avant Garde" w:hAnsi="ITC Avant Garde"/>
          <w:bCs/>
        </w:rPr>
        <w:t xml:space="preserve">, </w:t>
      </w:r>
      <w:r w:rsidR="006F004E" w:rsidRPr="00D278A1">
        <w:rPr>
          <w:rFonts w:ascii="ITC Avant Garde" w:hAnsi="ITC Avant Garde"/>
          <w:bCs/>
        </w:rPr>
        <w:t>en términos</w:t>
      </w:r>
      <w:r w:rsidR="006F004E">
        <w:rPr>
          <w:rFonts w:ascii="ITC Avant Garde" w:hAnsi="ITC Avant Garde"/>
          <w:bCs/>
        </w:rPr>
        <w:t xml:space="preserve"> </w:t>
      </w:r>
      <w:r w:rsidR="00964A32">
        <w:rPr>
          <w:rFonts w:ascii="ITC Avant Garde" w:hAnsi="ITC Avant Garde"/>
          <w:bCs/>
        </w:rPr>
        <w:t>de</w:t>
      </w:r>
      <w:r w:rsidR="006F004E">
        <w:rPr>
          <w:rFonts w:ascii="ITC Avant Garde" w:hAnsi="ITC Avant Garde"/>
          <w:bCs/>
        </w:rPr>
        <w:t xml:space="preserve"> </w:t>
      </w:r>
      <w:r w:rsidR="00405310">
        <w:rPr>
          <w:rFonts w:ascii="ITC Avant Garde" w:hAnsi="ITC Avant Garde"/>
          <w:bCs/>
        </w:rPr>
        <w:t>lo</w:t>
      </w:r>
      <w:r w:rsidR="006F004E">
        <w:rPr>
          <w:rFonts w:ascii="ITC Avant Garde" w:hAnsi="ITC Avant Garde"/>
          <w:bCs/>
        </w:rPr>
        <w:t xml:space="preserve"> señalado en el Considerando </w:t>
      </w:r>
      <w:r w:rsidR="006F004E" w:rsidRPr="00520465">
        <w:rPr>
          <w:rFonts w:ascii="ITC Avant Garde" w:hAnsi="ITC Avant Garde"/>
          <w:bCs/>
        </w:rPr>
        <w:t>Cuarto</w:t>
      </w:r>
      <w:r w:rsidR="006F004E">
        <w:rPr>
          <w:rFonts w:ascii="ITC Avant Garde" w:hAnsi="ITC Avant Garde"/>
          <w:bCs/>
        </w:rPr>
        <w:t xml:space="preserve"> de la presente Resolución, </w:t>
      </w:r>
      <w:r w:rsidR="00416051" w:rsidRPr="00EE4BBE">
        <w:rPr>
          <w:rFonts w:ascii="ITC Avant Garde" w:hAnsi="ITC Avant Garde"/>
          <w:bCs/>
        </w:rPr>
        <w:t xml:space="preserve">a efecto de que la estructura accionaria de dicha </w:t>
      </w:r>
      <w:r w:rsidR="00022B85" w:rsidRPr="00EE4BBE">
        <w:rPr>
          <w:rFonts w:ascii="ITC Avant Garde" w:hAnsi="ITC Avant Garde"/>
          <w:bCs/>
        </w:rPr>
        <w:t>concesionaria</w:t>
      </w:r>
      <w:r w:rsidR="00416051" w:rsidRPr="00EE4BBE">
        <w:rPr>
          <w:rFonts w:ascii="ITC Avant Garde" w:hAnsi="ITC Avant Garde"/>
          <w:bCs/>
        </w:rPr>
        <w:t xml:space="preserve"> quede de la siguiente manera:</w:t>
      </w:r>
    </w:p>
    <w:tbl>
      <w:tblPr>
        <w:tblStyle w:val="Tablaconcuadrcula"/>
        <w:tblW w:w="0" w:type="auto"/>
        <w:jc w:val="center"/>
        <w:tblLook w:val="0000" w:firstRow="0" w:lastRow="0" w:firstColumn="0" w:lastColumn="0" w:noHBand="0" w:noVBand="0"/>
        <w:tblCaption w:val="Estructura accionaria autorizada."/>
        <w:tblDescription w:val="Tabla de 5 columnas que describe la estructura accionaria de Integración de Servicios y Tecnologías, S.A. de C.V. despues de la autorización para llevar a cabo la suscripción de acciones solicitada."/>
      </w:tblPr>
      <w:tblGrid>
        <w:gridCol w:w="3573"/>
        <w:gridCol w:w="1238"/>
        <w:gridCol w:w="1739"/>
        <w:gridCol w:w="1034"/>
        <w:gridCol w:w="1698"/>
      </w:tblGrid>
      <w:tr w:rsidR="001A661F" w:rsidRPr="00910B3F" w14:paraId="14C8E0C9" w14:textId="77777777" w:rsidTr="001A661F">
        <w:trPr>
          <w:trHeight w:val="514"/>
          <w:tblHeader/>
          <w:jc w:val="center"/>
        </w:trPr>
        <w:tc>
          <w:tcPr>
            <w:tcW w:w="0" w:type="auto"/>
            <w:noWrap/>
            <w:vAlign w:val="center"/>
          </w:tcPr>
          <w:p w14:paraId="78A1E1B1" w14:textId="77777777" w:rsidR="001A661F" w:rsidRPr="00E15C78" w:rsidRDefault="001A661F" w:rsidP="001A661F">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Accionistas</w:t>
            </w:r>
          </w:p>
        </w:tc>
        <w:tc>
          <w:tcPr>
            <w:tcW w:w="1238" w:type="dxa"/>
            <w:vAlign w:val="center"/>
          </w:tcPr>
          <w:p w14:paraId="755C4D9E" w14:textId="149F37E2" w:rsidR="001A661F" w:rsidRDefault="001A661F" w:rsidP="001A661F">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Capital Fijo Serie “A”</w:t>
            </w:r>
          </w:p>
        </w:tc>
        <w:tc>
          <w:tcPr>
            <w:tcW w:w="1739" w:type="dxa"/>
            <w:vAlign w:val="center"/>
          </w:tcPr>
          <w:p w14:paraId="711A8C39" w14:textId="286D2817" w:rsidR="001A661F" w:rsidRDefault="001A661F" w:rsidP="001A661F">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Capital Variable Serie “B”</w:t>
            </w:r>
          </w:p>
        </w:tc>
        <w:tc>
          <w:tcPr>
            <w:tcW w:w="0" w:type="auto"/>
            <w:vAlign w:val="center"/>
          </w:tcPr>
          <w:p w14:paraId="22826138" w14:textId="77777777" w:rsidR="001A661F" w:rsidRDefault="001A661F" w:rsidP="001A661F">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Acciones</w:t>
            </w:r>
          </w:p>
          <w:p w14:paraId="7ED85437" w14:textId="77777777" w:rsidR="001A661F" w:rsidRDefault="001A661F" w:rsidP="001A661F">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Totales</w:t>
            </w:r>
          </w:p>
        </w:tc>
        <w:tc>
          <w:tcPr>
            <w:tcW w:w="0" w:type="auto"/>
            <w:vAlign w:val="center"/>
          </w:tcPr>
          <w:p w14:paraId="4C23CEFF" w14:textId="77777777" w:rsidR="001A661F" w:rsidRPr="00910B3F" w:rsidRDefault="001A661F" w:rsidP="001A661F">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Participación</w:t>
            </w:r>
            <w:r w:rsidRPr="00910B3F">
              <w:rPr>
                <w:rFonts w:ascii="ITC Avant Garde" w:hAnsi="ITC Avant Garde"/>
                <w:b/>
                <w:bCs/>
                <w:sz w:val="18"/>
                <w:szCs w:val="18"/>
              </w:rPr>
              <w:t xml:space="preserve"> (%)</w:t>
            </w:r>
          </w:p>
        </w:tc>
      </w:tr>
      <w:tr w:rsidR="007457E9" w:rsidRPr="00910B3F" w14:paraId="49020D7B" w14:textId="77777777" w:rsidTr="001A661F">
        <w:trPr>
          <w:trHeight w:val="252"/>
          <w:jc w:val="center"/>
        </w:trPr>
        <w:tc>
          <w:tcPr>
            <w:tcW w:w="0" w:type="auto"/>
          </w:tcPr>
          <w:p w14:paraId="12871C80" w14:textId="77777777" w:rsidR="007457E9" w:rsidRPr="00E15C78" w:rsidRDefault="007457E9" w:rsidP="00CF6CBD">
            <w:pPr>
              <w:autoSpaceDE w:val="0"/>
              <w:autoSpaceDN w:val="0"/>
              <w:adjustRightInd w:val="0"/>
              <w:spacing w:after="0" w:line="240" w:lineRule="auto"/>
              <w:rPr>
                <w:rFonts w:ascii="ITC Avant Garde" w:hAnsi="ITC Avant Garde"/>
                <w:bCs/>
                <w:sz w:val="18"/>
                <w:szCs w:val="18"/>
              </w:rPr>
            </w:pPr>
            <w:proofErr w:type="spellStart"/>
            <w:r>
              <w:rPr>
                <w:rFonts w:ascii="ITC Avant Garde" w:hAnsi="ITC Avant Garde"/>
                <w:bCs/>
                <w:sz w:val="18"/>
                <w:szCs w:val="18"/>
              </w:rPr>
              <w:t>Ace</w:t>
            </w:r>
            <w:proofErr w:type="spellEnd"/>
            <w:r>
              <w:rPr>
                <w:rFonts w:ascii="ITC Avant Garde" w:hAnsi="ITC Avant Garde"/>
                <w:bCs/>
                <w:sz w:val="18"/>
                <w:szCs w:val="18"/>
              </w:rPr>
              <w:t xml:space="preserve"> Telecomunicaciones, S.A. de C.V.</w:t>
            </w:r>
          </w:p>
        </w:tc>
        <w:tc>
          <w:tcPr>
            <w:tcW w:w="1238" w:type="dxa"/>
          </w:tcPr>
          <w:p w14:paraId="645D1B50" w14:textId="77777777" w:rsidR="007457E9" w:rsidDel="00A51519" w:rsidRDefault="007457E9"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45</w:t>
            </w:r>
          </w:p>
        </w:tc>
        <w:tc>
          <w:tcPr>
            <w:tcW w:w="1739" w:type="dxa"/>
          </w:tcPr>
          <w:p w14:paraId="62EDAA78" w14:textId="77777777" w:rsidR="007457E9" w:rsidRPr="00447E94" w:rsidDel="00A51519" w:rsidRDefault="007457E9"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0</w:t>
            </w:r>
          </w:p>
        </w:tc>
        <w:tc>
          <w:tcPr>
            <w:tcW w:w="0" w:type="auto"/>
          </w:tcPr>
          <w:p w14:paraId="52B1B8B3" w14:textId="77777777" w:rsidR="007457E9" w:rsidDel="00A51519" w:rsidRDefault="007457E9"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45</w:t>
            </w:r>
          </w:p>
        </w:tc>
        <w:tc>
          <w:tcPr>
            <w:tcW w:w="0" w:type="auto"/>
          </w:tcPr>
          <w:p w14:paraId="07079594" w14:textId="77777777" w:rsidR="007457E9" w:rsidRPr="001E4C7D" w:rsidRDefault="007457E9" w:rsidP="00CF6CBD">
            <w:pPr>
              <w:autoSpaceDE w:val="0"/>
              <w:autoSpaceDN w:val="0"/>
              <w:adjustRightInd w:val="0"/>
              <w:spacing w:after="0" w:line="240" w:lineRule="auto"/>
              <w:jc w:val="center"/>
              <w:rPr>
                <w:rFonts w:ascii="ITC Avant Garde" w:hAnsi="ITC Avant Garde"/>
                <w:bCs/>
                <w:sz w:val="18"/>
                <w:szCs w:val="18"/>
              </w:rPr>
            </w:pPr>
            <w:r w:rsidRPr="001E4C7D">
              <w:rPr>
                <w:rFonts w:ascii="ITC Avant Garde" w:hAnsi="ITC Avant Garde"/>
                <w:bCs/>
                <w:sz w:val="18"/>
                <w:szCs w:val="18"/>
              </w:rPr>
              <w:t>1.29 %</w:t>
            </w:r>
          </w:p>
        </w:tc>
      </w:tr>
      <w:tr w:rsidR="007457E9" w:rsidRPr="00910B3F" w14:paraId="228287AC" w14:textId="77777777" w:rsidTr="001A661F">
        <w:trPr>
          <w:trHeight w:val="252"/>
          <w:jc w:val="center"/>
        </w:trPr>
        <w:tc>
          <w:tcPr>
            <w:tcW w:w="0" w:type="auto"/>
          </w:tcPr>
          <w:p w14:paraId="6ECC02CB" w14:textId="77777777" w:rsidR="007457E9" w:rsidRPr="00E15C78" w:rsidRDefault="007457E9" w:rsidP="00CF6CBD">
            <w:pPr>
              <w:autoSpaceDE w:val="0"/>
              <w:autoSpaceDN w:val="0"/>
              <w:adjustRightInd w:val="0"/>
              <w:spacing w:after="0" w:line="240" w:lineRule="auto"/>
              <w:rPr>
                <w:rFonts w:ascii="ITC Avant Garde" w:hAnsi="ITC Avant Garde"/>
                <w:bCs/>
                <w:sz w:val="18"/>
                <w:szCs w:val="18"/>
              </w:rPr>
            </w:pPr>
            <w:r>
              <w:rPr>
                <w:rFonts w:ascii="ITC Avant Garde" w:hAnsi="ITC Avant Garde"/>
                <w:bCs/>
                <w:sz w:val="18"/>
                <w:szCs w:val="18"/>
              </w:rPr>
              <w:t>Roberto Alfonso Rentería Fernández</w:t>
            </w:r>
          </w:p>
        </w:tc>
        <w:tc>
          <w:tcPr>
            <w:tcW w:w="1238" w:type="dxa"/>
          </w:tcPr>
          <w:p w14:paraId="23942128" w14:textId="77777777" w:rsidR="007457E9" w:rsidDel="00A51519" w:rsidRDefault="007457E9"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5</w:t>
            </w:r>
          </w:p>
        </w:tc>
        <w:tc>
          <w:tcPr>
            <w:tcW w:w="1739" w:type="dxa"/>
          </w:tcPr>
          <w:p w14:paraId="04C8B54E" w14:textId="77777777" w:rsidR="007457E9" w:rsidDel="00A51519" w:rsidRDefault="007457E9"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0</w:t>
            </w:r>
          </w:p>
        </w:tc>
        <w:tc>
          <w:tcPr>
            <w:tcW w:w="0" w:type="auto"/>
          </w:tcPr>
          <w:p w14:paraId="22E0268A" w14:textId="77777777" w:rsidR="007457E9" w:rsidDel="00A51519" w:rsidRDefault="007457E9"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5</w:t>
            </w:r>
          </w:p>
        </w:tc>
        <w:tc>
          <w:tcPr>
            <w:tcW w:w="0" w:type="auto"/>
          </w:tcPr>
          <w:p w14:paraId="0C332E43" w14:textId="77777777" w:rsidR="007457E9" w:rsidRPr="001E4C7D" w:rsidRDefault="007457E9" w:rsidP="00CF6CBD">
            <w:pPr>
              <w:autoSpaceDE w:val="0"/>
              <w:autoSpaceDN w:val="0"/>
              <w:adjustRightInd w:val="0"/>
              <w:spacing w:after="0" w:line="240" w:lineRule="auto"/>
              <w:jc w:val="center"/>
              <w:rPr>
                <w:rFonts w:ascii="ITC Avant Garde" w:hAnsi="ITC Avant Garde"/>
                <w:bCs/>
                <w:sz w:val="18"/>
                <w:szCs w:val="18"/>
              </w:rPr>
            </w:pPr>
            <w:r w:rsidRPr="001E4C7D">
              <w:rPr>
                <w:rFonts w:ascii="ITC Avant Garde" w:hAnsi="ITC Avant Garde"/>
                <w:bCs/>
                <w:sz w:val="18"/>
                <w:szCs w:val="18"/>
              </w:rPr>
              <w:t>0.14 %</w:t>
            </w:r>
          </w:p>
        </w:tc>
      </w:tr>
      <w:tr w:rsidR="007457E9" w:rsidRPr="00910B3F" w14:paraId="28BA1097" w14:textId="77777777" w:rsidTr="001A661F">
        <w:trPr>
          <w:trHeight w:val="252"/>
          <w:jc w:val="center"/>
        </w:trPr>
        <w:tc>
          <w:tcPr>
            <w:tcW w:w="0" w:type="auto"/>
          </w:tcPr>
          <w:p w14:paraId="049BA855" w14:textId="77777777" w:rsidR="007457E9" w:rsidRDefault="007457E9" w:rsidP="00CF6CBD">
            <w:pPr>
              <w:autoSpaceDE w:val="0"/>
              <w:autoSpaceDN w:val="0"/>
              <w:adjustRightInd w:val="0"/>
              <w:spacing w:after="0" w:line="240" w:lineRule="auto"/>
              <w:rPr>
                <w:rFonts w:ascii="ITC Avant Garde" w:hAnsi="ITC Avant Garde"/>
                <w:bCs/>
                <w:sz w:val="18"/>
                <w:szCs w:val="18"/>
              </w:rPr>
            </w:pPr>
            <w:r>
              <w:rPr>
                <w:rFonts w:ascii="ITC Avant Garde" w:hAnsi="ITC Avant Garde"/>
                <w:bCs/>
                <w:sz w:val="18"/>
                <w:szCs w:val="18"/>
              </w:rPr>
              <w:t>Prosperist, S.A.P.I. de C.V.</w:t>
            </w:r>
          </w:p>
        </w:tc>
        <w:tc>
          <w:tcPr>
            <w:tcW w:w="1238" w:type="dxa"/>
          </w:tcPr>
          <w:p w14:paraId="629565FF" w14:textId="77777777" w:rsidR="007457E9" w:rsidRDefault="007457E9"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0</w:t>
            </w:r>
          </w:p>
        </w:tc>
        <w:tc>
          <w:tcPr>
            <w:tcW w:w="1739" w:type="dxa"/>
          </w:tcPr>
          <w:p w14:paraId="1876CC6B" w14:textId="77777777" w:rsidR="007457E9" w:rsidRDefault="007457E9"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3425</w:t>
            </w:r>
          </w:p>
        </w:tc>
        <w:tc>
          <w:tcPr>
            <w:tcW w:w="0" w:type="auto"/>
          </w:tcPr>
          <w:p w14:paraId="208CE41D" w14:textId="77777777" w:rsidR="007457E9" w:rsidRDefault="007457E9" w:rsidP="00CF6CBD">
            <w:pPr>
              <w:autoSpaceDE w:val="0"/>
              <w:autoSpaceDN w:val="0"/>
              <w:adjustRightInd w:val="0"/>
              <w:spacing w:after="0" w:line="240" w:lineRule="auto"/>
              <w:jc w:val="center"/>
              <w:rPr>
                <w:rFonts w:ascii="ITC Avant Garde" w:hAnsi="ITC Avant Garde"/>
                <w:bCs/>
                <w:sz w:val="18"/>
                <w:szCs w:val="18"/>
              </w:rPr>
            </w:pPr>
            <w:r>
              <w:rPr>
                <w:rFonts w:ascii="ITC Avant Garde" w:hAnsi="ITC Avant Garde"/>
                <w:bCs/>
                <w:sz w:val="18"/>
                <w:szCs w:val="18"/>
              </w:rPr>
              <w:t>3425</w:t>
            </w:r>
          </w:p>
        </w:tc>
        <w:tc>
          <w:tcPr>
            <w:tcW w:w="0" w:type="auto"/>
          </w:tcPr>
          <w:p w14:paraId="5817EBB3" w14:textId="77777777" w:rsidR="007457E9" w:rsidRPr="001E4C7D" w:rsidRDefault="007457E9" w:rsidP="00CF6CBD">
            <w:pPr>
              <w:autoSpaceDE w:val="0"/>
              <w:autoSpaceDN w:val="0"/>
              <w:adjustRightInd w:val="0"/>
              <w:spacing w:after="0" w:line="240" w:lineRule="auto"/>
              <w:jc w:val="center"/>
              <w:rPr>
                <w:rFonts w:ascii="ITC Avant Garde" w:hAnsi="ITC Avant Garde"/>
                <w:bCs/>
                <w:sz w:val="18"/>
                <w:szCs w:val="18"/>
              </w:rPr>
            </w:pPr>
            <w:r w:rsidRPr="001E4C7D">
              <w:rPr>
                <w:rFonts w:ascii="ITC Avant Garde" w:hAnsi="ITC Avant Garde"/>
                <w:bCs/>
                <w:sz w:val="18"/>
                <w:szCs w:val="18"/>
              </w:rPr>
              <w:t>98.56%</w:t>
            </w:r>
          </w:p>
        </w:tc>
      </w:tr>
      <w:tr w:rsidR="007457E9" w:rsidRPr="00910B3F" w14:paraId="1A5D246C" w14:textId="77777777" w:rsidTr="001A661F">
        <w:trPr>
          <w:trHeight w:val="252"/>
          <w:jc w:val="center"/>
        </w:trPr>
        <w:tc>
          <w:tcPr>
            <w:tcW w:w="0" w:type="auto"/>
          </w:tcPr>
          <w:p w14:paraId="051B2D2D" w14:textId="77777777" w:rsidR="007457E9" w:rsidRPr="00E15C78" w:rsidRDefault="007457E9" w:rsidP="00CF6CBD">
            <w:pPr>
              <w:autoSpaceDE w:val="0"/>
              <w:autoSpaceDN w:val="0"/>
              <w:adjustRightInd w:val="0"/>
              <w:spacing w:after="0" w:line="240" w:lineRule="auto"/>
              <w:rPr>
                <w:rFonts w:ascii="ITC Avant Garde" w:hAnsi="ITC Avant Garde"/>
                <w:b/>
                <w:bCs/>
                <w:sz w:val="18"/>
                <w:szCs w:val="18"/>
              </w:rPr>
            </w:pPr>
            <w:r>
              <w:rPr>
                <w:rFonts w:ascii="ITC Avant Garde" w:hAnsi="ITC Avant Garde"/>
                <w:b/>
                <w:bCs/>
                <w:sz w:val="18"/>
                <w:szCs w:val="18"/>
              </w:rPr>
              <w:t>Total</w:t>
            </w:r>
          </w:p>
        </w:tc>
        <w:tc>
          <w:tcPr>
            <w:tcW w:w="1238" w:type="dxa"/>
          </w:tcPr>
          <w:p w14:paraId="7EA0D349" w14:textId="77777777" w:rsidR="007457E9" w:rsidRPr="00910B3F" w:rsidDel="00A51519" w:rsidRDefault="007457E9"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50</w:t>
            </w:r>
          </w:p>
        </w:tc>
        <w:tc>
          <w:tcPr>
            <w:tcW w:w="1739" w:type="dxa"/>
          </w:tcPr>
          <w:p w14:paraId="7AD6A3B5" w14:textId="77777777" w:rsidR="007457E9" w:rsidRPr="00910B3F" w:rsidDel="00A51519" w:rsidRDefault="007457E9"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3425</w:t>
            </w:r>
          </w:p>
        </w:tc>
        <w:tc>
          <w:tcPr>
            <w:tcW w:w="0" w:type="auto"/>
          </w:tcPr>
          <w:p w14:paraId="17535144" w14:textId="77777777" w:rsidR="007457E9" w:rsidRPr="00910B3F" w:rsidDel="00A51519" w:rsidRDefault="007457E9"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3475</w:t>
            </w:r>
          </w:p>
        </w:tc>
        <w:tc>
          <w:tcPr>
            <w:tcW w:w="0" w:type="auto"/>
          </w:tcPr>
          <w:p w14:paraId="72615094" w14:textId="77777777" w:rsidR="007457E9" w:rsidRPr="00910B3F" w:rsidRDefault="007457E9" w:rsidP="00CF6CBD">
            <w:pPr>
              <w:autoSpaceDE w:val="0"/>
              <w:autoSpaceDN w:val="0"/>
              <w:adjustRightInd w:val="0"/>
              <w:spacing w:after="0" w:line="240" w:lineRule="auto"/>
              <w:jc w:val="center"/>
              <w:rPr>
                <w:rFonts w:ascii="ITC Avant Garde" w:hAnsi="ITC Avant Garde"/>
                <w:b/>
                <w:bCs/>
                <w:sz w:val="18"/>
                <w:szCs w:val="18"/>
              </w:rPr>
            </w:pPr>
            <w:r>
              <w:rPr>
                <w:rFonts w:ascii="ITC Avant Garde" w:hAnsi="ITC Avant Garde"/>
                <w:b/>
                <w:bCs/>
                <w:sz w:val="18"/>
                <w:szCs w:val="18"/>
              </w:rPr>
              <w:t>100 %</w:t>
            </w:r>
          </w:p>
        </w:tc>
      </w:tr>
    </w:tbl>
    <w:p w14:paraId="1349B7B8" w14:textId="77777777" w:rsidR="00CF6CBD" w:rsidRDefault="00872B46" w:rsidP="00CF6CBD">
      <w:pPr>
        <w:autoSpaceDE w:val="0"/>
        <w:autoSpaceDN w:val="0"/>
        <w:adjustRightInd w:val="0"/>
        <w:spacing w:before="240" w:afterLines="120" w:after="288" w:line="240" w:lineRule="auto"/>
        <w:jc w:val="both"/>
        <w:rPr>
          <w:rFonts w:ascii="ITC Avant Garde" w:hAnsi="ITC Avant Garde"/>
          <w:bCs/>
        </w:rPr>
      </w:pPr>
      <w:r w:rsidRPr="00EE4BBE">
        <w:rPr>
          <w:rFonts w:ascii="ITC Avant Garde" w:hAnsi="ITC Avant Garde"/>
          <w:b/>
          <w:bCs/>
        </w:rPr>
        <w:t>SEGUND</w:t>
      </w:r>
      <w:r w:rsidR="00F77F3F" w:rsidRPr="00EE4BBE">
        <w:rPr>
          <w:rFonts w:ascii="ITC Avant Garde" w:hAnsi="ITC Avant Garde"/>
          <w:b/>
          <w:bCs/>
        </w:rPr>
        <w:t>O</w:t>
      </w:r>
      <w:r w:rsidR="00405310" w:rsidRPr="00405310">
        <w:rPr>
          <w:rFonts w:ascii="ITC Avant Garde" w:hAnsi="ITC Avant Garde"/>
          <w:bCs/>
        </w:rPr>
        <w:t xml:space="preserve"> </w:t>
      </w:r>
      <w:r w:rsidR="00405310" w:rsidRPr="00F80A22">
        <w:rPr>
          <w:rFonts w:ascii="ITC Avant Garde" w:hAnsi="ITC Avant Garde"/>
          <w:bCs/>
        </w:rPr>
        <w:t xml:space="preserve">Se instruye a la Unidad de Concesiones y Servicios a notificar al representante legal </w:t>
      </w:r>
      <w:r w:rsidR="00405310">
        <w:rPr>
          <w:rFonts w:ascii="ITC Avant Garde" w:hAnsi="ITC Avant Garde"/>
          <w:bCs/>
        </w:rPr>
        <w:t xml:space="preserve">de </w:t>
      </w:r>
      <w:r w:rsidR="007457E9">
        <w:rPr>
          <w:rFonts w:ascii="ITC Avant Garde" w:hAnsi="ITC Avant Garde" w:cs="Arial"/>
          <w:bCs/>
          <w:color w:val="000000"/>
          <w:shd w:val="clear" w:color="auto" w:fill="FFFFFF"/>
        </w:rPr>
        <w:t>Integración de Servicios y Tecnología</w:t>
      </w:r>
      <w:r w:rsidR="00B51D27" w:rsidRPr="005E7162">
        <w:rPr>
          <w:rFonts w:ascii="ITC Avant Garde" w:hAnsi="ITC Avant Garde" w:cs="Arial"/>
          <w:bCs/>
          <w:color w:val="000000"/>
          <w:shd w:val="clear" w:color="auto" w:fill="FFFFFF"/>
        </w:rPr>
        <w:t>, S.A. de C.V</w:t>
      </w:r>
      <w:r w:rsidR="00405310">
        <w:rPr>
          <w:rFonts w:ascii="ITC Avant Garde" w:hAnsi="ITC Avant Garde"/>
          <w:bCs/>
        </w:rPr>
        <w:t>. l</w:t>
      </w:r>
      <w:r w:rsidR="00405310" w:rsidRPr="00F80A22">
        <w:rPr>
          <w:rFonts w:ascii="ITC Avant Garde" w:hAnsi="ITC Avant Garde"/>
          <w:bCs/>
        </w:rPr>
        <w:t xml:space="preserve">a autorización para llevar a cabo la </w:t>
      </w:r>
      <w:r w:rsidR="00D278A1">
        <w:rPr>
          <w:rFonts w:ascii="ITC Avant Garde" w:hAnsi="ITC Avant Garde"/>
          <w:bCs/>
        </w:rPr>
        <w:t>suscripción</w:t>
      </w:r>
      <w:r w:rsidR="00405310" w:rsidRPr="00F80A22">
        <w:rPr>
          <w:rFonts w:ascii="ITC Avant Garde" w:hAnsi="ITC Avant Garde"/>
          <w:bCs/>
        </w:rPr>
        <w:t xml:space="preserve"> de acciones a que se refiere la presente Resolución, de conformidad con el Resolutivo Primero anterior.</w:t>
      </w:r>
    </w:p>
    <w:p w14:paraId="0B8D8A50" w14:textId="77777777" w:rsidR="00CF6CBD" w:rsidRDefault="004F7C6E" w:rsidP="00CF6CBD">
      <w:pPr>
        <w:autoSpaceDE w:val="0"/>
        <w:autoSpaceDN w:val="0"/>
        <w:adjustRightInd w:val="0"/>
        <w:spacing w:afterLines="120" w:after="288" w:line="240" w:lineRule="auto"/>
        <w:jc w:val="both"/>
        <w:rPr>
          <w:rFonts w:ascii="ITC Avant Garde" w:hAnsi="ITC Avant Garde"/>
          <w:bCs/>
        </w:rPr>
      </w:pPr>
      <w:r w:rsidRPr="00EE4BBE">
        <w:rPr>
          <w:rFonts w:ascii="ITC Avant Garde" w:hAnsi="ITC Avant Garde"/>
          <w:b/>
          <w:bCs/>
        </w:rPr>
        <w:t>TERCERO.-</w:t>
      </w:r>
      <w:r w:rsidRPr="00EE4BBE">
        <w:rPr>
          <w:rFonts w:ascii="ITC Avant Garde" w:hAnsi="ITC Avant Garde"/>
          <w:bCs/>
        </w:rPr>
        <w:t xml:space="preserve"> La presente autorización tendrá una vigencia de 60 (sesenta) días naturales, </w:t>
      </w:r>
      <w:r w:rsidRPr="00E4032B">
        <w:rPr>
          <w:rFonts w:ascii="ITC Avant Garde" w:hAnsi="ITC Avant Garde"/>
          <w:bCs/>
          <w:lang w:eastAsia="es-MX"/>
        </w:rPr>
        <w:t xml:space="preserve">contados a partir del día siguiente a aquél en que surta efectos </w:t>
      </w:r>
      <w:r w:rsidRPr="00EE4BBE">
        <w:rPr>
          <w:rFonts w:ascii="ITC Avant Garde" w:hAnsi="ITC Avant Garde"/>
          <w:bCs/>
        </w:rPr>
        <w:t xml:space="preserve">la notificación de la misma. </w:t>
      </w:r>
    </w:p>
    <w:p w14:paraId="2328D639" w14:textId="77777777" w:rsidR="00CF6CBD" w:rsidRDefault="004F7C6E" w:rsidP="00CF6CBD">
      <w:pPr>
        <w:autoSpaceDE w:val="0"/>
        <w:autoSpaceDN w:val="0"/>
        <w:adjustRightInd w:val="0"/>
        <w:spacing w:afterLines="120" w:after="288" w:line="240" w:lineRule="auto"/>
        <w:jc w:val="both"/>
        <w:rPr>
          <w:rFonts w:ascii="ITC Avant Garde" w:hAnsi="ITC Avant Garde"/>
          <w:bCs/>
        </w:rPr>
      </w:pPr>
      <w:r w:rsidRPr="00EE4BBE">
        <w:rPr>
          <w:rFonts w:ascii="ITC Avant Garde" w:hAnsi="ITC Avant Garde"/>
          <w:bCs/>
        </w:rPr>
        <w:t>Dentro de es</w:t>
      </w:r>
      <w:r>
        <w:rPr>
          <w:rFonts w:ascii="ITC Avant Garde" w:hAnsi="ITC Avant Garde"/>
          <w:bCs/>
        </w:rPr>
        <w:t>t</w:t>
      </w:r>
      <w:r w:rsidRPr="00EE4BBE">
        <w:rPr>
          <w:rFonts w:ascii="ITC Avant Garde" w:hAnsi="ITC Avant Garde"/>
          <w:bCs/>
        </w:rPr>
        <w:t xml:space="preserve">e plazo de vigencia, </w:t>
      </w:r>
      <w:r w:rsidR="00711293">
        <w:rPr>
          <w:rFonts w:ascii="ITC Avant Garde" w:hAnsi="ITC Avant Garde"/>
          <w:bCs/>
        </w:rPr>
        <w:t>Integración de Servicios y Tecnología</w:t>
      </w:r>
      <w:r w:rsidRPr="00EE4BBE">
        <w:rPr>
          <w:rFonts w:ascii="ITC Avant Garde" w:hAnsi="ITC Avant Garde"/>
          <w:bCs/>
          <w:lang w:val="es-ES" w:eastAsia="es-ES"/>
        </w:rPr>
        <w:t>, S.A. de C.V.</w:t>
      </w:r>
      <w:r w:rsidRPr="00EE4BBE">
        <w:rPr>
          <w:rFonts w:ascii="ITC Avant Garde" w:hAnsi="ITC Avant Garde"/>
          <w:bCs/>
        </w:rPr>
        <w:t>, deberá presentar para su inscripción en el Registro Público de Concesiones, copia certificada del instrumento donde conste que se llevaron a cabo los movimientos a que se refiere el Resolutivo Primero</w:t>
      </w:r>
      <w:r>
        <w:rPr>
          <w:rFonts w:ascii="ITC Avant Garde" w:hAnsi="ITC Avant Garde"/>
          <w:bCs/>
        </w:rPr>
        <w:t xml:space="preserve"> anterior</w:t>
      </w:r>
      <w:r w:rsidRPr="00EE4BBE">
        <w:rPr>
          <w:rFonts w:ascii="ITC Avant Garde" w:hAnsi="ITC Avant Garde"/>
          <w:bCs/>
        </w:rPr>
        <w:t xml:space="preserve">, </w:t>
      </w:r>
      <w:r>
        <w:rPr>
          <w:rFonts w:ascii="ITC Avant Garde" w:hAnsi="ITC Avant Garde"/>
          <w:bCs/>
        </w:rPr>
        <w:t>en términos de</w:t>
      </w:r>
      <w:r w:rsidRPr="006F004E">
        <w:rPr>
          <w:rFonts w:ascii="ITC Avant Garde" w:hAnsi="ITC Avant Garde"/>
          <w:bCs/>
        </w:rPr>
        <w:t xml:space="preserve">l artículo 177 fracción XI, en relación con el 180 de la Ley Federal de Telecomunicaciones y Radiodifusión. Concluido dicho plazo, sin que se hubiere dado cumplimiento al presente Resolutivo, </w:t>
      </w:r>
      <w:r w:rsidR="00711293">
        <w:rPr>
          <w:rFonts w:ascii="ITC Avant Garde" w:hAnsi="ITC Avant Garde"/>
          <w:bCs/>
        </w:rPr>
        <w:t>Integración de Servicios y Tecnología</w:t>
      </w:r>
      <w:r w:rsidRPr="006F004E">
        <w:rPr>
          <w:rFonts w:ascii="ITC Avant Garde" w:hAnsi="ITC Avant Garde"/>
          <w:bCs/>
        </w:rPr>
        <w:t>, S.A. de C.V., deberá solicitar una nueva autorización.</w:t>
      </w:r>
    </w:p>
    <w:p w14:paraId="05C814D5" w14:textId="77777777" w:rsidR="00CF6CBD" w:rsidRDefault="00846937" w:rsidP="00CF6CBD">
      <w:pPr>
        <w:autoSpaceDE w:val="0"/>
        <w:autoSpaceDN w:val="0"/>
        <w:adjustRightInd w:val="0"/>
        <w:spacing w:afterLines="120" w:after="288" w:line="240" w:lineRule="auto"/>
        <w:jc w:val="both"/>
        <w:rPr>
          <w:rFonts w:ascii="ITC Avant Garde" w:hAnsi="ITC Avant Garde"/>
          <w:bCs/>
        </w:rPr>
      </w:pPr>
      <w:r w:rsidRPr="00986F6F">
        <w:rPr>
          <w:rFonts w:ascii="ITC Avant Garde" w:hAnsi="ITC Avant Garde"/>
          <w:b/>
          <w:bCs/>
        </w:rPr>
        <w:lastRenderedPageBreak/>
        <w:t xml:space="preserve">CUARTO.- </w:t>
      </w:r>
      <w:r w:rsidRPr="00986F6F">
        <w:rPr>
          <w:rFonts w:ascii="ITC Avant Garde" w:hAnsi="ITC Avant Garde"/>
          <w:bCs/>
        </w:rPr>
        <w:t>La presente Resolución se emite en el ámbito de aplicación del artículo 112 de la Ley Federal de Telecomunicaciones y Radiodifusión y no prejuzga sobre las atribuciones que corresponda ejercer al Instituto Federal de Telecomunicaciones en materia de competencia económica.</w:t>
      </w:r>
    </w:p>
    <w:p w14:paraId="49421FBE" w14:textId="77777777" w:rsidR="00CF6CBD" w:rsidRDefault="004F7C6E" w:rsidP="00CF6CBD">
      <w:pPr>
        <w:autoSpaceDE w:val="0"/>
        <w:autoSpaceDN w:val="0"/>
        <w:adjustRightInd w:val="0"/>
        <w:spacing w:afterLines="120" w:after="288" w:line="240" w:lineRule="auto"/>
        <w:jc w:val="both"/>
        <w:rPr>
          <w:rFonts w:ascii="ITC Avant Garde" w:hAnsi="ITC Avant Garde"/>
          <w:bCs/>
        </w:rPr>
      </w:pPr>
      <w:r w:rsidRPr="00D26B4A">
        <w:rPr>
          <w:rFonts w:ascii="ITC Avant Garde" w:hAnsi="ITC Avant Garde"/>
          <w:b/>
          <w:bCs/>
        </w:rPr>
        <w:t>QUINTO</w:t>
      </w:r>
      <w:r w:rsidR="00711293" w:rsidRPr="00D26B4A">
        <w:rPr>
          <w:rFonts w:ascii="ITC Avant Garde" w:hAnsi="ITC Avant Garde"/>
          <w:b/>
          <w:bCs/>
        </w:rPr>
        <w:t xml:space="preserve">.- </w:t>
      </w:r>
      <w:r w:rsidR="00F453EB" w:rsidRPr="00D26B4A">
        <w:rPr>
          <w:rFonts w:ascii="ITC Avant Garde" w:hAnsi="ITC Avant Garde"/>
          <w:bCs/>
        </w:rPr>
        <w:t>En atención a las inconsistencias señaladas en el Considerando Cuarto de la presente Resolución, s</w:t>
      </w:r>
      <w:r w:rsidR="00711293" w:rsidRPr="00D26B4A">
        <w:rPr>
          <w:rFonts w:ascii="ITC Avant Garde" w:hAnsi="ITC Avant Garde"/>
          <w:bCs/>
        </w:rPr>
        <w:t>e instruye a la Secretaría Técnica del Pleno a hacer del conocimiento de la Unidad de Cumplimiento la presente Resolución</w:t>
      </w:r>
      <w:r w:rsidR="00456A3C">
        <w:rPr>
          <w:rFonts w:ascii="ITC Avant Garde" w:hAnsi="ITC Avant Garde"/>
          <w:bCs/>
        </w:rPr>
        <w:t>, así como el oficio IFT/226/UCE/DG-CCON/743/2017 y su Anexo,</w:t>
      </w:r>
      <w:r w:rsidR="00711293" w:rsidRPr="00D26B4A">
        <w:rPr>
          <w:rFonts w:ascii="ITC Avant Garde" w:hAnsi="ITC Avant Garde"/>
          <w:bCs/>
        </w:rPr>
        <w:t xml:space="preserve"> para los efectos conducentes.</w:t>
      </w:r>
    </w:p>
    <w:p w14:paraId="290A0EC5" w14:textId="67D3F3F0" w:rsidR="00CE069A" w:rsidRPr="00CE069A" w:rsidRDefault="00CE069A" w:rsidP="00CF6CBD">
      <w:pPr>
        <w:pStyle w:val="Prrafodelista"/>
        <w:spacing w:afterLines="120" w:after="288"/>
        <w:ind w:left="0"/>
        <w:jc w:val="both"/>
        <w:rPr>
          <w:rFonts w:ascii="ITC Avant Garde" w:hAnsi="ITC Avant Garde"/>
          <w:sz w:val="14"/>
          <w:szCs w:val="14"/>
          <w:lang w:val="es-ES_tradnl" w:eastAsia="es-MX"/>
        </w:rPr>
      </w:pPr>
      <w:r w:rsidRPr="00CE069A">
        <w:rPr>
          <w:rFonts w:ascii="ITC Avant Garde" w:hAnsi="ITC Avant Garde"/>
          <w:sz w:val="14"/>
          <w:szCs w:val="14"/>
          <w:lang w:val="es-ES_tradnl"/>
        </w:rPr>
        <w:t xml:space="preserve">La presente Resolución fue aprobada por el Pleno del Instituto Federal de Telecomunicaciones en su XLVII Sesión Ordinaria celebrada el 15 de noviembre de 2017, </w:t>
      </w:r>
      <w:r w:rsidRPr="00CE069A">
        <w:rPr>
          <w:rFonts w:ascii="ITC Avant Garde" w:hAnsi="ITC Avant Garde"/>
          <w:bCs/>
          <w:sz w:val="14"/>
          <w:szCs w:val="14"/>
          <w:lang w:val="es-ES_tradnl"/>
        </w:rPr>
        <w:t>por unanimidad</w:t>
      </w:r>
      <w:r w:rsidRPr="00CE069A">
        <w:rPr>
          <w:rFonts w:ascii="ITC Avant Garde" w:hAnsi="ITC Avant Garde"/>
          <w:sz w:val="14"/>
          <w:szCs w:val="14"/>
          <w:lang w:val="es-ES_tradnl"/>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P/IFT/151117/702.</w:t>
      </w:r>
    </w:p>
    <w:sectPr w:rsidR="00CE069A" w:rsidRPr="00CE069A" w:rsidSect="0088612B">
      <w:headerReference w:type="even" r:id="rId12"/>
      <w:footerReference w:type="default" r:id="rId13"/>
      <w:headerReference w:type="first" r:id="rId14"/>
      <w:pgSz w:w="12240" w:h="15840"/>
      <w:pgMar w:top="1985" w:right="1474" w:bottom="147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99A6A" w14:textId="77777777" w:rsidR="00D455C4" w:rsidRDefault="00D455C4" w:rsidP="00072BC8">
      <w:pPr>
        <w:spacing w:after="0" w:line="240" w:lineRule="auto"/>
      </w:pPr>
      <w:r>
        <w:separator/>
      </w:r>
    </w:p>
  </w:endnote>
  <w:endnote w:type="continuationSeparator" w:id="0">
    <w:p w14:paraId="08E3FCA4" w14:textId="77777777" w:rsidR="00D455C4" w:rsidRDefault="00D455C4"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TC Avant Garde">
    <w:panose1 w:val="020B04020202030203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527124"/>
      <w:docPartObj>
        <w:docPartGallery w:val="Page Numbers (Bottom of Page)"/>
        <w:docPartUnique/>
      </w:docPartObj>
    </w:sdtPr>
    <w:sdtEndPr>
      <w:rPr>
        <w:rFonts w:ascii="ITC Avant Garde" w:hAnsi="ITC Avant Garde"/>
        <w:sz w:val="20"/>
        <w:szCs w:val="20"/>
      </w:rPr>
    </w:sdtEndPr>
    <w:sdtContent>
      <w:p w14:paraId="0766D875" w14:textId="42A0866E" w:rsidR="007457E9" w:rsidRPr="00592000" w:rsidRDefault="0088612B" w:rsidP="00592000">
        <w:pPr>
          <w:pStyle w:val="Piedepgina"/>
          <w:jc w:val="right"/>
          <w:rPr>
            <w:rFonts w:ascii="ITC Avant Garde" w:hAnsi="ITC Avant Garde"/>
            <w:sz w:val="20"/>
            <w:szCs w:val="20"/>
          </w:rPr>
        </w:pPr>
        <w:r w:rsidRPr="0088612B">
          <w:rPr>
            <w:rFonts w:ascii="ITC Avant Garde" w:hAnsi="ITC Avant Garde"/>
            <w:sz w:val="20"/>
            <w:szCs w:val="20"/>
          </w:rPr>
          <w:fldChar w:fldCharType="begin"/>
        </w:r>
        <w:r w:rsidRPr="0088612B">
          <w:rPr>
            <w:rFonts w:ascii="ITC Avant Garde" w:hAnsi="ITC Avant Garde"/>
            <w:sz w:val="20"/>
            <w:szCs w:val="20"/>
          </w:rPr>
          <w:instrText>PAGE   \* MERGEFORMAT</w:instrText>
        </w:r>
        <w:r w:rsidRPr="0088612B">
          <w:rPr>
            <w:rFonts w:ascii="ITC Avant Garde" w:hAnsi="ITC Avant Garde"/>
            <w:sz w:val="20"/>
            <w:szCs w:val="20"/>
          </w:rPr>
          <w:fldChar w:fldCharType="separate"/>
        </w:r>
        <w:r w:rsidR="00592000" w:rsidRPr="00592000">
          <w:rPr>
            <w:rFonts w:ascii="ITC Avant Garde" w:hAnsi="ITC Avant Garde"/>
            <w:noProof/>
            <w:sz w:val="20"/>
            <w:szCs w:val="20"/>
            <w:lang w:val="es-ES"/>
          </w:rPr>
          <w:t>4</w:t>
        </w:r>
        <w:r w:rsidRPr="0088612B">
          <w:rPr>
            <w:rFonts w:ascii="ITC Avant Garde" w:hAnsi="ITC Avant Garde"/>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DC3C8" w14:textId="77777777" w:rsidR="00D455C4" w:rsidRDefault="00D455C4" w:rsidP="00072BC8">
      <w:pPr>
        <w:spacing w:after="0" w:line="240" w:lineRule="auto"/>
      </w:pPr>
      <w:r>
        <w:separator/>
      </w:r>
    </w:p>
  </w:footnote>
  <w:footnote w:type="continuationSeparator" w:id="0">
    <w:p w14:paraId="327DD5FA" w14:textId="77777777" w:rsidR="00D455C4" w:rsidRDefault="00D455C4" w:rsidP="00072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9290" w14:textId="77777777" w:rsidR="007457E9" w:rsidRDefault="00D455C4">
    <w:pPr>
      <w:pStyle w:val="Encabezado"/>
    </w:pPr>
    <w:r>
      <w:rPr>
        <w:noProof/>
        <w:lang w:eastAsia="es-MX"/>
      </w:rPr>
      <w:pict w14:anchorId="66947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65" type="#_x0000_t75" style="position:absolute;margin-left:0;margin-top:0;width:612pt;height:11in;z-index:-251658752;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AED0F" w14:textId="77777777" w:rsidR="007457E9" w:rsidRPr="000F5E4B" w:rsidRDefault="00D455C4">
    <w:pPr>
      <w:pStyle w:val="Encabezado"/>
      <w:rPr>
        <w:b/>
      </w:rPr>
    </w:pPr>
    <w:r>
      <w:rPr>
        <w:b/>
        <w:noProof/>
        <w:lang w:eastAsia="es-MX"/>
      </w:rPr>
      <w:pict w14:anchorId="19877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64" type="#_x0000_t75" style="position:absolute;margin-left:-70.9pt;margin-top:-114.95pt;width:612pt;height:11in;z-index:-251659776;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3D40"/>
    <w:multiLevelType w:val="hybridMultilevel"/>
    <w:tmpl w:val="61B020EC"/>
    <w:lvl w:ilvl="0" w:tplc="7CFE7A40">
      <w:start w:val="1"/>
      <w:numFmt w:val="lowerRoman"/>
      <w:lvlText w:val="%1)"/>
      <w:lvlJc w:val="left"/>
      <w:pPr>
        <w:ind w:left="1800" w:hanging="720"/>
      </w:pPr>
      <w:rPr>
        <w:rFonts w:ascii="ITC Avant Garde" w:eastAsia="Times New Roman" w:hAnsi="ITC Avant Garde" w:cs="Arial"/>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62A2CD0"/>
    <w:multiLevelType w:val="hybridMultilevel"/>
    <w:tmpl w:val="BFE41A32"/>
    <w:lvl w:ilvl="0" w:tplc="0C069A96">
      <w:start w:val="5"/>
      <w:numFmt w:val="upperRoman"/>
      <w:lvlText w:val="%1."/>
      <w:lvlJc w:val="righ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517E1B"/>
    <w:multiLevelType w:val="hybridMultilevel"/>
    <w:tmpl w:val="63CE46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9010103"/>
    <w:multiLevelType w:val="hybridMultilevel"/>
    <w:tmpl w:val="01FA28A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 w15:restartNumberingAfterBreak="0">
    <w:nsid w:val="19977D59"/>
    <w:multiLevelType w:val="hybridMultilevel"/>
    <w:tmpl w:val="32207050"/>
    <w:lvl w:ilvl="0" w:tplc="08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D003756"/>
    <w:multiLevelType w:val="hybridMultilevel"/>
    <w:tmpl w:val="3C781C7E"/>
    <w:lvl w:ilvl="0" w:tplc="132A8C0C">
      <w:start w:val="1"/>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A95FBC"/>
    <w:multiLevelType w:val="hybridMultilevel"/>
    <w:tmpl w:val="084A7944"/>
    <w:lvl w:ilvl="0" w:tplc="4EEE5C3E">
      <w:start w:val="1"/>
      <w:numFmt w:val="upperRoman"/>
      <w:lvlText w:val="%1."/>
      <w:lvlJc w:val="left"/>
      <w:pPr>
        <w:ind w:left="2148" w:hanging="72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7" w15:restartNumberingAfterBreak="0">
    <w:nsid w:val="239118E3"/>
    <w:multiLevelType w:val="hybridMultilevel"/>
    <w:tmpl w:val="EEFE4496"/>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4494432"/>
    <w:multiLevelType w:val="hybridMultilevel"/>
    <w:tmpl w:val="49BC115E"/>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72AD6"/>
    <w:multiLevelType w:val="hybridMultilevel"/>
    <w:tmpl w:val="37BCB11E"/>
    <w:lvl w:ilvl="0" w:tplc="080A0013">
      <w:start w:val="1"/>
      <w:numFmt w:val="upperRoman"/>
      <w:lvlText w:val="%1."/>
      <w:lvlJc w:val="righ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D60892"/>
    <w:multiLevelType w:val="multilevel"/>
    <w:tmpl w:val="E4900416"/>
    <w:lvl w:ilvl="0">
      <w:start w:val="1"/>
      <w:numFmt w:val="upperRoman"/>
      <w:lvlText w:val="%1."/>
      <w:lvlJc w:val="left"/>
      <w:pPr>
        <w:ind w:left="720" w:hanging="360"/>
      </w:pPr>
      <w:rPr>
        <w:b/>
      </w:rPr>
    </w:lvl>
    <w:lvl w:ilvl="1">
      <w:start w:val="1"/>
      <w:numFmt w:val="decimal"/>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3A1E44"/>
    <w:multiLevelType w:val="hybridMultilevel"/>
    <w:tmpl w:val="B42C6ABA"/>
    <w:lvl w:ilvl="0" w:tplc="991C73C4">
      <w:start w:val="1"/>
      <w:numFmt w:val="upperRoman"/>
      <w:lvlText w:val="%1."/>
      <w:lvlJc w:val="right"/>
      <w:pPr>
        <w:ind w:left="720" w:hanging="360"/>
      </w:pPr>
      <w:rPr>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0D16C84"/>
    <w:multiLevelType w:val="hybridMultilevel"/>
    <w:tmpl w:val="EF008C4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4637E91"/>
    <w:multiLevelType w:val="hybridMultilevel"/>
    <w:tmpl w:val="50C29BBC"/>
    <w:lvl w:ilvl="0" w:tplc="080067D2">
      <w:start w:val="1"/>
      <w:numFmt w:val="bullet"/>
      <w:lvlText w:val="-"/>
      <w:lvlJc w:val="left"/>
      <w:pPr>
        <w:ind w:left="1080" w:hanging="360"/>
      </w:pPr>
      <w:rPr>
        <w:rFonts w:ascii="ITC Avant Garde" w:eastAsia="Times New Roman"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4C22D20"/>
    <w:multiLevelType w:val="hybridMultilevel"/>
    <w:tmpl w:val="E30E2CD6"/>
    <w:lvl w:ilvl="0" w:tplc="080A0001">
      <w:start w:val="1"/>
      <w:numFmt w:val="bullet"/>
      <w:lvlText w:val=""/>
      <w:lvlJc w:val="left"/>
      <w:pPr>
        <w:ind w:left="2132" w:hanging="360"/>
      </w:pPr>
      <w:rPr>
        <w:rFonts w:ascii="Symbol" w:hAnsi="Symbol" w:hint="default"/>
      </w:rPr>
    </w:lvl>
    <w:lvl w:ilvl="1" w:tplc="080A0003" w:tentative="1">
      <w:start w:val="1"/>
      <w:numFmt w:val="bullet"/>
      <w:lvlText w:val="o"/>
      <w:lvlJc w:val="left"/>
      <w:pPr>
        <w:ind w:left="2852" w:hanging="360"/>
      </w:pPr>
      <w:rPr>
        <w:rFonts w:ascii="Courier New" w:hAnsi="Courier New" w:cs="Courier New" w:hint="default"/>
      </w:rPr>
    </w:lvl>
    <w:lvl w:ilvl="2" w:tplc="080A0005" w:tentative="1">
      <w:start w:val="1"/>
      <w:numFmt w:val="bullet"/>
      <w:lvlText w:val=""/>
      <w:lvlJc w:val="left"/>
      <w:pPr>
        <w:ind w:left="3572" w:hanging="360"/>
      </w:pPr>
      <w:rPr>
        <w:rFonts w:ascii="Wingdings" w:hAnsi="Wingdings" w:hint="default"/>
      </w:rPr>
    </w:lvl>
    <w:lvl w:ilvl="3" w:tplc="080A0001" w:tentative="1">
      <w:start w:val="1"/>
      <w:numFmt w:val="bullet"/>
      <w:lvlText w:val=""/>
      <w:lvlJc w:val="left"/>
      <w:pPr>
        <w:ind w:left="4292" w:hanging="360"/>
      </w:pPr>
      <w:rPr>
        <w:rFonts w:ascii="Symbol" w:hAnsi="Symbol" w:hint="default"/>
      </w:rPr>
    </w:lvl>
    <w:lvl w:ilvl="4" w:tplc="080A0003" w:tentative="1">
      <w:start w:val="1"/>
      <w:numFmt w:val="bullet"/>
      <w:lvlText w:val="o"/>
      <w:lvlJc w:val="left"/>
      <w:pPr>
        <w:ind w:left="5012" w:hanging="360"/>
      </w:pPr>
      <w:rPr>
        <w:rFonts w:ascii="Courier New" w:hAnsi="Courier New" w:cs="Courier New" w:hint="default"/>
      </w:rPr>
    </w:lvl>
    <w:lvl w:ilvl="5" w:tplc="080A0005" w:tentative="1">
      <w:start w:val="1"/>
      <w:numFmt w:val="bullet"/>
      <w:lvlText w:val=""/>
      <w:lvlJc w:val="left"/>
      <w:pPr>
        <w:ind w:left="5732" w:hanging="360"/>
      </w:pPr>
      <w:rPr>
        <w:rFonts w:ascii="Wingdings" w:hAnsi="Wingdings" w:hint="default"/>
      </w:rPr>
    </w:lvl>
    <w:lvl w:ilvl="6" w:tplc="080A0001" w:tentative="1">
      <w:start w:val="1"/>
      <w:numFmt w:val="bullet"/>
      <w:lvlText w:val=""/>
      <w:lvlJc w:val="left"/>
      <w:pPr>
        <w:ind w:left="6452" w:hanging="360"/>
      </w:pPr>
      <w:rPr>
        <w:rFonts w:ascii="Symbol" w:hAnsi="Symbol" w:hint="default"/>
      </w:rPr>
    </w:lvl>
    <w:lvl w:ilvl="7" w:tplc="080A0003" w:tentative="1">
      <w:start w:val="1"/>
      <w:numFmt w:val="bullet"/>
      <w:lvlText w:val="o"/>
      <w:lvlJc w:val="left"/>
      <w:pPr>
        <w:ind w:left="7172" w:hanging="360"/>
      </w:pPr>
      <w:rPr>
        <w:rFonts w:ascii="Courier New" w:hAnsi="Courier New" w:cs="Courier New" w:hint="default"/>
      </w:rPr>
    </w:lvl>
    <w:lvl w:ilvl="8" w:tplc="080A0005" w:tentative="1">
      <w:start w:val="1"/>
      <w:numFmt w:val="bullet"/>
      <w:lvlText w:val=""/>
      <w:lvlJc w:val="left"/>
      <w:pPr>
        <w:ind w:left="7892" w:hanging="360"/>
      </w:pPr>
      <w:rPr>
        <w:rFonts w:ascii="Wingdings" w:hAnsi="Wingdings" w:hint="default"/>
      </w:rPr>
    </w:lvl>
  </w:abstractNum>
  <w:abstractNum w:abstractNumId="15" w15:restartNumberingAfterBreak="0">
    <w:nsid w:val="34E86A91"/>
    <w:multiLevelType w:val="hybridMultilevel"/>
    <w:tmpl w:val="8C88DFD2"/>
    <w:lvl w:ilvl="0" w:tplc="287C793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D1C232B"/>
    <w:multiLevelType w:val="hybridMultilevel"/>
    <w:tmpl w:val="286402A4"/>
    <w:lvl w:ilvl="0" w:tplc="C79E8B4E">
      <w:start w:val="1"/>
      <w:numFmt w:val="lowerRoman"/>
      <w:lvlText w:val="%1)"/>
      <w:lvlJc w:val="left"/>
      <w:pPr>
        <w:ind w:left="1287" w:hanging="360"/>
      </w:pPr>
      <w:rPr>
        <w:rFonts w:ascii="ITC Avant Garde" w:eastAsia="Times New Roman" w:hAnsi="ITC Avant Garde" w:cs="Times New Roman"/>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3D692DEB"/>
    <w:multiLevelType w:val="hybridMultilevel"/>
    <w:tmpl w:val="D1541512"/>
    <w:lvl w:ilvl="0" w:tplc="7B1EA7C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E3F42E0"/>
    <w:multiLevelType w:val="multilevel"/>
    <w:tmpl w:val="E4900416"/>
    <w:lvl w:ilvl="0">
      <w:start w:val="1"/>
      <w:numFmt w:val="upperRoman"/>
      <w:lvlText w:val="%1."/>
      <w:lvlJc w:val="left"/>
      <w:pPr>
        <w:ind w:left="720" w:hanging="360"/>
      </w:pPr>
      <w:rPr>
        <w:b/>
      </w:rPr>
    </w:lvl>
    <w:lvl w:ilvl="1">
      <w:start w:val="1"/>
      <w:numFmt w:val="decimal"/>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3560D5"/>
    <w:multiLevelType w:val="hybridMultilevel"/>
    <w:tmpl w:val="C94624A2"/>
    <w:lvl w:ilvl="0" w:tplc="E0F26742">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EE7362"/>
    <w:multiLevelType w:val="hybridMultilevel"/>
    <w:tmpl w:val="8C9A5516"/>
    <w:lvl w:ilvl="0" w:tplc="637AA716">
      <w:start w:val="1"/>
      <w:numFmt w:val="upperRoman"/>
      <w:lvlText w:val="%1."/>
      <w:lvlJc w:val="left"/>
      <w:pPr>
        <w:ind w:left="1080" w:hanging="720"/>
      </w:pPr>
      <w:rPr>
        <w:rFonts w:ascii="ITC Avant Garde" w:eastAsia="Calibri" w:hAnsi="ITC Avant Garde" w:cs="Times New Roman"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7041590"/>
    <w:multiLevelType w:val="hybridMultilevel"/>
    <w:tmpl w:val="E75A207C"/>
    <w:lvl w:ilvl="0" w:tplc="080A0001">
      <w:start w:val="1"/>
      <w:numFmt w:val="bullet"/>
      <w:lvlText w:val=""/>
      <w:lvlJc w:val="left"/>
      <w:pPr>
        <w:ind w:left="1080" w:hanging="72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72762E1"/>
    <w:multiLevelType w:val="hybridMultilevel"/>
    <w:tmpl w:val="C67E6912"/>
    <w:lvl w:ilvl="0" w:tplc="10968646">
      <w:start w:val="1"/>
      <w:numFmt w:val="lowerRoman"/>
      <w:lvlText w:val="(%1)"/>
      <w:lvlJc w:val="left"/>
      <w:pPr>
        <w:ind w:left="1076" w:hanging="720"/>
      </w:pPr>
      <w:rPr>
        <w:rFonts w:hint="default"/>
      </w:rPr>
    </w:lvl>
    <w:lvl w:ilvl="1" w:tplc="0C0A0019" w:tentative="1">
      <w:start w:val="1"/>
      <w:numFmt w:val="lowerLetter"/>
      <w:lvlText w:val="%2."/>
      <w:lvlJc w:val="left"/>
      <w:pPr>
        <w:ind w:left="1436" w:hanging="360"/>
      </w:pPr>
    </w:lvl>
    <w:lvl w:ilvl="2" w:tplc="0C0A001B" w:tentative="1">
      <w:start w:val="1"/>
      <w:numFmt w:val="lowerRoman"/>
      <w:lvlText w:val="%3."/>
      <w:lvlJc w:val="right"/>
      <w:pPr>
        <w:ind w:left="2156" w:hanging="180"/>
      </w:pPr>
    </w:lvl>
    <w:lvl w:ilvl="3" w:tplc="0C0A000F" w:tentative="1">
      <w:start w:val="1"/>
      <w:numFmt w:val="decimal"/>
      <w:lvlText w:val="%4."/>
      <w:lvlJc w:val="left"/>
      <w:pPr>
        <w:ind w:left="2876" w:hanging="360"/>
      </w:pPr>
    </w:lvl>
    <w:lvl w:ilvl="4" w:tplc="0C0A0019" w:tentative="1">
      <w:start w:val="1"/>
      <w:numFmt w:val="lowerLetter"/>
      <w:lvlText w:val="%5."/>
      <w:lvlJc w:val="left"/>
      <w:pPr>
        <w:ind w:left="3596" w:hanging="360"/>
      </w:pPr>
    </w:lvl>
    <w:lvl w:ilvl="5" w:tplc="0C0A001B" w:tentative="1">
      <w:start w:val="1"/>
      <w:numFmt w:val="lowerRoman"/>
      <w:lvlText w:val="%6."/>
      <w:lvlJc w:val="right"/>
      <w:pPr>
        <w:ind w:left="4316" w:hanging="180"/>
      </w:pPr>
    </w:lvl>
    <w:lvl w:ilvl="6" w:tplc="0C0A000F" w:tentative="1">
      <w:start w:val="1"/>
      <w:numFmt w:val="decimal"/>
      <w:lvlText w:val="%7."/>
      <w:lvlJc w:val="left"/>
      <w:pPr>
        <w:ind w:left="5036" w:hanging="360"/>
      </w:pPr>
    </w:lvl>
    <w:lvl w:ilvl="7" w:tplc="0C0A0019" w:tentative="1">
      <w:start w:val="1"/>
      <w:numFmt w:val="lowerLetter"/>
      <w:lvlText w:val="%8."/>
      <w:lvlJc w:val="left"/>
      <w:pPr>
        <w:ind w:left="5756" w:hanging="360"/>
      </w:pPr>
    </w:lvl>
    <w:lvl w:ilvl="8" w:tplc="0C0A001B" w:tentative="1">
      <w:start w:val="1"/>
      <w:numFmt w:val="lowerRoman"/>
      <w:lvlText w:val="%9."/>
      <w:lvlJc w:val="right"/>
      <w:pPr>
        <w:ind w:left="6476" w:hanging="180"/>
      </w:pPr>
    </w:lvl>
  </w:abstractNum>
  <w:abstractNum w:abstractNumId="23" w15:restartNumberingAfterBreak="0">
    <w:nsid w:val="49230725"/>
    <w:multiLevelType w:val="hybridMultilevel"/>
    <w:tmpl w:val="6DDE5612"/>
    <w:lvl w:ilvl="0" w:tplc="9DDEF37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4" w15:restartNumberingAfterBreak="0">
    <w:nsid w:val="537E5918"/>
    <w:multiLevelType w:val="hybridMultilevel"/>
    <w:tmpl w:val="D74E4446"/>
    <w:lvl w:ilvl="0" w:tplc="3044EACA">
      <w:start w:val="1"/>
      <w:numFmt w:val="lowerRoman"/>
      <w:lvlText w:val="%1)"/>
      <w:lvlJc w:val="left"/>
      <w:pPr>
        <w:ind w:left="1287" w:hanging="720"/>
      </w:pPr>
      <w:rPr>
        <w:rFonts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60530D6C"/>
    <w:multiLevelType w:val="hybridMultilevel"/>
    <w:tmpl w:val="A15CEF76"/>
    <w:lvl w:ilvl="0" w:tplc="99E449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075323"/>
    <w:multiLevelType w:val="hybridMultilevel"/>
    <w:tmpl w:val="64D01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C22816"/>
    <w:multiLevelType w:val="hybridMultilevel"/>
    <w:tmpl w:val="15107BB8"/>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8" w15:restartNumberingAfterBreak="0">
    <w:nsid w:val="6AE05890"/>
    <w:multiLevelType w:val="hybridMultilevel"/>
    <w:tmpl w:val="FCC22484"/>
    <w:lvl w:ilvl="0" w:tplc="637AA716">
      <w:start w:val="1"/>
      <w:numFmt w:val="upperRoman"/>
      <w:lvlText w:val="%1."/>
      <w:lvlJc w:val="left"/>
      <w:pPr>
        <w:ind w:left="1080" w:hanging="720"/>
      </w:pPr>
      <w:rPr>
        <w:rFonts w:ascii="ITC Avant Garde" w:eastAsia="Calibri" w:hAnsi="ITC Avant Garde" w:cs="Times New Roman"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9040B4"/>
    <w:multiLevelType w:val="hybridMultilevel"/>
    <w:tmpl w:val="D95C20E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6BA67DE5"/>
    <w:multiLevelType w:val="hybridMultilevel"/>
    <w:tmpl w:val="74EAA874"/>
    <w:lvl w:ilvl="0" w:tplc="DE1EA58C">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B8712D"/>
    <w:multiLevelType w:val="hybridMultilevel"/>
    <w:tmpl w:val="11A2B2C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FB703B"/>
    <w:multiLevelType w:val="hybridMultilevel"/>
    <w:tmpl w:val="D0E6C87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77B352C8"/>
    <w:multiLevelType w:val="hybridMultilevel"/>
    <w:tmpl w:val="084A7944"/>
    <w:lvl w:ilvl="0" w:tplc="4EEE5C3E">
      <w:start w:val="1"/>
      <w:numFmt w:val="upperRoman"/>
      <w:lvlText w:val="%1."/>
      <w:lvlJc w:val="left"/>
      <w:pPr>
        <w:ind w:left="2148" w:hanging="72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34" w15:restartNumberingAfterBreak="0">
    <w:nsid w:val="797668DA"/>
    <w:multiLevelType w:val="hybridMultilevel"/>
    <w:tmpl w:val="07CA34CA"/>
    <w:lvl w:ilvl="0" w:tplc="3028E522">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EC38AF"/>
    <w:multiLevelType w:val="hybridMultilevel"/>
    <w:tmpl w:val="B9F43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FA65F3B"/>
    <w:multiLevelType w:val="hybridMultilevel"/>
    <w:tmpl w:val="67EE6C9A"/>
    <w:lvl w:ilvl="0" w:tplc="7A349674">
      <w:start w:val="2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5"/>
  </w:num>
  <w:num w:numId="2">
    <w:abstractNumId w:val="26"/>
  </w:num>
  <w:num w:numId="3">
    <w:abstractNumId w:val="11"/>
  </w:num>
  <w:num w:numId="4">
    <w:abstractNumId w:val="20"/>
  </w:num>
  <w:num w:numId="5">
    <w:abstractNumId w:val="22"/>
  </w:num>
  <w:num w:numId="6">
    <w:abstractNumId w:val="31"/>
  </w:num>
  <w:num w:numId="7">
    <w:abstractNumId w:val="4"/>
  </w:num>
  <w:num w:numId="8">
    <w:abstractNumId w:val="6"/>
  </w:num>
  <w:num w:numId="9">
    <w:abstractNumId w:val="9"/>
  </w:num>
  <w:num w:numId="10">
    <w:abstractNumId w:val="30"/>
  </w:num>
  <w:num w:numId="11">
    <w:abstractNumId w:val="7"/>
  </w:num>
  <w:num w:numId="12">
    <w:abstractNumId w:val="34"/>
  </w:num>
  <w:num w:numId="13">
    <w:abstractNumId w:val="36"/>
  </w:num>
  <w:num w:numId="14">
    <w:abstractNumId w:val="29"/>
  </w:num>
  <w:num w:numId="15">
    <w:abstractNumId w:val="19"/>
  </w:num>
  <w:num w:numId="16">
    <w:abstractNumId w:val="2"/>
  </w:num>
  <w:num w:numId="17">
    <w:abstractNumId w:val="27"/>
  </w:num>
  <w:num w:numId="18">
    <w:abstractNumId w:val="21"/>
  </w:num>
  <w:num w:numId="19">
    <w:abstractNumId w:val="24"/>
  </w:num>
  <w:num w:numId="20">
    <w:abstractNumId w:val="14"/>
  </w:num>
  <w:num w:numId="21">
    <w:abstractNumId w:val="0"/>
  </w:num>
  <w:num w:numId="22">
    <w:abstractNumId w:val="12"/>
  </w:num>
  <w:num w:numId="23">
    <w:abstractNumId w:val="32"/>
  </w:num>
  <w:num w:numId="24">
    <w:abstractNumId w:val="16"/>
  </w:num>
  <w:num w:numId="25">
    <w:abstractNumId w:val="8"/>
  </w:num>
  <w:num w:numId="26">
    <w:abstractNumId w:val="3"/>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8"/>
  </w:num>
  <w:num w:numId="30">
    <w:abstractNumId w:val="33"/>
  </w:num>
  <w:num w:numId="31">
    <w:abstractNumId w:val="25"/>
  </w:num>
  <w:num w:numId="32">
    <w:abstractNumId w:val="23"/>
  </w:num>
  <w:num w:numId="33">
    <w:abstractNumId w:val="17"/>
  </w:num>
  <w:num w:numId="34">
    <w:abstractNumId w:val="5"/>
  </w:num>
  <w:num w:numId="35">
    <w:abstractNumId w:val="13"/>
  </w:num>
  <w:num w:numId="36">
    <w:abstractNumId w:val="18"/>
  </w:num>
  <w:num w:numId="37">
    <w:abstractNumId w:val="35"/>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0D3"/>
    <w:rsid w:val="0000011E"/>
    <w:rsid w:val="00000983"/>
    <w:rsid w:val="00000AF6"/>
    <w:rsid w:val="000013E4"/>
    <w:rsid w:val="00001EFB"/>
    <w:rsid w:val="000031A9"/>
    <w:rsid w:val="0000321F"/>
    <w:rsid w:val="0000341D"/>
    <w:rsid w:val="00004139"/>
    <w:rsid w:val="00004279"/>
    <w:rsid w:val="00005A8B"/>
    <w:rsid w:val="000074C9"/>
    <w:rsid w:val="0001018D"/>
    <w:rsid w:val="00010FB7"/>
    <w:rsid w:val="000116D0"/>
    <w:rsid w:val="00011FCA"/>
    <w:rsid w:val="0001314F"/>
    <w:rsid w:val="00014490"/>
    <w:rsid w:val="00014EFF"/>
    <w:rsid w:val="0001534D"/>
    <w:rsid w:val="000154B0"/>
    <w:rsid w:val="000158A1"/>
    <w:rsid w:val="00016AC9"/>
    <w:rsid w:val="00016C54"/>
    <w:rsid w:val="00016D6D"/>
    <w:rsid w:val="000173C1"/>
    <w:rsid w:val="00020418"/>
    <w:rsid w:val="00022A13"/>
    <w:rsid w:val="00022B85"/>
    <w:rsid w:val="00023EF7"/>
    <w:rsid w:val="0002413B"/>
    <w:rsid w:val="00024F70"/>
    <w:rsid w:val="0002568E"/>
    <w:rsid w:val="00027349"/>
    <w:rsid w:val="00037344"/>
    <w:rsid w:val="00037351"/>
    <w:rsid w:val="000375A7"/>
    <w:rsid w:val="00037D31"/>
    <w:rsid w:val="0004006A"/>
    <w:rsid w:val="000417FF"/>
    <w:rsid w:val="0004205E"/>
    <w:rsid w:val="000424C3"/>
    <w:rsid w:val="00043416"/>
    <w:rsid w:val="000448E7"/>
    <w:rsid w:val="000455AD"/>
    <w:rsid w:val="0004564C"/>
    <w:rsid w:val="000500D9"/>
    <w:rsid w:val="00052CFA"/>
    <w:rsid w:val="0005470B"/>
    <w:rsid w:val="000611AD"/>
    <w:rsid w:val="00062667"/>
    <w:rsid w:val="00062C40"/>
    <w:rsid w:val="000645F4"/>
    <w:rsid w:val="000646C5"/>
    <w:rsid w:val="00065E2F"/>
    <w:rsid w:val="00066E53"/>
    <w:rsid w:val="00067495"/>
    <w:rsid w:val="0007006A"/>
    <w:rsid w:val="00070451"/>
    <w:rsid w:val="00071026"/>
    <w:rsid w:val="00072221"/>
    <w:rsid w:val="00072BC8"/>
    <w:rsid w:val="00072D11"/>
    <w:rsid w:val="00074BE0"/>
    <w:rsid w:val="00074C09"/>
    <w:rsid w:val="00075254"/>
    <w:rsid w:val="000775ED"/>
    <w:rsid w:val="00077657"/>
    <w:rsid w:val="000816BE"/>
    <w:rsid w:val="00082D03"/>
    <w:rsid w:val="000837C7"/>
    <w:rsid w:val="00085181"/>
    <w:rsid w:val="000851CE"/>
    <w:rsid w:val="00090D4C"/>
    <w:rsid w:val="00096CC8"/>
    <w:rsid w:val="000A0A9F"/>
    <w:rsid w:val="000A1309"/>
    <w:rsid w:val="000A1861"/>
    <w:rsid w:val="000A1E6A"/>
    <w:rsid w:val="000A22CB"/>
    <w:rsid w:val="000A2936"/>
    <w:rsid w:val="000A303E"/>
    <w:rsid w:val="000A3B10"/>
    <w:rsid w:val="000A3E65"/>
    <w:rsid w:val="000A3F27"/>
    <w:rsid w:val="000A4DB8"/>
    <w:rsid w:val="000A62EA"/>
    <w:rsid w:val="000A7590"/>
    <w:rsid w:val="000B109B"/>
    <w:rsid w:val="000B1B50"/>
    <w:rsid w:val="000B1DF8"/>
    <w:rsid w:val="000B5E58"/>
    <w:rsid w:val="000B715C"/>
    <w:rsid w:val="000B7FD1"/>
    <w:rsid w:val="000C064D"/>
    <w:rsid w:val="000C1A62"/>
    <w:rsid w:val="000C474A"/>
    <w:rsid w:val="000C4C55"/>
    <w:rsid w:val="000C5AC2"/>
    <w:rsid w:val="000D2318"/>
    <w:rsid w:val="000D2CA6"/>
    <w:rsid w:val="000D31F4"/>
    <w:rsid w:val="000D6B83"/>
    <w:rsid w:val="000D72CD"/>
    <w:rsid w:val="000E3F73"/>
    <w:rsid w:val="000F0DA1"/>
    <w:rsid w:val="000F134B"/>
    <w:rsid w:val="000F17CF"/>
    <w:rsid w:val="000F4D94"/>
    <w:rsid w:val="000F5345"/>
    <w:rsid w:val="000F5AC1"/>
    <w:rsid w:val="000F5E4B"/>
    <w:rsid w:val="000F648E"/>
    <w:rsid w:val="001000E6"/>
    <w:rsid w:val="001001F5"/>
    <w:rsid w:val="00100DE3"/>
    <w:rsid w:val="00103E1A"/>
    <w:rsid w:val="00105173"/>
    <w:rsid w:val="00106523"/>
    <w:rsid w:val="001074E7"/>
    <w:rsid w:val="00112C0E"/>
    <w:rsid w:val="00112EF1"/>
    <w:rsid w:val="00113076"/>
    <w:rsid w:val="00114E54"/>
    <w:rsid w:val="00115272"/>
    <w:rsid w:val="001154FD"/>
    <w:rsid w:val="001168C3"/>
    <w:rsid w:val="001168E5"/>
    <w:rsid w:val="00116E48"/>
    <w:rsid w:val="0011780D"/>
    <w:rsid w:val="0012257F"/>
    <w:rsid w:val="001246FE"/>
    <w:rsid w:val="00126DEC"/>
    <w:rsid w:val="00127F83"/>
    <w:rsid w:val="00132018"/>
    <w:rsid w:val="001330AB"/>
    <w:rsid w:val="001332E8"/>
    <w:rsid w:val="00135A03"/>
    <w:rsid w:val="00136292"/>
    <w:rsid w:val="00136C0E"/>
    <w:rsid w:val="00137407"/>
    <w:rsid w:val="00137A66"/>
    <w:rsid w:val="00140293"/>
    <w:rsid w:val="00141FE7"/>
    <w:rsid w:val="001425EA"/>
    <w:rsid w:val="00144765"/>
    <w:rsid w:val="0014549E"/>
    <w:rsid w:val="0014766B"/>
    <w:rsid w:val="0014770A"/>
    <w:rsid w:val="00147884"/>
    <w:rsid w:val="001503CA"/>
    <w:rsid w:val="00150EFA"/>
    <w:rsid w:val="001518E2"/>
    <w:rsid w:val="00151C5F"/>
    <w:rsid w:val="0015235A"/>
    <w:rsid w:val="001523E6"/>
    <w:rsid w:val="00152453"/>
    <w:rsid w:val="00152702"/>
    <w:rsid w:val="00153356"/>
    <w:rsid w:val="00157961"/>
    <w:rsid w:val="0016161E"/>
    <w:rsid w:val="00163FD3"/>
    <w:rsid w:val="00164246"/>
    <w:rsid w:val="0016577A"/>
    <w:rsid w:val="00167F29"/>
    <w:rsid w:val="00173412"/>
    <w:rsid w:val="0017373F"/>
    <w:rsid w:val="0017406A"/>
    <w:rsid w:val="00175B23"/>
    <w:rsid w:val="00175D28"/>
    <w:rsid w:val="00176654"/>
    <w:rsid w:val="001776B1"/>
    <w:rsid w:val="00177FB0"/>
    <w:rsid w:val="001801FE"/>
    <w:rsid w:val="00180454"/>
    <w:rsid w:val="001809F0"/>
    <w:rsid w:val="00180C08"/>
    <w:rsid w:val="00181018"/>
    <w:rsid w:val="0018572D"/>
    <w:rsid w:val="00190FBB"/>
    <w:rsid w:val="001917AC"/>
    <w:rsid w:val="00192A33"/>
    <w:rsid w:val="00193FA8"/>
    <w:rsid w:val="0019402A"/>
    <w:rsid w:val="0019550C"/>
    <w:rsid w:val="00196905"/>
    <w:rsid w:val="001A0116"/>
    <w:rsid w:val="001A08E5"/>
    <w:rsid w:val="001A3049"/>
    <w:rsid w:val="001A58D7"/>
    <w:rsid w:val="001A62B7"/>
    <w:rsid w:val="001A64C7"/>
    <w:rsid w:val="001A661F"/>
    <w:rsid w:val="001A6B6F"/>
    <w:rsid w:val="001B12B0"/>
    <w:rsid w:val="001B2763"/>
    <w:rsid w:val="001B3C73"/>
    <w:rsid w:val="001B52E0"/>
    <w:rsid w:val="001B58A1"/>
    <w:rsid w:val="001B6D97"/>
    <w:rsid w:val="001B7748"/>
    <w:rsid w:val="001B7EA2"/>
    <w:rsid w:val="001C15FF"/>
    <w:rsid w:val="001C2B73"/>
    <w:rsid w:val="001C4618"/>
    <w:rsid w:val="001C4E63"/>
    <w:rsid w:val="001C59C5"/>
    <w:rsid w:val="001C71A8"/>
    <w:rsid w:val="001D011D"/>
    <w:rsid w:val="001D0F10"/>
    <w:rsid w:val="001D1957"/>
    <w:rsid w:val="001D1F01"/>
    <w:rsid w:val="001D1F61"/>
    <w:rsid w:val="001D4B81"/>
    <w:rsid w:val="001D7AC9"/>
    <w:rsid w:val="001D7B26"/>
    <w:rsid w:val="001E285C"/>
    <w:rsid w:val="001E3808"/>
    <w:rsid w:val="001E3A31"/>
    <w:rsid w:val="001E3C05"/>
    <w:rsid w:val="001E3E22"/>
    <w:rsid w:val="001E4C7D"/>
    <w:rsid w:val="001E4FDB"/>
    <w:rsid w:val="001E5C52"/>
    <w:rsid w:val="001E7493"/>
    <w:rsid w:val="001E7950"/>
    <w:rsid w:val="001F198E"/>
    <w:rsid w:val="001F592A"/>
    <w:rsid w:val="001F631A"/>
    <w:rsid w:val="001F666E"/>
    <w:rsid w:val="001F68A3"/>
    <w:rsid w:val="001F70DB"/>
    <w:rsid w:val="001F7833"/>
    <w:rsid w:val="002006D7"/>
    <w:rsid w:val="00201859"/>
    <w:rsid w:val="00201E99"/>
    <w:rsid w:val="00202E7B"/>
    <w:rsid w:val="002052C0"/>
    <w:rsid w:val="002104B6"/>
    <w:rsid w:val="0021629B"/>
    <w:rsid w:val="00216627"/>
    <w:rsid w:val="00216D6B"/>
    <w:rsid w:val="0022041E"/>
    <w:rsid w:val="00221568"/>
    <w:rsid w:val="00221CD0"/>
    <w:rsid w:val="00223041"/>
    <w:rsid w:val="00223483"/>
    <w:rsid w:val="0022373F"/>
    <w:rsid w:val="00223FEF"/>
    <w:rsid w:val="0022472D"/>
    <w:rsid w:val="00224AFA"/>
    <w:rsid w:val="00224BA8"/>
    <w:rsid w:val="00225232"/>
    <w:rsid w:val="00225323"/>
    <w:rsid w:val="00226F42"/>
    <w:rsid w:val="0022735C"/>
    <w:rsid w:val="0022796A"/>
    <w:rsid w:val="00230A26"/>
    <w:rsid w:val="002315C3"/>
    <w:rsid w:val="002346C1"/>
    <w:rsid w:val="00235B48"/>
    <w:rsid w:val="0023721C"/>
    <w:rsid w:val="0023752B"/>
    <w:rsid w:val="00240339"/>
    <w:rsid w:val="002407D9"/>
    <w:rsid w:val="002446A6"/>
    <w:rsid w:val="00245856"/>
    <w:rsid w:val="002512DD"/>
    <w:rsid w:val="002518F4"/>
    <w:rsid w:val="00251CCE"/>
    <w:rsid w:val="00253E0D"/>
    <w:rsid w:val="00254051"/>
    <w:rsid w:val="00256190"/>
    <w:rsid w:val="0025654D"/>
    <w:rsid w:val="0025762E"/>
    <w:rsid w:val="00262105"/>
    <w:rsid w:val="00262345"/>
    <w:rsid w:val="002656A1"/>
    <w:rsid w:val="00265997"/>
    <w:rsid w:val="00267C6A"/>
    <w:rsid w:val="00267EB0"/>
    <w:rsid w:val="002731B7"/>
    <w:rsid w:val="00273418"/>
    <w:rsid w:val="002745CE"/>
    <w:rsid w:val="00274C72"/>
    <w:rsid w:val="002760D7"/>
    <w:rsid w:val="00276B73"/>
    <w:rsid w:val="00276D2C"/>
    <w:rsid w:val="00276FC3"/>
    <w:rsid w:val="002779D1"/>
    <w:rsid w:val="00277BFB"/>
    <w:rsid w:val="00281886"/>
    <w:rsid w:val="00281968"/>
    <w:rsid w:val="00283E1C"/>
    <w:rsid w:val="0028574E"/>
    <w:rsid w:val="00286BB0"/>
    <w:rsid w:val="00286D88"/>
    <w:rsid w:val="00287349"/>
    <w:rsid w:val="0028770F"/>
    <w:rsid w:val="002901D8"/>
    <w:rsid w:val="002915DF"/>
    <w:rsid w:val="00291D3B"/>
    <w:rsid w:val="0029348C"/>
    <w:rsid w:val="002937F4"/>
    <w:rsid w:val="00295188"/>
    <w:rsid w:val="00295AC1"/>
    <w:rsid w:val="00296480"/>
    <w:rsid w:val="00296907"/>
    <w:rsid w:val="002A090A"/>
    <w:rsid w:val="002A489F"/>
    <w:rsid w:val="002A5CD0"/>
    <w:rsid w:val="002A79B2"/>
    <w:rsid w:val="002B00D1"/>
    <w:rsid w:val="002B18B2"/>
    <w:rsid w:val="002B35AD"/>
    <w:rsid w:val="002B3F13"/>
    <w:rsid w:val="002B41F8"/>
    <w:rsid w:val="002B5704"/>
    <w:rsid w:val="002B5CCD"/>
    <w:rsid w:val="002B794C"/>
    <w:rsid w:val="002C0295"/>
    <w:rsid w:val="002C0B06"/>
    <w:rsid w:val="002C0BB3"/>
    <w:rsid w:val="002C2F8D"/>
    <w:rsid w:val="002C324A"/>
    <w:rsid w:val="002C3B54"/>
    <w:rsid w:val="002C3EAE"/>
    <w:rsid w:val="002C453B"/>
    <w:rsid w:val="002C4B36"/>
    <w:rsid w:val="002C4DD5"/>
    <w:rsid w:val="002C50F9"/>
    <w:rsid w:val="002C5389"/>
    <w:rsid w:val="002C5612"/>
    <w:rsid w:val="002C5AE0"/>
    <w:rsid w:val="002D08D4"/>
    <w:rsid w:val="002D0F52"/>
    <w:rsid w:val="002D176E"/>
    <w:rsid w:val="002D287C"/>
    <w:rsid w:val="002D4787"/>
    <w:rsid w:val="002D52BD"/>
    <w:rsid w:val="002D7BFA"/>
    <w:rsid w:val="002E1806"/>
    <w:rsid w:val="002E1E91"/>
    <w:rsid w:val="002E4A09"/>
    <w:rsid w:val="002E4C83"/>
    <w:rsid w:val="002E6CEC"/>
    <w:rsid w:val="002E6D11"/>
    <w:rsid w:val="002E772F"/>
    <w:rsid w:val="002F047E"/>
    <w:rsid w:val="002F19A3"/>
    <w:rsid w:val="002F1C20"/>
    <w:rsid w:val="002F42D9"/>
    <w:rsid w:val="002F65D5"/>
    <w:rsid w:val="002F767A"/>
    <w:rsid w:val="0030086B"/>
    <w:rsid w:val="00302C8B"/>
    <w:rsid w:val="003042E8"/>
    <w:rsid w:val="003043AE"/>
    <w:rsid w:val="0030493A"/>
    <w:rsid w:val="003050F2"/>
    <w:rsid w:val="0030593F"/>
    <w:rsid w:val="00306212"/>
    <w:rsid w:val="00306582"/>
    <w:rsid w:val="00306A37"/>
    <w:rsid w:val="00306B89"/>
    <w:rsid w:val="00311B0A"/>
    <w:rsid w:val="003120FF"/>
    <w:rsid w:val="003139D2"/>
    <w:rsid w:val="00315BCE"/>
    <w:rsid w:val="00317244"/>
    <w:rsid w:val="003172FD"/>
    <w:rsid w:val="00317E61"/>
    <w:rsid w:val="00320141"/>
    <w:rsid w:val="0032128F"/>
    <w:rsid w:val="00322C94"/>
    <w:rsid w:val="00323A2B"/>
    <w:rsid w:val="00324DB0"/>
    <w:rsid w:val="00326D29"/>
    <w:rsid w:val="00331BF9"/>
    <w:rsid w:val="003335A6"/>
    <w:rsid w:val="003349D8"/>
    <w:rsid w:val="00334D4F"/>
    <w:rsid w:val="00335F51"/>
    <w:rsid w:val="00336651"/>
    <w:rsid w:val="00341067"/>
    <w:rsid w:val="00341A41"/>
    <w:rsid w:val="00342A5A"/>
    <w:rsid w:val="00342F03"/>
    <w:rsid w:val="00343E28"/>
    <w:rsid w:val="003453A2"/>
    <w:rsid w:val="00345EE1"/>
    <w:rsid w:val="00347BAD"/>
    <w:rsid w:val="003501A4"/>
    <w:rsid w:val="00350911"/>
    <w:rsid w:val="00351D52"/>
    <w:rsid w:val="00353CD8"/>
    <w:rsid w:val="003546A7"/>
    <w:rsid w:val="003555E9"/>
    <w:rsid w:val="00355F42"/>
    <w:rsid w:val="00362444"/>
    <w:rsid w:val="00363D3F"/>
    <w:rsid w:val="00365223"/>
    <w:rsid w:val="003669D6"/>
    <w:rsid w:val="00366D43"/>
    <w:rsid w:val="00367EE9"/>
    <w:rsid w:val="00371021"/>
    <w:rsid w:val="00371986"/>
    <w:rsid w:val="003733A5"/>
    <w:rsid w:val="003753BE"/>
    <w:rsid w:val="003753ED"/>
    <w:rsid w:val="003765D8"/>
    <w:rsid w:val="00377637"/>
    <w:rsid w:val="00380710"/>
    <w:rsid w:val="00380D53"/>
    <w:rsid w:val="003818A7"/>
    <w:rsid w:val="00383239"/>
    <w:rsid w:val="00384485"/>
    <w:rsid w:val="00385C0C"/>
    <w:rsid w:val="0038735F"/>
    <w:rsid w:val="003879A0"/>
    <w:rsid w:val="00387BAB"/>
    <w:rsid w:val="00390C9D"/>
    <w:rsid w:val="003919D8"/>
    <w:rsid w:val="003921E1"/>
    <w:rsid w:val="00394ECE"/>
    <w:rsid w:val="00395231"/>
    <w:rsid w:val="003A19FB"/>
    <w:rsid w:val="003A1B0D"/>
    <w:rsid w:val="003A55F3"/>
    <w:rsid w:val="003A59B8"/>
    <w:rsid w:val="003A5ED7"/>
    <w:rsid w:val="003A6842"/>
    <w:rsid w:val="003A6D28"/>
    <w:rsid w:val="003B0784"/>
    <w:rsid w:val="003B22D6"/>
    <w:rsid w:val="003B2407"/>
    <w:rsid w:val="003B29A9"/>
    <w:rsid w:val="003B2E08"/>
    <w:rsid w:val="003B34ED"/>
    <w:rsid w:val="003B4299"/>
    <w:rsid w:val="003B440E"/>
    <w:rsid w:val="003B51E6"/>
    <w:rsid w:val="003B589E"/>
    <w:rsid w:val="003B5D23"/>
    <w:rsid w:val="003B675E"/>
    <w:rsid w:val="003B6BAC"/>
    <w:rsid w:val="003B7819"/>
    <w:rsid w:val="003B790A"/>
    <w:rsid w:val="003C29D1"/>
    <w:rsid w:val="003C2A85"/>
    <w:rsid w:val="003C52E5"/>
    <w:rsid w:val="003C6768"/>
    <w:rsid w:val="003C6A88"/>
    <w:rsid w:val="003D2D2F"/>
    <w:rsid w:val="003D3FA4"/>
    <w:rsid w:val="003D549F"/>
    <w:rsid w:val="003D6094"/>
    <w:rsid w:val="003D7A7C"/>
    <w:rsid w:val="003E1E59"/>
    <w:rsid w:val="003E2BF2"/>
    <w:rsid w:val="003E3D0C"/>
    <w:rsid w:val="003E3F7C"/>
    <w:rsid w:val="003E4054"/>
    <w:rsid w:val="003E4F3A"/>
    <w:rsid w:val="003E4FDE"/>
    <w:rsid w:val="003E5B75"/>
    <w:rsid w:val="003F0639"/>
    <w:rsid w:val="003F1974"/>
    <w:rsid w:val="003F3B5A"/>
    <w:rsid w:val="003F4AF2"/>
    <w:rsid w:val="003F5EA8"/>
    <w:rsid w:val="003F6566"/>
    <w:rsid w:val="003F6DC0"/>
    <w:rsid w:val="003F77C3"/>
    <w:rsid w:val="00404708"/>
    <w:rsid w:val="00404E6E"/>
    <w:rsid w:val="00404EF4"/>
    <w:rsid w:val="00405310"/>
    <w:rsid w:val="0041079A"/>
    <w:rsid w:val="004125E6"/>
    <w:rsid w:val="004133E4"/>
    <w:rsid w:val="00413E7F"/>
    <w:rsid w:val="00414F53"/>
    <w:rsid w:val="00415E0A"/>
    <w:rsid w:val="00416051"/>
    <w:rsid w:val="004174FC"/>
    <w:rsid w:val="004207F2"/>
    <w:rsid w:val="00420FA3"/>
    <w:rsid w:val="00421E92"/>
    <w:rsid w:val="00421F83"/>
    <w:rsid w:val="00423A10"/>
    <w:rsid w:val="00425C17"/>
    <w:rsid w:val="00427278"/>
    <w:rsid w:val="00427C38"/>
    <w:rsid w:val="004309F6"/>
    <w:rsid w:val="00431BC9"/>
    <w:rsid w:val="0043289D"/>
    <w:rsid w:val="00432CB6"/>
    <w:rsid w:val="00433F18"/>
    <w:rsid w:val="004353C1"/>
    <w:rsid w:val="0043654B"/>
    <w:rsid w:val="00440EBB"/>
    <w:rsid w:val="00441755"/>
    <w:rsid w:val="0044232E"/>
    <w:rsid w:val="004424A1"/>
    <w:rsid w:val="004438C6"/>
    <w:rsid w:val="00446858"/>
    <w:rsid w:val="00447E94"/>
    <w:rsid w:val="00450A26"/>
    <w:rsid w:val="004518C5"/>
    <w:rsid w:val="00452045"/>
    <w:rsid w:val="00453E39"/>
    <w:rsid w:val="00454A27"/>
    <w:rsid w:val="004552C7"/>
    <w:rsid w:val="00455B90"/>
    <w:rsid w:val="00456A3C"/>
    <w:rsid w:val="00460657"/>
    <w:rsid w:val="00460750"/>
    <w:rsid w:val="00460AB4"/>
    <w:rsid w:val="00461DE8"/>
    <w:rsid w:val="00461FB0"/>
    <w:rsid w:val="0046347B"/>
    <w:rsid w:val="00463AC8"/>
    <w:rsid w:val="004663FA"/>
    <w:rsid w:val="004679C9"/>
    <w:rsid w:val="00473665"/>
    <w:rsid w:val="0047429C"/>
    <w:rsid w:val="00474CE9"/>
    <w:rsid w:val="004750B2"/>
    <w:rsid w:val="0047617B"/>
    <w:rsid w:val="00476447"/>
    <w:rsid w:val="004777EF"/>
    <w:rsid w:val="0048048B"/>
    <w:rsid w:val="00481C0C"/>
    <w:rsid w:val="00483994"/>
    <w:rsid w:val="004848FF"/>
    <w:rsid w:val="00485093"/>
    <w:rsid w:val="00490B25"/>
    <w:rsid w:val="004931C4"/>
    <w:rsid w:val="004964D7"/>
    <w:rsid w:val="004A1C34"/>
    <w:rsid w:val="004A37DE"/>
    <w:rsid w:val="004A5250"/>
    <w:rsid w:val="004A58E3"/>
    <w:rsid w:val="004A71B3"/>
    <w:rsid w:val="004B08AA"/>
    <w:rsid w:val="004B12EE"/>
    <w:rsid w:val="004B1B8D"/>
    <w:rsid w:val="004B2F5F"/>
    <w:rsid w:val="004B323F"/>
    <w:rsid w:val="004B424C"/>
    <w:rsid w:val="004B4C83"/>
    <w:rsid w:val="004B56B1"/>
    <w:rsid w:val="004B5A48"/>
    <w:rsid w:val="004B6F24"/>
    <w:rsid w:val="004B79A0"/>
    <w:rsid w:val="004C00EE"/>
    <w:rsid w:val="004C0BCC"/>
    <w:rsid w:val="004C0E44"/>
    <w:rsid w:val="004C0EE5"/>
    <w:rsid w:val="004C1528"/>
    <w:rsid w:val="004C249C"/>
    <w:rsid w:val="004C3ABA"/>
    <w:rsid w:val="004C45DD"/>
    <w:rsid w:val="004D15F9"/>
    <w:rsid w:val="004D1AAD"/>
    <w:rsid w:val="004D3822"/>
    <w:rsid w:val="004D43D6"/>
    <w:rsid w:val="004D467B"/>
    <w:rsid w:val="004D7684"/>
    <w:rsid w:val="004E15EF"/>
    <w:rsid w:val="004E2743"/>
    <w:rsid w:val="004E3F50"/>
    <w:rsid w:val="004E4158"/>
    <w:rsid w:val="004E775E"/>
    <w:rsid w:val="004F0618"/>
    <w:rsid w:val="004F1332"/>
    <w:rsid w:val="004F3DA7"/>
    <w:rsid w:val="004F4E8E"/>
    <w:rsid w:val="004F51CC"/>
    <w:rsid w:val="004F5248"/>
    <w:rsid w:val="004F5813"/>
    <w:rsid w:val="004F587C"/>
    <w:rsid w:val="004F6E26"/>
    <w:rsid w:val="004F7C6E"/>
    <w:rsid w:val="004F7E84"/>
    <w:rsid w:val="005005BE"/>
    <w:rsid w:val="0050163C"/>
    <w:rsid w:val="00501C91"/>
    <w:rsid w:val="00502BE6"/>
    <w:rsid w:val="0050419A"/>
    <w:rsid w:val="00504F34"/>
    <w:rsid w:val="00504FF0"/>
    <w:rsid w:val="00505436"/>
    <w:rsid w:val="0050609D"/>
    <w:rsid w:val="005062A1"/>
    <w:rsid w:val="00510452"/>
    <w:rsid w:val="00510BAD"/>
    <w:rsid w:val="005111A8"/>
    <w:rsid w:val="00511A1F"/>
    <w:rsid w:val="00513AD4"/>
    <w:rsid w:val="0051488F"/>
    <w:rsid w:val="00514FEF"/>
    <w:rsid w:val="00515CA6"/>
    <w:rsid w:val="00515E7B"/>
    <w:rsid w:val="005161E4"/>
    <w:rsid w:val="00520465"/>
    <w:rsid w:val="00524115"/>
    <w:rsid w:val="00525EB2"/>
    <w:rsid w:val="00530F3C"/>
    <w:rsid w:val="0053154E"/>
    <w:rsid w:val="00531675"/>
    <w:rsid w:val="00531726"/>
    <w:rsid w:val="00531873"/>
    <w:rsid w:val="00531E91"/>
    <w:rsid w:val="00532772"/>
    <w:rsid w:val="00532AFB"/>
    <w:rsid w:val="005331CC"/>
    <w:rsid w:val="0053565F"/>
    <w:rsid w:val="00535D48"/>
    <w:rsid w:val="005363D6"/>
    <w:rsid w:val="00536B06"/>
    <w:rsid w:val="00537226"/>
    <w:rsid w:val="005374C2"/>
    <w:rsid w:val="005375DB"/>
    <w:rsid w:val="0053789B"/>
    <w:rsid w:val="00541032"/>
    <w:rsid w:val="00542B97"/>
    <w:rsid w:val="00543990"/>
    <w:rsid w:val="00543F7C"/>
    <w:rsid w:val="00544792"/>
    <w:rsid w:val="0054673B"/>
    <w:rsid w:val="0054720D"/>
    <w:rsid w:val="00552D01"/>
    <w:rsid w:val="0055304D"/>
    <w:rsid w:val="00553828"/>
    <w:rsid w:val="0055497B"/>
    <w:rsid w:val="00554FF3"/>
    <w:rsid w:val="00560794"/>
    <w:rsid w:val="005616D6"/>
    <w:rsid w:val="0056245E"/>
    <w:rsid w:val="00563E87"/>
    <w:rsid w:val="0056424B"/>
    <w:rsid w:val="00566347"/>
    <w:rsid w:val="005664AA"/>
    <w:rsid w:val="005679C4"/>
    <w:rsid w:val="00570BE8"/>
    <w:rsid w:val="005717F6"/>
    <w:rsid w:val="00572362"/>
    <w:rsid w:val="00572775"/>
    <w:rsid w:val="0057333B"/>
    <w:rsid w:val="00573382"/>
    <w:rsid w:val="00575941"/>
    <w:rsid w:val="00577A20"/>
    <w:rsid w:val="00580026"/>
    <w:rsid w:val="00581FDE"/>
    <w:rsid w:val="0058409A"/>
    <w:rsid w:val="005840B5"/>
    <w:rsid w:val="00584E1B"/>
    <w:rsid w:val="00585535"/>
    <w:rsid w:val="00585784"/>
    <w:rsid w:val="00585BB7"/>
    <w:rsid w:val="005866C9"/>
    <w:rsid w:val="005903DD"/>
    <w:rsid w:val="00592000"/>
    <w:rsid w:val="005946BB"/>
    <w:rsid w:val="00594961"/>
    <w:rsid w:val="00594B56"/>
    <w:rsid w:val="00595031"/>
    <w:rsid w:val="00596E50"/>
    <w:rsid w:val="005A1056"/>
    <w:rsid w:val="005A1FD9"/>
    <w:rsid w:val="005A267E"/>
    <w:rsid w:val="005A4FB1"/>
    <w:rsid w:val="005A5075"/>
    <w:rsid w:val="005A6AC9"/>
    <w:rsid w:val="005B0C52"/>
    <w:rsid w:val="005B3223"/>
    <w:rsid w:val="005B449C"/>
    <w:rsid w:val="005B5F17"/>
    <w:rsid w:val="005B716E"/>
    <w:rsid w:val="005B782D"/>
    <w:rsid w:val="005B7D0F"/>
    <w:rsid w:val="005C086D"/>
    <w:rsid w:val="005C0E06"/>
    <w:rsid w:val="005C4835"/>
    <w:rsid w:val="005C6080"/>
    <w:rsid w:val="005C6CB9"/>
    <w:rsid w:val="005C7E1E"/>
    <w:rsid w:val="005D0313"/>
    <w:rsid w:val="005D16B2"/>
    <w:rsid w:val="005D473C"/>
    <w:rsid w:val="005D4A72"/>
    <w:rsid w:val="005D5063"/>
    <w:rsid w:val="005D58F5"/>
    <w:rsid w:val="005D60EC"/>
    <w:rsid w:val="005D6385"/>
    <w:rsid w:val="005D674A"/>
    <w:rsid w:val="005D765E"/>
    <w:rsid w:val="005D7AFD"/>
    <w:rsid w:val="005D7D7C"/>
    <w:rsid w:val="005E0907"/>
    <w:rsid w:val="005E164A"/>
    <w:rsid w:val="005E2352"/>
    <w:rsid w:val="005E2B70"/>
    <w:rsid w:val="005E37DE"/>
    <w:rsid w:val="005E4149"/>
    <w:rsid w:val="005E462B"/>
    <w:rsid w:val="005E4E7D"/>
    <w:rsid w:val="005E6658"/>
    <w:rsid w:val="005E780C"/>
    <w:rsid w:val="005F144C"/>
    <w:rsid w:val="005F2A3E"/>
    <w:rsid w:val="005F3C2E"/>
    <w:rsid w:val="005F5125"/>
    <w:rsid w:val="005F53B1"/>
    <w:rsid w:val="005F5B4B"/>
    <w:rsid w:val="005F60D7"/>
    <w:rsid w:val="005F6492"/>
    <w:rsid w:val="005F64A1"/>
    <w:rsid w:val="00601371"/>
    <w:rsid w:val="00602187"/>
    <w:rsid w:val="00612D3D"/>
    <w:rsid w:val="0062270B"/>
    <w:rsid w:val="00622ABA"/>
    <w:rsid w:val="00622E34"/>
    <w:rsid w:val="00623650"/>
    <w:rsid w:val="00623B3E"/>
    <w:rsid w:val="00625CA5"/>
    <w:rsid w:val="00626EF3"/>
    <w:rsid w:val="006277D4"/>
    <w:rsid w:val="00627B6D"/>
    <w:rsid w:val="00630FF9"/>
    <w:rsid w:val="00632357"/>
    <w:rsid w:val="00632603"/>
    <w:rsid w:val="00633304"/>
    <w:rsid w:val="0063399D"/>
    <w:rsid w:val="00634A60"/>
    <w:rsid w:val="00635A79"/>
    <w:rsid w:val="006367F8"/>
    <w:rsid w:val="006369E2"/>
    <w:rsid w:val="006376CC"/>
    <w:rsid w:val="00637B22"/>
    <w:rsid w:val="00637FFC"/>
    <w:rsid w:val="00642EC8"/>
    <w:rsid w:val="00644702"/>
    <w:rsid w:val="00644755"/>
    <w:rsid w:val="00644B70"/>
    <w:rsid w:val="00644F4E"/>
    <w:rsid w:val="0064694C"/>
    <w:rsid w:val="006479C5"/>
    <w:rsid w:val="0065009F"/>
    <w:rsid w:val="00651FDE"/>
    <w:rsid w:val="006527CB"/>
    <w:rsid w:val="00653332"/>
    <w:rsid w:val="00654467"/>
    <w:rsid w:val="00655179"/>
    <w:rsid w:val="0065585C"/>
    <w:rsid w:val="00656B06"/>
    <w:rsid w:val="00656B48"/>
    <w:rsid w:val="00661C6B"/>
    <w:rsid w:val="006621D6"/>
    <w:rsid w:val="006649DC"/>
    <w:rsid w:val="00664C11"/>
    <w:rsid w:val="006651D2"/>
    <w:rsid w:val="0066687B"/>
    <w:rsid w:val="006709B8"/>
    <w:rsid w:val="00670C4E"/>
    <w:rsid w:val="00672905"/>
    <w:rsid w:val="0067323D"/>
    <w:rsid w:val="006737D9"/>
    <w:rsid w:val="00674E5F"/>
    <w:rsid w:val="00675D53"/>
    <w:rsid w:val="0067717E"/>
    <w:rsid w:val="00681EAC"/>
    <w:rsid w:val="00683723"/>
    <w:rsid w:val="00683DFF"/>
    <w:rsid w:val="0068412C"/>
    <w:rsid w:val="006902A6"/>
    <w:rsid w:val="0069057E"/>
    <w:rsid w:val="00692585"/>
    <w:rsid w:val="00693930"/>
    <w:rsid w:val="00694F27"/>
    <w:rsid w:val="0069566A"/>
    <w:rsid w:val="00695C99"/>
    <w:rsid w:val="00696FB9"/>
    <w:rsid w:val="00697F26"/>
    <w:rsid w:val="006A095E"/>
    <w:rsid w:val="006A26FC"/>
    <w:rsid w:val="006A2902"/>
    <w:rsid w:val="006A29D1"/>
    <w:rsid w:val="006A38C6"/>
    <w:rsid w:val="006A3FAB"/>
    <w:rsid w:val="006A4BE8"/>
    <w:rsid w:val="006A4E88"/>
    <w:rsid w:val="006A53AA"/>
    <w:rsid w:val="006A65F2"/>
    <w:rsid w:val="006B0BB4"/>
    <w:rsid w:val="006B191F"/>
    <w:rsid w:val="006B26FD"/>
    <w:rsid w:val="006B2C48"/>
    <w:rsid w:val="006B4376"/>
    <w:rsid w:val="006B5633"/>
    <w:rsid w:val="006B6504"/>
    <w:rsid w:val="006B66EB"/>
    <w:rsid w:val="006B6E90"/>
    <w:rsid w:val="006B72B8"/>
    <w:rsid w:val="006C16A4"/>
    <w:rsid w:val="006C37D1"/>
    <w:rsid w:val="006C4E42"/>
    <w:rsid w:val="006C76B3"/>
    <w:rsid w:val="006D1E43"/>
    <w:rsid w:val="006D21C8"/>
    <w:rsid w:val="006D59CB"/>
    <w:rsid w:val="006E13FD"/>
    <w:rsid w:val="006E1D6B"/>
    <w:rsid w:val="006E2D8C"/>
    <w:rsid w:val="006E5A07"/>
    <w:rsid w:val="006E6056"/>
    <w:rsid w:val="006F004E"/>
    <w:rsid w:val="006F0187"/>
    <w:rsid w:val="006F11F0"/>
    <w:rsid w:val="006F18DD"/>
    <w:rsid w:val="006F257F"/>
    <w:rsid w:val="006F4357"/>
    <w:rsid w:val="006F4F25"/>
    <w:rsid w:val="006F5332"/>
    <w:rsid w:val="006F5467"/>
    <w:rsid w:val="006F59FB"/>
    <w:rsid w:val="00700FD3"/>
    <w:rsid w:val="00701B8C"/>
    <w:rsid w:val="00702F7A"/>
    <w:rsid w:val="00705180"/>
    <w:rsid w:val="007052CA"/>
    <w:rsid w:val="00705ACA"/>
    <w:rsid w:val="0070679A"/>
    <w:rsid w:val="00706A9E"/>
    <w:rsid w:val="00707734"/>
    <w:rsid w:val="0071059B"/>
    <w:rsid w:val="00711293"/>
    <w:rsid w:val="00711548"/>
    <w:rsid w:val="0071165B"/>
    <w:rsid w:val="007149C8"/>
    <w:rsid w:val="00714FBE"/>
    <w:rsid w:val="0072029C"/>
    <w:rsid w:val="00721F23"/>
    <w:rsid w:val="0072207F"/>
    <w:rsid w:val="00722492"/>
    <w:rsid w:val="00723004"/>
    <w:rsid w:val="00723791"/>
    <w:rsid w:val="00724197"/>
    <w:rsid w:val="0072686B"/>
    <w:rsid w:val="00726BA0"/>
    <w:rsid w:val="00727387"/>
    <w:rsid w:val="0073223B"/>
    <w:rsid w:val="0073345E"/>
    <w:rsid w:val="0073457C"/>
    <w:rsid w:val="00734B3C"/>
    <w:rsid w:val="007350D4"/>
    <w:rsid w:val="007369CD"/>
    <w:rsid w:val="00737250"/>
    <w:rsid w:val="00740A8E"/>
    <w:rsid w:val="007422FB"/>
    <w:rsid w:val="007457E9"/>
    <w:rsid w:val="0074689A"/>
    <w:rsid w:val="007504EE"/>
    <w:rsid w:val="00750D1B"/>
    <w:rsid w:val="00751110"/>
    <w:rsid w:val="00753E13"/>
    <w:rsid w:val="00754CAE"/>
    <w:rsid w:val="00760528"/>
    <w:rsid w:val="007606A3"/>
    <w:rsid w:val="007619AB"/>
    <w:rsid w:val="00761C83"/>
    <w:rsid w:val="007631AF"/>
    <w:rsid w:val="00763340"/>
    <w:rsid w:val="00763BE8"/>
    <w:rsid w:val="007660E8"/>
    <w:rsid w:val="0076625C"/>
    <w:rsid w:val="00771541"/>
    <w:rsid w:val="007715B8"/>
    <w:rsid w:val="007721AA"/>
    <w:rsid w:val="007734A3"/>
    <w:rsid w:val="00773E99"/>
    <w:rsid w:val="0077468A"/>
    <w:rsid w:val="00775DD6"/>
    <w:rsid w:val="007775B6"/>
    <w:rsid w:val="00777666"/>
    <w:rsid w:val="00777877"/>
    <w:rsid w:val="00777A35"/>
    <w:rsid w:val="00780B84"/>
    <w:rsid w:val="00780D10"/>
    <w:rsid w:val="0078216C"/>
    <w:rsid w:val="0078554C"/>
    <w:rsid w:val="0078578F"/>
    <w:rsid w:val="00785FF6"/>
    <w:rsid w:val="00787527"/>
    <w:rsid w:val="00787EFC"/>
    <w:rsid w:val="0079033D"/>
    <w:rsid w:val="007942D6"/>
    <w:rsid w:val="00795C0A"/>
    <w:rsid w:val="007961CB"/>
    <w:rsid w:val="0079766B"/>
    <w:rsid w:val="007A1D0E"/>
    <w:rsid w:val="007A2B10"/>
    <w:rsid w:val="007A3687"/>
    <w:rsid w:val="007A5AF1"/>
    <w:rsid w:val="007A6F80"/>
    <w:rsid w:val="007A7541"/>
    <w:rsid w:val="007B1149"/>
    <w:rsid w:val="007B13DC"/>
    <w:rsid w:val="007B2E45"/>
    <w:rsid w:val="007B2E7C"/>
    <w:rsid w:val="007B32ED"/>
    <w:rsid w:val="007B4F82"/>
    <w:rsid w:val="007B67A2"/>
    <w:rsid w:val="007B75EF"/>
    <w:rsid w:val="007B7D80"/>
    <w:rsid w:val="007C0890"/>
    <w:rsid w:val="007C1120"/>
    <w:rsid w:val="007C20C8"/>
    <w:rsid w:val="007C255C"/>
    <w:rsid w:val="007C5464"/>
    <w:rsid w:val="007C7ACE"/>
    <w:rsid w:val="007D2020"/>
    <w:rsid w:val="007D21E7"/>
    <w:rsid w:val="007D3A57"/>
    <w:rsid w:val="007D3BBA"/>
    <w:rsid w:val="007D50F7"/>
    <w:rsid w:val="007D71AF"/>
    <w:rsid w:val="007D7995"/>
    <w:rsid w:val="007E0B84"/>
    <w:rsid w:val="007E0D5F"/>
    <w:rsid w:val="007E1CCE"/>
    <w:rsid w:val="007E26C5"/>
    <w:rsid w:val="007E4EFA"/>
    <w:rsid w:val="007E5272"/>
    <w:rsid w:val="007E5CEC"/>
    <w:rsid w:val="007E5E60"/>
    <w:rsid w:val="007E5F3C"/>
    <w:rsid w:val="007E6022"/>
    <w:rsid w:val="007E6235"/>
    <w:rsid w:val="007F0799"/>
    <w:rsid w:val="007F08CE"/>
    <w:rsid w:val="007F0B8B"/>
    <w:rsid w:val="007F237A"/>
    <w:rsid w:val="007F33CB"/>
    <w:rsid w:val="007F45DC"/>
    <w:rsid w:val="007F47D5"/>
    <w:rsid w:val="007F695A"/>
    <w:rsid w:val="007F7D78"/>
    <w:rsid w:val="00800A0D"/>
    <w:rsid w:val="00800D47"/>
    <w:rsid w:val="00801488"/>
    <w:rsid w:val="00801866"/>
    <w:rsid w:val="00801C10"/>
    <w:rsid w:val="0080212D"/>
    <w:rsid w:val="008026B1"/>
    <w:rsid w:val="00803999"/>
    <w:rsid w:val="00804013"/>
    <w:rsid w:val="00806E32"/>
    <w:rsid w:val="00806E68"/>
    <w:rsid w:val="0080764F"/>
    <w:rsid w:val="0080773D"/>
    <w:rsid w:val="008077E9"/>
    <w:rsid w:val="00807E0A"/>
    <w:rsid w:val="00807FBE"/>
    <w:rsid w:val="008108A1"/>
    <w:rsid w:val="00812122"/>
    <w:rsid w:val="0081381A"/>
    <w:rsid w:val="00813D1F"/>
    <w:rsid w:val="008147F1"/>
    <w:rsid w:val="00815766"/>
    <w:rsid w:val="00817BEA"/>
    <w:rsid w:val="008229C2"/>
    <w:rsid w:val="00824C68"/>
    <w:rsid w:val="00824E5F"/>
    <w:rsid w:val="00830248"/>
    <w:rsid w:val="008313CB"/>
    <w:rsid w:val="008331ED"/>
    <w:rsid w:val="00836972"/>
    <w:rsid w:val="00837047"/>
    <w:rsid w:val="0083749F"/>
    <w:rsid w:val="008423FC"/>
    <w:rsid w:val="0084259E"/>
    <w:rsid w:val="00842EBC"/>
    <w:rsid w:val="00844F9C"/>
    <w:rsid w:val="008451E9"/>
    <w:rsid w:val="00845762"/>
    <w:rsid w:val="00846937"/>
    <w:rsid w:val="00846A5F"/>
    <w:rsid w:val="00847626"/>
    <w:rsid w:val="00847E64"/>
    <w:rsid w:val="008502D4"/>
    <w:rsid w:val="00852A0A"/>
    <w:rsid w:val="00852C0D"/>
    <w:rsid w:val="00854371"/>
    <w:rsid w:val="00855F4D"/>
    <w:rsid w:val="00856778"/>
    <w:rsid w:val="008606E6"/>
    <w:rsid w:val="00860B94"/>
    <w:rsid w:val="00862533"/>
    <w:rsid w:val="00862D8E"/>
    <w:rsid w:val="00863B4A"/>
    <w:rsid w:val="00864E1F"/>
    <w:rsid w:val="008678C2"/>
    <w:rsid w:val="0087069F"/>
    <w:rsid w:val="00871E47"/>
    <w:rsid w:val="00872B46"/>
    <w:rsid w:val="00875F59"/>
    <w:rsid w:val="0087759C"/>
    <w:rsid w:val="00877BCE"/>
    <w:rsid w:val="00877DBE"/>
    <w:rsid w:val="008810B4"/>
    <w:rsid w:val="008815FA"/>
    <w:rsid w:val="00881826"/>
    <w:rsid w:val="00881C9B"/>
    <w:rsid w:val="0088200D"/>
    <w:rsid w:val="0088612B"/>
    <w:rsid w:val="0088666F"/>
    <w:rsid w:val="00890752"/>
    <w:rsid w:val="00890BE7"/>
    <w:rsid w:val="0089190F"/>
    <w:rsid w:val="0089244B"/>
    <w:rsid w:val="00893CB1"/>
    <w:rsid w:val="008964DE"/>
    <w:rsid w:val="00896FD7"/>
    <w:rsid w:val="00897A48"/>
    <w:rsid w:val="00897FD3"/>
    <w:rsid w:val="008A363B"/>
    <w:rsid w:val="008A4814"/>
    <w:rsid w:val="008A5B25"/>
    <w:rsid w:val="008A6163"/>
    <w:rsid w:val="008A622F"/>
    <w:rsid w:val="008A71E0"/>
    <w:rsid w:val="008B04E6"/>
    <w:rsid w:val="008B1BDA"/>
    <w:rsid w:val="008B2DEB"/>
    <w:rsid w:val="008B3B05"/>
    <w:rsid w:val="008B3C15"/>
    <w:rsid w:val="008B3C2A"/>
    <w:rsid w:val="008B4088"/>
    <w:rsid w:val="008B565F"/>
    <w:rsid w:val="008B66E2"/>
    <w:rsid w:val="008B6A26"/>
    <w:rsid w:val="008B6B2A"/>
    <w:rsid w:val="008B7520"/>
    <w:rsid w:val="008B75EA"/>
    <w:rsid w:val="008C1C5E"/>
    <w:rsid w:val="008C1C90"/>
    <w:rsid w:val="008C2099"/>
    <w:rsid w:val="008C66F1"/>
    <w:rsid w:val="008C754C"/>
    <w:rsid w:val="008D0688"/>
    <w:rsid w:val="008D22DC"/>
    <w:rsid w:val="008D4107"/>
    <w:rsid w:val="008D4681"/>
    <w:rsid w:val="008D46DB"/>
    <w:rsid w:val="008D62A5"/>
    <w:rsid w:val="008D62DD"/>
    <w:rsid w:val="008E03EA"/>
    <w:rsid w:val="008E0E14"/>
    <w:rsid w:val="008E1B1A"/>
    <w:rsid w:val="008E25B3"/>
    <w:rsid w:val="008E2F50"/>
    <w:rsid w:val="008E405B"/>
    <w:rsid w:val="008E46F0"/>
    <w:rsid w:val="008E4FF0"/>
    <w:rsid w:val="008E5282"/>
    <w:rsid w:val="008E5EAF"/>
    <w:rsid w:val="008E66CB"/>
    <w:rsid w:val="008E7D10"/>
    <w:rsid w:val="008F21EB"/>
    <w:rsid w:val="008F318F"/>
    <w:rsid w:val="008F3786"/>
    <w:rsid w:val="008F5111"/>
    <w:rsid w:val="008F516F"/>
    <w:rsid w:val="008F5658"/>
    <w:rsid w:val="008F5A07"/>
    <w:rsid w:val="008F5FE1"/>
    <w:rsid w:val="008F6201"/>
    <w:rsid w:val="008F6219"/>
    <w:rsid w:val="008F6AAC"/>
    <w:rsid w:val="00900ACF"/>
    <w:rsid w:val="00901761"/>
    <w:rsid w:val="00903E85"/>
    <w:rsid w:val="0090537E"/>
    <w:rsid w:val="009061F9"/>
    <w:rsid w:val="00906442"/>
    <w:rsid w:val="00906D98"/>
    <w:rsid w:val="00906DAA"/>
    <w:rsid w:val="009075F1"/>
    <w:rsid w:val="00910B3F"/>
    <w:rsid w:val="00910F22"/>
    <w:rsid w:val="00911BFF"/>
    <w:rsid w:val="00912184"/>
    <w:rsid w:val="00912C6D"/>
    <w:rsid w:val="009133DA"/>
    <w:rsid w:val="00913964"/>
    <w:rsid w:val="00913A3C"/>
    <w:rsid w:val="009143F5"/>
    <w:rsid w:val="00914E98"/>
    <w:rsid w:val="009166F8"/>
    <w:rsid w:val="00916A7E"/>
    <w:rsid w:val="00920E19"/>
    <w:rsid w:val="009216A5"/>
    <w:rsid w:val="00922A37"/>
    <w:rsid w:val="009246C3"/>
    <w:rsid w:val="009249E3"/>
    <w:rsid w:val="00925378"/>
    <w:rsid w:val="0092587C"/>
    <w:rsid w:val="009268F3"/>
    <w:rsid w:val="00927D2D"/>
    <w:rsid w:val="00930132"/>
    <w:rsid w:val="00930A17"/>
    <w:rsid w:val="00931A48"/>
    <w:rsid w:val="00931E48"/>
    <w:rsid w:val="00933E4F"/>
    <w:rsid w:val="00934AE3"/>
    <w:rsid w:val="00936CD8"/>
    <w:rsid w:val="00937A48"/>
    <w:rsid w:val="009403A5"/>
    <w:rsid w:val="00941A74"/>
    <w:rsid w:val="00942868"/>
    <w:rsid w:val="00943829"/>
    <w:rsid w:val="0094499A"/>
    <w:rsid w:val="00945BBC"/>
    <w:rsid w:val="00947586"/>
    <w:rsid w:val="00950A84"/>
    <w:rsid w:val="00950D1E"/>
    <w:rsid w:val="00950DE2"/>
    <w:rsid w:val="00952086"/>
    <w:rsid w:val="00952C8A"/>
    <w:rsid w:val="00952D23"/>
    <w:rsid w:val="00953745"/>
    <w:rsid w:val="009554C2"/>
    <w:rsid w:val="00955DDB"/>
    <w:rsid w:val="00956773"/>
    <w:rsid w:val="00956E70"/>
    <w:rsid w:val="00957776"/>
    <w:rsid w:val="009604C5"/>
    <w:rsid w:val="00960A0F"/>
    <w:rsid w:val="00960D1C"/>
    <w:rsid w:val="009616FD"/>
    <w:rsid w:val="00964A32"/>
    <w:rsid w:val="00965DA9"/>
    <w:rsid w:val="00965EFC"/>
    <w:rsid w:val="00966A79"/>
    <w:rsid w:val="009673AD"/>
    <w:rsid w:val="0096750B"/>
    <w:rsid w:val="00967B8E"/>
    <w:rsid w:val="00967DAA"/>
    <w:rsid w:val="00967F0A"/>
    <w:rsid w:val="00972ED0"/>
    <w:rsid w:val="00973BF1"/>
    <w:rsid w:val="0097449D"/>
    <w:rsid w:val="00974DA0"/>
    <w:rsid w:val="009772EB"/>
    <w:rsid w:val="00977BAF"/>
    <w:rsid w:val="0098125D"/>
    <w:rsid w:val="00981429"/>
    <w:rsid w:val="009815E2"/>
    <w:rsid w:val="009825B3"/>
    <w:rsid w:val="009837F6"/>
    <w:rsid w:val="00984D44"/>
    <w:rsid w:val="00986F6F"/>
    <w:rsid w:val="009873CF"/>
    <w:rsid w:val="00987D28"/>
    <w:rsid w:val="00987F6A"/>
    <w:rsid w:val="009909E8"/>
    <w:rsid w:val="00990AD9"/>
    <w:rsid w:val="009931CA"/>
    <w:rsid w:val="00994516"/>
    <w:rsid w:val="00995135"/>
    <w:rsid w:val="00996469"/>
    <w:rsid w:val="00996ED5"/>
    <w:rsid w:val="00997362"/>
    <w:rsid w:val="009A16BE"/>
    <w:rsid w:val="009A2AB2"/>
    <w:rsid w:val="009A5569"/>
    <w:rsid w:val="009A5FC4"/>
    <w:rsid w:val="009A6296"/>
    <w:rsid w:val="009A758E"/>
    <w:rsid w:val="009A7724"/>
    <w:rsid w:val="009A7AD8"/>
    <w:rsid w:val="009B112C"/>
    <w:rsid w:val="009B1780"/>
    <w:rsid w:val="009B23FF"/>
    <w:rsid w:val="009B2A9B"/>
    <w:rsid w:val="009B3BA1"/>
    <w:rsid w:val="009B5408"/>
    <w:rsid w:val="009B7ADF"/>
    <w:rsid w:val="009B7C72"/>
    <w:rsid w:val="009C2967"/>
    <w:rsid w:val="009C2D6B"/>
    <w:rsid w:val="009C3B5E"/>
    <w:rsid w:val="009C3C32"/>
    <w:rsid w:val="009C3F87"/>
    <w:rsid w:val="009C4586"/>
    <w:rsid w:val="009C60D2"/>
    <w:rsid w:val="009D28D8"/>
    <w:rsid w:val="009D2F6F"/>
    <w:rsid w:val="009D3C28"/>
    <w:rsid w:val="009D568B"/>
    <w:rsid w:val="009D673B"/>
    <w:rsid w:val="009D6D37"/>
    <w:rsid w:val="009D6E1C"/>
    <w:rsid w:val="009D6F4E"/>
    <w:rsid w:val="009D7975"/>
    <w:rsid w:val="009E014B"/>
    <w:rsid w:val="009E0304"/>
    <w:rsid w:val="009E0596"/>
    <w:rsid w:val="009E05BC"/>
    <w:rsid w:val="009E6C0C"/>
    <w:rsid w:val="009E79CE"/>
    <w:rsid w:val="009F0BF7"/>
    <w:rsid w:val="009F0F46"/>
    <w:rsid w:val="009F0FA5"/>
    <w:rsid w:val="009F190B"/>
    <w:rsid w:val="009F31DD"/>
    <w:rsid w:val="009F3718"/>
    <w:rsid w:val="009F3B58"/>
    <w:rsid w:val="009F520D"/>
    <w:rsid w:val="009F5D74"/>
    <w:rsid w:val="009F685F"/>
    <w:rsid w:val="009F74AB"/>
    <w:rsid w:val="009F74E8"/>
    <w:rsid w:val="00A0116B"/>
    <w:rsid w:val="00A0248E"/>
    <w:rsid w:val="00A029C5"/>
    <w:rsid w:val="00A02F80"/>
    <w:rsid w:val="00A04C6C"/>
    <w:rsid w:val="00A069B9"/>
    <w:rsid w:val="00A06D0A"/>
    <w:rsid w:val="00A13514"/>
    <w:rsid w:val="00A13BBB"/>
    <w:rsid w:val="00A14782"/>
    <w:rsid w:val="00A15C1A"/>
    <w:rsid w:val="00A15E3B"/>
    <w:rsid w:val="00A16DC8"/>
    <w:rsid w:val="00A172BC"/>
    <w:rsid w:val="00A209A2"/>
    <w:rsid w:val="00A2130F"/>
    <w:rsid w:val="00A226B5"/>
    <w:rsid w:val="00A22F89"/>
    <w:rsid w:val="00A24A56"/>
    <w:rsid w:val="00A24FDC"/>
    <w:rsid w:val="00A252C8"/>
    <w:rsid w:val="00A25303"/>
    <w:rsid w:val="00A271AD"/>
    <w:rsid w:val="00A27AFC"/>
    <w:rsid w:val="00A27CEE"/>
    <w:rsid w:val="00A30A13"/>
    <w:rsid w:val="00A318FF"/>
    <w:rsid w:val="00A341D1"/>
    <w:rsid w:val="00A35DAD"/>
    <w:rsid w:val="00A3626C"/>
    <w:rsid w:val="00A36FFA"/>
    <w:rsid w:val="00A3726E"/>
    <w:rsid w:val="00A37CD4"/>
    <w:rsid w:val="00A37D24"/>
    <w:rsid w:val="00A37ECA"/>
    <w:rsid w:val="00A407D2"/>
    <w:rsid w:val="00A423CF"/>
    <w:rsid w:val="00A45984"/>
    <w:rsid w:val="00A50730"/>
    <w:rsid w:val="00A5087D"/>
    <w:rsid w:val="00A51519"/>
    <w:rsid w:val="00A522BC"/>
    <w:rsid w:val="00A5582D"/>
    <w:rsid w:val="00A607E8"/>
    <w:rsid w:val="00A61AAB"/>
    <w:rsid w:val="00A6238D"/>
    <w:rsid w:val="00A62937"/>
    <w:rsid w:val="00A62AEA"/>
    <w:rsid w:val="00A63774"/>
    <w:rsid w:val="00A647C3"/>
    <w:rsid w:val="00A65137"/>
    <w:rsid w:val="00A6521D"/>
    <w:rsid w:val="00A65FC0"/>
    <w:rsid w:val="00A706AA"/>
    <w:rsid w:val="00A7290B"/>
    <w:rsid w:val="00A76D68"/>
    <w:rsid w:val="00A771B4"/>
    <w:rsid w:val="00A809B4"/>
    <w:rsid w:val="00A80AF9"/>
    <w:rsid w:val="00A829EC"/>
    <w:rsid w:val="00A83A95"/>
    <w:rsid w:val="00A870C4"/>
    <w:rsid w:val="00A87756"/>
    <w:rsid w:val="00A92FBE"/>
    <w:rsid w:val="00A943CA"/>
    <w:rsid w:val="00A94A91"/>
    <w:rsid w:val="00A95F6C"/>
    <w:rsid w:val="00AA140D"/>
    <w:rsid w:val="00AA142D"/>
    <w:rsid w:val="00AA160B"/>
    <w:rsid w:val="00AA27C4"/>
    <w:rsid w:val="00AA2952"/>
    <w:rsid w:val="00AA3823"/>
    <w:rsid w:val="00AA4B71"/>
    <w:rsid w:val="00AA5AA5"/>
    <w:rsid w:val="00AA6DE1"/>
    <w:rsid w:val="00AB0858"/>
    <w:rsid w:val="00AB0900"/>
    <w:rsid w:val="00AB118F"/>
    <w:rsid w:val="00AB1C3E"/>
    <w:rsid w:val="00AB1D22"/>
    <w:rsid w:val="00AB351B"/>
    <w:rsid w:val="00AC0CE3"/>
    <w:rsid w:val="00AC135A"/>
    <w:rsid w:val="00AC27C4"/>
    <w:rsid w:val="00AC415C"/>
    <w:rsid w:val="00AC4669"/>
    <w:rsid w:val="00AD4541"/>
    <w:rsid w:val="00AD4C88"/>
    <w:rsid w:val="00AD5109"/>
    <w:rsid w:val="00AD6AF6"/>
    <w:rsid w:val="00AD6E50"/>
    <w:rsid w:val="00AD79E7"/>
    <w:rsid w:val="00AE0C3C"/>
    <w:rsid w:val="00AE1A21"/>
    <w:rsid w:val="00AE27F2"/>
    <w:rsid w:val="00AE2828"/>
    <w:rsid w:val="00AE4A92"/>
    <w:rsid w:val="00AF03AB"/>
    <w:rsid w:val="00AF2379"/>
    <w:rsid w:val="00AF23B3"/>
    <w:rsid w:val="00AF2F11"/>
    <w:rsid w:val="00AF3BF0"/>
    <w:rsid w:val="00AF4074"/>
    <w:rsid w:val="00AF7382"/>
    <w:rsid w:val="00AF7FB7"/>
    <w:rsid w:val="00B0269C"/>
    <w:rsid w:val="00B02B74"/>
    <w:rsid w:val="00B03E6F"/>
    <w:rsid w:val="00B048B6"/>
    <w:rsid w:val="00B048BA"/>
    <w:rsid w:val="00B05770"/>
    <w:rsid w:val="00B064BD"/>
    <w:rsid w:val="00B06B4F"/>
    <w:rsid w:val="00B10832"/>
    <w:rsid w:val="00B12672"/>
    <w:rsid w:val="00B12BB1"/>
    <w:rsid w:val="00B13CE1"/>
    <w:rsid w:val="00B14326"/>
    <w:rsid w:val="00B15797"/>
    <w:rsid w:val="00B16238"/>
    <w:rsid w:val="00B176F4"/>
    <w:rsid w:val="00B17C3C"/>
    <w:rsid w:val="00B20BA7"/>
    <w:rsid w:val="00B21241"/>
    <w:rsid w:val="00B21DA6"/>
    <w:rsid w:val="00B22A62"/>
    <w:rsid w:val="00B22A79"/>
    <w:rsid w:val="00B24C85"/>
    <w:rsid w:val="00B26762"/>
    <w:rsid w:val="00B27CA4"/>
    <w:rsid w:val="00B27D7D"/>
    <w:rsid w:val="00B30542"/>
    <w:rsid w:val="00B30AED"/>
    <w:rsid w:val="00B32132"/>
    <w:rsid w:val="00B32A54"/>
    <w:rsid w:val="00B33C17"/>
    <w:rsid w:val="00B36578"/>
    <w:rsid w:val="00B40EA8"/>
    <w:rsid w:val="00B41491"/>
    <w:rsid w:val="00B419FA"/>
    <w:rsid w:val="00B42E8D"/>
    <w:rsid w:val="00B440BF"/>
    <w:rsid w:val="00B45B86"/>
    <w:rsid w:val="00B46328"/>
    <w:rsid w:val="00B51619"/>
    <w:rsid w:val="00B51993"/>
    <w:rsid w:val="00B51D27"/>
    <w:rsid w:val="00B5247B"/>
    <w:rsid w:val="00B53CB0"/>
    <w:rsid w:val="00B558E7"/>
    <w:rsid w:val="00B55A1F"/>
    <w:rsid w:val="00B57396"/>
    <w:rsid w:val="00B60429"/>
    <w:rsid w:val="00B60D60"/>
    <w:rsid w:val="00B645CC"/>
    <w:rsid w:val="00B650EF"/>
    <w:rsid w:val="00B651C4"/>
    <w:rsid w:val="00B67735"/>
    <w:rsid w:val="00B7035D"/>
    <w:rsid w:val="00B71CE0"/>
    <w:rsid w:val="00B72064"/>
    <w:rsid w:val="00B722A7"/>
    <w:rsid w:val="00B74A87"/>
    <w:rsid w:val="00B753F9"/>
    <w:rsid w:val="00B7554F"/>
    <w:rsid w:val="00B75A2B"/>
    <w:rsid w:val="00B76E10"/>
    <w:rsid w:val="00B80209"/>
    <w:rsid w:val="00B81A8F"/>
    <w:rsid w:val="00B8388F"/>
    <w:rsid w:val="00B84158"/>
    <w:rsid w:val="00B85598"/>
    <w:rsid w:val="00B922C6"/>
    <w:rsid w:val="00B94891"/>
    <w:rsid w:val="00B94A8A"/>
    <w:rsid w:val="00B950B5"/>
    <w:rsid w:val="00B950D9"/>
    <w:rsid w:val="00B95C13"/>
    <w:rsid w:val="00B969C1"/>
    <w:rsid w:val="00BA28CD"/>
    <w:rsid w:val="00BA408B"/>
    <w:rsid w:val="00BA4DE6"/>
    <w:rsid w:val="00BA5A10"/>
    <w:rsid w:val="00BA6C9D"/>
    <w:rsid w:val="00BB0648"/>
    <w:rsid w:val="00BB1A4D"/>
    <w:rsid w:val="00BB22C6"/>
    <w:rsid w:val="00BB2383"/>
    <w:rsid w:val="00BB2D3C"/>
    <w:rsid w:val="00BB3331"/>
    <w:rsid w:val="00BB44E2"/>
    <w:rsid w:val="00BB5182"/>
    <w:rsid w:val="00BB5951"/>
    <w:rsid w:val="00BB61F0"/>
    <w:rsid w:val="00BB740D"/>
    <w:rsid w:val="00BB7FE1"/>
    <w:rsid w:val="00BC0ACF"/>
    <w:rsid w:val="00BC0FAC"/>
    <w:rsid w:val="00BC2CF2"/>
    <w:rsid w:val="00BC5E18"/>
    <w:rsid w:val="00BC663C"/>
    <w:rsid w:val="00BC6C0F"/>
    <w:rsid w:val="00BC71F2"/>
    <w:rsid w:val="00BC73E5"/>
    <w:rsid w:val="00BD0622"/>
    <w:rsid w:val="00BD0CA8"/>
    <w:rsid w:val="00BD0E6B"/>
    <w:rsid w:val="00BD1400"/>
    <w:rsid w:val="00BD29F8"/>
    <w:rsid w:val="00BD2EB2"/>
    <w:rsid w:val="00BD3EE4"/>
    <w:rsid w:val="00BE1E08"/>
    <w:rsid w:val="00BE2382"/>
    <w:rsid w:val="00BE3074"/>
    <w:rsid w:val="00BE47E2"/>
    <w:rsid w:val="00BE4A62"/>
    <w:rsid w:val="00BE4DCD"/>
    <w:rsid w:val="00BE54B3"/>
    <w:rsid w:val="00BE6098"/>
    <w:rsid w:val="00BE709F"/>
    <w:rsid w:val="00BE7466"/>
    <w:rsid w:val="00BF0E90"/>
    <w:rsid w:val="00BF1215"/>
    <w:rsid w:val="00BF1C17"/>
    <w:rsid w:val="00BF502E"/>
    <w:rsid w:val="00BF6115"/>
    <w:rsid w:val="00BF6187"/>
    <w:rsid w:val="00BF6AA7"/>
    <w:rsid w:val="00BF6C2B"/>
    <w:rsid w:val="00BF71F5"/>
    <w:rsid w:val="00C00AAD"/>
    <w:rsid w:val="00C00F86"/>
    <w:rsid w:val="00C032E2"/>
    <w:rsid w:val="00C03ACA"/>
    <w:rsid w:val="00C04913"/>
    <w:rsid w:val="00C04B40"/>
    <w:rsid w:val="00C05398"/>
    <w:rsid w:val="00C053CB"/>
    <w:rsid w:val="00C053FD"/>
    <w:rsid w:val="00C05614"/>
    <w:rsid w:val="00C05A44"/>
    <w:rsid w:val="00C06E77"/>
    <w:rsid w:val="00C06F80"/>
    <w:rsid w:val="00C0753D"/>
    <w:rsid w:val="00C075DD"/>
    <w:rsid w:val="00C11049"/>
    <w:rsid w:val="00C115DC"/>
    <w:rsid w:val="00C1223C"/>
    <w:rsid w:val="00C139DF"/>
    <w:rsid w:val="00C14F51"/>
    <w:rsid w:val="00C176C7"/>
    <w:rsid w:val="00C2123B"/>
    <w:rsid w:val="00C22BDF"/>
    <w:rsid w:val="00C23D06"/>
    <w:rsid w:val="00C24E1B"/>
    <w:rsid w:val="00C252B3"/>
    <w:rsid w:val="00C2694C"/>
    <w:rsid w:val="00C32699"/>
    <w:rsid w:val="00C328F4"/>
    <w:rsid w:val="00C32B0E"/>
    <w:rsid w:val="00C32E60"/>
    <w:rsid w:val="00C34E6B"/>
    <w:rsid w:val="00C3629A"/>
    <w:rsid w:val="00C371AF"/>
    <w:rsid w:val="00C37DA2"/>
    <w:rsid w:val="00C37E53"/>
    <w:rsid w:val="00C41FBD"/>
    <w:rsid w:val="00C42BF5"/>
    <w:rsid w:val="00C43AD2"/>
    <w:rsid w:val="00C43FD7"/>
    <w:rsid w:val="00C44634"/>
    <w:rsid w:val="00C4495D"/>
    <w:rsid w:val="00C450AA"/>
    <w:rsid w:val="00C45346"/>
    <w:rsid w:val="00C456FC"/>
    <w:rsid w:val="00C45B0F"/>
    <w:rsid w:val="00C474CC"/>
    <w:rsid w:val="00C50175"/>
    <w:rsid w:val="00C517B5"/>
    <w:rsid w:val="00C52A41"/>
    <w:rsid w:val="00C52F32"/>
    <w:rsid w:val="00C55E7C"/>
    <w:rsid w:val="00C5760B"/>
    <w:rsid w:val="00C57751"/>
    <w:rsid w:val="00C60855"/>
    <w:rsid w:val="00C61C99"/>
    <w:rsid w:val="00C630FF"/>
    <w:rsid w:val="00C67AD3"/>
    <w:rsid w:val="00C708EA"/>
    <w:rsid w:val="00C7098A"/>
    <w:rsid w:val="00C7171B"/>
    <w:rsid w:val="00C721E1"/>
    <w:rsid w:val="00C7240B"/>
    <w:rsid w:val="00C72985"/>
    <w:rsid w:val="00C734B3"/>
    <w:rsid w:val="00C73945"/>
    <w:rsid w:val="00C7507B"/>
    <w:rsid w:val="00C775CE"/>
    <w:rsid w:val="00C7785A"/>
    <w:rsid w:val="00C80515"/>
    <w:rsid w:val="00C82159"/>
    <w:rsid w:val="00C82835"/>
    <w:rsid w:val="00C82D3B"/>
    <w:rsid w:val="00C844A5"/>
    <w:rsid w:val="00C85A1E"/>
    <w:rsid w:val="00C8772A"/>
    <w:rsid w:val="00C87869"/>
    <w:rsid w:val="00C87BB0"/>
    <w:rsid w:val="00C90502"/>
    <w:rsid w:val="00C9154C"/>
    <w:rsid w:val="00C91E97"/>
    <w:rsid w:val="00C9211B"/>
    <w:rsid w:val="00C92B9F"/>
    <w:rsid w:val="00C9500A"/>
    <w:rsid w:val="00CA0857"/>
    <w:rsid w:val="00CA0C81"/>
    <w:rsid w:val="00CA13A7"/>
    <w:rsid w:val="00CA27A8"/>
    <w:rsid w:val="00CA41DB"/>
    <w:rsid w:val="00CA5E41"/>
    <w:rsid w:val="00CA62D2"/>
    <w:rsid w:val="00CA65CF"/>
    <w:rsid w:val="00CA69D7"/>
    <w:rsid w:val="00CA6C2F"/>
    <w:rsid w:val="00CA73E2"/>
    <w:rsid w:val="00CB107D"/>
    <w:rsid w:val="00CB14AE"/>
    <w:rsid w:val="00CB1506"/>
    <w:rsid w:val="00CB20DF"/>
    <w:rsid w:val="00CB22FF"/>
    <w:rsid w:val="00CB232A"/>
    <w:rsid w:val="00CB4DA2"/>
    <w:rsid w:val="00CB53BD"/>
    <w:rsid w:val="00CB69BA"/>
    <w:rsid w:val="00CB7E82"/>
    <w:rsid w:val="00CC12C3"/>
    <w:rsid w:val="00CC24C5"/>
    <w:rsid w:val="00CC3E0A"/>
    <w:rsid w:val="00CC499F"/>
    <w:rsid w:val="00CC4CB6"/>
    <w:rsid w:val="00CC528D"/>
    <w:rsid w:val="00CC6D46"/>
    <w:rsid w:val="00CC7478"/>
    <w:rsid w:val="00CC76D1"/>
    <w:rsid w:val="00CC78F8"/>
    <w:rsid w:val="00CD037D"/>
    <w:rsid w:val="00CD18BD"/>
    <w:rsid w:val="00CD463B"/>
    <w:rsid w:val="00CD493C"/>
    <w:rsid w:val="00CD4E89"/>
    <w:rsid w:val="00CD5C57"/>
    <w:rsid w:val="00CD6A32"/>
    <w:rsid w:val="00CD723F"/>
    <w:rsid w:val="00CD7CD4"/>
    <w:rsid w:val="00CE069A"/>
    <w:rsid w:val="00CE0F87"/>
    <w:rsid w:val="00CE232D"/>
    <w:rsid w:val="00CE3053"/>
    <w:rsid w:val="00CE44C6"/>
    <w:rsid w:val="00CE5F91"/>
    <w:rsid w:val="00CE61C7"/>
    <w:rsid w:val="00CF20DB"/>
    <w:rsid w:val="00CF290B"/>
    <w:rsid w:val="00CF29C6"/>
    <w:rsid w:val="00CF305D"/>
    <w:rsid w:val="00CF3E99"/>
    <w:rsid w:val="00CF5CA1"/>
    <w:rsid w:val="00CF6CBD"/>
    <w:rsid w:val="00CF7BF3"/>
    <w:rsid w:val="00D0057D"/>
    <w:rsid w:val="00D0158D"/>
    <w:rsid w:val="00D0256F"/>
    <w:rsid w:val="00D034A0"/>
    <w:rsid w:val="00D04074"/>
    <w:rsid w:val="00D04638"/>
    <w:rsid w:val="00D0491D"/>
    <w:rsid w:val="00D0520B"/>
    <w:rsid w:val="00D06882"/>
    <w:rsid w:val="00D07248"/>
    <w:rsid w:val="00D07B84"/>
    <w:rsid w:val="00D1012C"/>
    <w:rsid w:val="00D11581"/>
    <w:rsid w:val="00D11BA4"/>
    <w:rsid w:val="00D11EA4"/>
    <w:rsid w:val="00D1306C"/>
    <w:rsid w:val="00D14256"/>
    <w:rsid w:val="00D15EF8"/>
    <w:rsid w:val="00D16ECF"/>
    <w:rsid w:val="00D20C54"/>
    <w:rsid w:val="00D2148B"/>
    <w:rsid w:val="00D214BA"/>
    <w:rsid w:val="00D2180B"/>
    <w:rsid w:val="00D2209D"/>
    <w:rsid w:val="00D2622C"/>
    <w:rsid w:val="00D26B4A"/>
    <w:rsid w:val="00D278A1"/>
    <w:rsid w:val="00D27E42"/>
    <w:rsid w:val="00D30CFD"/>
    <w:rsid w:val="00D314A2"/>
    <w:rsid w:val="00D31D58"/>
    <w:rsid w:val="00D34890"/>
    <w:rsid w:val="00D353F2"/>
    <w:rsid w:val="00D4008B"/>
    <w:rsid w:val="00D4016B"/>
    <w:rsid w:val="00D41514"/>
    <w:rsid w:val="00D41E4B"/>
    <w:rsid w:val="00D42CA3"/>
    <w:rsid w:val="00D43406"/>
    <w:rsid w:val="00D450A9"/>
    <w:rsid w:val="00D455C4"/>
    <w:rsid w:val="00D4606F"/>
    <w:rsid w:val="00D462CC"/>
    <w:rsid w:val="00D46459"/>
    <w:rsid w:val="00D46B1F"/>
    <w:rsid w:val="00D46D14"/>
    <w:rsid w:val="00D46E45"/>
    <w:rsid w:val="00D47531"/>
    <w:rsid w:val="00D4753F"/>
    <w:rsid w:val="00D50A2F"/>
    <w:rsid w:val="00D50FCD"/>
    <w:rsid w:val="00D51916"/>
    <w:rsid w:val="00D523E5"/>
    <w:rsid w:val="00D52D39"/>
    <w:rsid w:val="00D52E34"/>
    <w:rsid w:val="00D544FF"/>
    <w:rsid w:val="00D54872"/>
    <w:rsid w:val="00D57D47"/>
    <w:rsid w:val="00D60C4B"/>
    <w:rsid w:val="00D6404A"/>
    <w:rsid w:val="00D6466A"/>
    <w:rsid w:val="00D64817"/>
    <w:rsid w:val="00D7060F"/>
    <w:rsid w:val="00D71581"/>
    <w:rsid w:val="00D72549"/>
    <w:rsid w:val="00D72AA0"/>
    <w:rsid w:val="00D74C66"/>
    <w:rsid w:val="00D74D09"/>
    <w:rsid w:val="00D764EB"/>
    <w:rsid w:val="00D7792B"/>
    <w:rsid w:val="00D82729"/>
    <w:rsid w:val="00D82CF7"/>
    <w:rsid w:val="00D8318B"/>
    <w:rsid w:val="00D83D42"/>
    <w:rsid w:val="00D8558E"/>
    <w:rsid w:val="00D85CF7"/>
    <w:rsid w:val="00D85FB0"/>
    <w:rsid w:val="00D864B7"/>
    <w:rsid w:val="00D866A9"/>
    <w:rsid w:val="00D86EFA"/>
    <w:rsid w:val="00D920C3"/>
    <w:rsid w:val="00D92300"/>
    <w:rsid w:val="00D93C6F"/>
    <w:rsid w:val="00D946FD"/>
    <w:rsid w:val="00D95151"/>
    <w:rsid w:val="00D9688C"/>
    <w:rsid w:val="00DA00E5"/>
    <w:rsid w:val="00DA024C"/>
    <w:rsid w:val="00DA14FD"/>
    <w:rsid w:val="00DA25CE"/>
    <w:rsid w:val="00DA25E1"/>
    <w:rsid w:val="00DA2AAD"/>
    <w:rsid w:val="00DA3C27"/>
    <w:rsid w:val="00DA45EF"/>
    <w:rsid w:val="00DA55E9"/>
    <w:rsid w:val="00DA57DD"/>
    <w:rsid w:val="00DA5993"/>
    <w:rsid w:val="00DA6169"/>
    <w:rsid w:val="00DA669F"/>
    <w:rsid w:val="00DA773E"/>
    <w:rsid w:val="00DB0279"/>
    <w:rsid w:val="00DB0748"/>
    <w:rsid w:val="00DB0D6F"/>
    <w:rsid w:val="00DB17AE"/>
    <w:rsid w:val="00DB1E8E"/>
    <w:rsid w:val="00DB22BB"/>
    <w:rsid w:val="00DB2586"/>
    <w:rsid w:val="00DB2FDA"/>
    <w:rsid w:val="00DB4D97"/>
    <w:rsid w:val="00DB4F79"/>
    <w:rsid w:val="00DB5631"/>
    <w:rsid w:val="00DC0BB9"/>
    <w:rsid w:val="00DC1E54"/>
    <w:rsid w:val="00DC21BA"/>
    <w:rsid w:val="00DC3990"/>
    <w:rsid w:val="00DC3E8B"/>
    <w:rsid w:val="00DC5D03"/>
    <w:rsid w:val="00DC6F45"/>
    <w:rsid w:val="00DC7C50"/>
    <w:rsid w:val="00DC7E98"/>
    <w:rsid w:val="00DD3C1E"/>
    <w:rsid w:val="00DD5383"/>
    <w:rsid w:val="00DD69D1"/>
    <w:rsid w:val="00DE021D"/>
    <w:rsid w:val="00DE4EF7"/>
    <w:rsid w:val="00DE5692"/>
    <w:rsid w:val="00DE5B40"/>
    <w:rsid w:val="00DE628B"/>
    <w:rsid w:val="00DE728A"/>
    <w:rsid w:val="00DE77AB"/>
    <w:rsid w:val="00DE7C59"/>
    <w:rsid w:val="00DF0F7A"/>
    <w:rsid w:val="00DF183C"/>
    <w:rsid w:val="00DF1A0D"/>
    <w:rsid w:val="00DF2B18"/>
    <w:rsid w:val="00DF3049"/>
    <w:rsid w:val="00DF5426"/>
    <w:rsid w:val="00DF6D3D"/>
    <w:rsid w:val="00DF707E"/>
    <w:rsid w:val="00DF7B47"/>
    <w:rsid w:val="00E02B8F"/>
    <w:rsid w:val="00E04099"/>
    <w:rsid w:val="00E044CE"/>
    <w:rsid w:val="00E051FB"/>
    <w:rsid w:val="00E05784"/>
    <w:rsid w:val="00E0578F"/>
    <w:rsid w:val="00E0680F"/>
    <w:rsid w:val="00E10D2B"/>
    <w:rsid w:val="00E127C0"/>
    <w:rsid w:val="00E12FB7"/>
    <w:rsid w:val="00E133E1"/>
    <w:rsid w:val="00E13581"/>
    <w:rsid w:val="00E14AA1"/>
    <w:rsid w:val="00E151E1"/>
    <w:rsid w:val="00E15C78"/>
    <w:rsid w:val="00E161A3"/>
    <w:rsid w:val="00E166F5"/>
    <w:rsid w:val="00E16E9B"/>
    <w:rsid w:val="00E17EBE"/>
    <w:rsid w:val="00E204A3"/>
    <w:rsid w:val="00E24506"/>
    <w:rsid w:val="00E2673D"/>
    <w:rsid w:val="00E271DC"/>
    <w:rsid w:val="00E277CD"/>
    <w:rsid w:val="00E308EB"/>
    <w:rsid w:val="00E31360"/>
    <w:rsid w:val="00E32032"/>
    <w:rsid w:val="00E333FF"/>
    <w:rsid w:val="00E34303"/>
    <w:rsid w:val="00E357A5"/>
    <w:rsid w:val="00E35EB7"/>
    <w:rsid w:val="00E3640D"/>
    <w:rsid w:val="00E3789C"/>
    <w:rsid w:val="00E40139"/>
    <w:rsid w:val="00E406C5"/>
    <w:rsid w:val="00E40BA3"/>
    <w:rsid w:val="00E41B2F"/>
    <w:rsid w:val="00E4364C"/>
    <w:rsid w:val="00E43829"/>
    <w:rsid w:val="00E46E60"/>
    <w:rsid w:val="00E471CE"/>
    <w:rsid w:val="00E4756F"/>
    <w:rsid w:val="00E47AF4"/>
    <w:rsid w:val="00E53E92"/>
    <w:rsid w:val="00E56D7B"/>
    <w:rsid w:val="00E5733A"/>
    <w:rsid w:val="00E607E6"/>
    <w:rsid w:val="00E631F5"/>
    <w:rsid w:val="00E63411"/>
    <w:rsid w:val="00E6350E"/>
    <w:rsid w:val="00E64D51"/>
    <w:rsid w:val="00E67473"/>
    <w:rsid w:val="00E67B43"/>
    <w:rsid w:val="00E67F87"/>
    <w:rsid w:val="00E7114E"/>
    <w:rsid w:val="00E711C9"/>
    <w:rsid w:val="00E71B41"/>
    <w:rsid w:val="00E72507"/>
    <w:rsid w:val="00E73935"/>
    <w:rsid w:val="00E7416B"/>
    <w:rsid w:val="00E74419"/>
    <w:rsid w:val="00E805EC"/>
    <w:rsid w:val="00E80ABC"/>
    <w:rsid w:val="00E82D3D"/>
    <w:rsid w:val="00E83F3C"/>
    <w:rsid w:val="00E859C2"/>
    <w:rsid w:val="00E86518"/>
    <w:rsid w:val="00E90189"/>
    <w:rsid w:val="00E9357D"/>
    <w:rsid w:val="00E9518D"/>
    <w:rsid w:val="00E95A06"/>
    <w:rsid w:val="00E95B2D"/>
    <w:rsid w:val="00EA32ED"/>
    <w:rsid w:val="00EA344E"/>
    <w:rsid w:val="00EA63A8"/>
    <w:rsid w:val="00EA6872"/>
    <w:rsid w:val="00EB0678"/>
    <w:rsid w:val="00EB2EA7"/>
    <w:rsid w:val="00EB3806"/>
    <w:rsid w:val="00EB38E4"/>
    <w:rsid w:val="00EB3F5E"/>
    <w:rsid w:val="00EB4D56"/>
    <w:rsid w:val="00EB5293"/>
    <w:rsid w:val="00EB5335"/>
    <w:rsid w:val="00EB6286"/>
    <w:rsid w:val="00EC07C1"/>
    <w:rsid w:val="00EC0840"/>
    <w:rsid w:val="00EC0DCC"/>
    <w:rsid w:val="00EC1D41"/>
    <w:rsid w:val="00EC30A8"/>
    <w:rsid w:val="00EC4DFE"/>
    <w:rsid w:val="00EC727C"/>
    <w:rsid w:val="00EC7353"/>
    <w:rsid w:val="00EC7E23"/>
    <w:rsid w:val="00ED1D21"/>
    <w:rsid w:val="00ED213A"/>
    <w:rsid w:val="00ED28A5"/>
    <w:rsid w:val="00ED2F01"/>
    <w:rsid w:val="00ED371C"/>
    <w:rsid w:val="00ED674B"/>
    <w:rsid w:val="00ED6FE4"/>
    <w:rsid w:val="00EE0F6C"/>
    <w:rsid w:val="00EE19CD"/>
    <w:rsid w:val="00EE35AC"/>
    <w:rsid w:val="00EE44CD"/>
    <w:rsid w:val="00EE4BBE"/>
    <w:rsid w:val="00EE6CA8"/>
    <w:rsid w:val="00EE736A"/>
    <w:rsid w:val="00EE7C64"/>
    <w:rsid w:val="00EF0B02"/>
    <w:rsid w:val="00EF1E8F"/>
    <w:rsid w:val="00EF3CF9"/>
    <w:rsid w:val="00EF47A4"/>
    <w:rsid w:val="00EF4D94"/>
    <w:rsid w:val="00EF6EB7"/>
    <w:rsid w:val="00EF7858"/>
    <w:rsid w:val="00F00632"/>
    <w:rsid w:val="00F00C9E"/>
    <w:rsid w:val="00F02247"/>
    <w:rsid w:val="00F02BD3"/>
    <w:rsid w:val="00F04757"/>
    <w:rsid w:val="00F05098"/>
    <w:rsid w:val="00F057B5"/>
    <w:rsid w:val="00F06169"/>
    <w:rsid w:val="00F06C7F"/>
    <w:rsid w:val="00F1023B"/>
    <w:rsid w:val="00F13DD3"/>
    <w:rsid w:val="00F15683"/>
    <w:rsid w:val="00F16161"/>
    <w:rsid w:val="00F16D23"/>
    <w:rsid w:val="00F17050"/>
    <w:rsid w:val="00F17554"/>
    <w:rsid w:val="00F20E23"/>
    <w:rsid w:val="00F211A4"/>
    <w:rsid w:val="00F21ABD"/>
    <w:rsid w:val="00F21F6A"/>
    <w:rsid w:val="00F2216C"/>
    <w:rsid w:val="00F223EC"/>
    <w:rsid w:val="00F24198"/>
    <w:rsid w:val="00F25784"/>
    <w:rsid w:val="00F26B2D"/>
    <w:rsid w:val="00F27448"/>
    <w:rsid w:val="00F308C2"/>
    <w:rsid w:val="00F31839"/>
    <w:rsid w:val="00F319EB"/>
    <w:rsid w:val="00F31D76"/>
    <w:rsid w:val="00F32A5D"/>
    <w:rsid w:val="00F3381A"/>
    <w:rsid w:val="00F348AF"/>
    <w:rsid w:val="00F35FF0"/>
    <w:rsid w:val="00F360D2"/>
    <w:rsid w:val="00F36444"/>
    <w:rsid w:val="00F37383"/>
    <w:rsid w:val="00F37A06"/>
    <w:rsid w:val="00F41079"/>
    <w:rsid w:val="00F41C62"/>
    <w:rsid w:val="00F44A31"/>
    <w:rsid w:val="00F453EB"/>
    <w:rsid w:val="00F4692B"/>
    <w:rsid w:val="00F46D69"/>
    <w:rsid w:val="00F46F29"/>
    <w:rsid w:val="00F4702D"/>
    <w:rsid w:val="00F47BED"/>
    <w:rsid w:val="00F47C55"/>
    <w:rsid w:val="00F5096D"/>
    <w:rsid w:val="00F50FB0"/>
    <w:rsid w:val="00F520A3"/>
    <w:rsid w:val="00F52C42"/>
    <w:rsid w:val="00F54187"/>
    <w:rsid w:val="00F54D23"/>
    <w:rsid w:val="00F552C5"/>
    <w:rsid w:val="00F56B35"/>
    <w:rsid w:val="00F571C6"/>
    <w:rsid w:val="00F57F75"/>
    <w:rsid w:val="00F6151D"/>
    <w:rsid w:val="00F62442"/>
    <w:rsid w:val="00F6307D"/>
    <w:rsid w:val="00F6412A"/>
    <w:rsid w:val="00F66D46"/>
    <w:rsid w:val="00F67F8E"/>
    <w:rsid w:val="00F70BB3"/>
    <w:rsid w:val="00F71574"/>
    <w:rsid w:val="00F7266D"/>
    <w:rsid w:val="00F72EA7"/>
    <w:rsid w:val="00F74059"/>
    <w:rsid w:val="00F74896"/>
    <w:rsid w:val="00F755A1"/>
    <w:rsid w:val="00F770A4"/>
    <w:rsid w:val="00F774D4"/>
    <w:rsid w:val="00F7772A"/>
    <w:rsid w:val="00F77F3F"/>
    <w:rsid w:val="00F77FE9"/>
    <w:rsid w:val="00F800B2"/>
    <w:rsid w:val="00F80605"/>
    <w:rsid w:val="00F80AFD"/>
    <w:rsid w:val="00F81544"/>
    <w:rsid w:val="00F840DC"/>
    <w:rsid w:val="00F86B70"/>
    <w:rsid w:val="00F873EC"/>
    <w:rsid w:val="00F91511"/>
    <w:rsid w:val="00F916B6"/>
    <w:rsid w:val="00F924DF"/>
    <w:rsid w:val="00F94130"/>
    <w:rsid w:val="00F94DAB"/>
    <w:rsid w:val="00F97341"/>
    <w:rsid w:val="00FA19A7"/>
    <w:rsid w:val="00FA1BA8"/>
    <w:rsid w:val="00FA26DC"/>
    <w:rsid w:val="00FA65E8"/>
    <w:rsid w:val="00FA6CBF"/>
    <w:rsid w:val="00FA70CA"/>
    <w:rsid w:val="00FB6099"/>
    <w:rsid w:val="00FB6C4A"/>
    <w:rsid w:val="00FB72ED"/>
    <w:rsid w:val="00FC06CB"/>
    <w:rsid w:val="00FC0A1C"/>
    <w:rsid w:val="00FC13DF"/>
    <w:rsid w:val="00FC1D44"/>
    <w:rsid w:val="00FC31C7"/>
    <w:rsid w:val="00FC3298"/>
    <w:rsid w:val="00FC37B5"/>
    <w:rsid w:val="00FC3EBC"/>
    <w:rsid w:val="00FC4F1D"/>
    <w:rsid w:val="00FC5AEB"/>
    <w:rsid w:val="00FC69A6"/>
    <w:rsid w:val="00FC6E17"/>
    <w:rsid w:val="00FC7F62"/>
    <w:rsid w:val="00FD0018"/>
    <w:rsid w:val="00FD0824"/>
    <w:rsid w:val="00FD4037"/>
    <w:rsid w:val="00FD7279"/>
    <w:rsid w:val="00FD750B"/>
    <w:rsid w:val="00FD7602"/>
    <w:rsid w:val="00FD7685"/>
    <w:rsid w:val="00FE15DC"/>
    <w:rsid w:val="00FE374B"/>
    <w:rsid w:val="00FE483C"/>
    <w:rsid w:val="00FE7975"/>
    <w:rsid w:val="00FE7E60"/>
    <w:rsid w:val="00FE7E71"/>
    <w:rsid w:val="00FF123D"/>
    <w:rsid w:val="00FF14F3"/>
    <w:rsid w:val="00FF1517"/>
    <w:rsid w:val="00FF3CE8"/>
    <w:rsid w:val="00FF4355"/>
    <w:rsid w:val="00FF72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6170451C"/>
  <w15:docId w15:val="{5CF33E24-E1A4-4079-8789-3DB5B86C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303"/>
    <w:pPr>
      <w:spacing w:after="200" w:line="276" w:lineRule="auto"/>
    </w:pPr>
    <w:rPr>
      <w:sz w:val="22"/>
      <w:szCs w:val="22"/>
      <w:lang w:eastAsia="en-US"/>
    </w:rPr>
  </w:style>
  <w:style w:type="paragraph" w:styleId="Ttulo1">
    <w:name w:val="heading 1"/>
    <w:basedOn w:val="Normal"/>
    <w:next w:val="Normal"/>
    <w:link w:val="Ttulo1Car"/>
    <w:uiPriority w:val="9"/>
    <w:qFormat/>
    <w:rsid w:val="00CF6C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2TitSec"/>
    <w:basedOn w:val="Normal"/>
    <w:next w:val="Normal"/>
    <w:link w:val="Ttulo2Car"/>
    <w:uiPriority w:val="9"/>
    <w:unhideWhenUsed/>
    <w:qFormat/>
    <w:rsid w:val="001E3E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B048BA"/>
    <w:pPr>
      <w:spacing w:after="0" w:line="240" w:lineRule="auto"/>
      <w:ind w:left="708"/>
    </w:pPr>
    <w:rPr>
      <w:rFonts w:ascii="Arial" w:eastAsia="Times New Roman" w:hAnsi="Arial"/>
      <w:sz w:val="24"/>
      <w:szCs w:val="20"/>
      <w:lang w:val="es-ES" w:eastAsia="es-ES"/>
    </w:rPr>
  </w:style>
  <w:style w:type="paragraph" w:styleId="Textodeglobo">
    <w:name w:val="Balloon Text"/>
    <w:basedOn w:val="Normal"/>
    <w:link w:val="TextodegloboCar"/>
    <w:uiPriority w:val="99"/>
    <w:semiHidden/>
    <w:unhideWhenUsed/>
    <w:rsid w:val="00B048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48BA"/>
    <w:rPr>
      <w:rFonts w:ascii="Tahoma" w:hAnsi="Tahoma" w:cs="Tahoma"/>
      <w:sz w:val="16"/>
      <w:szCs w:val="16"/>
      <w:lang w:eastAsia="en-US"/>
    </w:rPr>
  </w:style>
  <w:style w:type="character" w:customStyle="1" w:styleId="apple-converted-space">
    <w:name w:val="apple-converted-space"/>
    <w:basedOn w:val="Fuentedeprrafopredeter"/>
    <w:rsid w:val="00D04074"/>
  </w:style>
  <w:style w:type="character" w:styleId="Refdecomentario">
    <w:name w:val="annotation reference"/>
    <w:basedOn w:val="Fuentedeprrafopredeter"/>
    <w:uiPriority w:val="99"/>
    <w:semiHidden/>
    <w:unhideWhenUsed/>
    <w:rsid w:val="004C0BCC"/>
    <w:rPr>
      <w:sz w:val="16"/>
      <w:szCs w:val="16"/>
    </w:rPr>
  </w:style>
  <w:style w:type="paragraph" w:styleId="Textocomentario">
    <w:name w:val="annotation text"/>
    <w:basedOn w:val="Normal"/>
    <w:link w:val="TextocomentarioCar"/>
    <w:uiPriority w:val="99"/>
    <w:semiHidden/>
    <w:unhideWhenUsed/>
    <w:rsid w:val="004C0B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C0BCC"/>
    <w:rPr>
      <w:lang w:eastAsia="en-US"/>
    </w:rPr>
  </w:style>
  <w:style w:type="paragraph" w:styleId="Asuntodelcomentario">
    <w:name w:val="annotation subject"/>
    <w:basedOn w:val="Textocomentario"/>
    <w:next w:val="Textocomentario"/>
    <w:link w:val="AsuntodelcomentarioCar"/>
    <w:uiPriority w:val="99"/>
    <w:semiHidden/>
    <w:unhideWhenUsed/>
    <w:rsid w:val="004C0BCC"/>
    <w:rPr>
      <w:b/>
      <w:bCs/>
    </w:rPr>
  </w:style>
  <w:style w:type="character" w:customStyle="1" w:styleId="AsuntodelcomentarioCar">
    <w:name w:val="Asunto del comentario Car"/>
    <w:basedOn w:val="TextocomentarioCar"/>
    <w:link w:val="Asuntodelcomentario"/>
    <w:uiPriority w:val="99"/>
    <w:semiHidden/>
    <w:rsid w:val="004C0BCC"/>
    <w:rPr>
      <w:b/>
      <w:bCs/>
      <w:lang w:eastAsia="en-US"/>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link w:val="Prrafodelista"/>
    <w:uiPriority w:val="34"/>
    <w:rsid w:val="008E25B3"/>
    <w:rPr>
      <w:rFonts w:ascii="Arial" w:eastAsia="Times New Roman" w:hAnsi="Arial"/>
      <w:sz w:val="24"/>
      <w:lang w:val="es-ES" w:eastAsia="es-ES"/>
    </w:rPr>
  </w:style>
  <w:style w:type="paragraph" w:styleId="Revisin">
    <w:name w:val="Revision"/>
    <w:hidden/>
    <w:uiPriority w:val="99"/>
    <w:semiHidden/>
    <w:rsid w:val="00371986"/>
    <w:rPr>
      <w:sz w:val="22"/>
      <w:szCs w:val="22"/>
      <w:lang w:eastAsia="en-US"/>
    </w:rPr>
  </w:style>
  <w:style w:type="table" w:styleId="Tablaconcuadrcula">
    <w:name w:val="Table Grid"/>
    <w:basedOn w:val="Tablanormal"/>
    <w:uiPriority w:val="39"/>
    <w:rsid w:val="00C06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952C8A"/>
    <w:pPr>
      <w:spacing w:after="0" w:line="240" w:lineRule="auto"/>
      <w:jc w:val="both"/>
    </w:pPr>
    <w:rPr>
      <w:rFonts w:ascii="Arial" w:eastAsia="Times New Roman" w:hAnsi="Arial"/>
      <w:sz w:val="20"/>
      <w:szCs w:val="20"/>
      <w:lang w:val="es-ES" w:eastAsia="es-ES"/>
    </w:rPr>
  </w:style>
  <w:style w:type="character" w:customStyle="1" w:styleId="Textoindependiente3Car">
    <w:name w:val="Texto independiente 3 Car"/>
    <w:basedOn w:val="Fuentedeprrafopredeter"/>
    <w:link w:val="Textoindependiente3"/>
    <w:rsid w:val="00952C8A"/>
    <w:rPr>
      <w:rFonts w:ascii="Arial" w:eastAsia="Times New Roman" w:hAnsi="Arial"/>
      <w:lang w:val="es-ES" w:eastAsia="es-ES"/>
    </w:rPr>
  </w:style>
  <w:style w:type="paragraph" w:styleId="Textonotapie">
    <w:name w:val="footnote text"/>
    <w:basedOn w:val="Normal"/>
    <w:link w:val="TextonotapieCar"/>
    <w:uiPriority w:val="99"/>
    <w:semiHidden/>
    <w:unhideWhenUsed/>
    <w:rsid w:val="00CE5F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E5F91"/>
    <w:rPr>
      <w:lang w:eastAsia="en-US"/>
    </w:rPr>
  </w:style>
  <w:style w:type="character" w:styleId="Refdenotaalpie">
    <w:name w:val="footnote reference"/>
    <w:basedOn w:val="Fuentedeprrafopredeter"/>
    <w:uiPriority w:val="99"/>
    <w:semiHidden/>
    <w:unhideWhenUsed/>
    <w:rsid w:val="00CE5F91"/>
    <w:rPr>
      <w:vertAlign w:val="superscript"/>
    </w:rPr>
  </w:style>
  <w:style w:type="character" w:customStyle="1" w:styleId="Ttulo2Car">
    <w:name w:val="Título 2 Car"/>
    <w:aliases w:val="2TitSec Car"/>
    <w:basedOn w:val="Fuentedeprrafopredeter"/>
    <w:link w:val="Ttulo2"/>
    <w:uiPriority w:val="9"/>
    <w:rsid w:val="001E3E22"/>
    <w:rPr>
      <w:rFonts w:asciiTheme="majorHAnsi" w:eastAsiaTheme="majorEastAsia" w:hAnsiTheme="majorHAnsi" w:cstheme="majorBidi"/>
      <w:color w:val="365F91" w:themeColor="accent1" w:themeShade="BF"/>
      <w:sz w:val="26"/>
      <w:szCs w:val="26"/>
      <w:lang w:eastAsia="en-US"/>
    </w:rPr>
  </w:style>
  <w:style w:type="paragraph" w:styleId="Sinespaciado">
    <w:name w:val="No Spacing"/>
    <w:uiPriority w:val="1"/>
    <w:qFormat/>
    <w:rsid w:val="001E3E22"/>
    <w:rPr>
      <w:sz w:val="22"/>
      <w:szCs w:val="22"/>
      <w:lang w:eastAsia="en-US"/>
    </w:rPr>
  </w:style>
  <w:style w:type="paragraph" w:styleId="Textoindependiente2">
    <w:name w:val="Body Text 2"/>
    <w:basedOn w:val="Normal"/>
    <w:link w:val="Textoindependiente2Car"/>
    <w:uiPriority w:val="99"/>
    <w:unhideWhenUsed/>
    <w:rsid w:val="001E3E22"/>
    <w:pPr>
      <w:spacing w:after="120" w:line="480" w:lineRule="auto"/>
    </w:pPr>
  </w:style>
  <w:style w:type="character" w:customStyle="1" w:styleId="Textoindependiente2Car">
    <w:name w:val="Texto independiente 2 Car"/>
    <w:basedOn w:val="Fuentedeprrafopredeter"/>
    <w:link w:val="Textoindependiente2"/>
    <w:uiPriority w:val="99"/>
    <w:rsid w:val="001E3E22"/>
    <w:rPr>
      <w:sz w:val="22"/>
      <w:szCs w:val="22"/>
      <w:lang w:eastAsia="en-US"/>
    </w:rPr>
  </w:style>
  <w:style w:type="paragraph" w:customStyle="1" w:styleId="1TitPrin">
    <w:name w:val="1TitPrin"/>
    <w:basedOn w:val="Ttulo1"/>
    <w:link w:val="1TitPrinCar"/>
    <w:autoRedefine/>
    <w:qFormat/>
    <w:rsid w:val="00CF6CBD"/>
    <w:pPr>
      <w:keepNext w:val="0"/>
      <w:keepLines w:val="0"/>
      <w:spacing w:before="0" w:afterLines="100" w:after="240" w:line="240" w:lineRule="auto"/>
      <w:jc w:val="both"/>
    </w:pPr>
    <w:rPr>
      <w:rFonts w:ascii="ITC Avant Garde" w:eastAsia="Calibri" w:hAnsi="ITC Avant Garde" w:cs="Arial"/>
      <w:b/>
      <w:color w:val="000000"/>
      <w:sz w:val="22"/>
      <w:szCs w:val="22"/>
      <w:lang w:val="es-ES_tradnl" w:eastAsia="es-ES"/>
    </w:rPr>
  </w:style>
  <w:style w:type="character" w:customStyle="1" w:styleId="1TitPrinCar">
    <w:name w:val="1TitPrin Car"/>
    <w:link w:val="1TitPrin"/>
    <w:rsid w:val="00CF6CBD"/>
    <w:rPr>
      <w:rFonts w:ascii="ITC Avant Garde" w:hAnsi="ITC Avant Garde" w:cs="Arial"/>
      <w:b/>
      <w:color w:val="000000"/>
      <w:sz w:val="22"/>
      <w:szCs w:val="22"/>
      <w:lang w:val="es-ES_tradnl" w:eastAsia="es-ES"/>
    </w:rPr>
  </w:style>
  <w:style w:type="character" w:customStyle="1" w:styleId="Ttulo1Car">
    <w:name w:val="Título 1 Car"/>
    <w:basedOn w:val="Fuentedeprrafopredeter"/>
    <w:link w:val="Ttulo1"/>
    <w:uiPriority w:val="9"/>
    <w:rsid w:val="00CF6CBD"/>
    <w:rPr>
      <w:rFonts w:asciiTheme="majorHAnsi" w:eastAsiaTheme="majorEastAsia" w:hAnsiTheme="majorHAnsi" w:cstheme="majorBidi"/>
      <w:color w:val="365F91" w:themeColor="accent1" w:themeShade="BF"/>
      <w:sz w:val="32"/>
      <w:szCs w:val="32"/>
      <w:lang w:eastAsia="en-US"/>
    </w:rPr>
  </w:style>
  <w:style w:type="paragraph" w:styleId="Textoindependiente">
    <w:name w:val="Body Text"/>
    <w:basedOn w:val="Normal"/>
    <w:link w:val="TextoindependienteCar"/>
    <w:unhideWhenUsed/>
    <w:rsid w:val="0050419A"/>
    <w:pPr>
      <w:spacing w:after="120"/>
    </w:pPr>
  </w:style>
  <w:style w:type="character" w:customStyle="1" w:styleId="TextoindependienteCar">
    <w:name w:val="Texto independiente Car"/>
    <w:basedOn w:val="Fuentedeprrafopredeter"/>
    <w:link w:val="Textoindependiente"/>
    <w:rsid w:val="005041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65209">
      <w:bodyDiv w:val="1"/>
      <w:marLeft w:val="0"/>
      <w:marRight w:val="0"/>
      <w:marTop w:val="0"/>
      <w:marBottom w:val="0"/>
      <w:divBdr>
        <w:top w:val="none" w:sz="0" w:space="0" w:color="auto"/>
        <w:left w:val="none" w:sz="0" w:space="0" w:color="auto"/>
        <w:bottom w:val="none" w:sz="0" w:space="0" w:color="auto"/>
        <w:right w:val="none" w:sz="0" w:space="0" w:color="auto"/>
      </w:divBdr>
    </w:div>
    <w:div w:id="644356059">
      <w:bodyDiv w:val="1"/>
      <w:marLeft w:val="0"/>
      <w:marRight w:val="0"/>
      <w:marTop w:val="0"/>
      <w:marBottom w:val="0"/>
      <w:divBdr>
        <w:top w:val="none" w:sz="0" w:space="0" w:color="auto"/>
        <w:left w:val="none" w:sz="0" w:space="0" w:color="auto"/>
        <w:bottom w:val="none" w:sz="0" w:space="0" w:color="auto"/>
        <w:right w:val="none" w:sz="0" w:space="0" w:color="auto"/>
      </w:divBdr>
    </w:div>
    <w:div w:id="666789632">
      <w:bodyDiv w:val="1"/>
      <w:marLeft w:val="0"/>
      <w:marRight w:val="0"/>
      <w:marTop w:val="0"/>
      <w:marBottom w:val="0"/>
      <w:divBdr>
        <w:top w:val="none" w:sz="0" w:space="0" w:color="auto"/>
        <w:left w:val="none" w:sz="0" w:space="0" w:color="auto"/>
        <w:bottom w:val="none" w:sz="0" w:space="0" w:color="auto"/>
        <w:right w:val="none" w:sz="0" w:space="0" w:color="auto"/>
      </w:divBdr>
    </w:div>
    <w:div w:id="946274640">
      <w:bodyDiv w:val="1"/>
      <w:marLeft w:val="0"/>
      <w:marRight w:val="0"/>
      <w:marTop w:val="0"/>
      <w:marBottom w:val="0"/>
      <w:divBdr>
        <w:top w:val="none" w:sz="0" w:space="0" w:color="auto"/>
        <w:left w:val="none" w:sz="0" w:space="0" w:color="auto"/>
        <w:bottom w:val="none" w:sz="0" w:space="0" w:color="auto"/>
        <w:right w:val="none" w:sz="0" w:space="0" w:color="auto"/>
      </w:divBdr>
    </w:div>
    <w:div w:id="1377319793">
      <w:bodyDiv w:val="1"/>
      <w:marLeft w:val="0"/>
      <w:marRight w:val="0"/>
      <w:marTop w:val="0"/>
      <w:marBottom w:val="0"/>
      <w:divBdr>
        <w:top w:val="none" w:sz="0" w:space="0" w:color="auto"/>
        <w:left w:val="none" w:sz="0" w:space="0" w:color="auto"/>
        <w:bottom w:val="none" w:sz="0" w:space="0" w:color="auto"/>
        <w:right w:val="none" w:sz="0" w:space="0" w:color="auto"/>
      </w:divBdr>
    </w:div>
    <w:div w:id="171148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8CDBD-976C-4198-9E1F-27C49ED78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6429</Words>
  <Characters>35365</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Vicente Alejandro Patiño Ascencio</dc:creator>
  <cp:lastModifiedBy>Maria del Consuelo Gonzalez Moreno</cp:lastModifiedBy>
  <cp:revision>6</cp:revision>
  <cp:lastPrinted>2016-01-12T15:19:00Z</cp:lastPrinted>
  <dcterms:created xsi:type="dcterms:W3CDTF">2017-12-19T15:12:00Z</dcterms:created>
  <dcterms:modified xsi:type="dcterms:W3CDTF">2018-05-23T21:29:00Z</dcterms:modified>
</cp:coreProperties>
</file>