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32C" w:rsidRPr="00F84E30" w:rsidRDefault="00CF132C" w:rsidP="00CF132C">
      <w:pPr>
        <w:pStyle w:val="Ttulo1"/>
        <w:keepNext/>
        <w:keepLines/>
        <w:spacing w:before="40" w:beforeAutospacing="0" w:after="240" w:afterAutospacing="0"/>
        <w:jc w:val="center"/>
        <w:rPr>
          <w:rFonts w:ascii="ITC Avant Garde" w:hAnsi="ITC Avant Garde"/>
          <w:sz w:val="20"/>
          <w:szCs w:val="20"/>
        </w:rPr>
      </w:pPr>
      <w:r w:rsidRPr="00F84E30">
        <w:rPr>
          <w:rFonts w:ascii="ITC Avant Garde" w:hAnsi="ITC Avant Garde"/>
          <w:sz w:val="20"/>
          <w:szCs w:val="20"/>
        </w:rPr>
        <w:t xml:space="preserve">VERSIÓN PÚBLICA DEL ACUERDO </w:t>
      </w:r>
      <w:r w:rsidRPr="00A966B1">
        <w:rPr>
          <w:rFonts w:ascii="ITC Avant Garde" w:hAnsi="ITC Avant Garde"/>
          <w:sz w:val="20"/>
          <w:szCs w:val="20"/>
        </w:rPr>
        <w:t>/IFT/061217/875</w:t>
      </w:r>
    </w:p>
    <w:p w:rsidR="00CF132C" w:rsidRPr="005B4B17" w:rsidRDefault="00CF132C" w:rsidP="00CF132C">
      <w:pPr>
        <w:pStyle w:val="Default"/>
        <w:ind w:right="-94"/>
        <w:jc w:val="center"/>
        <w:rPr>
          <w:rFonts w:ascii="ITC Avant Garde" w:hAnsi="ITC Avant Garde"/>
          <w:b/>
          <w:sz w:val="20"/>
          <w:szCs w:val="20"/>
        </w:rPr>
      </w:pPr>
      <w:r w:rsidRPr="00A02715">
        <w:rPr>
          <w:rFonts w:ascii="ITC Avant Garde" w:eastAsia="Times New Roman" w:hAnsi="ITC Avant Garde"/>
          <w:b/>
          <w:bCs/>
          <w:sz w:val="20"/>
          <w:szCs w:val="20"/>
        </w:rPr>
        <w:t xml:space="preserve">DE LA SESIÓN DEL PLENO DEL INSTITUTO FEDERAL DE TELECOMUNICACIONES </w:t>
      </w:r>
      <w:r>
        <w:rPr>
          <w:rFonts w:ascii="ITC Avant Garde" w:hAnsi="ITC Avant Garde"/>
          <w:b/>
          <w:sz w:val="20"/>
          <w:szCs w:val="20"/>
        </w:rPr>
        <w:t xml:space="preserve">EN SU </w:t>
      </w:r>
      <w:r w:rsidRPr="00A966B1">
        <w:rPr>
          <w:rFonts w:ascii="ITC Avant Garde" w:hAnsi="ITC Avant Garde"/>
          <w:b/>
          <w:sz w:val="20"/>
          <w:szCs w:val="20"/>
        </w:rPr>
        <w:t>LI</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6</w:t>
      </w:r>
      <w:r w:rsidRPr="00BD2557">
        <w:rPr>
          <w:rFonts w:ascii="ITC Avant Garde" w:hAnsi="ITC Avant Garde"/>
          <w:b/>
          <w:sz w:val="20"/>
          <w:szCs w:val="20"/>
        </w:rPr>
        <w:t xml:space="preserve"> DE </w:t>
      </w:r>
      <w:r>
        <w:rPr>
          <w:rFonts w:ascii="ITC Avant Garde" w:hAnsi="ITC Avant Garde"/>
          <w:b/>
          <w:sz w:val="20"/>
          <w:szCs w:val="20"/>
        </w:rPr>
        <w:t>DICIEMBRE</w:t>
      </w:r>
      <w:r w:rsidRPr="00BD2557">
        <w:rPr>
          <w:rFonts w:ascii="ITC Avant Garde" w:hAnsi="ITC Avant Garde"/>
          <w:b/>
          <w:sz w:val="20"/>
          <w:szCs w:val="20"/>
        </w:rPr>
        <w:t xml:space="preserve"> DE 2017</w:t>
      </w:r>
      <w:r>
        <w:rPr>
          <w:rFonts w:ascii="ITC Avant Garde" w:hAnsi="ITC Avant Garde"/>
          <w:b/>
          <w:sz w:val="20"/>
          <w:szCs w:val="20"/>
        </w:rPr>
        <w:t>.</w:t>
      </w:r>
    </w:p>
    <w:p w:rsidR="00CF132C" w:rsidRPr="008E605A" w:rsidRDefault="00CF132C" w:rsidP="00CF132C">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8E605A">
        <w:rPr>
          <w:rFonts w:ascii="ITC Avant Garde" w:eastAsia="Arial" w:hAnsi="ITC Avant Garde" w:cs="Arial"/>
          <w:b/>
          <w:color w:val="000000"/>
          <w:sz w:val="21"/>
          <w:szCs w:val="21"/>
          <w:lang w:eastAsia="es-MX"/>
        </w:rPr>
        <w:t>LEYENDA DE LA CLASIFICACIÓN</w:t>
      </w:r>
    </w:p>
    <w:p w:rsidR="00CF132C" w:rsidRPr="00AD51BC" w:rsidRDefault="00CF132C" w:rsidP="00CF132C">
      <w:pPr>
        <w:pStyle w:val="Textoindependiente"/>
        <w:spacing w:before="240" w:line="240" w:lineRule="auto"/>
        <w:jc w:val="both"/>
        <w:rPr>
          <w:rFonts w:ascii="ITC Avant Garde" w:eastAsia="Times New Roman" w:hAnsi="ITC Avant Garde"/>
          <w:bCs/>
          <w:color w:val="000000"/>
          <w:sz w:val="20"/>
          <w:szCs w:val="20"/>
          <w:lang w:eastAsia="es-MX"/>
        </w:rPr>
      </w:pPr>
      <w:r w:rsidRPr="00AD51BC">
        <w:rPr>
          <w:rFonts w:ascii="ITC Avant Garde" w:eastAsia="Times New Roman" w:hAnsi="ITC Avant Garde"/>
          <w:b/>
          <w:bCs/>
          <w:color w:val="000000"/>
          <w:sz w:val="20"/>
          <w:szCs w:val="20"/>
          <w:lang w:eastAsia="es-MX"/>
        </w:rPr>
        <w:t>Fecha de Clasificación:</w:t>
      </w:r>
      <w:r w:rsidRPr="00AD51BC">
        <w:rPr>
          <w:rFonts w:ascii="ITC Avant Garde" w:eastAsia="Times New Roman" w:hAnsi="ITC Avant Garde"/>
          <w:bCs/>
          <w:color w:val="000000"/>
          <w:sz w:val="20"/>
          <w:szCs w:val="20"/>
          <w:lang w:eastAsia="es-MX"/>
        </w:rPr>
        <w:t xml:space="preserve"> </w:t>
      </w:r>
      <w:r w:rsidRPr="00AD51BC">
        <w:rPr>
          <w:rFonts w:ascii="ITC Avant Garde" w:hAnsi="ITC Avant Garde"/>
          <w:sz w:val="20"/>
          <w:szCs w:val="20"/>
        </w:rPr>
        <w:t>24 de enero de 2018.</w:t>
      </w:r>
    </w:p>
    <w:p w:rsidR="00CF132C" w:rsidRPr="00AD51BC" w:rsidRDefault="00CF132C" w:rsidP="00CF132C">
      <w:pPr>
        <w:pStyle w:val="Textoindependiente"/>
        <w:spacing w:before="240" w:line="240" w:lineRule="auto"/>
        <w:jc w:val="both"/>
        <w:rPr>
          <w:rFonts w:ascii="ITC Avant Garde" w:eastAsia="Times New Roman" w:hAnsi="ITC Avant Garde"/>
          <w:bCs/>
          <w:color w:val="000000"/>
          <w:sz w:val="20"/>
          <w:szCs w:val="20"/>
          <w:lang w:eastAsia="es-MX"/>
        </w:rPr>
      </w:pPr>
      <w:r w:rsidRPr="00AD51BC">
        <w:rPr>
          <w:rFonts w:ascii="ITC Avant Garde" w:eastAsia="Times New Roman" w:hAnsi="ITC Avant Garde"/>
          <w:b/>
          <w:bCs/>
          <w:color w:val="000000"/>
          <w:sz w:val="20"/>
          <w:szCs w:val="20"/>
          <w:lang w:eastAsia="es-MX"/>
        </w:rPr>
        <w:t>Unidad Administrativa:</w:t>
      </w:r>
      <w:r w:rsidRPr="00AD51BC">
        <w:rPr>
          <w:rFonts w:ascii="ITC Avant Garde" w:eastAsia="Times New Roman" w:hAnsi="ITC Avant Garde"/>
          <w:bCs/>
          <w:color w:val="000000"/>
          <w:sz w:val="20"/>
          <w:szCs w:val="20"/>
          <w:lang w:eastAsia="es-MX"/>
        </w:rPr>
        <w:t xml:space="preserve"> </w:t>
      </w:r>
      <w:r w:rsidRPr="00AD51BC">
        <w:rPr>
          <w:rFonts w:ascii="ITC Avant Garde" w:hAnsi="ITC Avant Garde" w:cs="Tahoma"/>
          <w:color w:val="000000"/>
          <w:sz w:val="20"/>
          <w:szCs w:val="20"/>
          <w:lang w:eastAsia="es-MX"/>
        </w:rPr>
        <w:t>Unidad de Cumplimiento.</w:t>
      </w:r>
    </w:p>
    <w:p w:rsidR="00CF132C" w:rsidRPr="00AD51BC" w:rsidRDefault="00CF132C" w:rsidP="00CF132C">
      <w:pPr>
        <w:pStyle w:val="Textoindependiente"/>
        <w:spacing w:before="240" w:line="240" w:lineRule="auto"/>
        <w:jc w:val="both"/>
        <w:rPr>
          <w:rFonts w:ascii="ITC Avant Garde" w:hAnsi="ITC Avant Garde"/>
          <w:sz w:val="20"/>
          <w:szCs w:val="20"/>
        </w:rPr>
      </w:pPr>
      <w:r w:rsidRPr="00AD51BC">
        <w:rPr>
          <w:rFonts w:ascii="ITC Avant Garde" w:eastAsia="Times New Roman" w:hAnsi="ITC Avant Garde"/>
          <w:b/>
          <w:bCs/>
          <w:color w:val="000000"/>
          <w:sz w:val="20"/>
          <w:szCs w:val="20"/>
          <w:lang w:eastAsia="es-MX"/>
        </w:rPr>
        <w:t>Clasificación:</w:t>
      </w:r>
      <w:r w:rsidRPr="00AD51BC">
        <w:rPr>
          <w:rFonts w:ascii="ITC Avant Garde" w:eastAsia="Times New Roman" w:hAnsi="ITC Avant Garde"/>
          <w:bCs/>
          <w:color w:val="000000"/>
          <w:sz w:val="20"/>
          <w:szCs w:val="20"/>
          <w:lang w:eastAsia="es-MX"/>
        </w:rPr>
        <w:t xml:space="preserve"> </w:t>
      </w:r>
      <w:r w:rsidRPr="00AD51BC">
        <w:rPr>
          <w:rFonts w:ascii="ITC Avant Garde" w:hAnsi="ITC Avant Garde" w:cs="Tahoma"/>
          <w:b/>
          <w:color w:val="0000FF"/>
          <w:sz w:val="20"/>
          <w:szCs w:val="20"/>
          <w:lang w:eastAsia="es-MX"/>
        </w:rPr>
        <w:t>Confidencial</w:t>
      </w:r>
      <w:r w:rsidRPr="00AD51BC">
        <w:rPr>
          <w:rFonts w:ascii="ITC Avant Garde" w:hAnsi="ITC Avant Garde" w:cs="Tahoma"/>
          <w:b/>
          <w:color w:val="000000"/>
          <w:sz w:val="20"/>
          <w:szCs w:val="20"/>
          <w:lang w:eastAsia="es-MX"/>
        </w:rPr>
        <w:t xml:space="preserve">, </w:t>
      </w:r>
      <w:r w:rsidRPr="00AD51BC">
        <w:rPr>
          <w:rFonts w:ascii="ITC Avant Garde" w:hAnsi="ITC Avant Garde" w:cs="Tahoma"/>
          <w:color w:val="000000"/>
          <w:sz w:val="20"/>
          <w:szCs w:val="20"/>
          <w:lang w:eastAsia="es-MX"/>
        </w:rPr>
        <w:t xml:space="preserve">conforme a la versión pública elaborada por la Unidad de Cumplimiento y remitida a la Secretaría Técnica del Pleno, mediante correo electrónico de fecha </w:t>
      </w:r>
      <w:r>
        <w:rPr>
          <w:rFonts w:ascii="ITC Avant Garde" w:hAnsi="ITC Avant Garde" w:cs="Tahoma"/>
          <w:color w:val="000000"/>
          <w:sz w:val="20"/>
          <w:szCs w:val="20"/>
          <w:lang w:eastAsia="es-MX"/>
        </w:rPr>
        <w:t>07</w:t>
      </w:r>
      <w:r w:rsidRPr="00A159F6">
        <w:rPr>
          <w:rFonts w:ascii="ITC Avant Garde" w:hAnsi="ITC Avant Garde" w:cs="Tahoma"/>
          <w:color w:val="000000"/>
          <w:sz w:val="20"/>
          <w:szCs w:val="20"/>
          <w:lang w:eastAsia="es-MX"/>
        </w:rPr>
        <w:t xml:space="preserve"> de </w:t>
      </w:r>
      <w:r>
        <w:rPr>
          <w:rFonts w:ascii="ITC Avant Garde" w:hAnsi="ITC Avant Garde" w:cs="Tahoma"/>
          <w:color w:val="000000"/>
          <w:sz w:val="20"/>
          <w:szCs w:val="20"/>
          <w:lang w:eastAsia="es-MX"/>
        </w:rPr>
        <w:t>noviembre</w:t>
      </w:r>
      <w:r w:rsidRPr="00A159F6">
        <w:rPr>
          <w:rFonts w:ascii="ITC Avant Garde" w:hAnsi="ITC Avant Garde" w:cs="Tahoma"/>
          <w:color w:val="000000"/>
          <w:sz w:val="20"/>
          <w:szCs w:val="20"/>
          <w:lang w:eastAsia="es-MX"/>
        </w:rPr>
        <w:t xml:space="preserve"> de 2018</w:t>
      </w:r>
      <w:r w:rsidRPr="00AD51BC">
        <w:rPr>
          <w:rFonts w:ascii="ITC Avant Garde" w:hAnsi="ITC Avant Garde" w:cs="Tahoma"/>
          <w:color w:val="000000"/>
          <w:sz w:val="20"/>
          <w:szCs w:val="20"/>
          <w:lang w:eastAsia="es-MX"/>
        </w:rPr>
        <w:t xml:space="preserve">, de conformidad con los artículos 72, fracción V, inciso c), 98, fracción III y 104 de la Ley Federal de Transparencia y </w:t>
      </w:r>
      <w:r w:rsidRPr="00AD51BC">
        <w:rPr>
          <w:rFonts w:ascii="ITC Avant Garde" w:hAnsi="ITC Avant Garde"/>
          <w:sz w:val="20"/>
          <w:szCs w:val="20"/>
        </w:rPr>
        <w:t>Acceso</w:t>
      </w:r>
      <w:r w:rsidRPr="00AD51BC">
        <w:rPr>
          <w:rFonts w:ascii="ITC Avant Garde" w:hAnsi="ITC Avant Garde" w:cs="Tahoma"/>
          <w:color w:val="000000"/>
          <w:sz w:val="20"/>
          <w:szCs w:val="20"/>
          <w:lang w:eastAsia="es-MX"/>
        </w:rPr>
        <w:t xml:space="preserve">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w:t>
      </w:r>
    </w:p>
    <w:p w:rsidR="00CF132C" w:rsidRPr="00AD51BC" w:rsidRDefault="00CF132C" w:rsidP="00CF132C">
      <w:pPr>
        <w:pStyle w:val="Textoindependiente"/>
        <w:spacing w:before="240" w:line="240" w:lineRule="auto"/>
        <w:jc w:val="both"/>
        <w:rPr>
          <w:rFonts w:ascii="ITC Avant Garde" w:eastAsia="Times New Roman" w:hAnsi="ITC Avant Garde"/>
          <w:bCs/>
          <w:color w:val="000000"/>
          <w:sz w:val="20"/>
          <w:szCs w:val="20"/>
          <w:lang w:eastAsia="es-MX"/>
        </w:rPr>
      </w:pPr>
      <w:r w:rsidRPr="00AD51BC">
        <w:rPr>
          <w:rFonts w:ascii="ITC Avant Garde" w:eastAsia="Times New Roman" w:hAnsi="ITC Avant Garde"/>
          <w:b/>
          <w:bCs/>
          <w:color w:val="000000"/>
          <w:sz w:val="20"/>
          <w:szCs w:val="20"/>
          <w:lang w:eastAsia="es-MX"/>
        </w:rPr>
        <w:t>Núm. de Resolución:</w:t>
      </w:r>
      <w:r w:rsidRPr="00AD51BC">
        <w:rPr>
          <w:rFonts w:ascii="ITC Avant Garde" w:eastAsia="Times New Roman" w:hAnsi="ITC Avant Garde"/>
          <w:bCs/>
          <w:color w:val="000000"/>
          <w:sz w:val="20"/>
          <w:szCs w:val="20"/>
          <w:lang w:eastAsia="es-MX"/>
        </w:rPr>
        <w:t xml:space="preserve"> </w:t>
      </w:r>
      <w:r w:rsidRPr="00AD51BC">
        <w:rPr>
          <w:rFonts w:ascii="ITC Avant Garde" w:hAnsi="ITC Avant Garde"/>
          <w:sz w:val="20"/>
          <w:szCs w:val="20"/>
        </w:rPr>
        <w:t>P/IFT/061217/875.</w:t>
      </w:r>
    </w:p>
    <w:p w:rsidR="00CF132C" w:rsidRPr="00AD51BC" w:rsidRDefault="00CF132C" w:rsidP="00CF132C">
      <w:pPr>
        <w:pStyle w:val="Textoindependiente"/>
        <w:spacing w:before="240" w:line="240" w:lineRule="auto"/>
        <w:jc w:val="both"/>
        <w:rPr>
          <w:rFonts w:ascii="ITC Avant Garde" w:eastAsia="Times New Roman" w:hAnsi="ITC Avant Garde"/>
          <w:bCs/>
          <w:color w:val="000000"/>
          <w:sz w:val="20"/>
          <w:szCs w:val="20"/>
          <w:lang w:eastAsia="es-MX"/>
        </w:rPr>
      </w:pPr>
      <w:r w:rsidRPr="00AD51BC">
        <w:rPr>
          <w:rFonts w:ascii="ITC Avant Garde" w:eastAsia="Times New Roman" w:hAnsi="ITC Avant Garde"/>
          <w:b/>
          <w:bCs/>
          <w:color w:val="000000"/>
          <w:sz w:val="20"/>
          <w:szCs w:val="20"/>
          <w:lang w:eastAsia="es-MX"/>
        </w:rPr>
        <w:t>Descripción del asunto:</w:t>
      </w:r>
      <w:r w:rsidRPr="00AD51BC">
        <w:rPr>
          <w:rFonts w:ascii="ITC Avant Garde" w:eastAsia="Times New Roman" w:hAnsi="ITC Avant Garde"/>
          <w:bCs/>
          <w:color w:val="000000"/>
          <w:sz w:val="20"/>
          <w:szCs w:val="20"/>
          <w:lang w:eastAsia="es-MX"/>
        </w:rPr>
        <w:t xml:space="preserve"> </w:t>
      </w:r>
      <w:r w:rsidRPr="00AD51BC">
        <w:rPr>
          <w:rFonts w:ascii="ITC Avant Garde" w:hAnsi="ITC Avant Garde"/>
          <w:sz w:val="20"/>
          <w:szCs w:val="20"/>
        </w:rPr>
        <w:t xml:space="preserve">Acuerdo mediante el cual el Pleno del Instituto Federal de Telecomunicaciones declara insubsistente la “Resolución mediante la cual el Pleno del Instituto Federal de Telecomunicaciones impone una multa, derivado del procedimiento sancionatorio iniciado en contra de Televisión Internacional, S.A. de C.V. por incumplir con lo establecido en el artículo 12 de los Lineamientos y las modificaciones a los Lineamientos, en relación con el listado y la actualización del listado, toda vez que dicha concesionaria no retransmitía al momento en que se llevó a cabo la visita de verificación el canal </w:t>
      </w:r>
      <w:proofErr w:type="spellStart"/>
      <w:r w:rsidRPr="00AD51BC">
        <w:rPr>
          <w:rFonts w:ascii="ITC Avant Garde" w:hAnsi="ITC Avant Garde"/>
          <w:sz w:val="20"/>
          <w:szCs w:val="20"/>
        </w:rPr>
        <w:t>multiprogramado</w:t>
      </w:r>
      <w:proofErr w:type="spellEnd"/>
      <w:r w:rsidRPr="00AD51BC">
        <w:rPr>
          <w:rFonts w:ascii="ITC Avant Garde" w:hAnsi="ITC Avant Garde"/>
          <w:sz w:val="20"/>
          <w:szCs w:val="20"/>
        </w:rPr>
        <w:t xml:space="preserve"> 11.2 del Instituto Politécnico Nacional identificado como Once Niños”, aprobada en la XXVI Sesión Ordinaria celebrada el veintitrés de agosto de dos mil dieciséis, así como el procedimiento sancionatorio del cual derivó la misma.</w:t>
      </w:r>
    </w:p>
    <w:p w:rsidR="00CF132C" w:rsidRPr="00AD51BC" w:rsidRDefault="00CF132C" w:rsidP="00CF132C">
      <w:pPr>
        <w:pStyle w:val="Textoindependiente"/>
        <w:spacing w:before="240" w:line="240" w:lineRule="auto"/>
        <w:jc w:val="both"/>
        <w:rPr>
          <w:rFonts w:ascii="ITC Avant Garde" w:hAnsi="ITC Avant Garde"/>
          <w:sz w:val="20"/>
          <w:szCs w:val="20"/>
        </w:rPr>
      </w:pPr>
      <w:r w:rsidRPr="00AD51BC">
        <w:rPr>
          <w:rFonts w:ascii="ITC Avant Garde" w:eastAsia="Times New Roman" w:hAnsi="ITC Avant Garde"/>
          <w:b/>
          <w:bCs/>
          <w:color w:val="000000"/>
          <w:sz w:val="20"/>
          <w:szCs w:val="20"/>
          <w:lang w:eastAsia="es-MX"/>
        </w:rPr>
        <w:t>Fundamento legal:</w:t>
      </w:r>
      <w:r w:rsidRPr="00AD51BC">
        <w:rPr>
          <w:rFonts w:ascii="ITC Avant Garde" w:eastAsia="Times New Roman" w:hAnsi="ITC Avant Garde"/>
          <w:bCs/>
          <w:color w:val="000000"/>
          <w:sz w:val="20"/>
          <w:szCs w:val="20"/>
          <w:lang w:eastAsia="es-MX"/>
        </w:rPr>
        <w:t xml:space="preserve"> </w:t>
      </w:r>
      <w:r w:rsidRPr="00AD51BC">
        <w:rPr>
          <w:rFonts w:ascii="ITC Avant Garde" w:hAnsi="ITC Avant Garde"/>
          <w:sz w:val="20"/>
          <w:szCs w:val="20"/>
        </w:rPr>
        <w:t xml:space="preserve">Confidencial </w:t>
      </w:r>
      <w:r w:rsidRPr="004808F7">
        <w:rPr>
          <w:rFonts w:ascii="ITC Avant Garde" w:hAnsi="ITC Avant Garde"/>
          <w:sz w:val="18"/>
          <w:szCs w:val="18"/>
        </w:rPr>
        <w:t xml:space="preserve">con fundamento </w:t>
      </w:r>
      <w:r>
        <w:rPr>
          <w:rFonts w:ascii="ITC Avant Garde" w:hAnsi="ITC Avant Garde"/>
          <w:sz w:val="18"/>
          <w:szCs w:val="18"/>
        </w:rPr>
        <w:t xml:space="preserve">en el artículo 116 de la </w:t>
      </w:r>
      <w:r w:rsidRPr="00C13A1F">
        <w:rPr>
          <w:rFonts w:ascii="ITC Avant Garde" w:hAnsi="ITC Avant Garde" w:cs="Tahoma"/>
          <w:color w:val="000000"/>
          <w:sz w:val="18"/>
          <w:szCs w:val="18"/>
          <w:lang w:eastAsia="es-MX"/>
        </w:rPr>
        <w:t>"LGTAIP”</w:t>
      </w:r>
      <w:r w:rsidRPr="00C13A1F">
        <w:rPr>
          <w:rFonts w:ascii="ITC Avant Garde" w:hAnsi="ITC Avant Garde"/>
          <w:sz w:val="18"/>
          <w:szCs w:val="18"/>
        </w:rPr>
        <w:t xml:space="preserve"> </w:t>
      </w:r>
      <w:r w:rsidRPr="004808F7">
        <w:rPr>
          <w:rFonts w:ascii="ITC Avant Garde" w:hAnsi="ITC Avant Garde"/>
          <w:sz w:val="18"/>
          <w:szCs w:val="18"/>
        </w:rPr>
        <w:t xml:space="preserve">publicado en el DOF el </w:t>
      </w:r>
      <w:r>
        <w:rPr>
          <w:rFonts w:ascii="ITC Avant Garde" w:hAnsi="ITC Avant Garde"/>
          <w:sz w:val="18"/>
          <w:szCs w:val="18"/>
        </w:rPr>
        <w:t>04</w:t>
      </w:r>
      <w:r w:rsidRPr="004808F7">
        <w:rPr>
          <w:rFonts w:ascii="ITC Avant Garde" w:hAnsi="ITC Avant Garde"/>
          <w:sz w:val="18"/>
          <w:szCs w:val="18"/>
        </w:rPr>
        <w:t xml:space="preserve"> de </w:t>
      </w:r>
      <w:r>
        <w:rPr>
          <w:rFonts w:ascii="ITC Avant Garde" w:hAnsi="ITC Avant Garde"/>
          <w:sz w:val="18"/>
          <w:szCs w:val="18"/>
        </w:rPr>
        <w:t>mayo</w:t>
      </w:r>
      <w:r w:rsidRPr="004808F7">
        <w:rPr>
          <w:rFonts w:ascii="ITC Avant Garde" w:hAnsi="ITC Avant Garde"/>
          <w:sz w:val="18"/>
          <w:szCs w:val="18"/>
        </w:rPr>
        <w:t xml:space="preserve"> de 201</w:t>
      </w:r>
      <w:r>
        <w:rPr>
          <w:rFonts w:ascii="ITC Avant Garde" w:hAnsi="ITC Avant Garde"/>
          <w:sz w:val="18"/>
          <w:szCs w:val="18"/>
        </w:rPr>
        <w:t>5</w:t>
      </w:r>
      <w:r w:rsidRPr="00C13A1F">
        <w:rPr>
          <w:rFonts w:ascii="ITC Avant Garde" w:hAnsi="ITC Avant Garde"/>
          <w:sz w:val="18"/>
          <w:szCs w:val="18"/>
        </w:rPr>
        <w:t xml:space="preserve">; 113 fracción I de la </w:t>
      </w:r>
      <w:r w:rsidRPr="00C13A1F">
        <w:rPr>
          <w:rFonts w:ascii="ITC Avant Garde" w:hAnsi="ITC Avant Garde" w:cs="Tahoma"/>
          <w:color w:val="000000"/>
          <w:sz w:val="18"/>
          <w:szCs w:val="18"/>
          <w:lang w:eastAsia="es-MX"/>
        </w:rPr>
        <w:t>“LFTAIP”</w:t>
      </w:r>
      <w:r w:rsidRPr="00C13A1F">
        <w:rPr>
          <w:rFonts w:ascii="ITC Avant Garde" w:hAnsi="ITC Avant Garde"/>
          <w:sz w:val="18"/>
          <w:szCs w:val="18"/>
        </w:rPr>
        <w:t xml:space="preserve"> </w:t>
      </w:r>
      <w:r w:rsidRPr="004808F7">
        <w:rPr>
          <w:rFonts w:ascii="ITC Avant Garde" w:hAnsi="ITC Avant Garde"/>
          <w:sz w:val="18"/>
          <w:szCs w:val="18"/>
        </w:rPr>
        <w:t>publicado e</w:t>
      </w:r>
      <w:r>
        <w:rPr>
          <w:rFonts w:ascii="ITC Avant Garde" w:hAnsi="ITC Avant Garde"/>
          <w:sz w:val="18"/>
          <w:szCs w:val="18"/>
        </w:rPr>
        <w:t>n el DOF el 09 de mayo de 2016</w:t>
      </w:r>
      <w:r w:rsidRPr="00C13A1F">
        <w:rPr>
          <w:rFonts w:ascii="ITC Avant Garde" w:hAnsi="ITC Avant Garde" w:cs="Tahoma"/>
          <w:color w:val="000000"/>
          <w:sz w:val="18"/>
          <w:szCs w:val="18"/>
          <w:lang w:eastAsia="es-MX"/>
        </w:rPr>
        <w:t xml:space="preserve">; </w:t>
      </w:r>
      <w:r>
        <w:rPr>
          <w:rFonts w:ascii="ITC Avant Garde" w:hAnsi="ITC Avant Garde"/>
          <w:sz w:val="18"/>
          <w:szCs w:val="18"/>
        </w:rPr>
        <w:t>así como el</w:t>
      </w:r>
      <w:r w:rsidRPr="004808F7">
        <w:rPr>
          <w:rFonts w:ascii="ITC Avant Garde" w:hAnsi="ITC Avant Garde"/>
          <w:sz w:val="18"/>
          <w:szCs w:val="18"/>
        </w:rPr>
        <w:t xml:space="preserve"> Lineamiento Trigésimo Octavo, fracción </w:t>
      </w:r>
      <w:r>
        <w:rPr>
          <w:rFonts w:ascii="ITC Avant Garde" w:hAnsi="ITC Avant Garde"/>
          <w:sz w:val="18"/>
          <w:szCs w:val="18"/>
        </w:rPr>
        <w:t>I</w:t>
      </w:r>
      <w:r w:rsidRPr="004808F7">
        <w:rPr>
          <w:rFonts w:ascii="ITC Avant Garde" w:hAnsi="ITC Avant Garde"/>
          <w:sz w:val="18"/>
          <w:szCs w:val="18"/>
        </w:rPr>
        <w:t xml:space="preserve"> de los “LCCDIEVP”, publicado e</w:t>
      </w:r>
      <w:r>
        <w:rPr>
          <w:rFonts w:ascii="ITC Avant Garde" w:hAnsi="ITC Avant Garde"/>
          <w:sz w:val="18"/>
          <w:szCs w:val="18"/>
        </w:rPr>
        <w:t>n el DOF el 15 de abril de 2016</w:t>
      </w:r>
      <w:r w:rsidRPr="00AD51BC">
        <w:rPr>
          <w:rFonts w:ascii="ITC Avant Garde" w:hAnsi="ITC Avant Garde"/>
          <w:sz w:val="20"/>
          <w:szCs w:val="20"/>
        </w:rPr>
        <w:t>.</w:t>
      </w:r>
    </w:p>
    <w:p w:rsidR="00CF132C" w:rsidRPr="00AD51BC" w:rsidRDefault="00CF132C" w:rsidP="00CF132C">
      <w:pPr>
        <w:pStyle w:val="Textoindependiente"/>
        <w:spacing w:before="240" w:line="240" w:lineRule="auto"/>
        <w:jc w:val="both"/>
        <w:rPr>
          <w:rFonts w:ascii="ITC Avant Garde" w:eastAsia="Times New Roman" w:hAnsi="ITC Avant Garde"/>
          <w:bCs/>
          <w:color w:val="000000"/>
          <w:sz w:val="20"/>
          <w:szCs w:val="20"/>
          <w:lang w:eastAsia="es-MX"/>
        </w:rPr>
      </w:pPr>
      <w:r w:rsidRPr="00AD51BC">
        <w:rPr>
          <w:rFonts w:ascii="ITC Avant Garde" w:eastAsia="Times New Roman" w:hAnsi="ITC Avant Garde"/>
          <w:b/>
          <w:bCs/>
          <w:color w:val="000000"/>
          <w:sz w:val="20"/>
          <w:szCs w:val="20"/>
          <w:lang w:eastAsia="es-MX"/>
        </w:rPr>
        <w:t>Motivación:</w:t>
      </w:r>
      <w:r w:rsidRPr="00AD51BC">
        <w:rPr>
          <w:rFonts w:ascii="ITC Avant Garde" w:eastAsia="Times New Roman" w:hAnsi="ITC Avant Garde"/>
          <w:bCs/>
          <w:color w:val="000000"/>
          <w:sz w:val="20"/>
          <w:szCs w:val="20"/>
          <w:lang w:eastAsia="es-MX"/>
        </w:rPr>
        <w:t xml:space="preserve"> </w:t>
      </w:r>
      <w:r w:rsidRPr="00AD51BC">
        <w:rPr>
          <w:rFonts w:ascii="ITC Avant Garde" w:hAnsi="ITC Avant Garde"/>
          <w:sz w:val="20"/>
          <w:szCs w:val="20"/>
        </w:rPr>
        <w:t xml:space="preserve">Contiene información </w:t>
      </w:r>
      <w:r>
        <w:rPr>
          <w:rFonts w:ascii="ITC Avant Garde" w:hAnsi="ITC Avant Garde"/>
          <w:sz w:val="18"/>
          <w:szCs w:val="18"/>
        </w:rPr>
        <w:t>que,</w:t>
      </w:r>
      <w:r>
        <w:rPr>
          <w:rFonts w:ascii="ITC Avant Garde" w:hAnsi="ITC Avant Garde"/>
          <w:sz w:val="18"/>
          <w:szCs w:val="18"/>
        </w:rPr>
        <w:t xml:space="preserve"> de hacerse pública, permitiría calcular los ingresos de </w:t>
      </w:r>
      <w:r>
        <w:rPr>
          <w:rFonts w:ascii="ITC Avant Garde" w:hAnsi="ITC Avant Garde"/>
          <w:sz w:val="18"/>
          <w:szCs w:val="18"/>
        </w:rPr>
        <w:t>una persona moral.</w:t>
      </w:r>
    </w:p>
    <w:p w:rsidR="00CF132C" w:rsidRPr="00AD51BC" w:rsidRDefault="00CF132C" w:rsidP="00CF132C">
      <w:pPr>
        <w:pStyle w:val="Textoindependiente"/>
        <w:spacing w:before="240" w:line="240" w:lineRule="auto"/>
        <w:jc w:val="both"/>
        <w:rPr>
          <w:rFonts w:ascii="ITC Avant Garde" w:eastAsia="Times New Roman" w:hAnsi="ITC Avant Garde"/>
          <w:bCs/>
          <w:color w:val="000000"/>
          <w:sz w:val="20"/>
          <w:szCs w:val="20"/>
          <w:lang w:eastAsia="es-MX"/>
        </w:rPr>
      </w:pPr>
      <w:r w:rsidRPr="00AD51BC">
        <w:rPr>
          <w:rFonts w:ascii="ITC Avant Garde" w:eastAsia="Times New Roman" w:hAnsi="ITC Avant Garde"/>
          <w:b/>
          <w:bCs/>
          <w:color w:val="000000"/>
          <w:sz w:val="20"/>
          <w:szCs w:val="20"/>
          <w:lang w:eastAsia="es-MX"/>
        </w:rPr>
        <w:t>Secciones clasificadas:</w:t>
      </w:r>
      <w:r w:rsidRPr="00AD51BC">
        <w:rPr>
          <w:rFonts w:ascii="ITC Avant Garde" w:eastAsia="Times New Roman" w:hAnsi="ITC Avant Garde"/>
          <w:bCs/>
          <w:color w:val="000000"/>
          <w:sz w:val="20"/>
          <w:szCs w:val="20"/>
          <w:lang w:eastAsia="es-MX"/>
        </w:rPr>
        <w:t xml:space="preserve"> Las secciones marcadas en color azul con la inscripción que dice </w:t>
      </w:r>
      <w:r w:rsidRPr="00AD51BC">
        <w:rPr>
          <w:rFonts w:ascii="ITC Avant Garde" w:eastAsia="Times New Roman" w:hAnsi="ITC Avant Garde"/>
          <w:b/>
          <w:bCs/>
          <w:color w:val="0000CC"/>
          <w:sz w:val="20"/>
          <w:szCs w:val="20"/>
          <w:lang w:eastAsia="es-MX"/>
        </w:rPr>
        <w:t>“CONFIDENCIAL POR LEY”</w:t>
      </w:r>
      <w:r w:rsidRPr="00AD51BC">
        <w:rPr>
          <w:rFonts w:ascii="ITC Avant Garde" w:eastAsia="Times New Roman" w:hAnsi="ITC Avant Garde"/>
          <w:bCs/>
          <w:color w:val="000000"/>
          <w:sz w:val="20"/>
          <w:szCs w:val="20"/>
          <w:lang w:eastAsia="es-MX"/>
        </w:rPr>
        <w:t>.</w:t>
      </w:r>
    </w:p>
    <w:p w:rsidR="00CF132C" w:rsidRDefault="00CF132C" w:rsidP="00CF132C">
      <w:pPr>
        <w:pStyle w:val="Ttulo1"/>
        <w:ind w:right="4869"/>
        <w:jc w:val="both"/>
        <w:rPr>
          <w:rFonts w:ascii="ITC Avant Garde" w:hAnsi="ITC Avant Garde"/>
          <w:sz w:val="20"/>
          <w:szCs w:val="20"/>
        </w:rPr>
        <w:sectPr w:rsidR="00CF132C" w:rsidSect="007A6223">
          <w:headerReference w:type="even" r:id="rId8"/>
          <w:headerReference w:type="first" r:id="rId9"/>
          <w:pgSz w:w="12240" w:h="15840"/>
          <w:pgMar w:top="1985" w:right="1418" w:bottom="1418" w:left="1418" w:header="709" w:footer="544" w:gutter="0"/>
          <w:cols w:space="708"/>
          <w:docGrid w:linePitch="360"/>
        </w:sectPr>
      </w:pPr>
      <w:r w:rsidRPr="00AD51BC">
        <w:rPr>
          <w:rFonts w:ascii="ITC Avant Garde" w:hAnsi="ITC Avant Garde"/>
          <w:sz w:val="20"/>
          <w:szCs w:val="20"/>
        </w:rPr>
        <w:t>Fin de la leyenda.</w:t>
      </w:r>
      <w:bookmarkStart w:id="0" w:name="_GoBack"/>
      <w:bookmarkEnd w:id="0"/>
    </w:p>
    <w:p w:rsidR="00D946DB" w:rsidRPr="005B6852" w:rsidRDefault="00D946DB" w:rsidP="00CF132C">
      <w:pPr>
        <w:pStyle w:val="Ttulo1"/>
        <w:ind w:right="4869"/>
        <w:jc w:val="both"/>
        <w:rPr>
          <w:rFonts w:ascii="ITC Avant Garde" w:hAnsi="ITC Avant Garde"/>
          <w:sz w:val="22"/>
        </w:rPr>
      </w:pPr>
      <w:r w:rsidRPr="005B6852">
        <w:rPr>
          <w:rFonts w:ascii="ITC Avant Garde" w:hAnsi="ITC Avant Garde"/>
          <w:sz w:val="22"/>
        </w:rPr>
        <w:lastRenderedPageBreak/>
        <w:t xml:space="preserve">TELEVISIÓN INTERNACIONAL, S.A. DE C.V. </w:t>
      </w:r>
    </w:p>
    <w:p w:rsidR="005B6852" w:rsidRDefault="00D946DB" w:rsidP="00D946DB">
      <w:pPr>
        <w:pStyle w:val="Textoindependiente"/>
        <w:spacing w:after="0" w:line="240" w:lineRule="atLeast"/>
        <w:ind w:right="2977"/>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Javier Barros Sierra</w:t>
      </w:r>
      <w:r w:rsidRPr="00BE2A5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Número 540, Torre Park Plaza 2, Planta Baja, Colonia Santa Fe, </w:t>
      </w:r>
      <w:r w:rsidRPr="00BE2A5B">
        <w:rPr>
          <w:rFonts w:ascii="ITC Avant Garde" w:eastAsia="Times New Roman" w:hAnsi="ITC Avant Garde"/>
          <w:bCs/>
          <w:color w:val="000000"/>
          <w:lang w:eastAsia="es-MX"/>
        </w:rPr>
        <w:t>C.P. 0</w:t>
      </w:r>
      <w:r>
        <w:rPr>
          <w:rFonts w:ascii="ITC Avant Garde" w:eastAsia="Times New Roman" w:hAnsi="ITC Avant Garde"/>
          <w:bCs/>
          <w:color w:val="000000"/>
          <w:lang w:eastAsia="es-MX"/>
        </w:rPr>
        <w:t>12</w:t>
      </w:r>
      <w:r w:rsidRPr="00BE2A5B">
        <w:rPr>
          <w:rFonts w:ascii="ITC Avant Garde" w:eastAsia="Times New Roman" w:hAnsi="ITC Avant Garde"/>
          <w:bCs/>
          <w:color w:val="000000"/>
          <w:lang w:eastAsia="es-MX"/>
        </w:rPr>
        <w:t xml:space="preserve">10, </w:t>
      </w:r>
      <w:r>
        <w:rPr>
          <w:rFonts w:ascii="ITC Avant Garde" w:eastAsia="Times New Roman" w:hAnsi="ITC Avant Garde"/>
          <w:bCs/>
          <w:color w:val="000000"/>
          <w:lang w:eastAsia="es-MX"/>
        </w:rPr>
        <w:t xml:space="preserve">Delegación Álvaro Obregón, </w:t>
      </w:r>
      <w:r w:rsidRPr="00BE2A5B">
        <w:rPr>
          <w:rFonts w:ascii="ITC Avant Garde" w:eastAsia="Times New Roman" w:hAnsi="ITC Avant Garde"/>
          <w:bCs/>
          <w:color w:val="000000"/>
          <w:lang w:eastAsia="es-MX"/>
        </w:rPr>
        <w:t>Ciudad de México.</w:t>
      </w:r>
    </w:p>
    <w:p w:rsidR="007A6223" w:rsidRDefault="000903C8" w:rsidP="001228DB">
      <w:pPr>
        <w:pStyle w:val="Textoindependiente"/>
        <w:spacing w:after="0" w:line="360" w:lineRule="auto"/>
        <w:jc w:val="both"/>
        <w:rPr>
          <w:rFonts w:ascii="ITC Avant Garde" w:hAnsi="ITC Avant Garde"/>
          <w:b/>
        </w:rPr>
        <w:sectPr w:rsidR="007A6223" w:rsidSect="00CF132C">
          <w:headerReference w:type="default" r:id="rId10"/>
          <w:footerReference w:type="default" r:id="rId11"/>
          <w:pgSz w:w="12240" w:h="15840"/>
          <w:pgMar w:top="1985" w:right="1418" w:bottom="1418" w:left="1418" w:header="709" w:footer="544" w:gutter="0"/>
          <w:pgNumType w:start="1"/>
          <w:cols w:space="708"/>
          <w:docGrid w:linePitch="360"/>
        </w:sectPr>
      </w:pPr>
      <w:r w:rsidRPr="001D09BA">
        <w:rPr>
          <w:rFonts w:ascii="ITC Avant Garde" w:eastAsia="Times New Roman" w:hAnsi="ITC Avant Garde"/>
          <w:b/>
          <w:bCs/>
          <w:lang w:eastAsia="es-MX"/>
        </w:rPr>
        <w:t xml:space="preserve">Ciudad de México a </w:t>
      </w:r>
      <w:r w:rsidR="00A64F79">
        <w:rPr>
          <w:rFonts w:ascii="ITC Avant Garde" w:eastAsia="Times New Roman" w:hAnsi="ITC Avant Garde"/>
          <w:b/>
          <w:bCs/>
          <w:lang w:eastAsia="es-MX"/>
        </w:rPr>
        <w:t xml:space="preserve">seis </w:t>
      </w:r>
      <w:r w:rsidR="001228DB">
        <w:rPr>
          <w:rFonts w:ascii="ITC Avant Garde" w:eastAsia="Times New Roman" w:hAnsi="ITC Avant Garde"/>
          <w:b/>
          <w:bCs/>
          <w:lang w:eastAsia="es-MX"/>
        </w:rPr>
        <w:t xml:space="preserve">de </w:t>
      </w:r>
      <w:r w:rsidR="00D946DB">
        <w:rPr>
          <w:rFonts w:ascii="ITC Avant Garde" w:eastAsia="Times New Roman" w:hAnsi="ITC Avant Garde"/>
          <w:b/>
          <w:bCs/>
          <w:lang w:eastAsia="es-MX"/>
        </w:rPr>
        <w:t>diciembre</w:t>
      </w:r>
      <w:r w:rsidR="00507B0F">
        <w:rPr>
          <w:rFonts w:ascii="ITC Avant Garde" w:eastAsia="Times New Roman" w:hAnsi="ITC Avant Garde"/>
          <w:b/>
          <w:bCs/>
          <w:lang w:eastAsia="es-MX"/>
        </w:rPr>
        <w:t xml:space="preserve"> </w:t>
      </w:r>
      <w:r w:rsidR="00152CDF">
        <w:rPr>
          <w:rFonts w:ascii="ITC Avant Garde" w:eastAsia="Times New Roman" w:hAnsi="ITC Avant Garde"/>
          <w:b/>
          <w:bCs/>
          <w:lang w:eastAsia="es-MX"/>
        </w:rPr>
        <w:t xml:space="preserve">de dos </w:t>
      </w:r>
      <w:r w:rsidRPr="001D09BA">
        <w:rPr>
          <w:rFonts w:ascii="ITC Avant Garde" w:eastAsia="Times New Roman" w:hAnsi="ITC Avant Garde"/>
          <w:b/>
          <w:bCs/>
          <w:lang w:eastAsia="es-MX"/>
        </w:rPr>
        <w:t>mil diecis</w:t>
      </w:r>
      <w:r w:rsidR="00152CDF">
        <w:rPr>
          <w:rFonts w:ascii="ITC Avant Garde" w:eastAsia="Times New Roman" w:hAnsi="ITC Avant Garde"/>
          <w:b/>
          <w:bCs/>
          <w:lang w:eastAsia="es-MX"/>
        </w:rPr>
        <w:t>iete</w:t>
      </w:r>
      <w:r w:rsidRPr="001D09BA">
        <w:rPr>
          <w:rFonts w:ascii="ITC Avant Garde" w:eastAsia="Times New Roman" w:hAnsi="ITC Avant Garde"/>
          <w:b/>
          <w:bCs/>
          <w:lang w:eastAsia="es-MX"/>
        </w:rPr>
        <w:t>.-</w:t>
      </w:r>
      <w:r w:rsidRPr="001D09BA">
        <w:rPr>
          <w:rFonts w:ascii="ITC Avant Garde" w:eastAsia="Times New Roman" w:hAnsi="ITC Avant Garde"/>
          <w:bCs/>
          <w:lang w:eastAsia="es-MX"/>
        </w:rPr>
        <w:t xml:space="preserve"> </w:t>
      </w:r>
      <w:r w:rsidR="001228DB" w:rsidRPr="00F82378">
        <w:rPr>
          <w:rFonts w:ascii="ITC Avant Garde" w:eastAsia="Times New Roman" w:hAnsi="ITC Avant Garde"/>
          <w:bCs/>
          <w:color w:val="000000"/>
          <w:lang w:eastAsia="es-MX"/>
        </w:rPr>
        <w:t>Vista</w:t>
      </w:r>
      <w:r w:rsidR="001228DB">
        <w:rPr>
          <w:rFonts w:ascii="ITC Avant Garde" w:eastAsia="Times New Roman" w:hAnsi="ITC Avant Garde"/>
          <w:bCs/>
          <w:color w:val="000000"/>
          <w:lang w:eastAsia="es-MX"/>
        </w:rPr>
        <w:t xml:space="preserve"> la </w:t>
      </w:r>
      <w:r w:rsidR="001D700F">
        <w:rPr>
          <w:rFonts w:ascii="ITC Avant Garde" w:eastAsia="Times New Roman" w:hAnsi="ITC Avant Garde"/>
          <w:bCs/>
          <w:color w:val="000000"/>
          <w:lang w:eastAsia="es-MX"/>
        </w:rPr>
        <w:t>ejecutoria</w:t>
      </w:r>
      <w:r w:rsidR="00D946DB">
        <w:rPr>
          <w:rFonts w:ascii="ITC Avant Garde" w:eastAsia="Times New Roman" w:hAnsi="ITC Avant Garde"/>
          <w:bCs/>
          <w:color w:val="000000"/>
          <w:lang w:eastAsia="es-MX"/>
        </w:rPr>
        <w:t xml:space="preserve"> </w:t>
      </w:r>
      <w:r w:rsidR="00C628E7">
        <w:rPr>
          <w:rFonts w:ascii="ITC Avant Garde" w:eastAsia="Times New Roman" w:hAnsi="ITC Avant Garde"/>
          <w:bCs/>
          <w:color w:val="000000"/>
          <w:lang w:eastAsia="es-MX"/>
        </w:rPr>
        <w:t xml:space="preserve">de </w:t>
      </w:r>
      <w:r w:rsidR="00D946DB">
        <w:rPr>
          <w:rFonts w:ascii="ITC Avant Garde" w:eastAsia="Times New Roman" w:hAnsi="ITC Avant Garde"/>
          <w:bCs/>
          <w:color w:val="000000"/>
          <w:lang w:eastAsia="es-MX"/>
        </w:rPr>
        <w:t xml:space="preserve">veinticinco de octubre de dos mil diecisiete </w:t>
      </w:r>
      <w:r w:rsidR="00D946DB" w:rsidRPr="00F82378">
        <w:rPr>
          <w:rFonts w:ascii="ITC Avant Garde" w:eastAsia="Times New Roman" w:hAnsi="ITC Avant Garde"/>
          <w:bCs/>
          <w:color w:val="000000"/>
          <w:lang w:eastAsia="es-MX"/>
        </w:rPr>
        <w:t xml:space="preserve">dictada por </w:t>
      </w:r>
      <w:r w:rsidR="00D946DB">
        <w:rPr>
          <w:rFonts w:ascii="ITC Avant Garde" w:eastAsia="Times New Roman" w:hAnsi="ITC Avant Garde"/>
          <w:bCs/>
          <w:color w:val="000000"/>
          <w:lang w:eastAsia="es-MX"/>
        </w:rPr>
        <w:t>la Segunda Sala de la Suprema Corte de Justicia de la Nación</w:t>
      </w:r>
      <w:r w:rsidR="00D35092">
        <w:rPr>
          <w:rStyle w:val="Refdenotaalpie"/>
          <w:rFonts w:ascii="ITC Avant Garde" w:eastAsia="Times New Roman" w:hAnsi="ITC Avant Garde"/>
          <w:bCs/>
          <w:color w:val="000000"/>
          <w:lang w:eastAsia="es-MX"/>
        </w:rPr>
        <w:footnoteReference w:id="1"/>
      </w:r>
      <w:r w:rsidR="00D946DB">
        <w:rPr>
          <w:rFonts w:ascii="ITC Avant Garde" w:eastAsia="Times New Roman" w:hAnsi="ITC Avant Garde"/>
          <w:bCs/>
          <w:color w:val="000000"/>
          <w:lang w:eastAsia="es-MX"/>
        </w:rPr>
        <w:t xml:space="preserve"> </w:t>
      </w:r>
      <w:r w:rsidR="00D946DB" w:rsidRPr="00F82378">
        <w:rPr>
          <w:rFonts w:ascii="ITC Avant Garde" w:eastAsia="Times New Roman" w:hAnsi="ITC Avant Garde"/>
          <w:bCs/>
          <w:color w:val="000000"/>
          <w:lang w:eastAsia="es-MX"/>
        </w:rPr>
        <w:t xml:space="preserve">(en adelante </w:t>
      </w:r>
      <w:r w:rsidR="00D946DB">
        <w:rPr>
          <w:rFonts w:ascii="ITC Avant Garde" w:eastAsia="Times New Roman" w:hAnsi="ITC Avant Garde"/>
          <w:bCs/>
          <w:color w:val="000000"/>
          <w:lang w:eastAsia="es-MX"/>
        </w:rPr>
        <w:t xml:space="preserve">la </w:t>
      </w:r>
      <w:r w:rsidR="00D946DB" w:rsidRPr="00F82378">
        <w:rPr>
          <w:rFonts w:ascii="ITC Avant Garde" w:eastAsia="Times New Roman" w:hAnsi="ITC Avant Garde"/>
          <w:b/>
          <w:bCs/>
          <w:color w:val="000000"/>
          <w:lang w:eastAsia="es-MX"/>
        </w:rPr>
        <w:t>“</w:t>
      </w:r>
      <w:r w:rsidR="00C77130">
        <w:rPr>
          <w:rFonts w:ascii="ITC Avant Garde" w:eastAsia="Times New Roman" w:hAnsi="ITC Avant Garde"/>
          <w:b/>
          <w:bCs/>
          <w:color w:val="000000"/>
          <w:lang w:eastAsia="es-MX"/>
        </w:rPr>
        <w:t>SEGUNDA SALA DE LA SCJN</w:t>
      </w:r>
      <w:r w:rsidR="00D946DB" w:rsidRPr="00F82378">
        <w:rPr>
          <w:rFonts w:ascii="ITC Avant Garde" w:eastAsia="Times New Roman" w:hAnsi="ITC Avant Garde"/>
          <w:b/>
          <w:bCs/>
          <w:color w:val="000000"/>
          <w:lang w:eastAsia="es-MX"/>
        </w:rPr>
        <w:t>”</w:t>
      </w:r>
      <w:r w:rsidR="00D946DB" w:rsidRPr="00F82378">
        <w:rPr>
          <w:rFonts w:ascii="ITC Avant Garde" w:eastAsia="Times New Roman" w:hAnsi="ITC Avant Garde"/>
          <w:bCs/>
          <w:color w:val="000000"/>
          <w:lang w:eastAsia="es-MX"/>
        </w:rPr>
        <w:t>)</w:t>
      </w:r>
      <w:r w:rsidR="00D946DB">
        <w:rPr>
          <w:rFonts w:ascii="ITC Avant Garde" w:eastAsia="Times New Roman" w:hAnsi="ITC Avant Garde"/>
          <w:bCs/>
          <w:color w:val="000000"/>
          <w:lang w:eastAsia="es-MX"/>
        </w:rPr>
        <w:t>,</w:t>
      </w:r>
      <w:r w:rsidR="00D946DB" w:rsidRPr="00F82378">
        <w:rPr>
          <w:rFonts w:ascii="ITC Avant Garde" w:eastAsia="Times New Roman" w:hAnsi="ITC Avant Garde"/>
          <w:bCs/>
          <w:color w:val="000000"/>
          <w:lang w:eastAsia="es-MX"/>
        </w:rPr>
        <w:t xml:space="preserve"> en el </w:t>
      </w:r>
      <w:r w:rsidR="00D946DB">
        <w:rPr>
          <w:rFonts w:ascii="ITC Avant Garde" w:eastAsia="Times New Roman" w:hAnsi="ITC Avant Garde"/>
          <w:bCs/>
          <w:color w:val="000000"/>
          <w:lang w:eastAsia="es-MX"/>
        </w:rPr>
        <w:t xml:space="preserve">expediente formado con motivo del </w:t>
      </w:r>
      <w:r w:rsidR="00D946DB" w:rsidRPr="00F85293">
        <w:rPr>
          <w:rFonts w:ascii="ITC Avant Garde" w:eastAsia="Times New Roman" w:hAnsi="ITC Avant Garde"/>
          <w:b/>
          <w:bCs/>
          <w:color w:val="000000"/>
          <w:lang w:eastAsia="es-MX"/>
        </w:rPr>
        <w:t>Amparo en Revisión 692/2017</w:t>
      </w:r>
      <w:r w:rsidR="00D946DB" w:rsidRPr="00F82378">
        <w:rPr>
          <w:rFonts w:ascii="ITC Avant Garde" w:eastAsia="Times New Roman" w:hAnsi="ITC Avant Garde"/>
          <w:bCs/>
          <w:color w:val="000000"/>
          <w:lang w:eastAsia="es-MX"/>
        </w:rPr>
        <w:t xml:space="preserve"> </w:t>
      </w:r>
      <w:r w:rsidR="00D946DB">
        <w:rPr>
          <w:rFonts w:ascii="ITC Avant Garde" w:eastAsia="Times New Roman" w:hAnsi="ITC Avant Garde"/>
          <w:bCs/>
          <w:color w:val="000000"/>
          <w:lang w:eastAsia="es-MX"/>
        </w:rPr>
        <w:t xml:space="preserve">por la que modificó la sentencia de cuatro de abril de dos mil diecisiete dictada </w:t>
      </w:r>
      <w:r w:rsidR="00D946DB" w:rsidRPr="00F82378">
        <w:rPr>
          <w:rFonts w:ascii="ITC Avant Garde" w:eastAsia="Times New Roman" w:hAnsi="ITC Avant Garde"/>
          <w:bCs/>
          <w:color w:val="000000"/>
          <w:lang w:eastAsia="es-MX"/>
        </w:rPr>
        <w:t xml:space="preserve">en los autos del juicio de amparo </w:t>
      </w:r>
      <w:r w:rsidR="00D946DB">
        <w:rPr>
          <w:rFonts w:ascii="ITC Avant Garde" w:eastAsia="Times New Roman" w:hAnsi="ITC Avant Garde"/>
          <w:bCs/>
          <w:color w:val="000000"/>
          <w:lang w:eastAsia="es-MX"/>
        </w:rPr>
        <w:t xml:space="preserve">indirecto </w:t>
      </w:r>
      <w:r w:rsidR="00D946DB" w:rsidRPr="00CE28A1">
        <w:rPr>
          <w:rFonts w:ascii="ITC Avant Garde" w:eastAsia="Times New Roman" w:hAnsi="ITC Avant Garde"/>
          <w:b/>
          <w:bCs/>
          <w:color w:val="000000"/>
          <w:lang w:eastAsia="es-MX"/>
        </w:rPr>
        <w:t>1</w:t>
      </w:r>
      <w:r w:rsidR="00D946DB">
        <w:rPr>
          <w:rFonts w:ascii="ITC Avant Garde" w:eastAsia="Times New Roman" w:hAnsi="ITC Avant Garde"/>
          <w:b/>
          <w:bCs/>
          <w:color w:val="000000"/>
          <w:lang w:eastAsia="es-MX"/>
        </w:rPr>
        <w:t>35/2016</w:t>
      </w:r>
      <w:r w:rsidR="00D946DB" w:rsidRPr="00F82378">
        <w:rPr>
          <w:rFonts w:ascii="ITC Avant Garde" w:eastAsia="Times New Roman" w:hAnsi="ITC Avant Garde"/>
          <w:bCs/>
          <w:color w:val="000000"/>
          <w:lang w:eastAsia="es-MX"/>
        </w:rPr>
        <w:t xml:space="preserve"> promovido por</w:t>
      </w:r>
      <w:r w:rsidR="00D946DB" w:rsidRPr="00AA5D18">
        <w:rPr>
          <w:rFonts w:ascii="ITC Avant Garde" w:eastAsia="Times New Roman" w:hAnsi="ITC Avant Garde"/>
          <w:b/>
          <w:bCs/>
          <w:color w:val="000000"/>
          <w:lang w:eastAsia="es-MX"/>
        </w:rPr>
        <w:t xml:space="preserve"> </w:t>
      </w:r>
      <w:r w:rsidR="00D946DB" w:rsidRPr="00BE2A5B">
        <w:rPr>
          <w:rFonts w:ascii="ITC Avant Garde" w:eastAsia="Times New Roman" w:hAnsi="ITC Avant Garde"/>
          <w:b/>
          <w:bCs/>
          <w:color w:val="000000"/>
          <w:lang w:eastAsia="es-MX"/>
        </w:rPr>
        <w:t>TELEVISIÓN INTERNACIONAL, S.A. DE C.V.</w:t>
      </w:r>
      <w:r w:rsidR="00D946DB">
        <w:rPr>
          <w:rFonts w:ascii="ITC Avant Garde" w:eastAsia="Times New Roman" w:hAnsi="ITC Avant Garde"/>
          <w:b/>
          <w:bCs/>
          <w:color w:val="000000"/>
          <w:lang w:eastAsia="es-MX"/>
        </w:rPr>
        <w:t xml:space="preserve">, </w:t>
      </w:r>
      <w:r w:rsidR="00D946DB" w:rsidRPr="00E77BF5">
        <w:rPr>
          <w:rFonts w:ascii="ITC Avant Garde" w:eastAsia="Times New Roman" w:hAnsi="ITC Avant Garde"/>
          <w:bCs/>
          <w:color w:val="000000"/>
          <w:lang w:eastAsia="es-MX"/>
        </w:rPr>
        <w:t>e</w:t>
      </w:r>
      <w:r w:rsidR="00D946DB">
        <w:rPr>
          <w:rFonts w:ascii="ITC Avant Garde" w:eastAsia="Times New Roman" w:hAnsi="ITC Avant Garde"/>
          <w:bCs/>
          <w:lang w:eastAsia="es-MX"/>
        </w:rPr>
        <w:t xml:space="preserve">n lo sucesivo </w:t>
      </w:r>
      <w:r w:rsidR="00D946DB" w:rsidRPr="00C3299A">
        <w:rPr>
          <w:rFonts w:ascii="ITC Avant Garde" w:eastAsia="Times New Roman" w:hAnsi="ITC Avant Garde"/>
          <w:b/>
          <w:bCs/>
          <w:lang w:eastAsia="es-MX"/>
        </w:rPr>
        <w:t>“</w:t>
      </w:r>
      <w:r w:rsidR="00D946DB" w:rsidRPr="00BE2A5B">
        <w:rPr>
          <w:rFonts w:ascii="ITC Avant Garde" w:eastAsia="Times New Roman" w:hAnsi="ITC Avant Garde"/>
          <w:b/>
          <w:bCs/>
          <w:color w:val="000000"/>
          <w:lang w:eastAsia="es-MX"/>
        </w:rPr>
        <w:t>TELEVISIÓN INTERNACIONAL</w:t>
      </w:r>
      <w:r w:rsidR="00D946DB">
        <w:rPr>
          <w:rFonts w:ascii="ITC Avant Garde" w:eastAsia="Times New Roman" w:hAnsi="ITC Avant Garde"/>
          <w:b/>
          <w:bCs/>
          <w:color w:val="000000"/>
          <w:lang w:eastAsia="es-MX"/>
        </w:rPr>
        <w:t xml:space="preserve">” </w:t>
      </w:r>
      <w:r w:rsidR="002F654F" w:rsidRPr="002F654F">
        <w:rPr>
          <w:rFonts w:ascii="ITC Avant Garde" w:hAnsi="ITC Avant Garde"/>
        </w:rPr>
        <w:t xml:space="preserve">ante </w:t>
      </w:r>
      <w:r w:rsidR="001228DB" w:rsidRPr="00443137">
        <w:rPr>
          <w:rFonts w:ascii="ITC Avant Garde" w:eastAsia="Times New Roman" w:hAnsi="ITC Avant Garde"/>
          <w:bCs/>
          <w:color w:val="000000"/>
          <w:lang w:eastAsia="es-MX"/>
        </w:rPr>
        <w:t>el</w:t>
      </w:r>
      <w:r w:rsidR="001228DB">
        <w:rPr>
          <w:rFonts w:ascii="ITC Avant Garde" w:eastAsia="Times New Roman" w:hAnsi="ITC Avant Garde"/>
          <w:b/>
          <w:bCs/>
          <w:color w:val="000000"/>
          <w:lang w:eastAsia="es-MX"/>
        </w:rPr>
        <w:t xml:space="preserve"> </w:t>
      </w:r>
      <w:r w:rsidR="001228DB" w:rsidRPr="00F82378">
        <w:rPr>
          <w:rFonts w:ascii="ITC Avant Garde" w:eastAsia="Times New Roman" w:hAnsi="ITC Avant Garde"/>
          <w:bCs/>
          <w:color w:val="000000"/>
          <w:lang w:eastAsia="es-MX"/>
        </w:rPr>
        <w:t xml:space="preserve">Juzgado </w:t>
      </w:r>
      <w:r w:rsidR="00D946DB">
        <w:rPr>
          <w:rFonts w:ascii="ITC Avant Garde" w:eastAsia="Times New Roman" w:hAnsi="ITC Avant Garde"/>
          <w:bCs/>
          <w:color w:val="000000"/>
          <w:lang w:eastAsia="es-MX"/>
        </w:rPr>
        <w:t>Primero</w:t>
      </w:r>
      <w:r w:rsidR="001228DB" w:rsidRPr="00F82378">
        <w:rPr>
          <w:rFonts w:ascii="ITC Avant Garde" w:eastAsia="Times New Roman" w:hAnsi="ITC Avant Garde"/>
          <w:bCs/>
          <w:color w:val="000000"/>
          <w:lang w:eastAsia="es-MX"/>
        </w:rPr>
        <w:t xml:space="preserve"> de Distrito en Materia Administrativa Especializado en Competencia Económica, Radiodifusión y Telecomunicaciones (en adelante </w:t>
      </w:r>
      <w:r w:rsidR="001228DB">
        <w:rPr>
          <w:rFonts w:ascii="ITC Avant Garde" w:eastAsia="Times New Roman" w:hAnsi="ITC Avant Garde"/>
          <w:bCs/>
          <w:color w:val="000000"/>
          <w:lang w:eastAsia="es-MX"/>
        </w:rPr>
        <w:t xml:space="preserve">el </w:t>
      </w:r>
      <w:r w:rsidR="001228DB" w:rsidRPr="00F82378">
        <w:rPr>
          <w:rFonts w:ascii="ITC Avant Garde" w:eastAsia="Times New Roman" w:hAnsi="ITC Avant Garde"/>
          <w:b/>
          <w:bCs/>
          <w:color w:val="000000"/>
          <w:lang w:eastAsia="es-MX"/>
        </w:rPr>
        <w:t xml:space="preserve">“JUZGADO </w:t>
      </w:r>
      <w:r w:rsidR="00D946DB">
        <w:rPr>
          <w:rFonts w:ascii="ITC Avant Garde" w:eastAsia="Times New Roman" w:hAnsi="ITC Avant Garde"/>
          <w:b/>
          <w:bCs/>
          <w:color w:val="000000"/>
          <w:lang w:eastAsia="es-MX"/>
        </w:rPr>
        <w:t>PRIMERO</w:t>
      </w:r>
      <w:r w:rsidR="001228DB" w:rsidRPr="00F82378">
        <w:rPr>
          <w:rFonts w:ascii="ITC Avant Garde" w:eastAsia="Times New Roman" w:hAnsi="ITC Avant Garde"/>
          <w:b/>
          <w:bCs/>
          <w:color w:val="000000"/>
          <w:lang w:eastAsia="es-MX"/>
        </w:rPr>
        <w:t>”</w:t>
      </w:r>
      <w:r w:rsidR="002F654F">
        <w:rPr>
          <w:rFonts w:ascii="ITC Avant Garde" w:eastAsia="Times New Roman" w:hAnsi="ITC Avant Garde"/>
          <w:bCs/>
          <w:color w:val="000000"/>
          <w:lang w:eastAsia="es-MX"/>
        </w:rPr>
        <w:t>)</w:t>
      </w:r>
      <w:r w:rsidR="001228DB" w:rsidRPr="00F82378">
        <w:rPr>
          <w:rFonts w:ascii="ITC Avant Garde" w:eastAsia="Times New Roman" w:hAnsi="ITC Avant Garde"/>
          <w:bCs/>
          <w:color w:val="000000"/>
          <w:lang w:eastAsia="es-MX"/>
        </w:rPr>
        <w:t xml:space="preserve"> </w:t>
      </w:r>
      <w:r w:rsidR="001228DB">
        <w:rPr>
          <w:rFonts w:ascii="ITC Avant Garde" w:eastAsia="Times New Roman" w:hAnsi="ITC Avant Garde"/>
          <w:bCs/>
          <w:color w:val="000000"/>
          <w:lang w:eastAsia="es-MX"/>
        </w:rPr>
        <w:t xml:space="preserve">y </w:t>
      </w:r>
      <w:r w:rsidR="001228DB" w:rsidRPr="00F82378">
        <w:rPr>
          <w:rFonts w:ascii="ITC Avant Garde" w:eastAsia="Times New Roman" w:hAnsi="ITC Avant Garde"/>
          <w:b/>
          <w:bCs/>
          <w:color w:val="000000"/>
          <w:lang w:eastAsia="es-MX"/>
        </w:rPr>
        <w:t>CONCEDE EL AMPARO</w:t>
      </w:r>
      <w:r w:rsidR="001228DB">
        <w:rPr>
          <w:rFonts w:ascii="ITC Avant Garde" w:eastAsia="Times New Roman" w:hAnsi="ITC Avant Garde"/>
          <w:b/>
          <w:bCs/>
          <w:color w:val="000000"/>
          <w:lang w:eastAsia="es-MX"/>
        </w:rPr>
        <w:t xml:space="preserve"> </w:t>
      </w:r>
      <w:r w:rsidR="001228DB">
        <w:rPr>
          <w:rFonts w:ascii="ITC Avant Garde" w:eastAsia="Times New Roman" w:hAnsi="ITC Avant Garde"/>
          <w:bCs/>
          <w:color w:val="000000"/>
          <w:lang w:eastAsia="es-MX"/>
        </w:rPr>
        <w:t xml:space="preserve">a </w:t>
      </w:r>
      <w:r w:rsidR="00D946DB" w:rsidRPr="00BE2A5B">
        <w:rPr>
          <w:rFonts w:ascii="ITC Avant Garde" w:eastAsia="Times New Roman" w:hAnsi="ITC Avant Garde"/>
          <w:b/>
          <w:bCs/>
          <w:color w:val="000000"/>
          <w:lang w:eastAsia="es-MX"/>
        </w:rPr>
        <w:t>TELEVISIÓN INTERNACIONAL</w:t>
      </w:r>
      <w:r w:rsidR="00D946DB">
        <w:rPr>
          <w:rFonts w:ascii="ITC Avant Garde" w:eastAsia="Times New Roman" w:hAnsi="ITC Avant Garde"/>
          <w:b/>
          <w:bCs/>
          <w:color w:val="000000"/>
          <w:lang w:eastAsia="es-MX"/>
        </w:rPr>
        <w:t xml:space="preserve"> </w:t>
      </w:r>
      <w:r w:rsidR="001D700F" w:rsidRPr="001D700F">
        <w:rPr>
          <w:rFonts w:ascii="ITC Avant Garde" w:eastAsia="Times New Roman" w:hAnsi="ITC Avant Garde"/>
          <w:bCs/>
          <w:color w:val="000000"/>
          <w:lang w:eastAsia="es-MX"/>
        </w:rPr>
        <w:t xml:space="preserve">respecto de la porción normativa que establece para efectos del cálculo de las multas previstas en el artículo 298, inciso B), fracción IV de la Ley Federal de Telecomunicaciones y Radiodifusión, un porcentaje mínimo del </w:t>
      </w:r>
      <w:r w:rsidR="0080056C" w:rsidRPr="004E0D87">
        <w:rPr>
          <w:rFonts w:ascii="ITC Avant Garde" w:eastAsia="Times New Roman" w:hAnsi="ITC Avant Garde"/>
          <w:b/>
          <w:bCs/>
          <w:color w:val="0000FF"/>
          <w:lang w:eastAsia="es-MX"/>
        </w:rPr>
        <w:t>CONFIDENCIAL POR LEY</w:t>
      </w:r>
      <w:r w:rsidR="001D700F" w:rsidRPr="001D700F">
        <w:rPr>
          <w:rFonts w:ascii="ITC Avant Garde" w:eastAsia="Times New Roman" w:hAnsi="ITC Avant Garde"/>
          <w:bCs/>
          <w:color w:val="000000"/>
          <w:lang w:eastAsia="es-MX"/>
        </w:rPr>
        <w:t xml:space="preserve"> de los ingresos del concesionario o autorizado,</w:t>
      </w:r>
      <w:r w:rsidR="00D946DB">
        <w:rPr>
          <w:rFonts w:ascii="ITC Avant Garde" w:eastAsia="Times New Roman" w:hAnsi="ITC Avant Garde"/>
          <w:bCs/>
          <w:color w:val="000000"/>
          <w:lang w:eastAsia="es-MX"/>
        </w:rPr>
        <w:t xml:space="preserve"> aplicado </w:t>
      </w:r>
      <w:r w:rsidR="00C628E7">
        <w:rPr>
          <w:rFonts w:ascii="ITC Avant Garde" w:eastAsia="Times New Roman" w:hAnsi="ITC Avant Garde"/>
          <w:bCs/>
          <w:color w:val="000000"/>
          <w:lang w:eastAsia="es-MX"/>
        </w:rPr>
        <w:t>en la resolución dictada en e</w:t>
      </w:r>
      <w:r w:rsidR="001228DB">
        <w:rPr>
          <w:rFonts w:ascii="ITC Avant Garde" w:eastAsia="Times New Roman" w:hAnsi="ITC Avant Garde"/>
          <w:bCs/>
          <w:color w:val="000000"/>
          <w:lang w:eastAsia="es-MX"/>
        </w:rPr>
        <w:t xml:space="preserve">l expediente </w:t>
      </w:r>
      <w:r w:rsidR="001228DB" w:rsidRPr="002F26AC">
        <w:rPr>
          <w:rFonts w:ascii="ITC Avant Garde" w:eastAsia="Times New Roman" w:hAnsi="ITC Avant Garde"/>
          <w:b/>
          <w:bCs/>
          <w:color w:val="000000"/>
          <w:lang w:eastAsia="es-MX"/>
        </w:rPr>
        <w:t>E.IFT.U</w:t>
      </w:r>
      <w:r w:rsidR="001228DB">
        <w:rPr>
          <w:rFonts w:ascii="ITC Avant Garde" w:eastAsia="Times New Roman" w:hAnsi="ITC Avant Garde"/>
          <w:b/>
          <w:bCs/>
          <w:color w:val="000000"/>
          <w:lang w:eastAsia="es-MX"/>
        </w:rPr>
        <w:t>C.DG-SAN.IV.0</w:t>
      </w:r>
      <w:r w:rsidR="00D946DB">
        <w:rPr>
          <w:rFonts w:ascii="ITC Avant Garde" w:eastAsia="Times New Roman" w:hAnsi="ITC Avant Garde"/>
          <w:b/>
          <w:bCs/>
          <w:color w:val="000000"/>
          <w:lang w:eastAsia="es-MX"/>
        </w:rPr>
        <w:t>01</w:t>
      </w:r>
      <w:r w:rsidR="001228DB">
        <w:rPr>
          <w:rFonts w:ascii="ITC Avant Garde" w:eastAsia="Times New Roman" w:hAnsi="ITC Avant Garde"/>
          <w:b/>
          <w:bCs/>
          <w:color w:val="000000"/>
          <w:lang w:eastAsia="es-MX"/>
        </w:rPr>
        <w:t>/2016</w:t>
      </w:r>
      <w:r w:rsidR="001228DB" w:rsidRPr="00F82378">
        <w:rPr>
          <w:rFonts w:ascii="ITC Avant Garde" w:eastAsia="Times New Roman" w:hAnsi="ITC Avant Garde"/>
          <w:bCs/>
          <w:color w:val="000000"/>
          <w:lang w:eastAsia="es-MX"/>
        </w:rPr>
        <w:t xml:space="preserve">, </w:t>
      </w:r>
      <w:r w:rsidR="00D35092">
        <w:rPr>
          <w:rFonts w:ascii="ITC Avant Garde" w:eastAsia="Times New Roman" w:hAnsi="ITC Avant Garde"/>
          <w:bCs/>
          <w:color w:val="000000"/>
          <w:lang w:eastAsia="es-MX"/>
        </w:rPr>
        <w:t xml:space="preserve">de fecha veintitrés de agosto de dos mil dieciséis </w:t>
      </w:r>
      <w:r w:rsidR="001228DB" w:rsidRPr="00F82378">
        <w:rPr>
          <w:rFonts w:ascii="ITC Avant Garde" w:eastAsia="Times New Roman" w:hAnsi="ITC Avant Garde"/>
          <w:bCs/>
          <w:color w:val="000000"/>
          <w:lang w:eastAsia="es-MX"/>
        </w:rPr>
        <w:t xml:space="preserve">por </w:t>
      </w:r>
      <w:r w:rsidR="001228DB">
        <w:rPr>
          <w:rFonts w:ascii="ITC Avant Garde" w:eastAsia="Times New Roman" w:hAnsi="ITC Avant Garde"/>
          <w:bCs/>
          <w:color w:val="000000"/>
          <w:lang w:eastAsia="es-MX"/>
        </w:rPr>
        <w:t>la que el</w:t>
      </w:r>
      <w:r w:rsidR="001228DB" w:rsidRPr="00F82378">
        <w:rPr>
          <w:rFonts w:ascii="ITC Avant Garde" w:eastAsia="Times New Roman" w:hAnsi="ITC Avant Garde"/>
          <w:bCs/>
          <w:color w:val="000000"/>
          <w:lang w:eastAsia="es-MX"/>
        </w:rPr>
        <w:t xml:space="preserve"> Pleno del Instituto Federal de Telecomunicaciones le impuso una multa por la cantidad de </w:t>
      </w:r>
      <w:r w:rsidR="0080056C" w:rsidRPr="0080056C">
        <w:rPr>
          <w:rFonts w:ascii="ITC Avant Garde" w:eastAsia="Times New Roman" w:hAnsi="ITC Avant Garde"/>
          <w:b/>
          <w:bCs/>
          <w:lang w:eastAsia="es-MX"/>
        </w:rPr>
        <w:t>$31,104</w:t>
      </w:r>
      <w:r w:rsidR="0080056C">
        <w:rPr>
          <w:rFonts w:ascii="ITC Avant Garde" w:eastAsia="Times New Roman" w:hAnsi="ITC Avant Garde"/>
          <w:b/>
          <w:bCs/>
          <w:lang w:eastAsia="es-MX"/>
        </w:rPr>
        <w:t>,</w:t>
      </w:r>
      <w:r w:rsidR="0080056C" w:rsidRPr="0080056C">
        <w:rPr>
          <w:rFonts w:ascii="ITC Avant Garde" w:eastAsia="Times New Roman" w:hAnsi="ITC Avant Garde"/>
          <w:b/>
          <w:bCs/>
          <w:lang w:eastAsia="es-MX"/>
        </w:rPr>
        <w:t xml:space="preserve">326.66 </w:t>
      </w:r>
      <w:r w:rsidR="00D946DB" w:rsidRPr="0080056C">
        <w:rPr>
          <w:rFonts w:ascii="ITC Avant Garde" w:eastAsia="Times New Roman" w:hAnsi="ITC Avant Garde"/>
          <w:b/>
          <w:bCs/>
          <w:lang w:eastAsia="es-MX"/>
        </w:rPr>
        <w:t>(</w:t>
      </w:r>
      <w:r w:rsidR="0080056C" w:rsidRPr="0080056C">
        <w:rPr>
          <w:rFonts w:ascii="ITC Avant Garde" w:eastAsia="Times New Roman" w:hAnsi="ITC Avant Garde"/>
          <w:b/>
          <w:bCs/>
          <w:lang w:eastAsia="es-MX"/>
        </w:rPr>
        <w:t>treinta y un millones ciento cuatro mil trescientos veintiséis pesos 66/100 M.N.</w:t>
      </w:r>
      <w:r w:rsidR="00D946DB" w:rsidRPr="0080056C">
        <w:rPr>
          <w:rFonts w:ascii="ITC Avant Garde" w:eastAsia="Times New Roman" w:hAnsi="ITC Avant Garde"/>
          <w:b/>
          <w:bCs/>
          <w:lang w:eastAsia="es-MX"/>
        </w:rPr>
        <w:t xml:space="preserve">) </w:t>
      </w:r>
      <w:r w:rsidR="001228DB" w:rsidRPr="005D6116">
        <w:rPr>
          <w:rFonts w:ascii="ITC Avant Garde" w:eastAsia="Times New Roman" w:hAnsi="ITC Avant Garde"/>
          <w:bCs/>
          <w:color w:val="000000"/>
          <w:lang w:eastAsia="es-MX"/>
        </w:rPr>
        <w:t>por</w:t>
      </w:r>
      <w:r w:rsidR="001228DB">
        <w:rPr>
          <w:rFonts w:ascii="ITC Avant Garde" w:eastAsia="Times New Roman" w:hAnsi="ITC Avant Garde"/>
          <w:bCs/>
          <w:color w:val="000000"/>
          <w:lang w:eastAsia="es-MX"/>
        </w:rPr>
        <w:t xml:space="preserve"> </w:t>
      </w:r>
      <w:r w:rsidR="00D946DB" w:rsidRPr="00225503">
        <w:rPr>
          <w:rFonts w:ascii="ITC Avant Garde" w:eastAsia="Times New Roman" w:hAnsi="ITC Avant Garde"/>
          <w:bCs/>
          <w:color w:val="000000"/>
          <w:lang w:eastAsia="es-MX"/>
        </w:rPr>
        <w:t>incumpli</w:t>
      </w:r>
      <w:r w:rsidR="00D946DB">
        <w:rPr>
          <w:rFonts w:ascii="ITC Avant Garde" w:eastAsia="Times New Roman" w:hAnsi="ITC Avant Garde"/>
          <w:bCs/>
          <w:color w:val="000000"/>
          <w:lang w:eastAsia="es-MX"/>
        </w:rPr>
        <w:t>r</w:t>
      </w:r>
      <w:r w:rsidR="00D946DB" w:rsidRPr="00225503">
        <w:rPr>
          <w:rFonts w:ascii="ITC Avant Garde" w:eastAsia="Times New Roman" w:hAnsi="ITC Avant Garde"/>
          <w:bCs/>
          <w:color w:val="000000"/>
          <w:lang w:eastAsia="es-MX"/>
        </w:rPr>
        <w:t xml:space="preserve"> con lo establecido </w:t>
      </w:r>
      <w:r w:rsidR="00D946DB">
        <w:rPr>
          <w:rFonts w:ascii="ITC Avant Garde" w:eastAsia="Times New Roman" w:hAnsi="ITC Avant Garde"/>
          <w:bCs/>
          <w:color w:val="000000"/>
          <w:lang w:eastAsia="es-MX"/>
        </w:rPr>
        <w:t xml:space="preserve">en el artículo </w:t>
      </w:r>
      <w:r w:rsidR="00D946DB" w:rsidRPr="00C73356">
        <w:rPr>
          <w:rFonts w:ascii="ITC Avant Garde" w:hAnsi="ITC Avant Garde"/>
          <w:color w:val="000000"/>
        </w:rPr>
        <w:t xml:space="preserve">12 de </w:t>
      </w:r>
      <w:r w:rsidR="00D946DB" w:rsidRPr="00C73356">
        <w:rPr>
          <w:rFonts w:ascii="ITC Avant Garde" w:hAnsi="ITC Avant Garde"/>
          <w:b/>
        </w:rPr>
        <w:t>LOS LINEAMIENTOS</w:t>
      </w:r>
      <w:r w:rsidR="00D946DB">
        <w:rPr>
          <w:rStyle w:val="Refdenotaalpie"/>
          <w:rFonts w:ascii="ITC Avant Garde" w:hAnsi="ITC Avant Garde"/>
          <w:b/>
        </w:rPr>
        <w:footnoteReference w:id="2"/>
      </w:r>
      <w:r w:rsidR="00D946DB" w:rsidRPr="00C73356">
        <w:rPr>
          <w:rFonts w:ascii="ITC Avant Garde" w:hAnsi="ITC Avant Garde"/>
        </w:rPr>
        <w:t xml:space="preserve"> </w:t>
      </w:r>
      <w:r w:rsidR="00D946DB">
        <w:rPr>
          <w:rFonts w:ascii="ITC Avant Garde" w:hAnsi="ITC Avant Garde"/>
        </w:rPr>
        <w:t xml:space="preserve">y </w:t>
      </w:r>
      <w:r w:rsidR="00D946DB" w:rsidRPr="00C73356">
        <w:rPr>
          <w:rFonts w:ascii="ITC Avant Garde" w:hAnsi="ITC Avant Garde"/>
          <w:b/>
        </w:rPr>
        <w:t xml:space="preserve">LAS MODIFICACIONES A LOS </w:t>
      </w:r>
    </w:p>
    <w:p w:rsidR="005B6852" w:rsidRDefault="00D946DB" w:rsidP="001228DB">
      <w:pPr>
        <w:pStyle w:val="Textoindependiente"/>
        <w:spacing w:after="0" w:line="360" w:lineRule="auto"/>
        <w:jc w:val="both"/>
        <w:rPr>
          <w:rFonts w:ascii="ITC Avant Garde" w:eastAsia="Times New Roman" w:hAnsi="ITC Avant Garde"/>
          <w:bCs/>
          <w:color w:val="000000"/>
          <w:lang w:eastAsia="es-MX"/>
        </w:rPr>
      </w:pPr>
      <w:r w:rsidRPr="00C73356">
        <w:rPr>
          <w:rFonts w:ascii="ITC Avant Garde" w:hAnsi="ITC Avant Garde"/>
          <w:b/>
        </w:rPr>
        <w:lastRenderedPageBreak/>
        <w:t>LINEAMIENTOS</w:t>
      </w:r>
      <w:r>
        <w:rPr>
          <w:rStyle w:val="Refdenotaalpie"/>
          <w:rFonts w:ascii="ITC Avant Garde" w:hAnsi="ITC Avant Garde"/>
          <w:b/>
        </w:rPr>
        <w:footnoteReference w:id="3"/>
      </w:r>
      <w:r w:rsidRPr="00C73356">
        <w:rPr>
          <w:rFonts w:ascii="ITC Avant Garde" w:hAnsi="ITC Avant Garde"/>
          <w:b/>
          <w:color w:val="000000"/>
        </w:rPr>
        <w:t xml:space="preserve">, </w:t>
      </w:r>
      <w:r w:rsidRPr="00C73356">
        <w:rPr>
          <w:rFonts w:ascii="ITC Avant Garde" w:hAnsi="ITC Avant Garde"/>
          <w:color w:val="000000"/>
        </w:rPr>
        <w:t>en relación con el</w:t>
      </w:r>
      <w:r w:rsidRPr="00C73356">
        <w:rPr>
          <w:rFonts w:ascii="ITC Avant Garde" w:hAnsi="ITC Avant Garde"/>
          <w:b/>
          <w:color w:val="000000"/>
        </w:rPr>
        <w:t xml:space="preserve"> LISTADO</w:t>
      </w:r>
      <w:r>
        <w:rPr>
          <w:rStyle w:val="Refdenotaalpie"/>
          <w:rFonts w:ascii="ITC Avant Garde" w:hAnsi="ITC Avant Garde"/>
          <w:b/>
          <w:color w:val="000000"/>
        </w:rPr>
        <w:footnoteReference w:id="4"/>
      </w:r>
      <w:r>
        <w:rPr>
          <w:rFonts w:ascii="ITC Avant Garde" w:hAnsi="ITC Avant Garde"/>
          <w:b/>
          <w:color w:val="000000"/>
        </w:rPr>
        <w:t xml:space="preserve"> </w:t>
      </w:r>
      <w:r w:rsidRPr="00C73356">
        <w:rPr>
          <w:rFonts w:ascii="ITC Avant Garde" w:hAnsi="ITC Avant Garde"/>
          <w:color w:val="000000"/>
        </w:rPr>
        <w:t xml:space="preserve">y </w:t>
      </w:r>
      <w:r w:rsidRPr="00C73356">
        <w:rPr>
          <w:rFonts w:ascii="ITC Avant Garde" w:hAnsi="ITC Avant Garde"/>
          <w:b/>
        </w:rPr>
        <w:t>LA ACTUALIZACIÓN DEL LISTADO</w:t>
      </w:r>
      <w:r>
        <w:rPr>
          <w:rStyle w:val="Refdenotaalpie"/>
          <w:rFonts w:ascii="ITC Avant Garde" w:hAnsi="ITC Avant Garde"/>
          <w:b/>
        </w:rPr>
        <w:footnoteReference w:id="5"/>
      </w:r>
      <w:r w:rsidRPr="00C73356">
        <w:rPr>
          <w:rFonts w:ascii="ITC Avant Garde" w:hAnsi="ITC Avant Garde"/>
        </w:rPr>
        <w:t>,</w:t>
      </w:r>
      <w:r w:rsidRPr="001E62FF">
        <w:rPr>
          <w:rFonts w:ascii="ITC Avant Garde" w:hAnsi="ITC Avant Garde"/>
        </w:rPr>
        <w:t xml:space="preserve"> </w:t>
      </w:r>
      <w:r w:rsidRPr="00C73356">
        <w:rPr>
          <w:rFonts w:ascii="ITC Avant Garde" w:hAnsi="ITC Avant Garde"/>
        </w:rPr>
        <w:t xml:space="preserve">toda vez que dicha concesionaria </w:t>
      </w:r>
      <w:r>
        <w:rPr>
          <w:rFonts w:ascii="ITC Avant Garde" w:hAnsi="ITC Avant Garde"/>
        </w:rPr>
        <w:t xml:space="preserve">no retransmitía al momento en que se llevó a cabo la visita de verificación el canal </w:t>
      </w:r>
      <w:proofErr w:type="spellStart"/>
      <w:r>
        <w:rPr>
          <w:rFonts w:ascii="ITC Avant Garde" w:hAnsi="ITC Avant Garde"/>
        </w:rPr>
        <w:t>multiprogramado</w:t>
      </w:r>
      <w:proofErr w:type="spellEnd"/>
      <w:r>
        <w:rPr>
          <w:rFonts w:ascii="ITC Avant Garde" w:hAnsi="ITC Avant Garde"/>
        </w:rPr>
        <w:t xml:space="preserve"> </w:t>
      </w:r>
      <w:r w:rsidRPr="006A2C5A">
        <w:rPr>
          <w:rFonts w:ascii="ITC Avant Garde" w:hAnsi="ITC Avant Garde"/>
          <w:b/>
        </w:rPr>
        <w:t xml:space="preserve">11.2 </w:t>
      </w:r>
      <w:r>
        <w:rPr>
          <w:rFonts w:ascii="ITC Avant Garde" w:hAnsi="ITC Avant Garde"/>
        </w:rPr>
        <w:t>del Instituto Politécnico Nacional</w:t>
      </w:r>
      <w:r w:rsidRPr="00516074">
        <w:rPr>
          <w:rFonts w:ascii="ITC Avant Garde" w:hAnsi="ITC Avant Garde"/>
          <w:b/>
        </w:rPr>
        <w:t xml:space="preserve"> </w:t>
      </w:r>
      <w:r w:rsidRPr="00516074">
        <w:rPr>
          <w:rFonts w:ascii="ITC Avant Garde" w:hAnsi="ITC Avant Garde"/>
        </w:rPr>
        <w:t>identificado como Once Niños</w:t>
      </w:r>
      <w:r>
        <w:rPr>
          <w:rFonts w:ascii="ITC Avant Garde" w:hAnsi="ITC Avant Garde"/>
        </w:rPr>
        <w:t>.</w:t>
      </w:r>
    </w:p>
    <w:p w:rsidR="005B6852" w:rsidRDefault="001228DB" w:rsidP="001228DB">
      <w:pPr>
        <w:pStyle w:val="Textoindependiente"/>
        <w:spacing w:after="0" w:line="360" w:lineRule="auto"/>
        <w:jc w:val="both"/>
        <w:rPr>
          <w:rFonts w:ascii="ITC Avant Garde" w:eastAsia="Times New Roman" w:hAnsi="ITC Avant Garde"/>
          <w:bCs/>
          <w:color w:val="000000"/>
          <w:lang w:eastAsia="es-MX"/>
        </w:rPr>
      </w:pPr>
      <w:r w:rsidRPr="007607D0">
        <w:rPr>
          <w:rFonts w:ascii="ITC Avant Garde" w:eastAsia="Times New Roman" w:hAnsi="ITC Avant Garde"/>
          <w:bCs/>
          <w:color w:val="000000"/>
          <w:lang w:eastAsia="es-MX"/>
        </w:rPr>
        <w:t xml:space="preserve">Al respecto, </w:t>
      </w:r>
      <w:r w:rsidR="004B2D0F">
        <w:rPr>
          <w:rFonts w:ascii="ITC Avant Garde" w:eastAsia="Times New Roman" w:hAnsi="ITC Avant Garde"/>
          <w:bCs/>
          <w:color w:val="000000"/>
          <w:lang w:eastAsia="es-MX"/>
        </w:rPr>
        <w:t>e</w:t>
      </w:r>
      <w:r w:rsidR="004B2D0F" w:rsidRPr="00F82378">
        <w:rPr>
          <w:rFonts w:ascii="ITC Avant Garde" w:hAnsi="ITC Avant Garde"/>
          <w:color w:val="000000"/>
          <w:shd w:val="clear" w:color="auto" w:fill="FFFFFF"/>
        </w:rPr>
        <w:t>l Pleno del</w:t>
      </w:r>
      <w:r w:rsidR="004B2D0F" w:rsidRPr="00F82378">
        <w:rPr>
          <w:rStyle w:val="apple-converted-space"/>
          <w:rFonts w:ascii="ITC Avant Garde" w:hAnsi="ITC Avant Garde"/>
          <w:color w:val="000000"/>
          <w:shd w:val="clear" w:color="auto" w:fill="FFFFFF"/>
        </w:rPr>
        <w:t xml:space="preserve"> Instituto Federal de Telecomunicaciones</w:t>
      </w:r>
      <w:r w:rsidR="004B2D0F" w:rsidRPr="00F82378">
        <w:rPr>
          <w:rFonts w:ascii="ITC Avant Garde" w:hAnsi="ITC Avant Garde"/>
          <w:color w:val="000000"/>
          <w:shd w:val="clear" w:color="auto" w:fill="FFFFFF"/>
        </w:rPr>
        <w:t xml:space="preserve"> es competente para </w:t>
      </w:r>
      <w:r w:rsidR="004B2D0F">
        <w:rPr>
          <w:rFonts w:ascii="ITC Avant Garde" w:hAnsi="ITC Avant Garde"/>
          <w:color w:val="000000"/>
          <w:shd w:val="clear" w:color="auto" w:fill="FFFFFF"/>
        </w:rPr>
        <w:t xml:space="preserve">emitir el presente acuerdo, </w:t>
      </w:r>
      <w:r w:rsidR="004B2D0F" w:rsidRPr="00F82378">
        <w:rPr>
          <w:rFonts w:ascii="ITC Avant Garde" w:eastAsia="Times New Roman" w:hAnsi="ITC Avant Garde"/>
          <w:lang w:eastAsia="es-MX"/>
        </w:rPr>
        <w:t>con fundamento en el artículo 28, párrafos décimo quinto, décimo sexto y vigésimo, fracción I de la Constitución Política de los Estados Unidos Mexicanos, 192 de la Ley de Amparo Reglamentaria de los artículos 103 y 107 de la Constitución Política de los</w:t>
      </w:r>
      <w:r w:rsidR="004B2D0F" w:rsidRPr="00F82378">
        <w:rPr>
          <w:rFonts w:ascii="ITC Avant Garde" w:hAnsi="ITC Avant Garde"/>
        </w:rPr>
        <w:t xml:space="preserve"> </w:t>
      </w:r>
      <w:r w:rsidR="004B2D0F" w:rsidRPr="00F82378">
        <w:rPr>
          <w:rFonts w:ascii="ITC Avant Garde" w:eastAsia="Times New Roman" w:hAnsi="ITC Avant Garde"/>
          <w:lang w:eastAsia="es-MX"/>
        </w:rPr>
        <w:t>Estados Unidos Mexicanos y 1, 4, fracción I y 6 fracción XVII del Estatuto Orgánico del Instituto Federal de Telecomunicaciones</w:t>
      </w:r>
      <w:r w:rsidR="004B2D0F">
        <w:rPr>
          <w:rFonts w:ascii="ITC Avant Garde" w:eastAsia="Times New Roman" w:hAnsi="ITC Avant Garde"/>
          <w:lang w:eastAsia="es-MX"/>
        </w:rPr>
        <w:t xml:space="preserve">, y en vista de que </w:t>
      </w:r>
      <w:r w:rsidR="004B2D0F" w:rsidRPr="00F82378">
        <w:rPr>
          <w:rFonts w:ascii="ITC Avant Garde" w:hAnsi="ITC Avant Garde"/>
          <w:bCs/>
          <w:color w:val="000000"/>
          <w:shd w:val="clear" w:color="auto" w:fill="FFFFFF"/>
        </w:rPr>
        <w:t xml:space="preserve">en ejercicio de </w:t>
      </w:r>
      <w:r w:rsidR="004B2D0F">
        <w:rPr>
          <w:rFonts w:ascii="ITC Avant Garde" w:hAnsi="ITC Avant Garde"/>
          <w:bCs/>
          <w:color w:val="000000"/>
          <w:shd w:val="clear" w:color="auto" w:fill="FFFFFF"/>
        </w:rPr>
        <w:t>sus</w:t>
      </w:r>
      <w:r w:rsidR="004B2D0F" w:rsidRPr="00F82378">
        <w:rPr>
          <w:rFonts w:ascii="ITC Avant Garde" w:hAnsi="ITC Avant Garde"/>
          <w:bCs/>
          <w:color w:val="000000"/>
          <w:shd w:val="clear" w:color="auto" w:fill="FFFFFF"/>
        </w:rPr>
        <w:t xml:space="preserve"> atribuciones</w:t>
      </w:r>
      <w:r w:rsidR="004B2D0F" w:rsidRPr="00F82378">
        <w:rPr>
          <w:rFonts w:ascii="ITC Avant Garde" w:hAnsi="ITC Avant Garde"/>
          <w:b/>
          <w:bCs/>
          <w:color w:val="000000"/>
          <w:shd w:val="clear" w:color="auto" w:fill="FFFFFF"/>
        </w:rPr>
        <w:t xml:space="preserve"> </w:t>
      </w:r>
      <w:r w:rsidR="004B2D0F" w:rsidRPr="00F35FC5">
        <w:rPr>
          <w:rFonts w:ascii="ITC Avant Garde" w:hAnsi="ITC Avant Garde"/>
          <w:bCs/>
          <w:color w:val="000000"/>
          <w:shd w:val="clear" w:color="auto" w:fill="FFFFFF"/>
        </w:rPr>
        <w:t>emitió</w:t>
      </w:r>
      <w:r w:rsidR="004B2D0F">
        <w:rPr>
          <w:rFonts w:ascii="ITC Avant Garde" w:hAnsi="ITC Avant Garde"/>
          <w:b/>
          <w:bCs/>
          <w:color w:val="000000"/>
          <w:shd w:val="clear" w:color="auto" w:fill="FFFFFF"/>
        </w:rPr>
        <w:t xml:space="preserve"> </w:t>
      </w:r>
      <w:r w:rsidR="004B2D0F" w:rsidRPr="00F82378">
        <w:rPr>
          <w:rFonts w:ascii="ITC Avant Garde" w:hAnsi="ITC Avant Garde"/>
          <w:bCs/>
          <w:color w:val="000000"/>
          <w:shd w:val="clear" w:color="auto" w:fill="FFFFFF"/>
        </w:rPr>
        <w:t xml:space="preserve">la resolución respecto de la cual </w:t>
      </w:r>
      <w:r w:rsidR="005D5CCB">
        <w:rPr>
          <w:rFonts w:ascii="ITC Avant Garde" w:hAnsi="ITC Avant Garde"/>
          <w:bCs/>
          <w:color w:val="000000"/>
          <w:shd w:val="clear" w:color="auto" w:fill="FFFFFF"/>
        </w:rPr>
        <w:t xml:space="preserve">la </w:t>
      </w:r>
      <w:r w:rsidR="005D5CCB">
        <w:rPr>
          <w:rFonts w:ascii="ITC Avant Garde" w:eastAsia="Times New Roman" w:hAnsi="ITC Avant Garde"/>
          <w:b/>
          <w:bCs/>
          <w:color w:val="000000"/>
          <w:lang w:eastAsia="es-MX"/>
        </w:rPr>
        <w:t>Segunda Sala de la SCJN</w:t>
      </w:r>
      <w:r w:rsidR="004B2D0F" w:rsidRPr="00F82378">
        <w:rPr>
          <w:rFonts w:ascii="ITC Avant Garde" w:hAnsi="ITC Avant Garde"/>
          <w:b/>
          <w:bCs/>
          <w:color w:val="000000"/>
          <w:shd w:val="clear" w:color="auto" w:fill="FFFFFF"/>
        </w:rPr>
        <w:t xml:space="preserve"> </w:t>
      </w:r>
      <w:r w:rsidR="004B2D0F" w:rsidRPr="00F82378">
        <w:rPr>
          <w:rFonts w:ascii="ITC Avant Garde" w:hAnsi="ITC Avant Garde"/>
          <w:bCs/>
          <w:color w:val="000000"/>
          <w:shd w:val="clear" w:color="auto" w:fill="FFFFFF"/>
        </w:rPr>
        <w:t>concedió el amparo</w:t>
      </w:r>
      <w:r w:rsidR="004B2D0F">
        <w:rPr>
          <w:rFonts w:ascii="ITC Avant Garde" w:hAnsi="ITC Avant Garde"/>
          <w:bCs/>
          <w:color w:val="000000"/>
          <w:shd w:val="clear" w:color="auto" w:fill="FFFFFF"/>
        </w:rPr>
        <w:t xml:space="preserve"> y ordena que se declare insubsistente</w:t>
      </w:r>
      <w:r w:rsidR="00C628E7">
        <w:rPr>
          <w:rFonts w:ascii="ITC Avant Garde" w:hAnsi="ITC Avant Garde"/>
          <w:bCs/>
          <w:color w:val="000000"/>
          <w:shd w:val="clear" w:color="auto" w:fill="FFFFFF"/>
        </w:rPr>
        <w:t xml:space="preserve"> </w:t>
      </w:r>
      <w:r w:rsidR="003C56B7">
        <w:rPr>
          <w:rFonts w:ascii="ITC Avant Garde" w:hAnsi="ITC Avant Garde"/>
          <w:bCs/>
          <w:color w:val="000000"/>
          <w:shd w:val="clear" w:color="auto" w:fill="FFFFFF"/>
        </w:rPr>
        <w:t xml:space="preserve">tanto la resolución reclamada como primer acto de aplicación, así como el procedimiento correspondiente, </w:t>
      </w:r>
      <w:r w:rsidR="003D3583">
        <w:rPr>
          <w:rFonts w:ascii="ITC Avant Garde" w:hAnsi="ITC Avant Garde"/>
          <w:bCs/>
          <w:color w:val="000000"/>
          <w:shd w:val="clear" w:color="auto" w:fill="FFFFFF"/>
        </w:rPr>
        <w:t xml:space="preserve">por lo que en consecuencia </w:t>
      </w:r>
      <w:r>
        <w:rPr>
          <w:rFonts w:ascii="ITC Avant Garde" w:eastAsia="Times New Roman" w:hAnsi="ITC Avant Garde"/>
          <w:bCs/>
          <w:color w:val="000000"/>
          <w:lang w:eastAsia="es-MX"/>
        </w:rPr>
        <w:t xml:space="preserve">este </w:t>
      </w:r>
      <w:r w:rsidR="00C3268A">
        <w:rPr>
          <w:rFonts w:ascii="ITC Avant Garde" w:eastAsia="Times New Roman" w:hAnsi="ITC Avant Garde"/>
          <w:bCs/>
          <w:color w:val="000000"/>
          <w:lang w:eastAsia="es-MX"/>
        </w:rPr>
        <w:t>Ó</w:t>
      </w:r>
      <w:r>
        <w:rPr>
          <w:rFonts w:ascii="ITC Avant Garde" w:eastAsia="Times New Roman" w:hAnsi="ITC Avant Garde"/>
          <w:bCs/>
          <w:color w:val="000000"/>
          <w:lang w:eastAsia="es-MX"/>
        </w:rPr>
        <w:t xml:space="preserve">rgano </w:t>
      </w:r>
      <w:r w:rsidR="00C3268A">
        <w:rPr>
          <w:rFonts w:ascii="ITC Avant Garde" w:eastAsia="Times New Roman" w:hAnsi="ITC Avant Garde"/>
          <w:bCs/>
          <w:color w:val="000000"/>
          <w:lang w:eastAsia="es-MX"/>
        </w:rPr>
        <w:t>C</w:t>
      </w:r>
      <w:r>
        <w:rPr>
          <w:rFonts w:ascii="ITC Avant Garde" w:eastAsia="Times New Roman" w:hAnsi="ITC Avant Garde"/>
          <w:bCs/>
          <w:color w:val="000000"/>
          <w:lang w:eastAsia="es-MX"/>
        </w:rPr>
        <w:t>olegiado</w:t>
      </w:r>
      <w:r w:rsidRPr="007607D0">
        <w:rPr>
          <w:rFonts w:ascii="ITC Avant Garde" w:eastAsia="Times New Roman" w:hAnsi="ITC Avant Garde"/>
          <w:bCs/>
          <w:color w:val="000000"/>
          <w:lang w:eastAsia="es-MX"/>
        </w:rPr>
        <w:t xml:space="preserve"> emite </w:t>
      </w:r>
      <w:r w:rsidR="004B2D0F">
        <w:rPr>
          <w:rFonts w:ascii="ITC Avant Garde" w:eastAsia="Times New Roman" w:hAnsi="ITC Avant Garde"/>
          <w:bCs/>
          <w:color w:val="000000"/>
          <w:lang w:eastAsia="es-MX"/>
        </w:rPr>
        <w:t xml:space="preserve">el </w:t>
      </w:r>
      <w:r>
        <w:rPr>
          <w:rFonts w:ascii="ITC Avant Garde" w:eastAsia="Times New Roman" w:hAnsi="ITC Avant Garde"/>
          <w:bCs/>
          <w:color w:val="000000"/>
          <w:lang w:eastAsia="es-MX"/>
        </w:rPr>
        <w:t xml:space="preserve">presente </w:t>
      </w:r>
      <w:r w:rsidR="004B2D0F">
        <w:rPr>
          <w:rFonts w:ascii="ITC Avant Garde" w:eastAsia="Times New Roman" w:hAnsi="ITC Avant Garde"/>
          <w:bCs/>
          <w:color w:val="000000"/>
          <w:lang w:eastAsia="es-MX"/>
        </w:rPr>
        <w:t xml:space="preserve">acuerdo </w:t>
      </w:r>
      <w:r w:rsidRPr="007607D0">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 xml:space="preserve">conformidad con </w:t>
      </w:r>
      <w:r w:rsidRPr="007607D0">
        <w:rPr>
          <w:rFonts w:ascii="ITC Avant Garde" w:eastAsia="Times New Roman" w:hAnsi="ITC Avant Garde"/>
          <w:bCs/>
          <w:color w:val="000000"/>
          <w:lang w:eastAsia="es-MX"/>
        </w:rPr>
        <w:t>lo siguiente</w:t>
      </w:r>
      <w:r w:rsidR="004B2D0F">
        <w:rPr>
          <w:rFonts w:ascii="ITC Avant Garde" w:eastAsia="Times New Roman" w:hAnsi="ITC Avant Garde"/>
          <w:bCs/>
          <w:color w:val="000000"/>
          <w:lang w:eastAsia="es-MX"/>
        </w:rPr>
        <w:t xml:space="preserve"> y</w:t>
      </w:r>
      <w:r w:rsidRPr="007607D0">
        <w:rPr>
          <w:rFonts w:ascii="ITC Avant Garde" w:eastAsia="Times New Roman" w:hAnsi="ITC Avant Garde"/>
          <w:bCs/>
          <w:color w:val="000000"/>
          <w:lang w:eastAsia="es-MX"/>
        </w:rPr>
        <w:t>:</w:t>
      </w:r>
    </w:p>
    <w:p w:rsidR="005B6852" w:rsidRDefault="000903C8" w:rsidP="005B6852">
      <w:pPr>
        <w:pStyle w:val="Ttulo2"/>
        <w:spacing w:after="240"/>
        <w:jc w:val="center"/>
        <w:rPr>
          <w:rFonts w:ascii="ITC Avant Garde" w:eastAsiaTheme="majorEastAsia" w:hAnsi="ITC Avant Garde" w:cstheme="majorBidi"/>
          <w:b/>
          <w:color w:val="000000" w:themeColor="text1"/>
          <w:sz w:val="22"/>
          <w:szCs w:val="22"/>
        </w:rPr>
      </w:pPr>
      <w:r w:rsidRPr="005B6852">
        <w:rPr>
          <w:rFonts w:ascii="ITC Avant Garde" w:eastAsiaTheme="majorEastAsia" w:hAnsi="ITC Avant Garde" w:cstheme="majorBidi"/>
          <w:b/>
          <w:color w:val="000000" w:themeColor="text1"/>
          <w:sz w:val="22"/>
          <w:szCs w:val="22"/>
        </w:rPr>
        <w:t>RESULTANDO</w:t>
      </w:r>
    </w:p>
    <w:p w:rsidR="005B6852" w:rsidRDefault="000903C8" w:rsidP="001228DB">
      <w:pPr>
        <w:pStyle w:val="Textoindependiente"/>
        <w:spacing w:after="0" w:line="360" w:lineRule="auto"/>
        <w:jc w:val="both"/>
        <w:rPr>
          <w:rFonts w:ascii="ITC Avant Garde" w:eastAsia="Times New Roman" w:hAnsi="ITC Avant Garde"/>
          <w:bCs/>
          <w:color w:val="000000"/>
          <w:lang w:eastAsia="es-MX"/>
        </w:rPr>
      </w:pPr>
      <w:r w:rsidRPr="00D82884">
        <w:rPr>
          <w:rFonts w:ascii="ITC Avant Garde" w:eastAsia="Times New Roman" w:hAnsi="ITC Avant Garde"/>
          <w:b/>
          <w:bCs/>
          <w:lang w:eastAsia="es-MX"/>
        </w:rPr>
        <w:t>PRIMERO.</w:t>
      </w:r>
      <w:r w:rsidRPr="00D82884">
        <w:rPr>
          <w:rFonts w:ascii="ITC Avant Garde" w:eastAsia="Times New Roman" w:hAnsi="ITC Avant Garde"/>
          <w:bCs/>
          <w:lang w:eastAsia="es-MX"/>
        </w:rPr>
        <w:t xml:space="preserve"> </w:t>
      </w:r>
      <w:r w:rsidR="001228DB" w:rsidRPr="00F82378">
        <w:rPr>
          <w:rFonts w:ascii="ITC Avant Garde" w:eastAsia="Times New Roman" w:hAnsi="ITC Avant Garde"/>
          <w:bCs/>
          <w:color w:val="000000"/>
          <w:lang w:eastAsia="es-MX"/>
        </w:rPr>
        <w:t xml:space="preserve">En su </w:t>
      </w:r>
      <w:r w:rsidR="00A3315C">
        <w:rPr>
          <w:rFonts w:ascii="ITC Avant Garde" w:eastAsia="Times New Roman" w:hAnsi="ITC Avant Garde"/>
          <w:bCs/>
          <w:color w:val="000000"/>
          <w:lang w:eastAsia="es-MX"/>
        </w:rPr>
        <w:t>XXVI</w:t>
      </w:r>
      <w:r w:rsidR="001228DB" w:rsidRPr="00F82378">
        <w:rPr>
          <w:rFonts w:ascii="ITC Avant Garde" w:eastAsia="Times New Roman" w:hAnsi="ITC Avant Garde"/>
          <w:bCs/>
          <w:color w:val="000000"/>
          <w:lang w:eastAsia="es-MX"/>
        </w:rPr>
        <w:t xml:space="preserve"> Sesión Ordinaria celebrada el </w:t>
      </w:r>
      <w:r w:rsidR="00A3315C">
        <w:rPr>
          <w:rFonts w:ascii="ITC Avant Garde" w:eastAsia="Times New Roman" w:hAnsi="ITC Avant Garde"/>
          <w:bCs/>
          <w:color w:val="000000"/>
          <w:lang w:eastAsia="es-MX"/>
        </w:rPr>
        <w:t xml:space="preserve">veintitrés de agosto </w:t>
      </w:r>
      <w:r w:rsidR="001228DB">
        <w:rPr>
          <w:rFonts w:ascii="ITC Avant Garde" w:eastAsia="Times New Roman" w:hAnsi="ITC Avant Garde"/>
          <w:bCs/>
          <w:color w:val="000000"/>
          <w:lang w:eastAsia="es-MX"/>
        </w:rPr>
        <w:t xml:space="preserve">de dos mil </w:t>
      </w:r>
      <w:r w:rsidR="00A3315C">
        <w:rPr>
          <w:rFonts w:ascii="ITC Avant Garde" w:eastAsia="Times New Roman" w:hAnsi="ITC Avant Garde"/>
          <w:bCs/>
          <w:color w:val="000000"/>
          <w:lang w:eastAsia="es-MX"/>
        </w:rPr>
        <w:t>dieciséis</w:t>
      </w:r>
      <w:r w:rsidR="001228DB" w:rsidRPr="00F82378">
        <w:rPr>
          <w:rFonts w:ascii="ITC Avant Garde" w:eastAsia="Times New Roman" w:hAnsi="ITC Avant Garde"/>
          <w:bCs/>
          <w:color w:val="000000"/>
          <w:lang w:eastAsia="es-MX"/>
        </w:rPr>
        <w:t>, el Pleno del Instituto</w:t>
      </w:r>
      <w:r w:rsidR="001228DB">
        <w:rPr>
          <w:rFonts w:ascii="ITC Avant Garde" w:eastAsia="Times New Roman" w:hAnsi="ITC Avant Garde"/>
          <w:bCs/>
          <w:color w:val="000000"/>
          <w:lang w:eastAsia="es-MX"/>
        </w:rPr>
        <w:t xml:space="preserve"> Federal de Telecomunicaciones</w:t>
      </w:r>
      <w:r w:rsidR="001228DB" w:rsidRPr="00F82378">
        <w:rPr>
          <w:rFonts w:ascii="ITC Avant Garde" w:eastAsia="Times New Roman" w:hAnsi="ITC Avant Garde"/>
          <w:bCs/>
          <w:color w:val="000000"/>
          <w:lang w:eastAsia="es-MX"/>
        </w:rPr>
        <w:t xml:space="preserve">, mediante Acuerdo </w:t>
      </w:r>
      <w:r w:rsidR="001228DB" w:rsidRPr="005D6116">
        <w:rPr>
          <w:rFonts w:ascii="ITC Avant Garde" w:eastAsia="Times New Roman" w:hAnsi="ITC Avant Garde"/>
          <w:b/>
          <w:bCs/>
          <w:color w:val="000000"/>
          <w:lang w:eastAsia="es-MX"/>
        </w:rPr>
        <w:t>P/IFT/</w:t>
      </w:r>
      <w:r w:rsidR="00A3315C">
        <w:rPr>
          <w:rFonts w:ascii="ITC Avant Garde" w:eastAsia="Times New Roman" w:hAnsi="ITC Avant Garde"/>
          <w:b/>
          <w:bCs/>
          <w:color w:val="000000"/>
          <w:lang w:eastAsia="es-MX"/>
        </w:rPr>
        <w:t>230816/446</w:t>
      </w:r>
      <w:r w:rsidR="001228DB" w:rsidRPr="00F82378">
        <w:rPr>
          <w:rFonts w:ascii="ITC Avant Garde" w:eastAsia="Times New Roman" w:hAnsi="ITC Avant Garde"/>
          <w:bCs/>
          <w:color w:val="000000"/>
          <w:lang w:eastAsia="es-MX"/>
        </w:rPr>
        <w:t xml:space="preserve"> </w:t>
      </w:r>
      <w:r w:rsidR="001228DB">
        <w:rPr>
          <w:rFonts w:ascii="ITC Avant Garde" w:eastAsia="Times New Roman" w:hAnsi="ITC Avant Garde"/>
          <w:bCs/>
          <w:color w:val="000000"/>
          <w:lang w:eastAsia="es-MX"/>
        </w:rPr>
        <w:t xml:space="preserve">emitió resolución en el procedimiento </w:t>
      </w:r>
      <w:r w:rsidR="001228DB" w:rsidRPr="00F82378">
        <w:rPr>
          <w:rFonts w:ascii="ITC Avant Garde" w:eastAsia="Times New Roman" w:hAnsi="ITC Avant Garde"/>
          <w:bCs/>
          <w:color w:val="000000"/>
          <w:lang w:eastAsia="es-MX"/>
        </w:rPr>
        <w:t xml:space="preserve">administrativo de imposición de sanción </w:t>
      </w:r>
      <w:r w:rsidR="00A64F79">
        <w:rPr>
          <w:rFonts w:ascii="ITC Avant Garde" w:eastAsia="Times New Roman" w:hAnsi="ITC Avant Garde"/>
          <w:bCs/>
          <w:color w:val="000000"/>
          <w:lang w:eastAsia="es-MX"/>
        </w:rPr>
        <w:t>radicado bajo el número de expediente</w:t>
      </w:r>
      <w:r w:rsidR="001228DB" w:rsidRPr="00F82378">
        <w:rPr>
          <w:rFonts w:ascii="ITC Avant Garde" w:eastAsia="Times New Roman" w:hAnsi="ITC Avant Garde"/>
          <w:bCs/>
          <w:color w:val="000000"/>
          <w:lang w:eastAsia="es-MX"/>
        </w:rPr>
        <w:t xml:space="preserve"> </w:t>
      </w:r>
      <w:r w:rsidR="001228DB">
        <w:rPr>
          <w:rFonts w:ascii="ITC Avant Garde" w:eastAsia="Times New Roman" w:hAnsi="ITC Avant Garde"/>
          <w:bCs/>
          <w:color w:val="000000"/>
          <w:lang w:eastAsia="es-MX"/>
        </w:rPr>
        <w:t xml:space="preserve">número </w:t>
      </w:r>
      <w:r w:rsidR="00A3315C" w:rsidRPr="00C73356">
        <w:rPr>
          <w:rFonts w:ascii="ITC Avant Garde" w:eastAsia="Times New Roman" w:hAnsi="ITC Avant Garde"/>
          <w:b/>
          <w:bCs/>
          <w:color w:val="000000"/>
          <w:lang w:eastAsia="es-MX"/>
        </w:rPr>
        <w:t>E-IFT.UC.DG-SAN.I</w:t>
      </w:r>
      <w:r w:rsidR="00A3315C">
        <w:rPr>
          <w:rFonts w:ascii="ITC Avant Garde" w:eastAsia="Times New Roman" w:hAnsi="ITC Avant Garde"/>
          <w:b/>
          <w:bCs/>
          <w:color w:val="000000"/>
          <w:lang w:eastAsia="es-MX"/>
        </w:rPr>
        <w:t>V</w:t>
      </w:r>
      <w:r w:rsidR="00A3315C" w:rsidRPr="00C73356">
        <w:rPr>
          <w:rFonts w:ascii="ITC Avant Garde" w:eastAsia="Times New Roman" w:hAnsi="ITC Avant Garde"/>
          <w:b/>
          <w:bCs/>
          <w:color w:val="000000"/>
          <w:lang w:eastAsia="es-MX"/>
        </w:rPr>
        <w:t>.00</w:t>
      </w:r>
      <w:r w:rsidR="00A3315C">
        <w:rPr>
          <w:rFonts w:ascii="ITC Avant Garde" w:eastAsia="Times New Roman" w:hAnsi="ITC Avant Garde"/>
          <w:b/>
          <w:bCs/>
          <w:color w:val="000000"/>
          <w:lang w:eastAsia="es-MX"/>
        </w:rPr>
        <w:t>1/</w:t>
      </w:r>
      <w:r w:rsidR="00A3315C" w:rsidRPr="00C73356">
        <w:rPr>
          <w:rFonts w:ascii="ITC Avant Garde" w:eastAsia="Times New Roman" w:hAnsi="ITC Avant Garde"/>
          <w:b/>
          <w:bCs/>
          <w:color w:val="000000"/>
          <w:lang w:eastAsia="es-MX"/>
        </w:rPr>
        <w:t>2016</w:t>
      </w:r>
      <w:r w:rsidR="00C628E7">
        <w:rPr>
          <w:rFonts w:ascii="ITC Avant Garde" w:eastAsia="Times New Roman" w:hAnsi="ITC Avant Garde"/>
          <w:b/>
          <w:bCs/>
          <w:color w:val="000000"/>
          <w:lang w:eastAsia="es-MX"/>
        </w:rPr>
        <w:t xml:space="preserve"> </w:t>
      </w:r>
      <w:r w:rsidR="00C628E7">
        <w:rPr>
          <w:rFonts w:ascii="ITC Avant Garde" w:eastAsia="Times New Roman" w:hAnsi="ITC Avant Garde"/>
          <w:bCs/>
          <w:color w:val="000000"/>
          <w:lang w:eastAsia="es-MX"/>
        </w:rPr>
        <w:lastRenderedPageBreak/>
        <w:t xml:space="preserve">instruido en contra de </w:t>
      </w:r>
      <w:r w:rsidR="00C628E7" w:rsidRPr="00BE2A5B">
        <w:rPr>
          <w:rFonts w:ascii="ITC Avant Garde" w:eastAsia="Times New Roman" w:hAnsi="ITC Avant Garde"/>
          <w:b/>
          <w:bCs/>
          <w:color w:val="000000"/>
          <w:lang w:eastAsia="es-MX"/>
        </w:rPr>
        <w:t>TELEVISIÓN INTERNACIONAL</w:t>
      </w:r>
      <w:r w:rsidR="001228DB">
        <w:rPr>
          <w:rFonts w:ascii="ITC Avant Garde" w:eastAsia="Times New Roman" w:hAnsi="ITC Avant Garde"/>
          <w:bCs/>
          <w:color w:val="000000"/>
          <w:lang w:eastAsia="es-MX"/>
        </w:rPr>
        <w:t>, misma que en la parte que interesa señaló lo siguiente</w:t>
      </w:r>
      <w:r w:rsidR="001228DB" w:rsidRPr="00F82378">
        <w:rPr>
          <w:rFonts w:ascii="ITC Avant Garde" w:eastAsia="Times New Roman" w:hAnsi="ITC Avant Garde"/>
          <w:bCs/>
          <w:color w:val="000000"/>
          <w:lang w:eastAsia="es-MX"/>
        </w:rPr>
        <w:t>:</w:t>
      </w:r>
    </w:p>
    <w:p w:rsidR="005B6852" w:rsidRDefault="007B6C64" w:rsidP="007B6C64">
      <w:pPr>
        <w:pStyle w:val="Textoindependiente"/>
        <w:tabs>
          <w:tab w:val="left" w:pos="993"/>
        </w:tabs>
        <w:spacing w:after="0" w:line="240" w:lineRule="auto"/>
        <w:ind w:left="567" w:right="616"/>
        <w:jc w:val="both"/>
        <w:rPr>
          <w:rFonts w:ascii="ITC Avant Garde" w:eastAsia="Times New Roman" w:hAnsi="ITC Avant Garde"/>
          <w:bCs/>
          <w:i/>
          <w:lang w:eastAsia="es-MX"/>
        </w:rPr>
      </w:pPr>
      <w:r>
        <w:rPr>
          <w:rFonts w:ascii="ITC Avant Garde" w:eastAsia="Times New Roman" w:hAnsi="ITC Avant Garde"/>
          <w:bCs/>
          <w:i/>
          <w:lang w:eastAsia="es-MX"/>
        </w:rPr>
        <w:t>“</w:t>
      </w:r>
      <w:r w:rsidRPr="007B6C64">
        <w:rPr>
          <w:rFonts w:ascii="ITC Avant Garde" w:eastAsia="Times New Roman" w:hAnsi="ITC Avant Garde"/>
          <w:b/>
          <w:bCs/>
          <w:i/>
          <w:lang w:eastAsia="es-MX"/>
        </w:rPr>
        <w:t>PRIMERO.</w:t>
      </w:r>
      <w:r w:rsidRPr="007B6C64">
        <w:rPr>
          <w:rFonts w:ascii="ITC Avant Garde" w:eastAsia="Times New Roman" w:hAnsi="ITC Avant Garde"/>
          <w:bCs/>
          <w:i/>
          <w:lang w:eastAsia="es-MX"/>
        </w:rPr>
        <w:t xml:space="preserve"> Conforme a lo expuesto en la presente resolución, se acredita que </w:t>
      </w:r>
      <w:r w:rsidRPr="007B6C64">
        <w:rPr>
          <w:rFonts w:ascii="ITC Avant Garde" w:eastAsia="Times New Roman" w:hAnsi="ITC Avant Garde"/>
          <w:b/>
          <w:bCs/>
          <w:i/>
          <w:lang w:eastAsia="es-MX"/>
        </w:rPr>
        <w:t>TELEVISIÓN INTERNACIONAL, S.A. DE C.V.</w:t>
      </w:r>
      <w:r w:rsidRPr="007B6C64">
        <w:rPr>
          <w:rFonts w:ascii="ITC Avant Garde" w:eastAsia="Times New Roman" w:hAnsi="ITC Avant Garde"/>
          <w:bCs/>
          <w:i/>
          <w:lang w:eastAsia="es-MX"/>
        </w:rPr>
        <w:t xml:space="preserve"> incumplió con lo establecido en el artículo 12 de </w:t>
      </w:r>
      <w:r w:rsidRPr="007B6C64">
        <w:rPr>
          <w:rFonts w:ascii="ITC Avant Garde" w:eastAsia="Times New Roman" w:hAnsi="ITC Avant Garde"/>
          <w:b/>
          <w:bCs/>
          <w:i/>
          <w:lang w:eastAsia="es-MX"/>
        </w:rPr>
        <w:t>LOS LINEAMIENTOS</w:t>
      </w:r>
      <w:r w:rsidRPr="007B6C64">
        <w:rPr>
          <w:rFonts w:ascii="ITC Avant Garde" w:eastAsia="Times New Roman" w:hAnsi="ITC Avant Garde"/>
          <w:bCs/>
          <w:i/>
          <w:lang w:eastAsia="es-MX"/>
        </w:rPr>
        <w:t xml:space="preserve"> y </w:t>
      </w:r>
      <w:r w:rsidRPr="007B6C64">
        <w:rPr>
          <w:rFonts w:ascii="ITC Avant Garde" w:eastAsia="Times New Roman" w:hAnsi="ITC Avant Garde"/>
          <w:b/>
          <w:bCs/>
          <w:i/>
          <w:lang w:eastAsia="es-MX"/>
        </w:rPr>
        <w:t>LAS MODIFICACIONES A LOS LINEAMIENTOS</w:t>
      </w:r>
      <w:r w:rsidRPr="007B6C64">
        <w:rPr>
          <w:rFonts w:ascii="ITC Avant Garde" w:eastAsia="Times New Roman" w:hAnsi="ITC Avant Garde"/>
          <w:bCs/>
          <w:i/>
          <w:lang w:eastAsia="es-MX"/>
        </w:rPr>
        <w:t xml:space="preserve">, en relación con el </w:t>
      </w:r>
      <w:r w:rsidRPr="007B6C64">
        <w:rPr>
          <w:rFonts w:ascii="ITC Avant Garde" w:eastAsia="Times New Roman" w:hAnsi="ITC Avant Garde"/>
          <w:b/>
          <w:bCs/>
          <w:i/>
          <w:lang w:eastAsia="es-MX"/>
        </w:rPr>
        <w:t xml:space="preserve">LISTADO </w:t>
      </w:r>
      <w:r w:rsidRPr="007B6C64">
        <w:rPr>
          <w:rFonts w:ascii="ITC Avant Garde" w:eastAsia="Times New Roman" w:hAnsi="ITC Avant Garde"/>
          <w:bCs/>
          <w:i/>
          <w:lang w:eastAsia="es-MX"/>
        </w:rPr>
        <w:t xml:space="preserve">y </w:t>
      </w:r>
      <w:r w:rsidRPr="007B6C64">
        <w:rPr>
          <w:rFonts w:ascii="ITC Avant Garde" w:eastAsia="Times New Roman" w:hAnsi="ITC Avant Garde"/>
          <w:b/>
          <w:bCs/>
          <w:i/>
          <w:lang w:eastAsia="es-MX"/>
        </w:rPr>
        <w:t>LA ACTUALIZACIÓN DEL LISTADO</w:t>
      </w:r>
      <w:r w:rsidRPr="007B6C64">
        <w:rPr>
          <w:rFonts w:ascii="ITC Avant Garde" w:eastAsia="Times New Roman" w:hAnsi="ITC Avant Garde"/>
          <w:bCs/>
          <w:i/>
          <w:lang w:eastAsia="es-MX"/>
        </w:rPr>
        <w:t xml:space="preserve">, toda vez que dicha concesionaria no retransmitía al momento en que se llevó a cabo la visita de verificación el canal </w:t>
      </w:r>
      <w:proofErr w:type="spellStart"/>
      <w:r w:rsidRPr="007B6C64">
        <w:rPr>
          <w:rFonts w:ascii="ITC Avant Garde" w:eastAsia="Times New Roman" w:hAnsi="ITC Avant Garde"/>
          <w:bCs/>
          <w:i/>
          <w:lang w:eastAsia="es-MX"/>
        </w:rPr>
        <w:t>multiprogramado</w:t>
      </w:r>
      <w:proofErr w:type="spellEnd"/>
      <w:r w:rsidRPr="007B6C64">
        <w:rPr>
          <w:rFonts w:ascii="ITC Avant Garde" w:eastAsia="Times New Roman" w:hAnsi="ITC Avant Garde"/>
          <w:bCs/>
          <w:i/>
          <w:lang w:eastAsia="es-MX"/>
        </w:rPr>
        <w:t xml:space="preserve"> </w:t>
      </w:r>
      <w:r w:rsidRPr="007B6C64">
        <w:rPr>
          <w:rFonts w:ascii="ITC Avant Garde" w:eastAsia="Times New Roman" w:hAnsi="ITC Avant Garde"/>
          <w:b/>
          <w:bCs/>
          <w:i/>
          <w:lang w:eastAsia="es-MX"/>
        </w:rPr>
        <w:t>11.2</w:t>
      </w:r>
      <w:r w:rsidRPr="007B6C64">
        <w:rPr>
          <w:rFonts w:ascii="ITC Avant Garde" w:eastAsia="Times New Roman" w:hAnsi="ITC Avant Garde"/>
          <w:bCs/>
          <w:i/>
          <w:lang w:eastAsia="es-MX"/>
        </w:rPr>
        <w:t xml:space="preserve"> del Instituto Politécnico Nacional identificado como Once Niños.</w:t>
      </w:r>
    </w:p>
    <w:p w:rsidR="005B6852" w:rsidRPr="0080056C" w:rsidRDefault="007B6C64" w:rsidP="0080056C">
      <w:pPr>
        <w:pStyle w:val="Textoindependiente"/>
        <w:tabs>
          <w:tab w:val="left" w:pos="993"/>
        </w:tabs>
        <w:spacing w:after="0" w:line="240" w:lineRule="auto"/>
        <w:ind w:left="567" w:right="616"/>
        <w:jc w:val="both"/>
        <w:rPr>
          <w:rFonts w:ascii="ITC Avant Garde" w:eastAsia="Times New Roman" w:hAnsi="ITC Avant Garde"/>
          <w:bCs/>
          <w:i/>
          <w:lang w:eastAsia="es-MX"/>
        </w:rPr>
      </w:pPr>
      <w:r w:rsidRPr="007B6C64">
        <w:rPr>
          <w:rFonts w:ascii="ITC Avant Garde" w:eastAsia="Times New Roman" w:hAnsi="ITC Avant Garde"/>
          <w:b/>
          <w:bCs/>
          <w:i/>
          <w:lang w:eastAsia="es-MX"/>
        </w:rPr>
        <w:t>SEGUNDO.</w:t>
      </w:r>
      <w:r w:rsidRPr="007B6C64">
        <w:rPr>
          <w:rFonts w:ascii="ITC Avant Garde" w:eastAsia="Times New Roman" w:hAnsi="ITC Avant Garde"/>
          <w:bCs/>
          <w:i/>
          <w:lang w:eastAsia="es-MX"/>
        </w:rPr>
        <w:t xml:space="preserve"> De conformidad con lo señalado en el Considerandos </w:t>
      </w:r>
      <w:r w:rsidRPr="007B6C64">
        <w:rPr>
          <w:rFonts w:ascii="ITC Avant Garde" w:eastAsia="Times New Roman" w:hAnsi="ITC Avant Garde"/>
          <w:b/>
          <w:bCs/>
          <w:i/>
          <w:lang w:eastAsia="es-MX"/>
        </w:rPr>
        <w:t>CUARTO, QUINTO y SEXTO</w:t>
      </w:r>
      <w:r w:rsidRPr="007B6C64">
        <w:rPr>
          <w:rFonts w:ascii="ITC Avant Garde" w:eastAsia="Times New Roman" w:hAnsi="ITC Avant Garde"/>
          <w:bCs/>
          <w:i/>
          <w:lang w:eastAsia="es-MX"/>
        </w:rPr>
        <w:t xml:space="preserve"> de la presente Resolución y con fundamento en el artículo 298, inciso B) fracción IV de la Ley Federal de Telecomunicaciones y Radiodifusión, se impone a </w:t>
      </w:r>
      <w:r w:rsidRPr="007B6C64">
        <w:rPr>
          <w:rFonts w:ascii="ITC Avant Garde" w:eastAsia="Times New Roman" w:hAnsi="ITC Avant Garde"/>
          <w:b/>
          <w:bCs/>
          <w:i/>
          <w:lang w:eastAsia="es-MX"/>
        </w:rPr>
        <w:t xml:space="preserve">TELEVISIÓN INTERNACIONAL, S.A. DE C.V. una </w:t>
      </w:r>
      <w:r w:rsidRPr="007B6C64">
        <w:rPr>
          <w:rFonts w:ascii="ITC Avant Garde" w:eastAsia="Times New Roman" w:hAnsi="ITC Avant Garde"/>
          <w:bCs/>
          <w:i/>
          <w:lang w:eastAsia="es-MX"/>
        </w:rPr>
        <w:t>m</w:t>
      </w:r>
      <w:r w:rsidR="0080056C">
        <w:rPr>
          <w:rFonts w:ascii="ITC Avant Garde" w:eastAsia="Times New Roman" w:hAnsi="ITC Avant Garde"/>
          <w:bCs/>
          <w:i/>
          <w:lang w:eastAsia="es-MX"/>
        </w:rPr>
        <w:t xml:space="preserve">ulta mínima correspondiente al </w:t>
      </w:r>
      <w:r w:rsidR="0080056C" w:rsidRPr="004E0D87">
        <w:rPr>
          <w:rFonts w:ascii="ITC Avant Garde" w:eastAsia="Times New Roman" w:hAnsi="ITC Avant Garde"/>
          <w:b/>
          <w:bCs/>
          <w:color w:val="0000FF"/>
          <w:lang w:eastAsia="es-MX"/>
        </w:rPr>
        <w:t>CONFIDENCIAL POR LEY</w:t>
      </w:r>
      <w:r w:rsidRPr="007B6C64">
        <w:rPr>
          <w:rFonts w:ascii="ITC Avant Garde" w:eastAsia="Times New Roman" w:hAnsi="ITC Avant Garde"/>
          <w:bCs/>
          <w:i/>
          <w:lang w:eastAsia="es-MX"/>
        </w:rPr>
        <w:t xml:space="preserve"> de sus ingresos acumulables, que equivale a la cantidad de </w:t>
      </w:r>
      <w:r w:rsidR="0080056C" w:rsidRPr="0080056C">
        <w:rPr>
          <w:rFonts w:ascii="ITC Avant Garde" w:eastAsia="Times New Roman" w:hAnsi="ITC Avant Garde"/>
          <w:b/>
          <w:bCs/>
          <w:lang w:eastAsia="es-MX"/>
        </w:rPr>
        <w:t>$31,104</w:t>
      </w:r>
      <w:r w:rsidR="0080056C">
        <w:rPr>
          <w:rFonts w:ascii="ITC Avant Garde" w:eastAsia="Times New Roman" w:hAnsi="ITC Avant Garde"/>
          <w:b/>
          <w:bCs/>
          <w:lang w:eastAsia="es-MX"/>
        </w:rPr>
        <w:t>,</w:t>
      </w:r>
      <w:r w:rsidR="0080056C" w:rsidRPr="0080056C">
        <w:rPr>
          <w:rFonts w:ascii="ITC Avant Garde" w:eastAsia="Times New Roman" w:hAnsi="ITC Avant Garde"/>
          <w:b/>
          <w:bCs/>
          <w:lang w:eastAsia="es-MX"/>
        </w:rPr>
        <w:t>326.66 (treinta y un millones ciento cuatro mil trescientos veintiséis pesos 66/100 M.N.)</w:t>
      </w:r>
      <w:r w:rsidR="0080056C">
        <w:rPr>
          <w:rFonts w:ascii="ITC Avant Garde" w:eastAsia="Times New Roman" w:hAnsi="ITC Avant Garde"/>
          <w:bCs/>
          <w:i/>
          <w:lang w:eastAsia="es-MX"/>
        </w:rPr>
        <w:t xml:space="preserve"> </w:t>
      </w:r>
      <w:r>
        <w:rPr>
          <w:rFonts w:ascii="ITC Avant Garde" w:eastAsia="Times New Roman" w:hAnsi="ITC Avant Garde"/>
          <w:b/>
          <w:bCs/>
          <w:i/>
          <w:lang w:eastAsia="es-MX"/>
        </w:rPr>
        <w:t>…”</w:t>
      </w:r>
    </w:p>
    <w:p w:rsidR="005B6852" w:rsidRDefault="007B6C64" w:rsidP="007B6C64">
      <w:pPr>
        <w:pStyle w:val="Textoindependiente"/>
        <w:tabs>
          <w:tab w:val="left" w:pos="993"/>
        </w:tabs>
        <w:spacing w:after="0" w:line="240" w:lineRule="auto"/>
        <w:ind w:left="567" w:right="616"/>
        <w:jc w:val="both"/>
        <w:rPr>
          <w:rFonts w:ascii="ITC Avant Garde" w:eastAsia="Times New Roman" w:hAnsi="ITC Avant Garde"/>
          <w:bCs/>
          <w:lang w:eastAsia="es-MX"/>
        </w:rPr>
      </w:pPr>
      <w:r>
        <w:rPr>
          <w:rFonts w:ascii="ITC Avant Garde" w:eastAsia="Times New Roman" w:hAnsi="ITC Avant Garde"/>
          <w:b/>
          <w:lang w:eastAsia="es-MX"/>
        </w:rPr>
        <w:t>“</w:t>
      </w:r>
      <w:r w:rsidRPr="00C628E7">
        <w:rPr>
          <w:rFonts w:ascii="ITC Avant Garde" w:eastAsia="Times New Roman" w:hAnsi="ITC Avant Garde"/>
          <w:b/>
          <w:i/>
          <w:lang w:eastAsia="es-MX"/>
        </w:rPr>
        <w:t>SÉPTIMO.</w:t>
      </w:r>
      <w:r w:rsidRPr="00C628E7">
        <w:rPr>
          <w:rFonts w:ascii="ITC Avant Garde" w:eastAsia="Times New Roman" w:hAnsi="ITC Avant Garde"/>
          <w:i/>
          <w:lang w:eastAsia="es-MX"/>
        </w:rPr>
        <w:t xml:space="preserve"> </w:t>
      </w:r>
      <w:r w:rsidRPr="00C628E7">
        <w:rPr>
          <w:rFonts w:ascii="ITC Avant Garde" w:eastAsia="Times New Roman" w:hAnsi="ITC Avant Garde"/>
          <w:bCs/>
          <w:i/>
          <w:lang w:eastAsia="es-MX"/>
        </w:rPr>
        <w:t xml:space="preserve">En cumplimiento a lo dispuesto en los artículos 3, fracción  XV y 39 de la Ley Federal de Procedimiento Administrativo, se hace del conocimiento de </w:t>
      </w:r>
      <w:r w:rsidRPr="00C628E7">
        <w:rPr>
          <w:rFonts w:ascii="ITC Avant Garde" w:eastAsia="Times New Roman" w:hAnsi="ITC Avant Garde"/>
          <w:b/>
          <w:bCs/>
          <w:i/>
          <w:color w:val="000000"/>
          <w:lang w:eastAsia="es-MX"/>
        </w:rPr>
        <w:t>TELEVISIÓN INTERNACIONAL</w:t>
      </w:r>
      <w:r w:rsidRPr="00C628E7">
        <w:rPr>
          <w:rFonts w:ascii="ITC Avant Garde" w:eastAsia="Times New Roman" w:hAnsi="ITC Avant Garde"/>
          <w:b/>
          <w:bCs/>
          <w:i/>
          <w:lang w:eastAsia="es-MX"/>
        </w:rPr>
        <w:t xml:space="preserve">, S.A. DE C.V. </w:t>
      </w:r>
      <w:r w:rsidRPr="00C628E7">
        <w:rPr>
          <w:rFonts w:ascii="ITC Avant Garde" w:eastAsia="Times New Roman" w:hAnsi="ITC Avant Garde"/>
          <w:bCs/>
          <w:i/>
          <w:lang w:eastAsia="es-MX"/>
        </w:rPr>
        <w:t>que la presente Resolución constituye un acto administrativo definitivo y por lo tanto, de conformidad con lo dispuesto en el artículo 28 de la Constitución Política de los Estados Unidos Mexicanos,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r w:rsidRPr="00C628E7">
        <w:rPr>
          <w:rFonts w:ascii="ITC Avant Garde" w:eastAsia="Times New Roman" w:hAnsi="ITC Avant Garde"/>
          <w:bCs/>
          <w:lang w:eastAsia="es-MX"/>
        </w:rPr>
        <w:t>”</w:t>
      </w:r>
    </w:p>
    <w:p w:rsidR="005B6852" w:rsidRDefault="00AC1523" w:rsidP="00C77130">
      <w:pPr>
        <w:spacing w:after="0" w:line="360" w:lineRule="auto"/>
        <w:jc w:val="center"/>
        <w:rPr>
          <w:rFonts w:ascii="ITC Avant Garde" w:eastAsia="Times New Roman" w:hAnsi="ITC Avant Garde"/>
          <w:bCs/>
          <w:u w:val="single"/>
          <w:lang w:eastAsia="es-MX"/>
        </w:rPr>
      </w:pPr>
      <w:r w:rsidRPr="00C77130">
        <w:rPr>
          <w:rFonts w:ascii="ITC Avant Garde" w:eastAsia="Times New Roman" w:hAnsi="ITC Avant Garde"/>
          <w:b/>
          <w:bCs/>
          <w:u w:val="single"/>
          <w:lang w:eastAsia="es-MX"/>
        </w:rPr>
        <w:t>Juicio de Amparo promovido por</w:t>
      </w:r>
      <w:r w:rsidRPr="00AC1523">
        <w:rPr>
          <w:rFonts w:ascii="ITC Avant Garde" w:eastAsia="Times New Roman" w:hAnsi="ITC Avant Garde"/>
          <w:bCs/>
          <w:u w:val="single"/>
          <w:lang w:eastAsia="es-MX"/>
        </w:rPr>
        <w:t xml:space="preserve"> </w:t>
      </w:r>
      <w:r w:rsidRPr="00AC1523">
        <w:rPr>
          <w:rFonts w:ascii="ITC Avant Garde" w:eastAsia="Times New Roman" w:hAnsi="ITC Avant Garde"/>
          <w:b/>
          <w:bCs/>
          <w:color w:val="000000"/>
          <w:u w:val="single"/>
          <w:lang w:eastAsia="es-MX"/>
        </w:rPr>
        <w:t>TELEVISIÓN INTERNACIONAL</w:t>
      </w:r>
    </w:p>
    <w:p w:rsidR="005B6852" w:rsidRDefault="00077F8F" w:rsidP="00077F8F">
      <w:pPr>
        <w:pStyle w:val="Textoindependiente"/>
        <w:spacing w:after="0" w:line="360" w:lineRule="auto"/>
        <w:jc w:val="both"/>
        <w:rPr>
          <w:rFonts w:ascii="ITC Avant Garde" w:eastAsia="Times New Roman" w:hAnsi="ITC Avant Garde"/>
          <w:bCs/>
          <w:color w:val="000000"/>
          <w:lang w:eastAsia="es-MX"/>
        </w:rPr>
      </w:pPr>
      <w:r w:rsidRPr="00F82378">
        <w:rPr>
          <w:rFonts w:ascii="ITC Avant Garde" w:eastAsia="Times New Roman" w:hAnsi="ITC Avant Garde"/>
          <w:b/>
          <w:bCs/>
          <w:color w:val="000000"/>
          <w:lang w:eastAsia="es-MX"/>
        </w:rPr>
        <w:t>SEGUNDO</w:t>
      </w:r>
      <w:r w:rsidRPr="00231929">
        <w:rPr>
          <w:rFonts w:ascii="ITC Avant Garde" w:eastAsia="Times New Roman" w:hAnsi="ITC Avant Garde"/>
          <w:b/>
          <w:bCs/>
          <w:color w:val="000000"/>
          <w:lang w:eastAsia="es-MX"/>
        </w:rPr>
        <w:t xml:space="preserve">. </w:t>
      </w:r>
      <w:r w:rsidRPr="00231929">
        <w:rPr>
          <w:rFonts w:ascii="ITC Avant Garde" w:eastAsia="Times New Roman" w:hAnsi="ITC Avant Garde"/>
          <w:bCs/>
          <w:color w:val="000000"/>
          <w:lang w:eastAsia="es-MX"/>
        </w:rPr>
        <w:t xml:space="preserve">El </w:t>
      </w:r>
      <w:r w:rsidR="00223A5B">
        <w:rPr>
          <w:rFonts w:ascii="ITC Avant Garde" w:eastAsia="Times New Roman" w:hAnsi="ITC Avant Garde"/>
          <w:bCs/>
          <w:color w:val="000000"/>
          <w:lang w:eastAsia="es-MX"/>
        </w:rPr>
        <w:t xml:space="preserve">siete de octubre </w:t>
      </w:r>
      <w:r>
        <w:rPr>
          <w:rFonts w:ascii="ITC Avant Garde" w:eastAsia="Times New Roman" w:hAnsi="ITC Avant Garde"/>
          <w:bCs/>
          <w:color w:val="000000"/>
          <w:lang w:eastAsia="es-MX"/>
        </w:rPr>
        <w:t>de dos mil dieci</w:t>
      </w:r>
      <w:r w:rsidR="003D3583">
        <w:rPr>
          <w:rFonts w:ascii="ITC Avant Garde" w:eastAsia="Times New Roman" w:hAnsi="ITC Avant Garde"/>
          <w:bCs/>
          <w:color w:val="000000"/>
          <w:lang w:eastAsia="es-MX"/>
        </w:rPr>
        <w:t xml:space="preserve">séis </w:t>
      </w:r>
      <w:r>
        <w:rPr>
          <w:rFonts w:ascii="ITC Avant Garde" w:eastAsia="Times New Roman" w:hAnsi="ITC Avant Garde"/>
          <w:bCs/>
          <w:color w:val="000000"/>
          <w:lang w:eastAsia="es-MX"/>
        </w:rPr>
        <w:t xml:space="preserve">fue </w:t>
      </w:r>
      <w:r w:rsidRPr="00F82378">
        <w:rPr>
          <w:rFonts w:ascii="ITC Avant Garde" w:eastAsia="Times New Roman" w:hAnsi="ITC Avant Garde"/>
          <w:bCs/>
          <w:color w:val="000000"/>
          <w:lang w:eastAsia="es-MX"/>
        </w:rPr>
        <w:t>notificado a</w:t>
      </w:r>
      <w:r>
        <w:rPr>
          <w:rFonts w:ascii="ITC Avant Garde" w:eastAsia="Times New Roman" w:hAnsi="ITC Avant Garde"/>
          <w:bCs/>
          <w:color w:val="000000"/>
          <w:lang w:eastAsia="es-MX"/>
        </w:rPr>
        <w:t xml:space="preserve"> este Instituto el acuerdo de </w:t>
      </w:r>
      <w:r w:rsidR="00B36089">
        <w:rPr>
          <w:rFonts w:ascii="ITC Avant Garde" w:eastAsia="Times New Roman" w:hAnsi="ITC Avant Garde"/>
          <w:bCs/>
          <w:color w:val="000000"/>
          <w:lang w:eastAsia="es-MX"/>
        </w:rPr>
        <w:t>cinco de octubre</w:t>
      </w:r>
      <w:r>
        <w:rPr>
          <w:rFonts w:ascii="ITC Avant Garde" w:eastAsia="Times New Roman" w:hAnsi="ITC Avant Garde"/>
          <w:bCs/>
          <w:color w:val="000000"/>
          <w:lang w:eastAsia="es-MX"/>
        </w:rPr>
        <w:t xml:space="preserve"> del mismo año</w:t>
      </w:r>
      <w:r w:rsidRPr="00F82378">
        <w:rPr>
          <w:rFonts w:ascii="ITC Avant Garde" w:eastAsia="Times New Roman" w:hAnsi="ITC Avant Garde"/>
          <w:bCs/>
          <w:color w:val="000000"/>
          <w:lang w:eastAsia="es-MX"/>
        </w:rPr>
        <w:t xml:space="preserve">, a través del cual el </w:t>
      </w:r>
      <w:r w:rsidRPr="00BE25CF">
        <w:rPr>
          <w:rFonts w:ascii="ITC Avant Garde" w:eastAsia="Times New Roman" w:hAnsi="ITC Avant Garde"/>
          <w:b/>
          <w:bCs/>
          <w:color w:val="000000"/>
          <w:lang w:eastAsia="es-MX"/>
        </w:rPr>
        <w:t xml:space="preserve">JUZGADO </w:t>
      </w:r>
      <w:r w:rsidR="00B36089">
        <w:rPr>
          <w:rFonts w:ascii="ITC Avant Garde" w:eastAsia="Times New Roman" w:hAnsi="ITC Avant Garde"/>
          <w:b/>
          <w:bCs/>
          <w:color w:val="000000"/>
          <w:lang w:eastAsia="es-MX"/>
        </w:rPr>
        <w:t>PRIMERO</w:t>
      </w:r>
      <w:r>
        <w:rPr>
          <w:rFonts w:ascii="ITC Avant Garde" w:eastAsia="Times New Roman" w:hAnsi="ITC Avant Garde"/>
          <w:b/>
          <w:bCs/>
          <w:color w:val="000000"/>
          <w:lang w:eastAsia="es-MX"/>
        </w:rPr>
        <w:t xml:space="preserve"> </w:t>
      </w:r>
      <w:r w:rsidRPr="00F82378">
        <w:rPr>
          <w:rFonts w:ascii="ITC Avant Garde" w:eastAsia="Times New Roman" w:hAnsi="ITC Avant Garde"/>
          <w:bCs/>
          <w:color w:val="000000"/>
          <w:lang w:eastAsia="es-MX"/>
        </w:rPr>
        <w:t xml:space="preserve">admitió a trámite el juicio de amparo </w:t>
      </w:r>
      <w:r>
        <w:rPr>
          <w:rFonts w:ascii="ITC Avant Garde" w:eastAsia="Times New Roman" w:hAnsi="ITC Avant Garde"/>
          <w:bCs/>
          <w:color w:val="000000"/>
          <w:lang w:eastAsia="es-MX"/>
        </w:rPr>
        <w:t>indirecto interpuesto</w:t>
      </w:r>
      <w:r w:rsidRPr="00F8237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por </w:t>
      </w:r>
      <w:r w:rsidR="00B36089" w:rsidRPr="006F0E35">
        <w:rPr>
          <w:rFonts w:ascii="ITC Avant Garde" w:eastAsia="Times New Roman" w:hAnsi="ITC Avant Garde"/>
          <w:b/>
          <w:bCs/>
          <w:color w:val="000000"/>
          <w:lang w:eastAsia="es-MX"/>
        </w:rPr>
        <w:t>TELEVISIÓN INTERNACIONAL</w:t>
      </w:r>
      <w:r w:rsidR="00B36089" w:rsidRPr="00443137">
        <w:rPr>
          <w:rFonts w:ascii="ITC Avant Garde" w:eastAsia="Times New Roman" w:hAnsi="ITC Avant Garde"/>
          <w:bCs/>
          <w:color w:val="000000"/>
          <w:lang w:eastAsia="es-MX"/>
        </w:rPr>
        <w:t xml:space="preserve"> </w:t>
      </w:r>
      <w:r w:rsidRPr="00443137">
        <w:rPr>
          <w:rFonts w:ascii="ITC Avant Garde" w:eastAsia="Times New Roman" w:hAnsi="ITC Avant Garde"/>
          <w:bCs/>
          <w:color w:val="000000"/>
          <w:lang w:eastAsia="es-MX"/>
        </w:rPr>
        <w:t>en contra de la resolución</w:t>
      </w:r>
      <w:r>
        <w:rPr>
          <w:rFonts w:ascii="ITC Avant Garde" w:eastAsia="Times New Roman" w:hAnsi="ITC Avant Garde"/>
          <w:b/>
          <w:bCs/>
          <w:color w:val="000000"/>
          <w:lang w:eastAsia="es-MX"/>
        </w:rPr>
        <w:t xml:space="preserve"> </w:t>
      </w:r>
      <w:r w:rsidRPr="00F82378">
        <w:rPr>
          <w:rFonts w:ascii="ITC Avant Garde" w:eastAsia="Times New Roman" w:hAnsi="ITC Avant Garde"/>
          <w:bCs/>
          <w:color w:val="000000"/>
          <w:lang w:eastAsia="es-MX"/>
        </w:rPr>
        <w:t>referid</w:t>
      </w:r>
      <w:r>
        <w:rPr>
          <w:rFonts w:ascii="ITC Avant Garde" w:eastAsia="Times New Roman" w:hAnsi="ITC Avant Garde"/>
          <w:bCs/>
          <w:color w:val="000000"/>
          <w:lang w:eastAsia="es-MX"/>
        </w:rPr>
        <w:t>a</w:t>
      </w:r>
      <w:r w:rsidRPr="00F82378">
        <w:rPr>
          <w:rFonts w:ascii="ITC Avant Garde" w:eastAsia="Times New Roman" w:hAnsi="ITC Avant Garde"/>
          <w:bCs/>
          <w:color w:val="000000"/>
          <w:lang w:eastAsia="es-MX"/>
        </w:rPr>
        <w:t xml:space="preserve"> en el numeral inmediato anterior</w:t>
      </w:r>
      <w:r>
        <w:rPr>
          <w:rFonts w:ascii="ITC Avant Garde" w:eastAsia="Times New Roman" w:hAnsi="ITC Avant Garde"/>
          <w:bCs/>
          <w:color w:val="000000"/>
          <w:lang w:eastAsia="es-MX"/>
        </w:rPr>
        <w:t xml:space="preserve">, el cual fue radicado con el número de expediente </w:t>
      </w:r>
      <w:r w:rsidR="00B36089">
        <w:rPr>
          <w:rFonts w:ascii="ITC Avant Garde" w:eastAsia="Times New Roman" w:hAnsi="ITC Avant Garde"/>
          <w:b/>
          <w:bCs/>
          <w:color w:val="000000"/>
          <w:lang w:eastAsia="es-MX"/>
        </w:rPr>
        <w:t>135/2016</w:t>
      </w:r>
      <w:r w:rsidRPr="00F8237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del índice de dicho juzgado</w:t>
      </w:r>
      <w:r w:rsidRPr="00F82378">
        <w:rPr>
          <w:rFonts w:ascii="ITC Avant Garde" w:eastAsia="Times New Roman" w:hAnsi="ITC Avant Garde"/>
          <w:bCs/>
          <w:color w:val="000000"/>
          <w:lang w:eastAsia="es-MX"/>
        </w:rPr>
        <w:t>.</w:t>
      </w:r>
    </w:p>
    <w:p w:rsidR="005B6852" w:rsidRDefault="00077F8F" w:rsidP="00077F8F">
      <w:pPr>
        <w:pStyle w:val="Textoindependiente"/>
        <w:spacing w:after="0" w:line="360" w:lineRule="auto"/>
        <w:jc w:val="both"/>
        <w:rPr>
          <w:rFonts w:ascii="ITC Avant Garde" w:eastAsia="Times New Roman" w:hAnsi="ITC Avant Garde"/>
          <w:b/>
          <w:bCs/>
          <w:color w:val="000000"/>
          <w:lang w:eastAsia="es-MX"/>
        </w:rPr>
      </w:pPr>
      <w:r w:rsidRPr="00F82378">
        <w:rPr>
          <w:rFonts w:ascii="ITC Avant Garde" w:eastAsia="Times New Roman" w:hAnsi="ITC Avant Garde"/>
          <w:b/>
          <w:bCs/>
          <w:color w:val="000000"/>
          <w:lang w:eastAsia="es-MX"/>
        </w:rPr>
        <w:t xml:space="preserve">TERCERO. </w:t>
      </w:r>
      <w:r w:rsidRPr="00F82378">
        <w:rPr>
          <w:rFonts w:ascii="ITC Avant Garde" w:eastAsia="Times New Roman" w:hAnsi="ITC Avant Garde"/>
          <w:bCs/>
          <w:color w:val="000000"/>
          <w:lang w:eastAsia="es-MX"/>
        </w:rPr>
        <w:t xml:space="preserve">Una vez agotadas las etapas procesales </w:t>
      </w:r>
      <w:r>
        <w:rPr>
          <w:rFonts w:ascii="ITC Avant Garde" w:eastAsia="Times New Roman" w:hAnsi="ITC Avant Garde"/>
          <w:bCs/>
          <w:color w:val="000000"/>
          <w:lang w:eastAsia="es-MX"/>
        </w:rPr>
        <w:t>d</w:t>
      </w:r>
      <w:r w:rsidRPr="00F82378">
        <w:rPr>
          <w:rFonts w:ascii="ITC Avant Garde" w:eastAsia="Times New Roman" w:hAnsi="ITC Avant Garde"/>
          <w:bCs/>
          <w:color w:val="000000"/>
          <w:lang w:eastAsia="es-MX"/>
        </w:rPr>
        <w:t xml:space="preserve">el juicio de amparo, el </w:t>
      </w:r>
      <w:r>
        <w:rPr>
          <w:rFonts w:ascii="ITC Avant Garde" w:eastAsia="Times New Roman" w:hAnsi="ITC Avant Garde"/>
          <w:b/>
          <w:bCs/>
          <w:color w:val="000000"/>
          <w:lang w:eastAsia="es-MX"/>
        </w:rPr>
        <w:t xml:space="preserve">JUZGADO </w:t>
      </w:r>
      <w:r w:rsidR="00B36089">
        <w:rPr>
          <w:rFonts w:ascii="ITC Avant Garde" w:eastAsia="Times New Roman" w:hAnsi="ITC Avant Garde"/>
          <w:b/>
          <w:bCs/>
          <w:color w:val="000000"/>
          <w:lang w:eastAsia="es-MX"/>
        </w:rPr>
        <w:t>PRIMERO</w:t>
      </w:r>
      <w:r w:rsidRPr="00F82378">
        <w:rPr>
          <w:rFonts w:ascii="ITC Avant Garde" w:eastAsia="Times New Roman" w:hAnsi="ITC Avant Garde"/>
          <w:bCs/>
          <w:color w:val="000000"/>
          <w:lang w:eastAsia="es-MX"/>
        </w:rPr>
        <w:t xml:space="preserve"> emitió la sentencia</w:t>
      </w:r>
      <w:r>
        <w:rPr>
          <w:rFonts w:ascii="ITC Avant Garde" w:eastAsia="Times New Roman" w:hAnsi="ITC Avant Garde"/>
          <w:bCs/>
          <w:color w:val="000000"/>
          <w:lang w:eastAsia="es-MX"/>
        </w:rPr>
        <w:t xml:space="preserve"> de </w:t>
      </w:r>
      <w:r w:rsidR="00B36089">
        <w:rPr>
          <w:rFonts w:ascii="ITC Avant Garde" w:eastAsia="Times New Roman" w:hAnsi="ITC Avant Garde"/>
          <w:bCs/>
          <w:color w:val="000000"/>
          <w:lang w:eastAsia="es-MX"/>
        </w:rPr>
        <w:t xml:space="preserve">cuatro de abril </w:t>
      </w:r>
      <w:r>
        <w:rPr>
          <w:rFonts w:ascii="ITC Avant Garde" w:eastAsia="Times New Roman" w:hAnsi="ITC Avant Garde"/>
          <w:bCs/>
          <w:color w:val="000000"/>
          <w:lang w:eastAsia="es-MX"/>
        </w:rPr>
        <w:t xml:space="preserve">de </w:t>
      </w:r>
      <w:r w:rsidRPr="00F82378">
        <w:rPr>
          <w:rFonts w:ascii="ITC Avant Garde" w:eastAsia="Times New Roman" w:hAnsi="ITC Avant Garde"/>
          <w:bCs/>
          <w:color w:val="000000"/>
          <w:lang w:eastAsia="es-MX"/>
        </w:rPr>
        <w:t xml:space="preserve">dos mil </w:t>
      </w:r>
      <w:r>
        <w:rPr>
          <w:rFonts w:ascii="ITC Avant Garde" w:eastAsia="Times New Roman" w:hAnsi="ITC Avant Garde"/>
          <w:bCs/>
          <w:color w:val="000000"/>
          <w:lang w:eastAsia="es-MX"/>
        </w:rPr>
        <w:t>diecisiete</w:t>
      </w:r>
      <w:r w:rsidRPr="00F82378">
        <w:rPr>
          <w:rFonts w:ascii="ITC Avant Garde" w:eastAsia="Times New Roman" w:hAnsi="ITC Avant Garde"/>
          <w:bCs/>
          <w:color w:val="000000"/>
          <w:lang w:eastAsia="es-MX"/>
        </w:rPr>
        <w:t>, en la cual resolvió</w:t>
      </w:r>
      <w:r>
        <w:rPr>
          <w:rFonts w:ascii="ITC Avant Garde" w:eastAsia="Times New Roman" w:hAnsi="ITC Avant Garde"/>
          <w:bCs/>
          <w:color w:val="000000"/>
          <w:lang w:eastAsia="es-MX"/>
        </w:rPr>
        <w:t xml:space="preserve"> lo siguiente</w:t>
      </w:r>
      <w:r w:rsidRPr="00F82378">
        <w:rPr>
          <w:rFonts w:ascii="ITC Avant Garde" w:eastAsia="Times New Roman" w:hAnsi="ITC Avant Garde"/>
          <w:b/>
          <w:bCs/>
          <w:color w:val="000000"/>
          <w:lang w:eastAsia="es-MX"/>
        </w:rPr>
        <w:t>:</w:t>
      </w:r>
    </w:p>
    <w:p w:rsidR="005B6852" w:rsidRDefault="00077F8F" w:rsidP="00077F8F">
      <w:pPr>
        <w:pStyle w:val="Textoindependiente"/>
        <w:spacing w:after="0" w:line="240" w:lineRule="auto"/>
        <w:ind w:left="567" w:right="616"/>
        <w:jc w:val="both"/>
        <w:rPr>
          <w:rFonts w:ascii="ITC Avant Garde" w:eastAsia="Times New Roman" w:hAnsi="ITC Avant Garde"/>
          <w:bCs/>
          <w:i/>
          <w:color w:val="000000"/>
          <w:szCs w:val="20"/>
          <w:lang w:eastAsia="es-MX"/>
        </w:rPr>
      </w:pPr>
      <w:r w:rsidRPr="005D7637">
        <w:rPr>
          <w:rFonts w:ascii="ITC Avant Garde" w:eastAsia="Times New Roman" w:hAnsi="ITC Avant Garde"/>
          <w:b/>
          <w:bCs/>
          <w:i/>
          <w:color w:val="000000"/>
          <w:szCs w:val="20"/>
          <w:lang w:eastAsia="es-MX"/>
        </w:rPr>
        <w:t>“</w:t>
      </w:r>
      <w:r w:rsidR="00C628E7">
        <w:rPr>
          <w:rFonts w:ascii="ITC Avant Garde" w:eastAsia="Times New Roman" w:hAnsi="ITC Avant Garde"/>
          <w:b/>
          <w:bCs/>
          <w:i/>
          <w:color w:val="000000"/>
          <w:szCs w:val="20"/>
          <w:lang w:eastAsia="es-MX"/>
        </w:rPr>
        <w:t>Segundo</w:t>
      </w:r>
      <w:r w:rsidRPr="005D7637">
        <w:rPr>
          <w:rFonts w:ascii="ITC Avant Garde" w:eastAsia="Times New Roman" w:hAnsi="ITC Avant Garde"/>
          <w:b/>
          <w:bCs/>
          <w:i/>
          <w:color w:val="000000"/>
          <w:szCs w:val="20"/>
          <w:lang w:eastAsia="es-MX"/>
        </w:rPr>
        <w:t>.</w:t>
      </w:r>
      <w:r w:rsidRPr="005D7637">
        <w:rPr>
          <w:rFonts w:ascii="ITC Avant Garde" w:eastAsia="Times New Roman" w:hAnsi="ITC Avant Garde"/>
          <w:bCs/>
          <w:i/>
          <w:color w:val="000000"/>
          <w:szCs w:val="20"/>
          <w:lang w:eastAsia="es-MX"/>
        </w:rPr>
        <w:t xml:space="preserve"> </w:t>
      </w:r>
      <w:r w:rsidR="00C628E7">
        <w:rPr>
          <w:rFonts w:ascii="ITC Avant Garde" w:eastAsia="Times New Roman" w:hAnsi="ITC Avant Garde"/>
          <w:bCs/>
          <w:i/>
          <w:color w:val="000000"/>
          <w:szCs w:val="20"/>
          <w:lang w:eastAsia="es-MX"/>
        </w:rPr>
        <w:t>Se niega el amparo y la protección de l</w:t>
      </w:r>
      <w:r w:rsidRPr="00184D08">
        <w:rPr>
          <w:rFonts w:ascii="ITC Avant Garde" w:eastAsia="Times New Roman" w:hAnsi="ITC Avant Garde"/>
          <w:bCs/>
          <w:i/>
          <w:color w:val="000000"/>
          <w:szCs w:val="20"/>
          <w:lang w:eastAsia="es-MX"/>
        </w:rPr>
        <w:t xml:space="preserve">a Justicia </w:t>
      </w:r>
      <w:r w:rsidR="00C628E7">
        <w:rPr>
          <w:rFonts w:ascii="ITC Avant Garde" w:eastAsia="Times New Roman" w:hAnsi="ITC Avant Garde"/>
          <w:bCs/>
          <w:i/>
          <w:color w:val="000000"/>
          <w:szCs w:val="20"/>
          <w:lang w:eastAsia="es-MX"/>
        </w:rPr>
        <w:t xml:space="preserve">Federal a Televisión Internacional, sociedad anónima de capital variable, respecto de </w:t>
      </w:r>
      <w:r w:rsidR="00C628E7">
        <w:rPr>
          <w:rFonts w:ascii="ITC Avant Garde" w:eastAsia="Times New Roman" w:hAnsi="ITC Avant Garde"/>
          <w:bCs/>
          <w:i/>
          <w:color w:val="000000"/>
          <w:szCs w:val="20"/>
          <w:lang w:eastAsia="es-MX"/>
        </w:rPr>
        <w:lastRenderedPageBreak/>
        <w:t>los actos y por los motivos expuestos en el sexto y séptimo considerandos de la presente sentencia.”</w:t>
      </w:r>
    </w:p>
    <w:p w:rsidR="005B6852" w:rsidRDefault="00077F8F" w:rsidP="00077F8F">
      <w:pPr>
        <w:pStyle w:val="Textoindependiente"/>
        <w:spacing w:after="0" w:line="360" w:lineRule="auto"/>
        <w:ind w:right="51"/>
        <w:jc w:val="both"/>
        <w:rPr>
          <w:rFonts w:ascii="ITC Avant Garde" w:eastAsia="Times New Roman" w:hAnsi="ITC Avant Garde"/>
          <w:bCs/>
          <w:color w:val="000000"/>
          <w:lang w:eastAsia="es-MX"/>
        </w:rPr>
      </w:pPr>
      <w:r w:rsidRPr="00AA3F01">
        <w:rPr>
          <w:rFonts w:ascii="ITC Avant Garde" w:eastAsia="Times New Roman" w:hAnsi="ITC Avant Garde"/>
          <w:bCs/>
          <w:color w:val="000000"/>
          <w:lang w:eastAsia="es-MX"/>
        </w:rPr>
        <w:t xml:space="preserve">A su vez, </w:t>
      </w:r>
      <w:r w:rsidR="00391F84">
        <w:rPr>
          <w:rFonts w:ascii="ITC Avant Garde" w:eastAsia="Times New Roman" w:hAnsi="ITC Avant Garde"/>
          <w:bCs/>
          <w:color w:val="000000"/>
          <w:lang w:eastAsia="es-MX"/>
        </w:rPr>
        <w:t>e</w:t>
      </w:r>
      <w:r w:rsidRPr="00AA3F01">
        <w:rPr>
          <w:rFonts w:ascii="ITC Avant Garde" w:eastAsia="Times New Roman" w:hAnsi="ITC Avant Garde"/>
          <w:bCs/>
          <w:color w:val="000000"/>
          <w:lang w:eastAsia="es-MX"/>
        </w:rPr>
        <w:t xml:space="preserve">l Considerando </w:t>
      </w:r>
      <w:r w:rsidR="00C628E7">
        <w:rPr>
          <w:rFonts w:ascii="ITC Avant Garde" w:eastAsia="Times New Roman" w:hAnsi="ITC Avant Garde"/>
          <w:bCs/>
          <w:color w:val="000000"/>
          <w:lang w:eastAsia="es-MX"/>
        </w:rPr>
        <w:t xml:space="preserve">Sexto </w:t>
      </w:r>
      <w:r w:rsidRPr="00AA3F01">
        <w:rPr>
          <w:rFonts w:ascii="ITC Avant Garde" w:eastAsia="Times New Roman" w:hAnsi="ITC Avant Garde"/>
          <w:bCs/>
          <w:color w:val="000000"/>
          <w:lang w:eastAsia="es-MX"/>
        </w:rPr>
        <w:t>de la sentencia ante</w:t>
      </w:r>
      <w:r w:rsidR="00A613CA">
        <w:rPr>
          <w:rFonts w:ascii="ITC Avant Garde" w:eastAsia="Times New Roman" w:hAnsi="ITC Avant Garde"/>
          <w:bCs/>
          <w:color w:val="000000"/>
          <w:lang w:eastAsia="es-MX"/>
        </w:rPr>
        <w:t>s</w:t>
      </w:r>
      <w:r w:rsidRPr="00AA3F01">
        <w:rPr>
          <w:rFonts w:ascii="ITC Avant Garde" w:eastAsia="Times New Roman" w:hAnsi="ITC Avant Garde"/>
          <w:bCs/>
          <w:color w:val="000000"/>
          <w:lang w:eastAsia="es-MX"/>
        </w:rPr>
        <w:t xml:space="preserve"> señalada, dispus</w:t>
      </w:r>
      <w:r w:rsidR="00C628E7">
        <w:rPr>
          <w:rFonts w:ascii="ITC Avant Garde" w:eastAsia="Times New Roman" w:hAnsi="ITC Avant Garde"/>
          <w:bCs/>
          <w:color w:val="000000"/>
          <w:lang w:eastAsia="es-MX"/>
        </w:rPr>
        <w:t xml:space="preserve">o </w:t>
      </w:r>
      <w:r w:rsidRPr="00AA3F01">
        <w:rPr>
          <w:rFonts w:ascii="ITC Avant Garde" w:eastAsia="Times New Roman" w:hAnsi="ITC Avant Garde"/>
          <w:bCs/>
          <w:color w:val="000000"/>
          <w:lang w:eastAsia="es-MX"/>
        </w:rPr>
        <w:t>en la parte conducente</w:t>
      </w:r>
      <w:r w:rsidR="007E3B2B">
        <w:rPr>
          <w:rFonts w:ascii="ITC Avant Garde" w:eastAsia="Times New Roman" w:hAnsi="ITC Avant Garde"/>
          <w:bCs/>
          <w:color w:val="000000"/>
          <w:lang w:eastAsia="es-MX"/>
        </w:rPr>
        <w:t xml:space="preserve">, que </w:t>
      </w:r>
      <w:r w:rsidR="003D3583">
        <w:rPr>
          <w:rFonts w:ascii="ITC Avant Garde" w:eastAsia="Times New Roman" w:hAnsi="ITC Avant Garde"/>
          <w:bCs/>
          <w:color w:val="000000"/>
          <w:lang w:eastAsia="es-MX"/>
        </w:rPr>
        <w:t xml:space="preserve">el quejoso hizo valer en sus agravios que </w:t>
      </w:r>
      <w:r w:rsidR="007E3B2B">
        <w:rPr>
          <w:rFonts w:ascii="ITC Avant Garde" w:eastAsia="Times New Roman" w:hAnsi="ITC Avant Garde"/>
          <w:bCs/>
          <w:color w:val="000000"/>
          <w:lang w:eastAsia="es-MX"/>
        </w:rPr>
        <w:t xml:space="preserve">el artículo 298, inciso B), fracción IV de la </w:t>
      </w:r>
      <w:r w:rsidR="007E3B2B" w:rsidRPr="007E3B2B">
        <w:rPr>
          <w:rFonts w:ascii="ITC Avant Garde" w:eastAsia="Times New Roman" w:hAnsi="ITC Avant Garde"/>
          <w:b/>
          <w:bCs/>
          <w:color w:val="000000"/>
          <w:lang w:eastAsia="es-MX"/>
        </w:rPr>
        <w:t>LFTR</w:t>
      </w:r>
      <w:r w:rsidRPr="00AA3F01">
        <w:rPr>
          <w:rFonts w:ascii="ITC Avant Garde" w:eastAsia="Times New Roman" w:hAnsi="ITC Avant Garde"/>
          <w:bCs/>
          <w:color w:val="000000"/>
          <w:lang w:eastAsia="es-MX"/>
        </w:rPr>
        <w:t>:</w:t>
      </w:r>
    </w:p>
    <w:p w:rsidR="005B6852" w:rsidRDefault="00077F8F"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sidRPr="006E5D91">
        <w:rPr>
          <w:rFonts w:ascii="ITC Avant Garde" w:eastAsia="Times New Roman" w:hAnsi="ITC Avant Garde"/>
          <w:bCs/>
          <w:i/>
          <w:color w:val="000000"/>
          <w:szCs w:val="20"/>
          <w:lang w:eastAsia="es-MX"/>
        </w:rPr>
        <w:t>“…</w:t>
      </w:r>
      <w:r w:rsidR="00BB080D">
        <w:rPr>
          <w:rFonts w:ascii="ITC Avant Garde" w:eastAsia="Times New Roman" w:hAnsi="ITC Avant Garde"/>
          <w:bCs/>
          <w:i/>
          <w:color w:val="000000"/>
          <w:szCs w:val="20"/>
          <w:lang w:eastAsia="es-MX"/>
        </w:rPr>
        <w:t>establece una sanción que puede imponerse “por otras violaciones a la ley, a los Reglamentos</w:t>
      </w:r>
      <w:r w:rsidR="005B0D08">
        <w:rPr>
          <w:rFonts w:ascii="ITC Avant Garde" w:eastAsia="Times New Roman" w:hAnsi="ITC Avant Garde"/>
          <w:bCs/>
          <w:i/>
          <w:color w:val="000000"/>
          <w:szCs w:val="20"/>
          <w:lang w:eastAsia="es-MX"/>
        </w:rPr>
        <w:t>, a las disposiciones administrativas, planes técnicos y a las concesiones”, lo que genera indeterminación de los parámetros necesarios para determinar e</w:t>
      </w:r>
      <w:r w:rsidR="003D3583">
        <w:rPr>
          <w:rFonts w:ascii="ITC Avant Garde" w:eastAsia="Times New Roman" w:hAnsi="ITC Avant Garde"/>
          <w:bCs/>
          <w:i/>
          <w:color w:val="000000"/>
          <w:szCs w:val="20"/>
          <w:lang w:eastAsia="es-MX"/>
        </w:rPr>
        <w:t>l</w:t>
      </w:r>
      <w:r w:rsidR="005B0D08">
        <w:rPr>
          <w:rFonts w:ascii="ITC Avant Garde" w:eastAsia="Times New Roman" w:hAnsi="ITC Avant Garde"/>
          <w:bCs/>
          <w:i/>
          <w:color w:val="000000"/>
          <w:szCs w:val="20"/>
          <w:lang w:eastAsia="es-MX"/>
        </w:rPr>
        <w:t xml:space="preserve"> tipo de infracción, lo que genera imprevisibilidad absoluta.</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Es infundado el referido concepto de violación, por las razones siguientes:</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 xml:space="preserve">“…si se realiza una interpretación aislada de los artículos que se reclaman, </w:t>
      </w:r>
      <w:proofErr w:type="gramStart"/>
      <w:r>
        <w:rPr>
          <w:rFonts w:ascii="ITC Avant Garde" w:eastAsia="Times New Roman" w:hAnsi="ITC Avant Garde"/>
          <w:bCs/>
          <w:i/>
          <w:color w:val="000000"/>
          <w:szCs w:val="20"/>
          <w:lang w:eastAsia="es-MX"/>
        </w:rPr>
        <w:t>estos es</w:t>
      </w:r>
      <w:proofErr w:type="gramEnd"/>
      <w:r>
        <w:rPr>
          <w:rFonts w:ascii="ITC Avant Garde" w:eastAsia="Times New Roman" w:hAnsi="ITC Avant Garde"/>
          <w:bCs/>
          <w:i/>
          <w:color w:val="000000"/>
          <w:szCs w:val="20"/>
          <w:lang w:eastAsia="es-MX"/>
        </w:rPr>
        <w:t>, sin tomar en cuenta el resto de las disposiciones legales establecidas en su régimen legal, tal vez podrán considerarse violatorios de la Constitución Federal.</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Sin embargo, debe insistirse que la interpretación de un precepto si bien puede realizarse tomando sólo en consideración su texto legal (criterio gramatical), al pertenecer a un sistema jurídico determinado debe vincularse al mismo para adquirir sentido y precisión en cuanto a su contenido, es decir, a través de una interpretación sistemática.</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 xml:space="preserve">(…) </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 xml:space="preserve">En ese aspecto, es cierto que el artículo </w:t>
      </w:r>
      <w:r>
        <w:rPr>
          <w:rFonts w:ascii="ITC Avant Garde" w:eastAsia="Times New Roman" w:hAnsi="ITC Avant Garde"/>
          <w:b/>
          <w:bCs/>
          <w:i/>
          <w:color w:val="000000"/>
          <w:szCs w:val="20"/>
          <w:lang w:eastAsia="es-MX"/>
        </w:rPr>
        <w:t xml:space="preserve">298, apartado B), fracción IV, </w:t>
      </w:r>
      <w:r>
        <w:rPr>
          <w:rFonts w:ascii="ITC Avant Garde" w:eastAsia="Times New Roman" w:hAnsi="ITC Avant Garde"/>
          <w:bCs/>
          <w:i/>
          <w:color w:val="000000"/>
          <w:szCs w:val="20"/>
          <w:lang w:eastAsia="es-MX"/>
        </w:rPr>
        <w:t>por sí solo no establece una conducta infractora de manera específica; sin embargo, ello se traduce en uno de los denominados “tipos en blanco”, que para su interpretación requiere de un complemento para integrarse plenamente, como en el caso sucede principalmente con los artículos 155, 291 y 297 ya citados, así como los lineamientos en materia de telecomunicaciones que expide el Instituto Federal de Telecomunicaciones.”</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p>
    <w:p w:rsidR="005B6852" w:rsidRDefault="005B0D08"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En ese orden de ideas, el artículo 298, inciso B), fracción IV, de la LFTR, no es inconstituc</w:t>
      </w:r>
      <w:r w:rsidR="00606B4A">
        <w:rPr>
          <w:rFonts w:ascii="ITC Avant Garde" w:eastAsia="Times New Roman" w:hAnsi="ITC Avant Garde"/>
          <w:bCs/>
          <w:i/>
          <w:color w:val="000000"/>
          <w:szCs w:val="20"/>
          <w:lang w:eastAsia="es-MX"/>
        </w:rPr>
        <w:t>i</w:t>
      </w:r>
      <w:r>
        <w:rPr>
          <w:rFonts w:ascii="ITC Avant Garde" w:eastAsia="Times New Roman" w:hAnsi="ITC Avant Garde"/>
          <w:bCs/>
          <w:i/>
          <w:color w:val="000000"/>
          <w:szCs w:val="20"/>
          <w:lang w:eastAsia="es-MX"/>
        </w:rPr>
        <w:t xml:space="preserve">onal </w:t>
      </w:r>
      <w:r w:rsidR="00606B4A">
        <w:rPr>
          <w:rFonts w:ascii="ITC Avant Garde" w:eastAsia="Times New Roman" w:hAnsi="ITC Avant Garde"/>
          <w:bCs/>
          <w:i/>
          <w:color w:val="000000"/>
          <w:szCs w:val="20"/>
          <w:lang w:eastAsia="es-MX"/>
        </w:rPr>
        <w:t>al establecer como infracción la violación a la ley, a los reglamentos, a las disposiciones administrativas, plane</w:t>
      </w:r>
      <w:r w:rsidR="003D3583">
        <w:rPr>
          <w:rFonts w:ascii="ITC Avant Garde" w:eastAsia="Times New Roman" w:hAnsi="ITC Avant Garde"/>
          <w:bCs/>
          <w:i/>
          <w:color w:val="000000"/>
          <w:szCs w:val="20"/>
          <w:lang w:eastAsia="es-MX"/>
        </w:rPr>
        <w:t xml:space="preserve">s </w:t>
      </w:r>
      <w:r w:rsidR="00606B4A">
        <w:rPr>
          <w:rFonts w:ascii="ITC Avant Garde" w:eastAsia="Times New Roman" w:hAnsi="ITC Avant Garde"/>
          <w:bCs/>
          <w:i/>
          <w:color w:val="000000"/>
          <w:szCs w:val="20"/>
          <w:lang w:eastAsia="es-MX"/>
        </w:rPr>
        <w:t>técnicos fundamentales y demás disposiciones emitidas por el Instituto; así como a las concesiones o autorizaciones que no estén expresamente contempladas en el propio dispositivo, pues deja claro que lo que se sanciona son aquellas conductas que infringen los parámetros delimitados en tales cuerpos normativos, es decir, se respeta el carácter de previsibilidad de la conducta a sancionar, que otorga certeza a los gobernados, pues les permite saber que su aplicación se encuentra supeditada a normas o disposiciones relativas a la materia, cuyas obligaciones deben ser atendidas, en virtud de que su incumplimiento puede ser sancionado.</w:t>
      </w:r>
    </w:p>
    <w:p w:rsidR="005B6852" w:rsidRDefault="00606B4A"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p>
    <w:p w:rsidR="005B6852" w:rsidRDefault="00606B4A"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lastRenderedPageBreak/>
        <w:t>“De ahí que contrario a lo que sostiene la quejosa el artículo 298, inciso B), fracción IV, de la LFTR no establece un tipo indeterminado o abierto. Por el contrario, de su análisis sistemático, se llega a la conclusión que establece una infracción concreta, previsible a la quejosa, sin necesidad de interpretación y que el hecho de que se constituya en un tipo administrativo en blanco, no lo vuelve arbitrario.</w:t>
      </w:r>
    </w:p>
    <w:p w:rsidR="005B6852" w:rsidRDefault="00606B4A"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p>
    <w:p w:rsidR="005B6852" w:rsidRDefault="00606B4A"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El segundo concepto de violaci</w:t>
      </w:r>
      <w:r w:rsidR="008402C0">
        <w:rPr>
          <w:rFonts w:ascii="ITC Avant Garde" w:eastAsia="Times New Roman" w:hAnsi="ITC Avant Garde"/>
          <w:bCs/>
          <w:i/>
          <w:color w:val="000000"/>
          <w:szCs w:val="20"/>
          <w:lang w:eastAsia="es-MX"/>
        </w:rPr>
        <w:t xml:space="preserve">ón también es </w:t>
      </w:r>
      <w:r w:rsidR="008402C0">
        <w:rPr>
          <w:rFonts w:ascii="ITC Avant Garde" w:eastAsia="Times New Roman" w:hAnsi="ITC Avant Garde"/>
          <w:b/>
          <w:bCs/>
          <w:i/>
          <w:color w:val="000000"/>
          <w:szCs w:val="20"/>
          <w:lang w:eastAsia="es-MX"/>
        </w:rPr>
        <w:t>infundado</w:t>
      </w:r>
      <w:r w:rsidR="008402C0">
        <w:rPr>
          <w:rFonts w:ascii="ITC Avant Garde" w:eastAsia="Times New Roman" w:hAnsi="ITC Avant Garde"/>
          <w:bCs/>
          <w:i/>
          <w:color w:val="000000"/>
          <w:szCs w:val="20"/>
          <w:lang w:eastAsia="es-MX"/>
        </w:rPr>
        <w:t>, atendiendo a las siguientes consideraciones.</w:t>
      </w:r>
    </w:p>
    <w:p w:rsidR="005B6852" w:rsidRDefault="008402C0"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Es erróneo que la multa por el equivalente de 1% hasta 3% de los ingresos acumulables del concesionario contraviene el artículo 22 constitucional.</w:t>
      </w:r>
    </w:p>
    <w:p w:rsidR="005B6852" w:rsidRDefault="008402C0"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El Pleno de la SCJN ha establecido que las disposiciones de observancia general que prevén sanciones administrativas pecuniarias en porcentajes determinados entre un mínimo y un máximo no pueden considerarse inconstitucionales, en virtud de que la autoridad cuenta con un parámetro para su individualización.</w:t>
      </w:r>
    </w:p>
    <w:p w:rsidR="005B6852" w:rsidRDefault="008402C0"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En el caso, de la interpretación literal del artículo 298 de la LFTR, se advierte que la infracción que contempla corresponde a un mínimo del 1% y como máximo el 3% de los ingresos acumulables del concesionario.</w:t>
      </w:r>
    </w:p>
    <w:p w:rsidR="005B6852" w:rsidRDefault="00C93B02"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 xml:space="preserve">En ese sentido, el artículo 301 de dicha ley, establece </w:t>
      </w:r>
      <w:proofErr w:type="gramStart"/>
      <w:r>
        <w:rPr>
          <w:rFonts w:ascii="ITC Avant Garde" w:eastAsia="Times New Roman" w:hAnsi="ITC Avant Garde"/>
          <w:bCs/>
          <w:i/>
          <w:color w:val="000000"/>
          <w:szCs w:val="20"/>
          <w:lang w:eastAsia="es-MX"/>
        </w:rPr>
        <w:t>que</w:t>
      </w:r>
      <w:proofErr w:type="gramEnd"/>
      <w:r>
        <w:rPr>
          <w:rFonts w:ascii="ITC Avant Garde" w:eastAsia="Times New Roman" w:hAnsi="ITC Avant Garde"/>
          <w:bCs/>
          <w:i/>
          <w:color w:val="000000"/>
          <w:szCs w:val="20"/>
          <w:lang w:eastAsia="es-MX"/>
        </w:rPr>
        <w:t xml:space="preserve"> para determinar el monto de la multa, se debe considerar la gravedad de la infracción provocada, la capacidad económica del infractor, la reincidencia y, en su caso, las atenuantes de la sanción, como el cumplimiento espontáneo de las obligaciones que dieron origen al procedimiento sancionatorio.</w:t>
      </w:r>
    </w:p>
    <w:p w:rsidR="005B6852" w:rsidRDefault="00C93B02"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En conclusión, del análisis sistemático de tales preceptos, se determina válidamente que, por un lado, la multa establecida en el artículo 298 oscila entre un mínimo y un máximo, por otro, que para determinar qué porcentaje de ese rango se debe determinar al infractor, se deberán considerar los elementos previstos en el diverso 301 de la ley.</w:t>
      </w:r>
    </w:p>
    <w:p w:rsidR="005B6852" w:rsidRDefault="00C93B02"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En esa medida, contrario a lo que aduce la quejosa, los preceptos reclamados no pueden ser inconstitucionales.</w:t>
      </w:r>
    </w:p>
    <w:p w:rsidR="005B6852" w:rsidRDefault="00C93B02"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p>
    <w:p w:rsidR="005B6852" w:rsidRDefault="00C93B02" w:rsidP="00BB080D">
      <w:pPr>
        <w:pStyle w:val="Textoindependiente"/>
        <w:spacing w:after="0" w:line="240" w:lineRule="auto"/>
        <w:ind w:left="567" w:right="616"/>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 xml:space="preserve">Así, al resultar infundados los motivos de agravio expuestos por la quejosa en contra de los artículos reclamados, </w:t>
      </w:r>
      <w:r>
        <w:rPr>
          <w:rFonts w:ascii="ITC Avant Garde" w:eastAsia="Times New Roman" w:hAnsi="ITC Avant Garde"/>
          <w:b/>
          <w:bCs/>
          <w:i/>
          <w:color w:val="000000"/>
          <w:szCs w:val="20"/>
          <w:lang w:eastAsia="es-MX"/>
        </w:rPr>
        <w:t xml:space="preserve">se niega el amparo y protección de la Justicia Federal, </w:t>
      </w:r>
      <w:r>
        <w:rPr>
          <w:rFonts w:ascii="ITC Avant Garde" w:eastAsia="Times New Roman" w:hAnsi="ITC Avant Garde"/>
          <w:bCs/>
          <w:i/>
          <w:color w:val="000000"/>
          <w:szCs w:val="20"/>
          <w:lang w:eastAsia="es-MX"/>
        </w:rPr>
        <w:t>respecto de los artículos 298, inciso B), fracción IV, y 299 de la LFTR.</w:t>
      </w:r>
    </w:p>
    <w:p w:rsidR="005B6852" w:rsidRDefault="00C93B02" w:rsidP="00077F8F">
      <w:pPr>
        <w:pStyle w:val="Textoindependiente"/>
        <w:spacing w:after="0" w:line="240" w:lineRule="auto"/>
        <w:ind w:left="567" w:right="616"/>
        <w:jc w:val="both"/>
        <w:rPr>
          <w:rFonts w:ascii="ITC Avant Garde" w:eastAsia="Times New Roman" w:hAnsi="ITC Avant Garde"/>
          <w:b/>
          <w:bCs/>
          <w:color w:val="000000"/>
          <w:lang w:eastAsia="es-MX"/>
        </w:rPr>
      </w:pPr>
      <w:r>
        <w:rPr>
          <w:rFonts w:ascii="ITC Avant Garde" w:eastAsia="Times New Roman" w:hAnsi="ITC Avant Garde"/>
          <w:bCs/>
          <w:i/>
          <w:color w:val="000000"/>
          <w:szCs w:val="20"/>
          <w:lang w:eastAsia="es-MX"/>
        </w:rPr>
        <w:t>(…)</w:t>
      </w:r>
      <w:r w:rsidR="00077F8F">
        <w:rPr>
          <w:rFonts w:ascii="ITC Avant Garde" w:eastAsia="Times New Roman" w:hAnsi="ITC Avant Garde"/>
          <w:bCs/>
          <w:i/>
          <w:color w:val="000000"/>
          <w:szCs w:val="20"/>
          <w:lang w:eastAsia="es-MX"/>
        </w:rPr>
        <w:t>”</w:t>
      </w:r>
    </w:p>
    <w:p w:rsidR="005B6852" w:rsidRDefault="00AC1523" w:rsidP="00C77130">
      <w:pPr>
        <w:spacing w:after="0" w:line="360" w:lineRule="auto"/>
        <w:jc w:val="center"/>
        <w:rPr>
          <w:rFonts w:ascii="ITC Avant Garde" w:eastAsia="Times New Roman" w:hAnsi="ITC Avant Garde"/>
          <w:bCs/>
          <w:u w:val="single"/>
          <w:lang w:eastAsia="es-MX"/>
        </w:rPr>
      </w:pPr>
      <w:r w:rsidRPr="00C77130">
        <w:rPr>
          <w:rFonts w:ascii="ITC Avant Garde" w:eastAsia="Times New Roman" w:hAnsi="ITC Avant Garde"/>
          <w:b/>
          <w:bCs/>
          <w:u w:val="single"/>
          <w:lang w:eastAsia="es-MX"/>
        </w:rPr>
        <w:t xml:space="preserve">Recurso de Revisión promovido por </w:t>
      </w:r>
      <w:r w:rsidRPr="00AC1523">
        <w:rPr>
          <w:rFonts w:ascii="ITC Avant Garde" w:eastAsia="Times New Roman" w:hAnsi="ITC Avant Garde"/>
          <w:b/>
          <w:bCs/>
          <w:color w:val="000000"/>
          <w:u w:val="single"/>
          <w:lang w:eastAsia="es-MX"/>
        </w:rPr>
        <w:t>TELEVISIÓN INTERNACIONAL</w:t>
      </w:r>
    </w:p>
    <w:p w:rsidR="005B6852" w:rsidRDefault="00077F8F" w:rsidP="00077F8F">
      <w:pPr>
        <w:pStyle w:val="Textoindependiente"/>
        <w:spacing w:after="0" w:line="360" w:lineRule="auto"/>
        <w:ind w:right="51"/>
        <w:jc w:val="both"/>
        <w:rPr>
          <w:rFonts w:ascii="ITC Avant Garde" w:eastAsia="Times New Roman" w:hAnsi="ITC Avant Garde"/>
          <w:bCs/>
          <w:color w:val="000000"/>
          <w:lang w:eastAsia="es-MX"/>
        </w:rPr>
      </w:pPr>
      <w:r w:rsidRPr="00F82378">
        <w:rPr>
          <w:rFonts w:ascii="ITC Avant Garde" w:eastAsia="Times New Roman" w:hAnsi="ITC Avant Garde"/>
          <w:b/>
          <w:bCs/>
          <w:color w:val="000000"/>
          <w:lang w:eastAsia="es-MX"/>
        </w:rPr>
        <w:t>CUARTO.</w:t>
      </w:r>
      <w:r w:rsidRPr="00F82378">
        <w:rPr>
          <w:rFonts w:ascii="ITC Avant Garde" w:eastAsia="Times New Roman" w:hAnsi="ITC Avant Garde"/>
          <w:bCs/>
          <w:color w:val="000000"/>
          <w:lang w:eastAsia="es-MX"/>
        </w:rPr>
        <w:t xml:space="preserve"> Inconforme</w:t>
      </w:r>
      <w:r w:rsidR="00A64F79">
        <w:rPr>
          <w:rFonts w:ascii="ITC Avant Garde" w:eastAsia="Times New Roman" w:hAnsi="ITC Avant Garde"/>
          <w:bCs/>
          <w:color w:val="000000"/>
          <w:lang w:eastAsia="es-MX"/>
        </w:rPr>
        <w:t xml:space="preserve"> con dicha determinación</w:t>
      </w:r>
      <w:r>
        <w:rPr>
          <w:rFonts w:ascii="ITC Avant Garde" w:eastAsia="Times New Roman" w:hAnsi="ITC Avant Garde"/>
          <w:bCs/>
          <w:color w:val="000000"/>
          <w:lang w:eastAsia="es-MX"/>
        </w:rPr>
        <w:t>,</w:t>
      </w:r>
      <w:r w:rsidRPr="00F82378">
        <w:rPr>
          <w:rFonts w:ascii="ITC Avant Garde" w:eastAsia="Times New Roman" w:hAnsi="ITC Avant Garde"/>
          <w:bCs/>
          <w:color w:val="000000"/>
          <w:lang w:eastAsia="es-MX"/>
        </w:rPr>
        <w:t xml:space="preserve"> </w:t>
      </w:r>
      <w:r w:rsidR="00A33000" w:rsidRPr="006F0E35">
        <w:rPr>
          <w:rFonts w:ascii="ITC Avant Garde" w:eastAsia="Times New Roman" w:hAnsi="ITC Avant Garde"/>
          <w:b/>
          <w:bCs/>
          <w:color w:val="000000"/>
          <w:lang w:eastAsia="es-MX"/>
        </w:rPr>
        <w:t>TELEVISIÓN INTERNACIONAL</w:t>
      </w:r>
      <w:r w:rsidR="00A33000" w:rsidRPr="00443137">
        <w:rPr>
          <w:rFonts w:ascii="ITC Avant Garde" w:eastAsia="Times New Roman" w:hAnsi="ITC Avant Garde"/>
          <w:bCs/>
          <w:color w:val="000000"/>
          <w:lang w:eastAsia="es-MX"/>
        </w:rPr>
        <w:t xml:space="preserve"> </w:t>
      </w:r>
      <w:r w:rsidRPr="00F82378">
        <w:rPr>
          <w:rFonts w:ascii="ITC Avant Garde" w:eastAsia="Times New Roman" w:hAnsi="ITC Avant Garde"/>
          <w:bCs/>
          <w:color w:val="000000"/>
          <w:lang w:eastAsia="es-MX"/>
        </w:rPr>
        <w:t xml:space="preserve">interpuso </w:t>
      </w:r>
      <w:r w:rsidR="007E3B2B">
        <w:rPr>
          <w:rFonts w:ascii="ITC Avant Garde" w:eastAsia="Times New Roman" w:hAnsi="ITC Avant Garde"/>
          <w:bCs/>
          <w:color w:val="000000"/>
          <w:lang w:eastAsia="es-MX"/>
        </w:rPr>
        <w:t xml:space="preserve">el </w:t>
      </w:r>
      <w:r w:rsidRPr="00F82378">
        <w:rPr>
          <w:rFonts w:ascii="ITC Avant Garde" w:eastAsia="Times New Roman" w:hAnsi="ITC Avant Garde"/>
          <w:bCs/>
          <w:color w:val="000000"/>
          <w:lang w:eastAsia="es-MX"/>
        </w:rPr>
        <w:t xml:space="preserve">recurso de revisión en contra de la sentencia descrita en el numeral que antecede, el cual fue admitido por el </w:t>
      </w:r>
      <w:r w:rsidR="00FA744C">
        <w:rPr>
          <w:rFonts w:ascii="ITC Avant Garde" w:eastAsia="Times New Roman" w:hAnsi="ITC Avant Garde"/>
          <w:bCs/>
          <w:color w:val="000000"/>
          <w:lang w:eastAsia="es-MX"/>
        </w:rPr>
        <w:t xml:space="preserve">Segundo </w:t>
      </w:r>
      <w:r w:rsidRPr="0054671E">
        <w:rPr>
          <w:rFonts w:ascii="ITC Avant Garde" w:eastAsia="Times New Roman" w:hAnsi="ITC Avant Garde"/>
          <w:bCs/>
          <w:color w:val="000000"/>
          <w:lang w:eastAsia="es-MX"/>
        </w:rPr>
        <w:t xml:space="preserve">Tribunal Colegiado de Circuito en Materia Administrativa Especializado en Competencia Económica, Radiodifusión y </w:t>
      </w:r>
      <w:r w:rsidRPr="0054671E">
        <w:rPr>
          <w:rFonts w:ascii="ITC Avant Garde" w:eastAsia="Times New Roman" w:hAnsi="ITC Avant Garde"/>
          <w:bCs/>
          <w:color w:val="000000"/>
          <w:lang w:eastAsia="es-MX"/>
        </w:rPr>
        <w:lastRenderedPageBreak/>
        <w:t>Telecomunicaciones</w:t>
      </w:r>
      <w:r w:rsidRPr="007F451C">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 xml:space="preserve">(TRIBUNAL COLEGIADO) </w:t>
      </w:r>
      <w:r w:rsidRPr="00F82378">
        <w:rPr>
          <w:rFonts w:ascii="ITC Avant Garde" w:eastAsia="Times New Roman" w:hAnsi="ITC Avant Garde"/>
          <w:bCs/>
          <w:color w:val="000000"/>
          <w:lang w:eastAsia="es-MX"/>
        </w:rPr>
        <w:t xml:space="preserve">el </w:t>
      </w:r>
      <w:r w:rsidR="00FA744C">
        <w:rPr>
          <w:rFonts w:ascii="ITC Avant Garde" w:eastAsia="Times New Roman" w:hAnsi="ITC Avant Garde"/>
          <w:bCs/>
          <w:color w:val="000000"/>
          <w:lang w:eastAsia="es-MX"/>
        </w:rPr>
        <w:t>once de mayo de</w:t>
      </w:r>
      <w:r>
        <w:rPr>
          <w:rFonts w:ascii="ITC Avant Garde" w:eastAsia="Times New Roman" w:hAnsi="ITC Avant Garde"/>
          <w:bCs/>
          <w:color w:val="000000"/>
          <w:lang w:eastAsia="es-MX"/>
        </w:rPr>
        <w:t xml:space="preserve"> dos mil diecisiete</w:t>
      </w:r>
      <w:r w:rsidRPr="00F82378">
        <w:rPr>
          <w:rFonts w:ascii="ITC Avant Garde" w:eastAsia="Times New Roman" w:hAnsi="ITC Avant Garde"/>
          <w:bCs/>
          <w:color w:val="000000"/>
          <w:lang w:eastAsia="es-MX"/>
        </w:rPr>
        <w:t xml:space="preserve">, asignándole el número de expediente </w:t>
      </w:r>
      <w:r>
        <w:rPr>
          <w:rFonts w:ascii="ITC Avant Garde" w:eastAsia="Times New Roman" w:hAnsi="ITC Avant Garde"/>
          <w:b/>
          <w:bCs/>
          <w:color w:val="000000"/>
          <w:lang w:eastAsia="es-MX"/>
        </w:rPr>
        <w:t xml:space="preserve">R.A. </w:t>
      </w:r>
      <w:r w:rsidR="00FA744C">
        <w:rPr>
          <w:rFonts w:ascii="ITC Avant Garde" w:eastAsia="Times New Roman" w:hAnsi="ITC Avant Garde"/>
          <w:b/>
          <w:bCs/>
          <w:color w:val="000000"/>
          <w:lang w:eastAsia="es-MX"/>
        </w:rPr>
        <w:t>63</w:t>
      </w:r>
      <w:r>
        <w:rPr>
          <w:rFonts w:ascii="ITC Avant Garde" w:eastAsia="Times New Roman" w:hAnsi="ITC Avant Garde"/>
          <w:b/>
          <w:bCs/>
          <w:color w:val="000000"/>
          <w:lang w:eastAsia="es-MX"/>
        </w:rPr>
        <w:t>/2017</w:t>
      </w:r>
      <w:r w:rsidRPr="00F82378">
        <w:rPr>
          <w:rFonts w:ascii="ITC Avant Garde" w:eastAsia="Times New Roman" w:hAnsi="ITC Avant Garde"/>
          <w:bCs/>
          <w:color w:val="000000"/>
          <w:lang w:eastAsia="es-MX"/>
        </w:rPr>
        <w:t>.</w:t>
      </w:r>
    </w:p>
    <w:p w:rsidR="00CA6A7E" w:rsidRDefault="00CA6A7E" w:rsidP="00077F8F">
      <w:pPr>
        <w:pStyle w:val="Textoindependiente"/>
        <w:spacing w:after="0" w:line="360" w:lineRule="auto"/>
        <w:ind w:right="51"/>
        <w:jc w:val="both"/>
        <w:rPr>
          <w:rFonts w:ascii="ITC Avant Garde" w:eastAsia="Times New Roman" w:hAnsi="ITC Avant Garde"/>
          <w:b/>
          <w:bCs/>
          <w:color w:val="000000"/>
          <w:lang w:eastAsia="es-MX"/>
        </w:rPr>
      </w:pPr>
    </w:p>
    <w:p w:rsidR="005B6852" w:rsidRDefault="00077F8F" w:rsidP="00077F8F">
      <w:pPr>
        <w:pStyle w:val="Textoindependiente"/>
        <w:spacing w:after="0" w:line="360" w:lineRule="auto"/>
        <w:ind w:right="51"/>
        <w:jc w:val="both"/>
        <w:rPr>
          <w:rFonts w:ascii="ITC Avant Garde" w:eastAsia="Times New Roman" w:hAnsi="ITC Avant Garde"/>
          <w:bCs/>
          <w:color w:val="000000"/>
          <w:lang w:eastAsia="es-MX"/>
        </w:rPr>
      </w:pPr>
      <w:r w:rsidRPr="00F82378">
        <w:rPr>
          <w:rFonts w:ascii="ITC Avant Garde" w:eastAsia="Times New Roman" w:hAnsi="ITC Avant Garde"/>
          <w:b/>
          <w:bCs/>
          <w:color w:val="000000"/>
          <w:lang w:eastAsia="es-MX"/>
        </w:rPr>
        <w:t>QUINTO</w:t>
      </w:r>
      <w:r w:rsidRPr="00F82378">
        <w:rPr>
          <w:rFonts w:ascii="ITC Avant Garde" w:eastAsia="Times New Roman" w:hAnsi="ITC Avant Garde"/>
          <w:bCs/>
          <w:color w:val="000000"/>
          <w:lang w:eastAsia="es-MX"/>
        </w:rPr>
        <w:t>. El</w:t>
      </w:r>
      <w:r w:rsidRPr="00F82378">
        <w:rPr>
          <w:rFonts w:ascii="ITC Avant Garde" w:eastAsia="Times New Roman" w:hAnsi="ITC Avant Garde"/>
          <w:b/>
          <w:bCs/>
          <w:color w:val="000000"/>
          <w:lang w:eastAsia="es-MX"/>
        </w:rPr>
        <w:t xml:space="preserve"> </w:t>
      </w:r>
      <w:r w:rsidR="005C61DB">
        <w:rPr>
          <w:rFonts w:ascii="ITC Avant Garde" w:eastAsia="Times New Roman" w:hAnsi="ITC Avant Garde"/>
          <w:bCs/>
          <w:color w:val="000000"/>
          <w:lang w:eastAsia="es-MX"/>
        </w:rPr>
        <w:t xml:space="preserve">ocho de junio </w:t>
      </w:r>
      <w:r>
        <w:rPr>
          <w:rFonts w:ascii="ITC Avant Garde" w:eastAsia="Times New Roman" w:hAnsi="ITC Avant Garde"/>
          <w:bCs/>
          <w:color w:val="000000"/>
          <w:lang w:eastAsia="es-MX"/>
        </w:rPr>
        <w:t>de dos mil diecisiete</w:t>
      </w:r>
      <w:r w:rsidRPr="00F82378">
        <w:rPr>
          <w:rFonts w:ascii="ITC Avant Garde" w:eastAsia="Times New Roman" w:hAnsi="ITC Avant Garde"/>
          <w:bCs/>
          <w:color w:val="000000"/>
          <w:lang w:eastAsia="es-MX"/>
        </w:rPr>
        <w:t>, el</w:t>
      </w:r>
      <w:r w:rsidRPr="00F82378">
        <w:rPr>
          <w:rFonts w:ascii="ITC Avant Garde" w:eastAsia="Times New Roman" w:hAnsi="ITC Avant Garde"/>
          <w:b/>
          <w:bCs/>
          <w:color w:val="000000"/>
          <w:lang w:eastAsia="es-MX"/>
        </w:rPr>
        <w:t xml:space="preserve"> </w:t>
      </w:r>
      <w:r w:rsidR="005C61DB">
        <w:rPr>
          <w:rFonts w:ascii="ITC Avant Garde" w:eastAsia="Times New Roman" w:hAnsi="ITC Avant Garde"/>
          <w:b/>
          <w:bCs/>
          <w:color w:val="000000"/>
          <w:lang w:eastAsia="es-MX"/>
        </w:rPr>
        <w:t>TRIBUNAL COLEGIADO</w:t>
      </w:r>
      <w:r w:rsidR="005C61DB" w:rsidRPr="00F82378">
        <w:rPr>
          <w:rFonts w:ascii="ITC Avant Garde" w:eastAsia="Times New Roman" w:hAnsi="ITC Avant Garde"/>
          <w:bCs/>
          <w:color w:val="000000"/>
          <w:lang w:eastAsia="es-MX"/>
        </w:rPr>
        <w:t xml:space="preserve"> </w:t>
      </w:r>
      <w:r w:rsidR="005C61DB">
        <w:rPr>
          <w:rFonts w:ascii="ITC Avant Garde" w:eastAsia="Times New Roman" w:hAnsi="ITC Avant Garde"/>
          <w:bCs/>
          <w:color w:val="000000"/>
          <w:lang w:eastAsia="es-MX"/>
        </w:rPr>
        <w:t xml:space="preserve">dictó la sentencia del caso </w:t>
      </w:r>
      <w:r w:rsidRPr="00F82378">
        <w:rPr>
          <w:rFonts w:ascii="ITC Avant Garde" w:eastAsia="Times New Roman" w:hAnsi="ITC Avant Garde"/>
          <w:bCs/>
          <w:color w:val="000000"/>
          <w:lang w:eastAsia="es-MX"/>
        </w:rPr>
        <w:t xml:space="preserve">a través de la cual </w:t>
      </w:r>
      <w:r w:rsidR="005C61DB">
        <w:rPr>
          <w:rFonts w:ascii="ITC Avant Garde" w:eastAsia="Times New Roman" w:hAnsi="ITC Avant Garde"/>
          <w:bCs/>
          <w:color w:val="000000"/>
          <w:lang w:eastAsia="es-MX"/>
        </w:rPr>
        <w:t xml:space="preserve">concluyó sustancialmente </w:t>
      </w:r>
      <w:r w:rsidRPr="00F82378">
        <w:rPr>
          <w:rFonts w:ascii="ITC Avant Garde" w:eastAsia="Times New Roman" w:hAnsi="ITC Avant Garde"/>
          <w:bCs/>
          <w:color w:val="000000"/>
          <w:lang w:eastAsia="es-MX"/>
        </w:rPr>
        <w:t>lo siguiente:</w:t>
      </w:r>
    </w:p>
    <w:p w:rsidR="005B6852" w:rsidRDefault="00077F8F" w:rsidP="00077F8F">
      <w:pPr>
        <w:pStyle w:val="Textoindependiente"/>
        <w:tabs>
          <w:tab w:val="left" w:pos="851"/>
        </w:tabs>
        <w:spacing w:after="0" w:line="240" w:lineRule="auto"/>
        <w:ind w:left="567" w:right="616"/>
        <w:jc w:val="both"/>
        <w:rPr>
          <w:rFonts w:ascii="ITC Avant Garde" w:eastAsia="Times New Roman" w:hAnsi="ITC Avant Garde"/>
          <w:bCs/>
          <w:i/>
          <w:color w:val="000000"/>
          <w:lang w:eastAsia="es-MX"/>
        </w:rPr>
      </w:pPr>
      <w:r>
        <w:rPr>
          <w:rFonts w:ascii="ITC Avant Garde" w:eastAsia="Times New Roman" w:hAnsi="ITC Avant Garde"/>
          <w:b/>
          <w:bCs/>
          <w:i/>
          <w:color w:val="000000"/>
          <w:lang w:eastAsia="es-MX"/>
        </w:rPr>
        <w:t>“</w:t>
      </w:r>
      <w:r w:rsidRPr="003C1E0F">
        <w:rPr>
          <w:rFonts w:ascii="ITC Avant Garde" w:eastAsia="Times New Roman" w:hAnsi="ITC Avant Garde"/>
          <w:b/>
          <w:bCs/>
          <w:i/>
          <w:color w:val="000000"/>
          <w:lang w:eastAsia="es-MX"/>
        </w:rPr>
        <w:t>PRIMERO.</w:t>
      </w:r>
      <w:r w:rsidRPr="004B2F85">
        <w:rPr>
          <w:rFonts w:ascii="ITC Avant Garde" w:eastAsia="Times New Roman" w:hAnsi="ITC Avant Garde"/>
          <w:bCs/>
          <w:i/>
          <w:color w:val="000000"/>
          <w:lang w:eastAsia="es-MX"/>
        </w:rPr>
        <w:t xml:space="preserve"> </w:t>
      </w:r>
      <w:r w:rsidR="00BA296D">
        <w:rPr>
          <w:rFonts w:ascii="ITC Avant Garde" w:eastAsia="Times New Roman" w:hAnsi="ITC Avant Garde"/>
          <w:bCs/>
          <w:i/>
          <w:color w:val="000000"/>
          <w:lang w:eastAsia="es-MX"/>
        </w:rPr>
        <w:t xml:space="preserve">En la materia competencia de este tribunal, se </w:t>
      </w:r>
      <w:r w:rsidR="00BA296D" w:rsidRPr="00BA296D">
        <w:rPr>
          <w:rFonts w:ascii="ITC Avant Garde" w:eastAsia="Times New Roman" w:hAnsi="ITC Avant Garde"/>
          <w:b/>
          <w:bCs/>
          <w:i/>
          <w:color w:val="000000"/>
          <w:lang w:eastAsia="es-MX"/>
        </w:rPr>
        <w:t>MODIFICA</w:t>
      </w:r>
      <w:r w:rsidR="00BA296D">
        <w:rPr>
          <w:rFonts w:ascii="ITC Avant Garde" w:eastAsia="Times New Roman" w:hAnsi="ITC Avant Garde"/>
          <w:bCs/>
          <w:i/>
          <w:color w:val="000000"/>
          <w:lang w:eastAsia="es-MX"/>
        </w:rPr>
        <w:t xml:space="preserve"> la sentencia recurrida.</w:t>
      </w:r>
    </w:p>
    <w:p w:rsidR="005B6852" w:rsidRDefault="00BA296D" w:rsidP="00077F8F">
      <w:pPr>
        <w:pStyle w:val="Textoindependiente"/>
        <w:tabs>
          <w:tab w:val="left" w:pos="851"/>
        </w:tabs>
        <w:spacing w:after="0" w:line="240" w:lineRule="auto"/>
        <w:ind w:left="567" w:right="616"/>
        <w:jc w:val="both"/>
        <w:rPr>
          <w:rFonts w:ascii="ITC Avant Garde" w:eastAsia="Times New Roman" w:hAnsi="ITC Avant Garde"/>
          <w:b/>
          <w:bCs/>
          <w:i/>
          <w:color w:val="000000"/>
          <w:lang w:eastAsia="es-MX"/>
        </w:rPr>
      </w:pPr>
      <w:r>
        <w:rPr>
          <w:rFonts w:ascii="ITC Avant Garde" w:eastAsia="Times New Roman" w:hAnsi="ITC Avant Garde"/>
          <w:b/>
          <w:bCs/>
          <w:i/>
          <w:color w:val="000000"/>
          <w:lang w:eastAsia="es-MX"/>
        </w:rPr>
        <w:t>(…)</w:t>
      </w:r>
    </w:p>
    <w:p w:rsidR="005B6852" w:rsidRDefault="00BA296D" w:rsidP="00077F8F">
      <w:pPr>
        <w:pStyle w:val="Textoindependiente"/>
        <w:tabs>
          <w:tab w:val="left" w:pos="851"/>
        </w:tabs>
        <w:spacing w:after="0" w:line="240" w:lineRule="auto"/>
        <w:ind w:left="567" w:right="616"/>
        <w:jc w:val="both"/>
        <w:rPr>
          <w:rFonts w:ascii="ITC Avant Garde" w:eastAsia="Times New Roman" w:hAnsi="ITC Avant Garde"/>
          <w:bCs/>
          <w:color w:val="000000"/>
          <w:lang w:eastAsia="es-MX"/>
        </w:rPr>
      </w:pPr>
      <w:r>
        <w:rPr>
          <w:rFonts w:ascii="ITC Avant Garde" w:eastAsia="Times New Roman" w:hAnsi="ITC Avant Garde"/>
          <w:b/>
          <w:bCs/>
          <w:i/>
          <w:color w:val="000000"/>
          <w:lang w:eastAsia="es-MX"/>
        </w:rPr>
        <w:t xml:space="preserve">TERCERO. </w:t>
      </w:r>
      <w:r>
        <w:rPr>
          <w:rFonts w:ascii="ITC Avant Garde" w:eastAsia="Times New Roman" w:hAnsi="ITC Avant Garde"/>
          <w:bCs/>
          <w:i/>
          <w:color w:val="000000"/>
          <w:lang w:eastAsia="es-MX"/>
        </w:rPr>
        <w:t>Remítanse a la Suprema Corte de Justicia de la Nación los presentes autos y los del juicio de amparo de origen, así como sus anexos, para que determine lo que considere respecto de los artículos 298, inciso b), fracción IV y 299 de la Ley Federal de Telecomunicaciones y Radiodifusión”.</w:t>
      </w:r>
    </w:p>
    <w:p w:rsidR="00CA6A7E" w:rsidRDefault="00CA6A7E" w:rsidP="00077F8F">
      <w:pPr>
        <w:pStyle w:val="Textoindependiente"/>
        <w:tabs>
          <w:tab w:val="left" w:pos="851"/>
        </w:tabs>
        <w:spacing w:after="0" w:line="360" w:lineRule="auto"/>
        <w:ind w:right="49"/>
        <w:jc w:val="both"/>
        <w:rPr>
          <w:rFonts w:ascii="ITC Avant Garde" w:eastAsia="Times New Roman" w:hAnsi="ITC Avant Garde"/>
          <w:bCs/>
          <w:color w:val="000000"/>
          <w:lang w:eastAsia="es-MX"/>
        </w:rPr>
      </w:pPr>
    </w:p>
    <w:p w:rsidR="005B6852" w:rsidRDefault="00BA296D" w:rsidP="00077F8F">
      <w:pPr>
        <w:pStyle w:val="Textoindependiente"/>
        <w:tabs>
          <w:tab w:val="left" w:pos="851"/>
        </w:tabs>
        <w:spacing w:after="0" w:line="360" w:lineRule="auto"/>
        <w:ind w:right="49"/>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w:t>
      </w:r>
      <w:r w:rsidR="00077F8F">
        <w:rPr>
          <w:rFonts w:ascii="ITC Avant Garde" w:eastAsia="Times New Roman" w:hAnsi="ITC Avant Garde"/>
          <w:bCs/>
          <w:color w:val="000000"/>
          <w:lang w:eastAsia="es-MX"/>
        </w:rPr>
        <w:t>, al considerar lo siguiente</w:t>
      </w:r>
      <w:r w:rsidR="00077F8F" w:rsidRPr="00F82378">
        <w:rPr>
          <w:rFonts w:ascii="ITC Avant Garde" w:eastAsia="Times New Roman" w:hAnsi="ITC Avant Garde"/>
          <w:bCs/>
          <w:color w:val="000000"/>
          <w:lang w:eastAsia="es-MX"/>
        </w:rPr>
        <w:t>:</w:t>
      </w:r>
    </w:p>
    <w:p w:rsidR="00CA6A7E" w:rsidRDefault="00CA6A7E" w:rsidP="00077F8F">
      <w:pPr>
        <w:pStyle w:val="Textoindependiente"/>
        <w:tabs>
          <w:tab w:val="left" w:pos="851"/>
        </w:tabs>
        <w:spacing w:after="0" w:line="240" w:lineRule="auto"/>
        <w:ind w:right="49"/>
        <w:jc w:val="both"/>
        <w:rPr>
          <w:rFonts w:ascii="ITC Avant Garde" w:eastAsia="Times New Roman" w:hAnsi="ITC Avant Garde"/>
          <w:bCs/>
          <w:color w:val="000000"/>
          <w:lang w:eastAsia="es-MX"/>
        </w:rPr>
      </w:pPr>
    </w:p>
    <w:p w:rsidR="005B6852" w:rsidRDefault="00731972" w:rsidP="00AC1523">
      <w:pPr>
        <w:spacing w:after="0" w:line="240" w:lineRule="auto"/>
        <w:ind w:left="567" w:right="616"/>
        <w:jc w:val="both"/>
        <w:rPr>
          <w:rFonts w:ascii="ITC Avant Garde" w:hAnsi="ITC Avant Garde"/>
          <w:bCs/>
          <w:i/>
          <w:kern w:val="16"/>
        </w:rPr>
      </w:pPr>
      <w:r w:rsidRPr="00AC1523">
        <w:rPr>
          <w:rFonts w:ascii="ITC Avant Garde" w:hAnsi="ITC Avant Garde"/>
          <w:bCs/>
          <w:i/>
          <w:kern w:val="16"/>
        </w:rPr>
        <w:t xml:space="preserve">“…en el considerando sexto, analizó la constitucionalidad de los artículos 298, inciso B), fracción IV, y 299, de la LFTR, desestimando los conceptos de violación y negando el amparo a la </w:t>
      </w:r>
      <w:proofErr w:type="gramStart"/>
      <w:r w:rsidRPr="00AC1523">
        <w:rPr>
          <w:rFonts w:ascii="ITC Avant Garde" w:hAnsi="ITC Avant Garde"/>
          <w:bCs/>
          <w:i/>
          <w:kern w:val="16"/>
        </w:rPr>
        <w:t>pate quejosa</w:t>
      </w:r>
      <w:proofErr w:type="gramEnd"/>
      <w:r w:rsidRPr="00AC1523">
        <w:rPr>
          <w:rFonts w:ascii="ITC Avant Garde" w:hAnsi="ITC Avant Garde"/>
          <w:bCs/>
          <w:i/>
          <w:kern w:val="16"/>
        </w:rPr>
        <w:t xml:space="preserve"> respecto de esos numerales…”</w:t>
      </w:r>
    </w:p>
    <w:p w:rsidR="005B6852" w:rsidRDefault="00731972" w:rsidP="00AC1523">
      <w:pPr>
        <w:spacing w:after="0" w:line="240" w:lineRule="auto"/>
        <w:ind w:left="567" w:right="616"/>
        <w:jc w:val="both"/>
        <w:rPr>
          <w:rFonts w:ascii="ITC Avant Garde" w:hAnsi="ITC Avant Garde"/>
          <w:bCs/>
          <w:i/>
          <w:kern w:val="16"/>
        </w:rPr>
      </w:pPr>
      <w:r w:rsidRPr="00AC1523">
        <w:rPr>
          <w:rFonts w:ascii="ITC Avant Garde" w:hAnsi="ITC Avant Garde"/>
          <w:bCs/>
          <w:i/>
          <w:kern w:val="16"/>
        </w:rPr>
        <w:t>(…)</w:t>
      </w:r>
    </w:p>
    <w:p w:rsidR="005B6852" w:rsidRDefault="00731972" w:rsidP="00AC1523">
      <w:pPr>
        <w:spacing w:after="0" w:line="240" w:lineRule="auto"/>
        <w:ind w:left="567" w:right="616"/>
        <w:jc w:val="both"/>
        <w:rPr>
          <w:rFonts w:ascii="ITC Avant Garde" w:hAnsi="ITC Avant Garde"/>
          <w:bCs/>
          <w:i/>
          <w:kern w:val="16"/>
        </w:rPr>
      </w:pPr>
      <w:r w:rsidRPr="00AC1523">
        <w:rPr>
          <w:rFonts w:ascii="ITC Avant Garde" w:hAnsi="ITC Avant Garde"/>
          <w:bCs/>
          <w:i/>
          <w:kern w:val="16"/>
        </w:rPr>
        <w:t>“</w:t>
      </w:r>
      <w:r w:rsidRPr="00AC1523">
        <w:rPr>
          <w:rFonts w:ascii="ITC Avant Garde" w:hAnsi="ITC Avant Garde"/>
          <w:b/>
          <w:bCs/>
          <w:i/>
          <w:kern w:val="16"/>
        </w:rPr>
        <w:t>DÉCIMO.</w:t>
      </w:r>
      <w:r w:rsidRPr="00AC1523">
        <w:rPr>
          <w:rFonts w:ascii="ITC Avant Garde" w:hAnsi="ITC Avant Garde"/>
          <w:bCs/>
          <w:i/>
          <w:kern w:val="16"/>
        </w:rPr>
        <w:t xml:space="preserve"> Ahora bien, los actos reclamados por los cuales no se ha sobreseído en el juicio son:</w:t>
      </w:r>
    </w:p>
    <w:p w:rsidR="005B6852" w:rsidRDefault="00731972" w:rsidP="00AC1523">
      <w:pPr>
        <w:pStyle w:val="Textoindependiente"/>
        <w:numPr>
          <w:ilvl w:val="0"/>
          <w:numId w:val="5"/>
        </w:numPr>
        <w:tabs>
          <w:tab w:val="left" w:pos="851"/>
        </w:tabs>
        <w:spacing w:after="0" w:line="240" w:lineRule="auto"/>
        <w:ind w:right="49" w:hanging="153"/>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Ley Federal de Telecomunicaciones y Radiodifusión; concretamente los artículos </w:t>
      </w:r>
      <w:r w:rsidR="00AC1523">
        <w:rPr>
          <w:rFonts w:ascii="ITC Avant Garde" w:eastAsia="Times New Roman" w:hAnsi="ITC Avant Garde"/>
          <w:bCs/>
          <w:color w:val="000000"/>
          <w:lang w:eastAsia="es-MX"/>
        </w:rPr>
        <w:t>29</w:t>
      </w:r>
      <w:r w:rsidR="003D3583">
        <w:rPr>
          <w:rFonts w:ascii="ITC Avant Garde" w:eastAsia="Times New Roman" w:hAnsi="ITC Avant Garde"/>
          <w:bCs/>
          <w:color w:val="000000"/>
          <w:lang w:eastAsia="es-MX"/>
        </w:rPr>
        <w:t>8</w:t>
      </w:r>
      <w:r w:rsidR="00AC1523">
        <w:rPr>
          <w:rFonts w:ascii="ITC Avant Garde" w:eastAsia="Times New Roman" w:hAnsi="ITC Avant Garde"/>
          <w:bCs/>
          <w:color w:val="000000"/>
          <w:lang w:eastAsia="es-MX"/>
        </w:rPr>
        <w:t>, inciso B), fracción IV...”</w:t>
      </w:r>
    </w:p>
    <w:p w:rsidR="005B6852" w:rsidRDefault="00AC1523" w:rsidP="00AC1523">
      <w:pPr>
        <w:spacing w:after="0" w:line="240" w:lineRule="auto"/>
        <w:ind w:left="567" w:right="616"/>
        <w:jc w:val="both"/>
        <w:rPr>
          <w:rFonts w:ascii="ITC Avant Garde" w:hAnsi="ITC Avant Garde"/>
          <w:bCs/>
          <w:i/>
          <w:kern w:val="16"/>
        </w:rPr>
      </w:pPr>
      <w:r w:rsidRPr="00AC1523">
        <w:rPr>
          <w:rFonts w:ascii="ITC Avant Garde" w:hAnsi="ITC Avant Garde"/>
          <w:bCs/>
          <w:i/>
          <w:kern w:val="16"/>
        </w:rPr>
        <w:t xml:space="preserve">(…) </w:t>
      </w:r>
    </w:p>
    <w:p w:rsidR="005B6852" w:rsidRDefault="00A66556" w:rsidP="00BA296D">
      <w:pPr>
        <w:spacing w:after="0" w:line="240" w:lineRule="auto"/>
        <w:ind w:left="567" w:right="616"/>
        <w:jc w:val="both"/>
        <w:rPr>
          <w:rFonts w:ascii="ITC Avant Garde" w:hAnsi="ITC Avant Garde"/>
          <w:bCs/>
          <w:i/>
          <w:kern w:val="16"/>
        </w:rPr>
      </w:pPr>
      <w:r>
        <w:rPr>
          <w:rFonts w:ascii="ITC Avant Garde" w:hAnsi="ITC Avant Garde"/>
          <w:bCs/>
          <w:kern w:val="16"/>
        </w:rPr>
        <w:t>“</w:t>
      </w:r>
      <w:r w:rsidR="00731972" w:rsidRPr="00731972">
        <w:rPr>
          <w:rFonts w:ascii="ITC Avant Garde" w:hAnsi="ITC Avant Garde"/>
          <w:b/>
          <w:bCs/>
          <w:i/>
          <w:kern w:val="16"/>
        </w:rPr>
        <w:t>DÉCIMO SEGUNDO.</w:t>
      </w:r>
      <w:r w:rsidR="00731972" w:rsidRPr="00731972">
        <w:rPr>
          <w:rFonts w:ascii="ITC Avant Garde" w:hAnsi="ITC Avant Garde"/>
          <w:bCs/>
          <w:i/>
          <w:kern w:val="16"/>
        </w:rPr>
        <w:t xml:space="preserve"> Toda vez que subsiste en el recurso el problema de constitucionalidad, en relación con los artículos 298, inciso b), fracción IV y 299, primer párrafo, de la Ley Federal de Telecomunicaciones y Radiodifusión, con fundamento en el artículo 95 de la Ley de Amparo, este tribunal colegiado debe proceder de conformidad con lo dispuesto en el Acuerdo General 5/2013 del Pleno de la Suprema Corte de Justicia de la Nación.</w:t>
      </w:r>
    </w:p>
    <w:p w:rsidR="005B6852" w:rsidRDefault="00731972" w:rsidP="00A66556">
      <w:pPr>
        <w:spacing w:after="0" w:line="240" w:lineRule="auto"/>
        <w:ind w:left="567" w:right="616"/>
        <w:jc w:val="both"/>
        <w:rPr>
          <w:rFonts w:ascii="ITC Avant Garde" w:hAnsi="ITC Avant Garde"/>
          <w:i/>
          <w:szCs w:val="20"/>
        </w:rPr>
      </w:pPr>
      <w:r w:rsidRPr="00731972">
        <w:rPr>
          <w:rFonts w:ascii="ITC Avant Garde" w:hAnsi="ITC Avant Garde"/>
          <w:bCs/>
          <w:i/>
          <w:kern w:val="16"/>
        </w:rPr>
        <w:t xml:space="preserve">En tal virtud, deben remitirse los autos a la Suprema Corte de Justicia de la Nación, de conformidad con los artículos 107, fracción VIII, inciso a), de la Constitución Política de los Estados Unidos Mexicanos; 81, fracción I, inciso e) y 83, primer párrafo, de la Ley de Amparo; y 10, fracción II, inciso a), de la Ley Orgánica del Poder Judicial de la </w:t>
      </w:r>
      <w:proofErr w:type="gramStart"/>
      <w:r w:rsidRPr="00731972">
        <w:rPr>
          <w:rFonts w:ascii="ITC Avant Garde" w:hAnsi="ITC Avant Garde"/>
          <w:bCs/>
          <w:i/>
          <w:kern w:val="16"/>
        </w:rPr>
        <w:t>Federación</w:t>
      </w:r>
      <w:r>
        <w:rPr>
          <w:rFonts w:ascii="ITC Avant Garde" w:hAnsi="ITC Avant Garde"/>
          <w:bCs/>
          <w:kern w:val="16"/>
        </w:rPr>
        <w:t>….</w:t>
      </w:r>
      <w:proofErr w:type="gramEnd"/>
      <w:r>
        <w:rPr>
          <w:rFonts w:ascii="ITC Avant Garde" w:hAnsi="ITC Avant Garde"/>
          <w:bCs/>
          <w:kern w:val="16"/>
        </w:rPr>
        <w:t>”</w:t>
      </w:r>
    </w:p>
    <w:p w:rsidR="00CA6A7E" w:rsidRPr="001940DC" w:rsidRDefault="00CA6A7E" w:rsidP="00077F8F">
      <w:pPr>
        <w:spacing w:after="0" w:line="240" w:lineRule="auto"/>
        <w:ind w:right="616"/>
        <w:jc w:val="both"/>
        <w:rPr>
          <w:rFonts w:ascii="ITC Avant Garde" w:hAnsi="ITC Avant Garde"/>
          <w:szCs w:val="20"/>
        </w:rPr>
      </w:pPr>
    </w:p>
    <w:p w:rsidR="005B6852" w:rsidRDefault="00AC1523" w:rsidP="00C77130">
      <w:pPr>
        <w:spacing w:after="0" w:line="360" w:lineRule="auto"/>
        <w:jc w:val="center"/>
        <w:rPr>
          <w:rFonts w:ascii="ITC Avant Garde" w:eastAsia="Times New Roman" w:hAnsi="ITC Avant Garde"/>
          <w:b/>
          <w:bCs/>
          <w:u w:val="single"/>
          <w:lang w:eastAsia="es-MX"/>
        </w:rPr>
      </w:pPr>
      <w:r w:rsidRPr="00AC1523">
        <w:rPr>
          <w:rFonts w:ascii="ITC Avant Garde" w:eastAsia="Times New Roman" w:hAnsi="ITC Avant Garde"/>
          <w:b/>
          <w:bCs/>
          <w:u w:val="single"/>
          <w:lang w:eastAsia="es-MX"/>
        </w:rPr>
        <w:t>Amparo en Revisión por la SCJN</w:t>
      </w:r>
    </w:p>
    <w:p w:rsidR="005B6852" w:rsidRDefault="00077F8F" w:rsidP="0072413A">
      <w:pPr>
        <w:pStyle w:val="Textoindependiente"/>
        <w:tabs>
          <w:tab w:val="left" w:pos="993"/>
        </w:tabs>
        <w:spacing w:after="0" w:line="360" w:lineRule="auto"/>
        <w:jc w:val="both"/>
        <w:rPr>
          <w:rFonts w:ascii="ITC Avant Garde" w:eastAsia="Times New Roman" w:hAnsi="ITC Avant Garde"/>
          <w:bCs/>
          <w:color w:val="000000"/>
          <w:lang w:eastAsia="es-MX"/>
        </w:rPr>
      </w:pPr>
      <w:r w:rsidRPr="00077F8F">
        <w:rPr>
          <w:rFonts w:ascii="ITC Avant Garde" w:eastAsia="Times New Roman" w:hAnsi="ITC Avant Garde"/>
          <w:b/>
          <w:bCs/>
          <w:color w:val="000000"/>
          <w:lang w:eastAsia="es-MX"/>
        </w:rPr>
        <w:t xml:space="preserve">SEXTO. </w:t>
      </w:r>
      <w:r w:rsidR="00AC1523" w:rsidRPr="00AC1523">
        <w:rPr>
          <w:rFonts w:ascii="ITC Avant Garde" w:eastAsia="Times New Roman" w:hAnsi="ITC Avant Garde"/>
          <w:bCs/>
          <w:color w:val="000000"/>
          <w:lang w:eastAsia="es-MX"/>
        </w:rPr>
        <w:t xml:space="preserve">Mediante acuerdo de treinta de junio de dos mil diecisiete, el Presidente de </w:t>
      </w:r>
      <w:r w:rsidR="00AC1523">
        <w:rPr>
          <w:rFonts w:ascii="ITC Avant Garde" w:eastAsia="Times New Roman" w:hAnsi="ITC Avant Garde"/>
          <w:bCs/>
          <w:color w:val="000000"/>
          <w:lang w:eastAsia="es-MX"/>
        </w:rPr>
        <w:t>l</w:t>
      </w:r>
      <w:r w:rsidR="00AC1523" w:rsidRPr="00AC1523">
        <w:rPr>
          <w:rFonts w:ascii="ITC Avant Garde" w:eastAsia="Times New Roman" w:hAnsi="ITC Avant Garde"/>
          <w:bCs/>
          <w:color w:val="000000"/>
          <w:lang w:eastAsia="es-MX"/>
        </w:rPr>
        <w:t xml:space="preserve">a Suprema Corte de Justicia de la Nación asumió la competencia originaria para conocer </w:t>
      </w:r>
      <w:r w:rsidR="00AC1523" w:rsidRPr="00AC1523">
        <w:rPr>
          <w:rFonts w:ascii="ITC Avant Garde" w:eastAsia="Times New Roman" w:hAnsi="ITC Avant Garde"/>
          <w:bCs/>
          <w:color w:val="000000"/>
          <w:lang w:eastAsia="es-MX"/>
        </w:rPr>
        <w:lastRenderedPageBreak/>
        <w:t xml:space="preserve">del recurso de revisión y turnó el expediente a </w:t>
      </w:r>
      <w:r w:rsidR="00AC1523">
        <w:rPr>
          <w:rFonts w:ascii="ITC Avant Garde" w:eastAsia="Times New Roman" w:hAnsi="ITC Avant Garde"/>
          <w:bCs/>
          <w:color w:val="000000"/>
          <w:lang w:eastAsia="es-MX"/>
        </w:rPr>
        <w:t>la</w:t>
      </w:r>
      <w:r w:rsidR="00AC1523" w:rsidRPr="00AC1523">
        <w:rPr>
          <w:rFonts w:ascii="ITC Avant Garde" w:eastAsia="Times New Roman" w:hAnsi="ITC Avant Garde"/>
          <w:bCs/>
          <w:color w:val="000000"/>
          <w:lang w:eastAsia="es-MX"/>
        </w:rPr>
        <w:t xml:space="preserve"> Segunda Sala de ese Alto Tribunal en virtud de que la materia del asunto correspond</w:t>
      </w:r>
      <w:r w:rsidR="00AC1523">
        <w:rPr>
          <w:rFonts w:ascii="ITC Avant Garde" w:eastAsia="Times New Roman" w:hAnsi="ITC Avant Garde"/>
          <w:bCs/>
          <w:color w:val="000000"/>
          <w:lang w:eastAsia="es-MX"/>
        </w:rPr>
        <w:t>ía</w:t>
      </w:r>
      <w:r w:rsidR="00AC1523" w:rsidRPr="00AC1523">
        <w:rPr>
          <w:rFonts w:ascii="ITC Avant Garde" w:eastAsia="Times New Roman" w:hAnsi="ITC Avant Garde"/>
          <w:bCs/>
          <w:color w:val="000000"/>
          <w:lang w:eastAsia="es-MX"/>
        </w:rPr>
        <w:t xml:space="preserve"> a su especialidad</w:t>
      </w:r>
      <w:r w:rsidR="00AC1523">
        <w:rPr>
          <w:rFonts w:ascii="ITC Avant Garde" w:eastAsia="Times New Roman" w:hAnsi="ITC Avant Garde"/>
          <w:bCs/>
          <w:color w:val="000000"/>
          <w:lang w:eastAsia="es-MX"/>
        </w:rPr>
        <w:t>.</w:t>
      </w:r>
    </w:p>
    <w:p w:rsidR="005B6852" w:rsidRDefault="00A5797E" w:rsidP="0072413A">
      <w:pPr>
        <w:pStyle w:val="Textoindependiente"/>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SÉPTIMO. </w:t>
      </w:r>
      <w:r w:rsidRPr="00A5797E">
        <w:rPr>
          <w:rFonts w:ascii="ITC Avant Garde" w:eastAsia="Times New Roman" w:hAnsi="ITC Avant Garde"/>
          <w:bCs/>
          <w:color w:val="000000"/>
          <w:lang w:eastAsia="es-MX"/>
        </w:rPr>
        <w:t>L</w:t>
      </w:r>
      <w:r>
        <w:rPr>
          <w:rFonts w:ascii="ITC Avant Garde" w:eastAsia="Times New Roman" w:hAnsi="ITC Avant Garde"/>
          <w:bCs/>
          <w:color w:val="000000"/>
          <w:lang w:eastAsia="es-MX"/>
        </w:rPr>
        <w:t>a</w:t>
      </w:r>
      <w:r w:rsidRPr="00AC1523">
        <w:rPr>
          <w:rFonts w:ascii="ITC Avant Garde" w:eastAsia="Times New Roman" w:hAnsi="ITC Avant Garde"/>
          <w:bCs/>
          <w:color w:val="000000"/>
          <w:lang w:eastAsia="es-MX"/>
        </w:rPr>
        <w:t xml:space="preserve"> </w:t>
      </w:r>
      <w:r w:rsidR="00C77130" w:rsidRPr="00C77130">
        <w:rPr>
          <w:rFonts w:ascii="ITC Avant Garde" w:eastAsia="Times New Roman" w:hAnsi="ITC Avant Garde"/>
          <w:b/>
          <w:bCs/>
          <w:color w:val="000000"/>
          <w:lang w:eastAsia="es-MX"/>
        </w:rPr>
        <w:t>SEGUNDA SALA DE LA SCJN</w:t>
      </w:r>
      <w:r>
        <w:rPr>
          <w:rFonts w:ascii="ITC Avant Garde" w:eastAsia="Times New Roman" w:hAnsi="ITC Avant Garde"/>
          <w:bCs/>
          <w:color w:val="000000"/>
          <w:lang w:eastAsia="es-MX"/>
        </w:rPr>
        <w:t xml:space="preserve">, en la Sesión correspondiente al día veinticinco de octubre de dos mil diecisiete, emitió la </w:t>
      </w:r>
      <w:r w:rsidR="001D700F">
        <w:rPr>
          <w:rFonts w:ascii="ITC Avant Garde" w:eastAsia="Times New Roman" w:hAnsi="ITC Avant Garde"/>
          <w:bCs/>
          <w:color w:val="000000"/>
          <w:lang w:eastAsia="es-MX"/>
        </w:rPr>
        <w:t xml:space="preserve">resolución correspondiente en los autos del </w:t>
      </w:r>
      <w:r w:rsidR="00A17A80" w:rsidRPr="00A17A80">
        <w:rPr>
          <w:rFonts w:ascii="ITC Avant Garde" w:eastAsia="Times New Roman" w:hAnsi="ITC Avant Garde"/>
          <w:b/>
          <w:bCs/>
          <w:color w:val="000000"/>
          <w:lang w:eastAsia="es-MX"/>
        </w:rPr>
        <w:t>Amparo en Revisión 692/2017</w:t>
      </w:r>
      <w:r w:rsidR="00A17A80">
        <w:rPr>
          <w:rFonts w:ascii="ITC Avant Garde" w:eastAsia="Times New Roman" w:hAnsi="ITC Avant Garde"/>
          <w:bCs/>
          <w:color w:val="000000"/>
          <w:lang w:eastAsia="es-MX"/>
        </w:rPr>
        <w:t>, en la cual resolvió:</w:t>
      </w:r>
    </w:p>
    <w:p w:rsidR="005B6852" w:rsidRDefault="00A17A80" w:rsidP="00A17A80">
      <w:pPr>
        <w:spacing w:after="0" w:line="240" w:lineRule="auto"/>
        <w:ind w:left="567" w:right="616"/>
        <w:jc w:val="both"/>
        <w:rPr>
          <w:rFonts w:ascii="ITC Avant Garde" w:hAnsi="ITC Avant Garde"/>
          <w:bCs/>
          <w:i/>
          <w:kern w:val="16"/>
        </w:rPr>
      </w:pPr>
      <w:r>
        <w:rPr>
          <w:rFonts w:ascii="ITC Avant Garde" w:hAnsi="ITC Avant Garde"/>
          <w:bCs/>
          <w:i/>
          <w:kern w:val="16"/>
        </w:rPr>
        <w:t>“</w:t>
      </w:r>
      <w:r w:rsidRPr="00A17A80">
        <w:rPr>
          <w:rFonts w:ascii="ITC Avant Garde" w:hAnsi="ITC Avant Garde"/>
          <w:b/>
          <w:bCs/>
          <w:i/>
          <w:kern w:val="16"/>
        </w:rPr>
        <w:t>PRIMERO.</w:t>
      </w:r>
      <w:r w:rsidRPr="00A17A80">
        <w:rPr>
          <w:rFonts w:ascii="ITC Avant Garde" w:hAnsi="ITC Avant Garde"/>
          <w:bCs/>
          <w:i/>
          <w:kern w:val="16"/>
        </w:rPr>
        <w:t xml:space="preserve"> En la materia de la revisión, competencia de esta Suprema Corte de Justicia de la Nación, se </w:t>
      </w:r>
      <w:r w:rsidRPr="00A17A80">
        <w:rPr>
          <w:rFonts w:ascii="ITC Avant Garde" w:hAnsi="ITC Avant Garde"/>
          <w:b/>
          <w:bCs/>
          <w:i/>
          <w:kern w:val="16"/>
        </w:rPr>
        <w:t>modifica</w:t>
      </w:r>
      <w:r w:rsidRPr="00A17A80">
        <w:rPr>
          <w:rFonts w:ascii="ITC Avant Garde" w:hAnsi="ITC Avant Garde"/>
          <w:bCs/>
          <w:i/>
          <w:kern w:val="16"/>
        </w:rPr>
        <w:t xml:space="preserve"> la sentencia recurrida.</w:t>
      </w:r>
    </w:p>
    <w:p w:rsidR="005B6852" w:rsidRDefault="00A17A80" w:rsidP="00A17A80">
      <w:pPr>
        <w:spacing w:after="0" w:line="240" w:lineRule="auto"/>
        <w:ind w:left="567" w:right="616"/>
        <w:jc w:val="both"/>
        <w:rPr>
          <w:rFonts w:ascii="ITC Avant Garde" w:hAnsi="ITC Avant Garde"/>
          <w:bCs/>
          <w:i/>
          <w:kern w:val="16"/>
        </w:rPr>
      </w:pPr>
      <w:r w:rsidRPr="00A17A80">
        <w:rPr>
          <w:rFonts w:ascii="ITC Avant Garde" w:hAnsi="ITC Avant Garde"/>
          <w:b/>
          <w:bCs/>
          <w:i/>
          <w:kern w:val="16"/>
        </w:rPr>
        <w:t>SEGUNDO.</w:t>
      </w:r>
      <w:r w:rsidRPr="00A17A80">
        <w:rPr>
          <w:rFonts w:ascii="ITC Avant Garde" w:hAnsi="ITC Avant Garde"/>
          <w:bCs/>
          <w:i/>
          <w:kern w:val="16"/>
        </w:rPr>
        <w:t xml:space="preserve"> La Justicia de la Unión </w:t>
      </w:r>
      <w:r w:rsidRPr="00A17A80">
        <w:rPr>
          <w:rFonts w:ascii="ITC Avant Garde" w:hAnsi="ITC Avant Garde"/>
          <w:b/>
          <w:bCs/>
          <w:i/>
          <w:kern w:val="16"/>
        </w:rPr>
        <w:t>no ampara ni protege a Televisión Internacional, Sociedad Anónima de Capital Variable,</w:t>
      </w:r>
      <w:r w:rsidRPr="00A17A80">
        <w:rPr>
          <w:rFonts w:ascii="ITC Avant Garde" w:hAnsi="ITC Avant Garde"/>
          <w:bCs/>
          <w:i/>
          <w:kern w:val="16"/>
        </w:rPr>
        <w:t xml:space="preserve"> en contra del artículo 299 de la Ley Federal de Telecomunicaciones y Radiodifusión, por las razones expresadas en la sentencia recurrida.</w:t>
      </w:r>
    </w:p>
    <w:p w:rsidR="005B6852" w:rsidRDefault="00A17A80" w:rsidP="00A17A80">
      <w:pPr>
        <w:spacing w:after="0" w:line="240" w:lineRule="auto"/>
        <w:ind w:left="567" w:right="616"/>
        <w:jc w:val="both"/>
        <w:rPr>
          <w:rFonts w:ascii="ITC Avant Garde" w:hAnsi="ITC Avant Garde"/>
          <w:bCs/>
          <w:i/>
          <w:kern w:val="16"/>
        </w:rPr>
      </w:pPr>
      <w:r w:rsidRPr="00A17A80">
        <w:rPr>
          <w:rFonts w:ascii="ITC Avant Garde" w:hAnsi="ITC Avant Garde"/>
          <w:b/>
          <w:bCs/>
          <w:i/>
          <w:kern w:val="16"/>
        </w:rPr>
        <w:t>TERCERO.</w:t>
      </w:r>
      <w:r w:rsidRPr="00A17A80">
        <w:rPr>
          <w:rFonts w:ascii="ITC Avant Garde" w:hAnsi="ITC Avant Garde"/>
          <w:bCs/>
          <w:i/>
          <w:kern w:val="16"/>
        </w:rPr>
        <w:t xml:space="preserve"> La Justicia de la Unión </w:t>
      </w:r>
      <w:r w:rsidRPr="00A17A80">
        <w:rPr>
          <w:rFonts w:ascii="ITC Avant Garde" w:hAnsi="ITC Avant Garde"/>
          <w:b/>
          <w:bCs/>
          <w:i/>
          <w:kern w:val="16"/>
        </w:rPr>
        <w:t>ampara y protege a Televisión Internacional, Sociedad Anónima de Capital Variable,</w:t>
      </w:r>
      <w:r w:rsidRPr="00A17A80">
        <w:rPr>
          <w:rFonts w:ascii="ITC Avant Garde" w:hAnsi="ITC Avant Garde"/>
          <w:bCs/>
          <w:i/>
          <w:kern w:val="16"/>
        </w:rPr>
        <w:t xml:space="preserve"> </w:t>
      </w:r>
      <w:r w:rsidRPr="00A17A80">
        <w:rPr>
          <w:rFonts w:ascii="ITC Avant Garde" w:hAnsi="ITC Avant Garde"/>
          <w:bCs/>
          <w:i/>
          <w:kern w:val="16"/>
          <w:u w:val="single"/>
        </w:rPr>
        <w:t>en contra del artículo 298, inciso B), fracción IV de la Ley Federal de Telecomunicaciones y Radiodifusión, por las razones y para los alcances precisados.</w:t>
      </w:r>
    </w:p>
    <w:p w:rsidR="005B6852" w:rsidRDefault="00A17A80" w:rsidP="0072413A">
      <w:pPr>
        <w:pStyle w:val="Textoindependiente"/>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(el subrayado es añadido)</w:t>
      </w:r>
    </w:p>
    <w:p w:rsidR="005B6852" w:rsidRDefault="00CB7034" w:rsidP="00CB7034">
      <w:pPr>
        <w:pStyle w:val="Textoindependiente"/>
        <w:tabs>
          <w:tab w:val="left" w:pos="851"/>
        </w:tabs>
        <w:spacing w:after="0" w:line="360" w:lineRule="auto"/>
        <w:ind w:right="49"/>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al considerar lo siguiente</w:t>
      </w:r>
      <w:r w:rsidRPr="00F82378">
        <w:rPr>
          <w:rFonts w:ascii="ITC Avant Garde" w:eastAsia="Times New Roman" w:hAnsi="ITC Avant Garde"/>
          <w:bCs/>
          <w:color w:val="000000"/>
          <w:lang w:eastAsia="es-MX"/>
        </w:rPr>
        <w:t>:</w:t>
      </w:r>
    </w:p>
    <w:p w:rsidR="00CB7034" w:rsidRPr="004A1B15" w:rsidRDefault="00B23466" w:rsidP="004A1B15">
      <w:pPr>
        <w:spacing w:line="360" w:lineRule="auto"/>
        <w:ind w:left="567" w:right="709"/>
        <w:jc w:val="both"/>
        <w:rPr>
          <w:rFonts w:ascii="ITC Avant Garde" w:hAnsi="ITC Avant Garde" w:cs="Arial"/>
          <w:i/>
        </w:rPr>
      </w:pPr>
      <w:proofErr w:type="gramStart"/>
      <w:r w:rsidRPr="004A1B15">
        <w:rPr>
          <w:rFonts w:ascii="ITC Avant Garde" w:hAnsi="ITC Avant Garde" w:cs="Arial"/>
          <w:b/>
        </w:rPr>
        <w:t>“</w:t>
      </w:r>
      <w:r w:rsidR="004A1B15">
        <w:rPr>
          <w:rFonts w:ascii="ITC Avant Garde" w:hAnsi="ITC Avant Garde" w:cs="Arial"/>
          <w:b/>
        </w:rPr>
        <w:t xml:space="preserve"> </w:t>
      </w:r>
      <w:r w:rsidR="004A1B15">
        <w:rPr>
          <w:rFonts w:ascii="ITC Avant Garde" w:hAnsi="ITC Avant Garde" w:cs="Arial"/>
        </w:rPr>
        <w:t>31</w:t>
      </w:r>
      <w:proofErr w:type="gramEnd"/>
      <w:r w:rsidR="004A1B15">
        <w:rPr>
          <w:rFonts w:ascii="ITC Avant Garde" w:hAnsi="ITC Avant Garde" w:cs="Arial"/>
        </w:rPr>
        <w:t xml:space="preserve">. </w:t>
      </w:r>
      <w:r w:rsidR="00CB7034" w:rsidRPr="004A1B15">
        <w:rPr>
          <w:rFonts w:ascii="ITC Avant Garde" w:hAnsi="ITC Avant Garde" w:cs="Arial"/>
          <w:i/>
        </w:rPr>
        <w:t xml:space="preserve">A través del </w:t>
      </w:r>
      <w:r w:rsidR="00CB7034" w:rsidRPr="004A1B15">
        <w:rPr>
          <w:rFonts w:ascii="ITC Avant Garde" w:hAnsi="ITC Avant Garde" w:cs="Arial"/>
          <w:b/>
          <w:i/>
        </w:rPr>
        <w:t>primero de los agravios</w:t>
      </w:r>
      <w:r w:rsidR="00CB7034" w:rsidRPr="004A1B15">
        <w:rPr>
          <w:rFonts w:ascii="ITC Avant Garde" w:hAnsi="ITC Avant Garde" w:cs="Arial"/>
          <w:i/>
        </w:rPr>
        <w:t xml:space="preserve">, la parte quejosa cuestiona, en esencia, lo resuelto en el fallo recurrido respecto de dos tópicos diferentes, a saber: </w:t>
      </w:r>
    </w:p>
    <w:p w:rsidR="00CB7034" w:rsidRPr="004A1B15" w:rsidRDefault="00CB7034" w:rsidP="004A1B15">
      <w:pPr>
        <w:spacing w:line="360" w:lineRule="auto"/>
        <w:ind w:left="567" w:right="709"/>
        <w:jc w:val="both"/>
        <w:rPr>
          <w:rFonts w:ascii="ITC Avant Garde" w:hAnsi="ITC Avant Garde" w:cs="Arial"/>
          <w:i/>
        </w:rPr>
      </w:pPr>
      <w:r w:rsidRPr="004A1B15">
        <w:rPr>
          <w:rFonts w:ascii="ITC Avant Garde" w:hAnsi="ITC Avant Garde" w:cs="Arial"/>
          <w:i/>
        </w:rPr>
        <w:t>(…)</w:t>
      </w:r>
    </w:p>
    <w:p w:rsidR="005B6852" w:rsidRDefault="00CB7034" w:rsidP="004A1B15">
      <w:pPr>
        <w:pStyle w:val="Prrafodelista"/>
        <w:numPr>
          <w:ilvl w:val="0"/>
          <w:numId w:val="8"/>
        </w:numPr>
        <w:spacing w:after="0" w:line="240" w:lineRule="auto"/>
        <w:contextualSpacing w:val="0"/>
        <w:jc w:val="both"/>
        <w:rPr>
          <w:rFonts w:ascii="ITC Avant Garde" w:hAnsi="ITC Avant Garde" w:cs="Arial"/>
          <w:i/>
        </w:rPr>
      </w:pPr>
      <w:r w:rsidRPr="004A1B15">
        <w:rPr>
          <w:rFonts w:ascii="ITC Avant Garde" w:hAnsi="ITC Avant Garde" w:cs="Arial"/>
          <w:b/>
          <w:i/>
        </w:rPr>
        <w:t xml:space="preserve">Con relación a los porcentajes de sanción. </w:t>
      </w:r>
      <w:r w:rsidRPr="004A1B15">
        <w:rPr>
          <w:rFonts w:ascii="ITC Avant Garde" w:hAnsi="ITC Avant Garde" w:cs="Arial"/>
          <w:i/>
        </w:rPr>
        <w:t xml:space="preserve">El artículo 298, inciso B), fracción IV, de la ley reclamada es inconstitucional </w:t>
      </w:r>
      <w:proofErr w:type="gramStart"/>
      <w:r w:rsidRPr="004A1B15">
        <w:rPr>
          <w:rFonts w:ascii="ITC Avant Garde" w:hAnsi="ITC Avant Garde" w:cs="Arial"/>
          <w:i/>
        </w:rPr>
        <w:t>porque</w:t>
      </w:r>
      <w:proofErr w:type="gramEnd"/>
      <w:r w:rsidRPr="004A1B15">
        <w:rPr>
          <w:rFonts w:ascii="ITC Avant Garde" w:hAnsi="ITC Avant Garde" w:cs="Arial"/>
          <w:i/>
        </w:rPr>
        <w:t xml:space="preserve"> aunque una norma contenga como sanción, multas que oscilan entre mínimos y máximos, el mínimo puede resultar excesivo por criterios inadecuados de valoración establecidos por el legislador, por lo que al momento de fijar los parámetros debe asegurarse un método de individualización, en donde se garantice la cuantía de la multa y los hechos que circundan al ilícito.</w:t>
      </w:r>
    </w:p>
    <w:p w:rsidR="005B6852" w:rsidRDefault="004A1B15" w:rsidP="004A1B15">
      <w:pPr>
        <w:spacing w:line="360" w:lineRule="auto"/>
        <w:ind w:left="567" w:right="709"/>
        <w:jc w:val="both"/>
        <w:rPr>
          <w:rFonts w:ascii="ITC Avant Garde" w:hAnsi="ITC Avant Garde" w:cs="Arial"/>
          <w:i/>
        </w:rPr>
      </w:pPr>
      <w:r w:rsidRPr="004A1B15">
        <w:rPr>
          <w:rFonts w:ascii="ITC Avant Garde" w:hAnsi="ITC Avant Garde" w:cs="Arial"/>
          <w:i/>
        </w:rPr>
        <w:t>(…)</w:t>
      </w:r>
    </w:p>
    <w:p w:rsidR="005B6852" w:rsidRDefault="00CB7034" w:rsidP="004A1B15">
      <w:pPr>
        <w:pStyle w:val="Prrafodelista"/>
        <w:numPr>
          <w:ilvl w:val="0"/>
          <w:numId w:val="10"/>
        </w:numPr>
        <w:spacing w:after="0" w:line="240" w:lineRule="auto"/>
        <w:ind w:right="-2"/>
        <w:contextualSpacing w:val="0"/>
        <w:jc w:val="both"/>
        <w:rPr>
          <w:rFonts w:ascii="ITC Avant Garde" w:hAnsi="ITC Avant Garde" w:cs="Arial"/>
          <w:b/>
          <w:i/>
        </w:rPr>
      </w:pPr>
      <w:r w:rsidRPr="004A1B15">
        <w:rPr>
          <w:rFonts w:ascii="ITC Avant Garde" w:hAnsi="ITC Avant Garde" w:cs="Arial"/>
          <w:b/>
          <w:i/>
        </w:rPr>
        <w:t xml:space="preserve">Con relación a los porcentajes de sanción. </w:t>
      </w:r>
    </w:p>
    <w:p w:rsidR="005B6852" w:rsidRDefault="004A1B15" w:rsidP="004A1B15">
      <w:pPr>
        <w:spacing w:line="360" w:lineRule="auto"/>
        <w:ind w:left="1130" w:right="709"/>
        <w:jc w:val="both"/>
        <w:rPr>
          <w:rFonts w:ascii="ITC Avant Garde" w:hAnsi="ITC Avant Garde" w:cs="Arial"/>
          <w:i/>
        </w:rPr>
      </w:pPr>
      <w:r>
        <w:rPr>
          <w:rFonts w:ascii="ITC Avant Garde" w:hAnsi="ITC Avant Garde" w:cs="Arial"/>
          <w:i/>
        </w:rPr>
        <w:t xml:space="preserve">46. </w:t>
      </w:r>
      <w:r w:rsidR="00CB7034" w:rsidRPr="004A1B15">
        <w:rPr>
          <w:rFonts w:ascii="ITC Avant Garde" w:hAnsi="ITC Avant Garde" w:cs="Arial"/>
          <w:i/>
        </w:rPr>
        <w:t xml:space="preserve">Por otra parte, en la </w:t>
      </w:r>
      <w:r w:rsidR="00CB7034" w:rsidRPr="004A1B15">
        <w:rPr>
          <w:rFonts w:ascii="ITC Avant Garde" w:hAnsi="ITC Avant Garde" w:cs="Arial"/>
          <w:b/>
          <w:i/>
        </w:rPr>
        <w:t>segunda de las líneas argumentativas contenidas en el agravio</w:t>
      </w:r>
      <w:r w:rsidR="00CB7034" w:rsidRPr="004A1B15">
        <w:rPr>
          <w:rFonts w:ascii="ITC Avant Garde" w:hAnsi="ITC Avant Garde" w:cs="Arial"/>
          <w:i/>
        </w:rPr>
        <w:t xml:space="preserve"> que se analiza, se cuestiona lo resuelto sobre la constitucionalidad del artículo 298, inciso B), fracción IV, de la Ley Federal de Telecomunicaciones por cuanto hace a los porcentajes ahí previsto (1% al 3%) del ingreso del infractor y al respecto se aduce que, </w:t>
      </w:r>
      <w:r w:rsidR="00CB7034" w:rsidRPr="004A1B15">
        <w:rPr>
          <w:rFonts w:ascii="ITC Avant Garde" w:hAnsi="ITC Avant Garde" w:cs="Arial"/>
          <w:i/>
        </w:rPr>
        <w:lastRenderedPageBreak/>
        <w:t xml:space="preserve">a pesar de que una multa contenga mínimos y máximos, el mínimo puede ser excesivo por criterios </w:t>
      </w:r>
      <w:r w:rsidR="00CB7034" w:rsidRPr="001607D6">
        <w:rPr>
          <w:rFonts w:ascii="ITC Avant Garde" w:hAnsi="ITC Avant Garde" w:cs="Arial"/>
          <w:i/>
        </w:rPr>
        <w:t xml:space="preserve">inadecuados de valoración proporcionados por el legislador. Tal argumento es </w:t>
      </w:r>
      <w:r w:rsidR="00CB7034" w:rsidRPr="001607D6">
        <w:rPr>
          <w:rFonts w:ascii="ITC Avant Garde" w:hAnsi="ITC Avant Garde" w:cs="Arial"/>
          <w:b/>
          <w:i/>
        </w:rPr>
        <w:t>fundado</w:t>
      </w:r>
      <w:r w:rsidR="00CB7034" w:rsidRPr="001607D6">
        <w:rPr>
          <w:rFonts w:ascii="ITC Avant Garde" w:hAnsi="ITC Avant Garde" w:cs="Arial"/>
          <w:i/>
        </w:rPr>
        <w:t xml:space="preserve"> por lo siguiente:</w:t>
      </w:r>
    </w:p>
    <w:p w:rsidR="00CB7034" w:rsidRPr="001607D6" w:rsidRDefault="001607D6" w:rsidP="001607D6">
      <w:pPr>
        <w:spacing w:line="360" w:lineRule="auto"/>
        <w:ind w:left="1130" w:right="709"/>
        <w:jc w:val="both"/>
        <w:rPr>
          <w:rFonts w:ascii="ITC Avant Garde" w:hAnsi="ITC Avant Garde" w:cs="Arial"/>
          <w:i/>
        </w:rPr>
      </w:pPr>
      <w:r w:rsidRPr="001607D6">
        <w:rPr>
          <w:rFonts w:ascii="ITC Avant Garde" w:hAnsi="ITC Avant Garde" w:cs="Arial"/>
          <w:i/>
        </w:rPr>
        <w:t xml:space="preserve">47. </w:t>
      </w:r>
      <w:r w:rsidR="00CB7034" w:rsidRPr="001607D6">
        <w:rPr>
          <w:rFonts w:ascii="ITC Avant Garde" w:hAnsi="ITC Avant Garde" w:cs="Arial"/>
          <w:i/>
        </w:rPr>
        <w:t>Para abordar el planteamiento debe tenerse en consideración tanto el bien jurídico protegido</w:t>
      </w:r>
      <w:r w:rsidR="00CB7034" w:rsidRPr="001607D6">
        <w:rPr>
          <w:rStyle w:val="Refdenotaalpie"/>
          <w:rFonts w:ascii="ITC Avant Garde" w:hAnsi="ITC Avant Garde" w:cs="Arial"/>
          <w:i/>
        </w:rPr>
        <w:footnoteReference w:id="6"/>
      </w:r>
      <w:r w:rsidR="00CB7034" w:rsidRPr="001607D6">
        <w:rPr>
          <w:rFonts w:ascii="ITC Avant Garde" w:hAnsi="ITC Avant Garde" w:cs="Arial"/>
          <w:i/>
        </w:rPr>
        <w:t>, como lo expresado en el proceso legislativo de tal ordenamiento.</w:t>
      </w:r>
    </w:p>
    <w:p w:rsidR="00CB7034" w:rsidRPr="001607D6" w:rsidRDefault="001607D6" w:rsidP="001607D6">
      <w:pPr>
        <w:spacing w:line="360" w:lineRule="auto"/>
        <w:ind w:left="1130" w:right="709"/>
        <w:jc w:val="both"/>
        <w:rPr>
          <w:rFonts w:ascii="ITC Avant Garde" w:hAnsi="ITC Avant Garde" w:cs="Arial"/>
          <w:i/>
        </w:rPr>
      </w:pPr>
      <w:r w:rsidRPr="001607D6">
        <w:rPr>
          <w:rFonts w:ascii="ITC Avant Garde" w:hAnsi="ITC Avant Garde" w:cs="Arial"/>
          <w:i/>
        </w:rPr>
        <w:t xml:space="preserve">48. </w:t>
      </w:r>
      <w:r w:rsidR="00CB7034" w:rsidRPr="001607D6">
        <w:rPr>
          <w:rFonts w:ascii="ITC Avant Garde" w:hAnsi="ITC Avant Garde" w:cs="Arial"/>
          <w:i/>
        </w:rPr>
        <w:t>Con relación al bien jurídico protegido, según se ha indicado, la Ley Federal de Telecomunicaciones y Radiodifusión “…tiene por objeto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estos sectores…”</w:t>
      </w:r>
      <w:r w:rsidR="00CB7034" w:rsidRPr="001607D6">
        <w:rPr>
          <w:rStyle w:val="Refdenotaalpie"/>
          <w:rFonts w:ascii="ITC Avant Garde" w:hAnsi="ITC Avant Garde" w:cs="Arial"/>
          <w:i/>
        </w:rPr>
        <w:footnoteReference w:id="7"/>
      </w:r>
      <w:r w:rsidR="00CB7034" w:rsidRPr="001607D6">
        <w:rPr>
          <w:rFonts w:ascii="ITC Avant Garde" w:hAnsi="ITC Avant Garde" w:cs="Arial"/>
          <w:i/>
        </w:rPr>
        <w:t xml:space="preserve"> para la consecución de los fines y el ejercicio de los derechos establecidos en los artículos 6°, 7°, 27 y 28 de la Constitución Política de los Estados Unidos Mexicanos. </w:t>
      </w:r>
    </w:p>
    <w:p w:rsidR="005B6852" w:rsidRDefault="001607D6" w:rsidP="001607D6">
      <w:pPr>
        <w:spacing w:line="360" w:lineRule="auto"/>
        <w:ind w:left="567" w:right="709"/>
        <w:jc w:val="both"/>
        <w:rPr>
          <w:rFonts w:ascii="ITC Avant Garde" w:hAnsi="ITC Avant Garde" w:cs="Arial"/>
          <w:i/>
        </w:rPr>
      </w:pPr>
      <w:r w:rsidRPr="004A1B15">
        <w:rPr>
          <w:rFonts w:ascii="ITC Avant Garde" w:hAnsi="ITC Avant Garde" w:cs="Arial"/>
          <w:i/>
        </w:rPr>
        <w:t>(…)</w:t>
      </w:r>
    </w:p>
    <w:p w:rsidR="00CB7034" w:rsidRPr="004A1B15" w:rsidRDefault="001607D6" w:rsidP="001607D6">
      <w:pPr>
        <w:spacing w:line="360" w:lineRule="auto"/>
        <w:ind w:left="1130" w:right="709"/>
        <w:jc w:val="both"/>
        <w:rPr>
          <w:rFonts w:ascii="ITC Avant Garde" w:hAnsi="ITC Avant Garde" w:cs="Arial"/>
          <w:i/>
        </w:rPr>
      </w:pPr>
      <w:r>
        <w:rPr>
          <w:rFonts w:ascii="ITC Avant Garde" w:hAnsi="ITC Avant Garde" w:cs="Arial"/>
          <w:i/>
        </w:rPr>
        <w:t xml:space="preserve">55. </w:t>
      </w:r>
      <w:r w:rsidR="00CB7034" w:rsidRPr="004A1B15">
        <w:rPr>
          <w:rFonts w:ascii="ITC Avant Garde" w:hAnsi="ITC Avant Garde" w:cs="Arial"/>
          <w:i/>
        </w:rPr>
        <w:t>“… del proceso legislativo de la Ley de Telecomunicaciones se obtiene, en lo que interesa, lo siguiente:</w:t>
      </w:r>
    </w:p>
    <w:p w:rsidR="00CB7034" w:rsidRPr="001607D6" w:rsidRDefault="00CB7034" w:rsidP="001607D6">
      <w:pPr>
        <w:pStyle w:val="Prrafodelista"/>
        <w:numPr>
          <w:ilvl w:val="3"/>
          <w:numId w:val="12"/>
        </w:numPr>
        <w:spacing w:after="360" w:line="240" w:lineRule="auto"/>
        <w:ind w:left="1134" w:right="709" w:firstLine="0"/>
        <w:contextualSpacing w:val="0"/>
        <w:jc w:val="both"/>
        <w:rPr>
          <w:rFonts w:ascii="ITC Avant Garde" w:hAnsi="ITC Avant Garde" w:cs="Arial"/>
          <w:i/>
        </w:rPr>
      </w:pPr>
      <w:r w:rsidRPr="001607D6">
        <w:rPr>
          <w:rFonts w:ascii="ITC Avant Garde" w:hAnsi="ITC Avant Garde" w:cs="Arial"/>
          <w:i/>
        </w:rPr>
        <w:t xml:space="preserve">El sistema de sanciones se estructuró sobre la base de la gravedad de las infracciones, para lo cual el legislador estableció sanciones </w:t>
      </w:r>
      <w:r w:rsidRPr="001607D6">
        <w:rPr>
          <w:rFonts w:ascii="ITC Avant Garde" w:hAnsi="ITC Avant Garde" w:cs="Arial"/>
          <w:i/>
        </w:rPr>
        <w:lastRenderedPageBreak/>
        <w:t xml:space="preserve">menos gravosas para las conductas que estimó de menor trascendencia, y mayores sanciones para las infracciones más graves. </w:t>
      </w:r>
    </w:p>
    <w:p w:rsidR="005B6852" w:rsidRDefault="00CB7034" w:rsidP="001607D6">
      <w:pPr>
        <w:pStyle w:val="Prrafodelista"/>
        <w:numPr>
          <w:ilvl w:val="3"/>
          <w:numId w:val="12"/>
        </w:numPr>
        <w:spacing w:after="360" w:line="240" w:lineRule="auto"/>
        <w:ind w:left="1134" w:right="709" w:firstLine="0"/>
        <w:contextualSpacing w:val="0"/>
        <w:jc w:val="both"/>
        <w:rPr>
          <w:rFonts w:ascii="ITC Avant Garde" w:hAnsi="ITC Avant Garde" w:cs="Arial"/>
          <w:i/>
        </w:rPr>
      </w:pPr>
      <w:r w:rsidRPr="001607D6">
        <w:rPr>
          <w:rFonts w:ascii="ITC Avant Garde" w:hAnsi="ITC Avant Garde" w:cs="Arial"/>
          <w:i/>
        </w:rPr>
        <w:t>El legislador identificó claramente algunas conductas, las cuales describió expresamente en el artículo 298 de la Ley de Telecomunicaciones; sin embargo, hubo algunas que no describió en forma expresa, sino sólo hizo una remisión genérica a “…otras violaciones a esta Ley, a los Reglamentos, a las disposiciones administrativas, planes técnicos fundamentales y demás disposiciones emitidas por el Instituto; así como a las concesiones o autorizaciones que no estén expresamente contempladas en el presente capítulo…” (artículo 298, inciso B), fracción IV).</w:t>
      </w:r>
    </w:p>
    <w:p w:rsidR="00CB7034" w:rsidRPr="001607D6" w:rsidRDefault="00CB7034" w:rsidP="001607D6">
      <w:pPr>
        <w:pStyle w:val="Prrafodelista"/>
        <w:numPr>
          <w:ilvl w:val="3"/>
          <w:numId w:val="12"/>
        </w:numPr>
        <w:spacing w:after="360" w:line="240" w:lineRule="auto"/>
        <w:ind w:left="1134" w:right="709" w:firstLine="0"/>
        <w:contextualSpacing w:val="0"/>
        <w:jc w:val="both"/>
        <w:rPr>
          <w:rFonts w:ascii="ITC Avant Garde" w:hAnsi="ITC Avant Garde" w:cs="Arial"/>
          <w:i/>
        </w:rPr>
      </w:pPr>
      <w:r w:rsidRPr="001607D6">
        <w:rPr>
          <w:rFonts w:ascii="ITC Avant Garde" w:hAnsi="ITC Avant Garde" w:cs="Arial"/>
          <w:i/>
        </w:rPr>
        <w:t xml:space="preserve">El sistema de sanciones atiende a porcentajes bajos —respecto de los sugeridos por la OCDE— pero en razón de una base amplia como lo es el ingreso acumulado del infractor, con lo cual </w:t>
      </w:r>
      <w:proofErr w:type="gramStart"/>
      <w:r w:rsidRPr="001607D6">
        <w:rPr>
          <w:rFonts w:ascii="ITC Avant Garde" w:hAnsi="ITC Avant Garde" w:cs="Arial"/>
          <w:i/>
        </w:rPr>
        <w:t>se  busca</w:t>
      </w:r>
      <w:proofErr w:type="gramEnd"/>
      <w:r w:rsidRPr="001607D6">
        <w:rPr>
          <w:rFonts w:ascii="ITC Avant Garde" w:hAnsi="ITC Avant Garde" w:cs="Arial"/>
          <w:i/>
        </w:rPr>
        <w:t xml:space="preserve"> inhibir las conductas sancionadas.</w:t>
      </w:r>
    </w:p>
    <w:p w:rsidR="00CB7034" w:rsidRPr="001607D6" w:rsidRDefault="00CB7034" w:rsidP="001607D6">
      <w:pPr>
        <w:pStyle w:val="Prrafodelista"/>
        <w:numPr>
          <w:ilvl w:val="3"/>
          <w:numId w:val="12"/>
        </w:numPr>
        <w:spacing w:after="360" w:line="240" w:lineRule="auto"/>
        <w:ind w:left="1134" w:right="709" w:firstLine="0"/>
        <w:contextualSpacing w:val="0"/>
        <w:jc w:val="both"/>
        <w:rPr>
          <w:rFonts w:ascii="ITC Avant Garde" w:hAnsi="ITC Avant Garde" w:cs="Arial"/>
          <w:i/>
        </w:rPr>
      </w:pPr>
      <w:r w:rsidRPr="001607D6">
        <w:rPr>
          <w:rFonts w:ascii="ITC Avant Garde" w:hAnsi="ITC Avant Garde" w:cs="Arial"/>
          <w:i/>
        </w:rPr>
        <w:t>En la estructuración del sistema sancionatorio el legislador identificó cinco grupos de sanciones.</w:t>
      </w:r>
    </w:p>
    <w:p w:rsidR="00CB7034" w:rsidRDefault="001607D6" w:rsidP="001607D6">
      <w:pPr>
        <w:spacing w:line="360" w:lineRule="auto"/>
        <w:ind w:left="1130" w:right="709"/>
        <w:jc w:val="both"/>
        <w:rPr>
          <w:rFonts w:ascii="ITC Avant Garde" w:hAnsi="ITC Avant Garde" w:cs="Arial"/>
          <w:i/>
        </w:rPr>
      </w:pPr>
      <w:r>
        <w:rPr>
          <w:rFonts w:ascii="ITC Avant Garde" w:hAnsi="ITC Avant Garde" w:cs="Arial"/>
          <w:i/>
        </w:rPr>
        <w:t xml:space="preserve">56. </w:t>
      </w:r>
      <w:r w:rsidR="00CB7034" w:rsidRPr="001607D6">
        <w:rPr>
          <w:rFonts w:ascii="ITC Avant Garde" w:hAnsi="ITC Avant Garde" w:cs="Arial"/>
          <w:i/>
        </w:rPr>
        <w:t>En cuanto al último de los aspectos indicados, esto es, la creación de cinco grupos distintos de sanciones, estás pueden identificarse del modo siguiente:</w:t>
      </w:r>
    </w:p>
    <w:p w:rsidR="00CA6A7E" w:rsidRPr="001607D6" w:rsidRDefault="00CA6A7E" w:rsidP="001607D6">
      <w:pPr>
        <w:spacing w:line="360" w:lineRule="auto"/>
        <w:ind w:left="1130" w:right="709"/>
        <w:jc w:val="both"/>
        <w:rPr>
          <w:rFonts w:ascii="ITC Avant Garde" w:hAnsi="ITC Avant Garde" w:cs="Arial"/>
          <w:i/>
        </w:rPr>
      </w:pPr>
    </w:p>
    <w:tbl>
      <w:tblPr>
        <w:tblStyle w:val="Tablaconcuadrcula7"/>
        <w:tblW w:w="5000" w:type="pct"/>
        <w:tblLook w:val="04A0" w:firstRow="1" w:lastRow="0" w:firstColumn="1" w:lastColumn="0" w:noHBand="0" w:noVBand="1"/>
        <w:tblCaption w:val="Importe de la sanción"/>
        <w:tblDescription w:val="Fundamentos legales"/>
      </w:tblPr>
      <w:tblGrid>
        <w:gridCol w:w="4601"/>
        <w:gridCol w:w="4793"/>
      </w:tblGrid>
      <w:tr w:rsidR="00CB7034" w:rsidRPr="001607D6" w:rsidTr="005B6852">
        <w:trPr>
          <w:tblHeader/>
        </w:trPr>
        <w:tc>
          <w:tcPr>
            <w:tcW w:w="2449" w:type="pct"/>
          </w:tcPr>
          <w:p w:rsidR="00CB7034" w:rsidRPr="001607D6" w:rsidRDefault="00CB7034" w:rsidP="004A1B15">
            <w:pPr>
              <w:pStyle w:val="Prrafodelista"/>
              <w:spacing w:after="360"/>
              <w:ind w:left="0" w:right="-2"/>
              <w:jc w:val="center"/>
              <w:rPr>
                <w:rFonts w:ascii="ITC Avant Garde" w:hAnsi="ITC Avant Garde" w:cs="Arial"/>
                <w:b/>
                <w:i/>
              </w:rPr>
            </w:pPr>
            <w:r w:rsidRPr="001607D6">
              <w:rPr>
                <w:rFonts w:ascii="ITC Avant Garde" w:hAnsi="ITC Avant Garde" w:cs="Arial"/>
                <w:b/>
                <w:i/>
              </w:rPr>
              <w:t>Importe de la sanción (multa)</w:t>
            </w:r>
          </w:p>
        </w:tc>
        <w:tc>
          <w:tcPr>
            <w:tcW w:w="2551" w:type="pct"/>
          </w:tcPr>
          <w:p w:rsidR="00CB7034" w:rsidRPr="001607D6" w:rsidRDefault="00CB7034" w:rsidP="004A1B15">
            <w:pPr>
              <w:pStyle w:val="Prrafodelista"/>
              <w:spacing w:after="360"/>
              <w:ind w:left="0" w:right="-2"/>
              <w:jc w:val="center"/>
              <w:rPr>
                <w:rFonts w:ascii="ITC Avant Garde" w:hAnsi="ITC Avant Garde" w:cs="Arial"/>
                <w:b/>
                <w:i/>
              </w:rPr>
            </w:pPr>
            <w:r w:rsidRPr="001607D6">
              <w:rPr>
                <w:rFonts w:ascii="ITC Avant Garde" w:hAnsi="ITC Avant Garde" w:cs="Arial"/>
                <w:b/>
                <w:i/>
              </w:rPr>
              <w:t>Fundamento legal</w:t>
            </w:r>
          </w:p>
        </w:tc>
      </w:tr>
      <w:tr w:rsidR="00CB7034" w:rsidRPr="001607D6" w:rsidTr="005B6852">
        <w:trPr>
          <w:trHeight w:val="428"/>
        </w:trPr>
        <w:tc>
          <w:tcPr>
            <w:tcW w:w="2449"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1. Entre el 0.01% y hasta 0.75% de los ingresos acumulables</w:t>
            </w:r>
          </w:p>
        </w:tc>
        <w:tc>
          <w:tcPr>
            <w:tcW w:w="2551"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 xml:space="preserve">Artículo 298, inciso A), fracciones I, II y III. </w:t>
            </w:r>
          </w:p>
        </w:tc>
      </w:tr>
      <w:tr w:rsidR="00CB7034" w:rsidRPr="001607D6" w:rsidTr="005B6852">
        <w:tc>
          <w:tcPr>
            <w:tcW w:w="2449"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2. Entre el 1% y hasta el 3% de los ingresos acumulables</w:t>
            </w:r>
          </w:p>
        </w:tc>
        <w:tc>
          <w:tcPr>
            <w:tcW w:w="2551"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Artículo 298, inciso B), fracciones I, II, III y IV.</w:t>
            </w:r>
          </w:p>
        </w:tc>
      </w:tr>
      <w:tr w:rsidR="00CB7034" w:rsidRPr="001607D6" w:rsidTr="005B6852">
        <w:tc>
          <w:tcPr>
            <w:tcW w:w="2449"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3. Entre el 1.1.% y hasta el 4% de los ingresos acumulables</w:t>
            </w:r>
          </w:p>
        </w:tc>
        <w:tc>
          <w:tcPr>
            <w:tcW w:w="2551"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Artículo 298, inciso C), fracciones I, II, III, IV, V y VI.</w:t>
            </w:r>
          </w:p>
        </w:tc>
      </w:tr>
      <w:tr w:rsidR="00CB7034" w:rsidRPr="001607D6" w:rsidTr="005B6852">
        <w:tc>
          <w:tcPr>
            <w:tcW w:w="2449"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4. Entre el 2.01% y hasta el 6% de los ingresos acumulables</w:t>
            </w:r>
          </w:p>
        </w:tc>
        <w:tc>
          <w:tcPr>
            <w:tcW w:w="2551"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Artículo 298, inciso D), fracciones I, II, III, IV, V, VI y VII.</w:t>
            </w:r>
          </w:p>
        </w:tc>
      </w:tr>
      <w:tr w:rsidR="00CB7034" w:rsidRPr="004A1B15" w:rsidTr="005B6852">
        <w:tc>
          <w:tcPr>
            <w:tcW w:w="2449" w:type="pct"/>
          </w:tcPr>
          <w:p w:rsidR="00CB7034" w:rsidRPr="001607D6"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lastRenderedPageBreak/>
              <w:t>5. Entre el 6.01% y hasta el 10% de los ingresos acumulables</w:t>
            </w:r>
          </w:p>
        </w:tc>
        <w:tc>
          <w:tcPr>
            <w:tcW w:w="2551" w:type="pct"/>
          </w:tcPr>
          <w:p w:rsidR="00CB7034" w:rsidRPr="004A1B15" w:rsidRDefault="00CB7034" w:rsidP="004A1B15">
            <w:pPr>
              <w:pStyle w:val="Prrafodelista"/>
              <w:spacing w:after="360"/>
              <w:ind w:left="0" w:right="-2"/>
              <w:jc w:val="both"/>
              <w:rPr>
                <w:rFonts w:ascii="ITC Avant Garde" w:hAnsi="ITC Avant Garde" w:cs="Arial"/>
                <w:i/>
              </w:rPr>
            </w:pPr>
            <w:r w:rsidRPr="001607D6">
              <w:rPr>
                <w:rFonts w:ascii="ITC Avant Garde" w:hAnsi="ITC Avant Garde" w:cs="Arial"/>
                <w:i/>
              </w:rPr>
              <w:t>Artículo 298, inciso E), fracciones I y II</w:t>
            </w:r>
            <w:r w:rsidRPr="004A1B15">
              <w:rPr>
                <w:rFonts w:ascii="ITC Avant Garde" w:hAnsi="ITC Avant Garde" w:cs="Arial"/>
                <w:i/>
              </w:rPr>
              <w:t xml:space="preserve"> </w:t>
            </w:r>
          </w:p>
        </w:tc>
      </w:tr>
    </w:tbl>
    <w:p w:rsidR="00CB7034" w:rsidRPr="00CA6A7E" w:rsidRDefault="00CB7034" w:rsidP="004A1B15">
      <w:pPr>
        <w:pStyle w:val="Prrafodelista"/>
        <w:spacing w:line="360" w:lineRule="auto"/>
        <w:ind w:left="0"/>
        <w:jc w:val="both"/>
        <w:rPr>
          <w:rFonts w:ascii="ITC Avant Garde" w:hAnsi="ITC Avant Garde" w:cs="Arial"/>
          <w:i/>
          <w:sz w:val="20"/>
        </w:rPr>
      </w:pPr>
    </w:p>
    <w:p w:rsidR="005B6852" w:rsidRDefault="001607D6" w:rsidP="004A1B15">
      <w:pPr>
        <w:pStyle w:val="Textoindependiente"/>
        <w:tabs>
          <w:tab w:val="left" w:pos="993"/>
        </w:tabs>
        <w:spacing w:after="0" w:line="360" w:lineRule="auto"/>
        <w:jc w:val="both"/>
        <w:rPr>
          <w:rFonts w:ascii="ITC Avant Garde" w:hAnsi="ITC Avant Garde" w:cs="Arial"/>
          <w:i/>
        </w:rPr>
      </w:pPr>
      <w:r w:rsidRPr="004A1B15">
        <w:rPr>
          <w:rFonts w:ascii="ITC Avant Garde" w:hAnsi="ITC Avant Garde" w:cs="Arial"/>
          <w:i/>
        </w:rPr>
        <w:t>(…)</w:t>
      </w:r>
    </w:p>
    <w:p w:rsidR="00CB7034" w:rsidRPr="004A1B15" w:rsidRDefault="001607D6" w:rsidP="001607D6">
      <w:pPr>
        <w:spacing w:line="360" w:lineRule="auto"/>
        <w:ind w:left="1130" w:right="709"/>
        <w:jc w:val="both"/>
        <w:rPr>
          <w:rFonts w:ascii="ITC Avant Garde" w:hAnsi="ITC Avant Garde" w:cs="Arial"/>
          <w:i/>
        </w:rPr>
      </w:pPr>
      <w:r>
        <w:rPr>
          <w:rFonts w:ascii="ITC Avant Garde" w:hAnsi="ITC Avant Garde" w:cs="Arial"/>
          <w:i/>
        </w:rPr>
        <w:t xml:space="preserve">64. </w:t>
      </w:r>
      <w:r w:rsidR="00CB7034" w:rsidRPr="004A1B15">
        <w:rPr>
          <w:rFonts w:ascii="ITC Avant Garde" w:hAnsi="ITC Avant Garde" w:cs="Arial"/>
          <w:i/>
        </w:rPr>
        <w:t>Sentado lo anterior, debe reiterarse que el artículo 298 de la Ley Federal de Telecomunicaciones y Radiodifusión establece cinco rangos o categorías diferentes de sanciones, todas referidas a un porcentaje del ingreso acumulable del infractor</w:t>
      </w:r>
      <w:r>
        <w:rPr>
          <w:rFonts w:ascii="ITC Avant Garde" w:hAnsi="ITC Avant Garde" w:cs="Arial"/>
          <w:i/>
        </w:rPr>
        <w:t>…”</w:t>
      </w:r>
    </w:p>
    <w:p w:rsidR="005B6852" w:rsidRDefault="00F54EB7" w:rsidP="00F54EB7">
      <w:pPr>
        <w:pStyle w:val="Textoindependiente"/>
        <w:tabs>
          <w:tab w:val="left" w:pos="993"/>
        </w:tabs>
        <w:spacing w:after="0" w:line="360" w:lineRule="auto"/>
        <w:jc w:val="both"/>
        <w:rPr>
          <w:rFonts w:ascii="ITC Avant Garde" w:hAnsi="ITC Avant Garde" w:cs="Arial"/>
          <w:i/>
        </w:rPr>
      </w:pPr>
      <w:r w:rsidRPr="004A1B15">
        <w:rPr>
          <w:rFonts w:ascii="ITC Avant Garde" w:hAnsi="ITC Avant Garde" w:cs="Arial"/>
          <w:i/>
        </w:rPr>
        <w:t>(…)</w:t>
      </w:r>
    </w:p>
    <w:p w:rsidR="00CC1701" w:rsidRPr="004A1B15" w:rsidRDefault="00F54EB7" w:rsidP="00F54EB7">
      <w:pPr>
        <w:spacing w:line="360" w:lineRule="auto"/>
        <w:ind w:left="1130" w:right="709"/>
        <w:jc w:val="both"/>
        <w:rPr>
          <w:rFonts w:ascii="ITC Avant Garde" w:hAnsi="ITC Avant Garde" w:cs="Arial"/>
          <w:i/>
        </w:rPr>
      </w:pPr>
      <w:r>
        <w:rPr>
          <w:rFonts w:ascii="ITC Avant Garde" w:hAnsi="ITC Avant Garde" w:cs="Arial"/>
          <w:i/>
        </w:rPr>
        <w:t xml:space="preserve">66. </w:t>
      </w:r>
      <w:r w:rsidR="00CC1701" w:rsidRPr="004A1B15">
        <w:rPr>
          <w:rFonts w:ascii="ITC Avant Garde" w:hAnsi="ITC Avant Garde" w:cs="Arial"/>
          <w:i/>
        </w:rPr>
        <w:t xml:space="preserve">El </w:t>
      </w:r>
      <w:r w:rsidR="00CC1701" w:rsidRPr="004A1B15">
        <w:rPr>
          <w:rFonts w:ascii="ITC Avant Garde" w:hAnsi="ITC Avant Garde" w:cs="Arial"/>
          <w:b/>
          <w:i/>
        </w:rPr>
        <w:t>segundo de los montos de sanción</w:t>
      </w:r>
      <w:r w:rsidR="00CC1701" w:rsidRPr="004A1B15">
        <w:rPr>
          <w:rFonts w:ascii="ITC Avant Garde" w:hAnsi="ITC Avant Garde" w:cs="Arial"/>
          <w:i/>
        </w:rPr>
        <w:t xml:space="preserve"> (entre el 1% y hasta el 3% de los ingresos acumulables) procede cuando se realiza alguna de las conductas previstas en el Artículo 298, inciso B), fracciones I, II, III y IV, es decir:</w:t>
      </w:r>
    </w:p>
    <w:p w:rsidR="005B6852" w:rsidRDefault="00CC1701" w:rsidP="00F54EB7">
      <w:pPr>
        <w:pStyle w:val="Estilo"/>
        <w:numPr>
          <w:ilvl w:val="0"/>
          <w:numId w:val="15"/>
        </w:numPr>
        <w:ind w:left="1134" w:right="709" w:firstLine="0"/>
        <w:rPr>
          <w:rFonts w:ascii="ITC Avant Garde" w:hAnsi="ITC Avant Garde"/>
          <w:i/>
          <w:sz w:val="22"/>
        </w:rPr>
      </w:pPr>
      <w:r w:rsidRPr="004A1B15">
        <w:rPr>
          <w:rFonts w:ascii="ITC Avant Garde" w:hAnsi="ITC Avant Garde"/>
          <w:i/>
          <w:sz w:val="22"/>
        </w:rPr>
        <w:t>Bloquear, interferir, discriminar, entorpecer o restringir arbitrariamente el derecho de cualquier usuario del servicio de acceso a Internet.</w:t>
      </w:r>
    </w:p>
    <w:p w:rsidR="005B6852" w:rsidRDefault="00CC1701" w:rsidP="00F54EB7">
      <w:pPr>
        <w:pStyle w:val="Estilo"/>
        <w:ind w:left="1134" w:right="709"/>
        <w:rPr>
          <w:rFonts w:ascii="ITC Avant Garde" w:hAnsi="ITC Avant Garde"/>
          <w:i/>
          <w:sz w:val="22"/>
        </w:rPr>
      </w:pPr>
      <w:r w:rsidRPr="004A1B15">
        <w:rPr>
          <w:rFonts w:ascii="ITC Avant Garde" w:hAnsi="ITC Avant Garde"/>
          <w:b/>
          <w:i/>
          <w:sz w:val="22"/>
        </w:rPr>
        <w:t>II.</w:t>
      </w:r>
      <w:r w:rsidRPr="004A1B15">
        <w:rPr>
          <w:rFonts w:ascii="ITC Avant Garde" w:hAnsi="ITC Avant Garde"/>
          <w:i/>
          <w:sz w:val="22"/>
        </w:rPr>
        <w:t xml:space="preserve"> Contratar en exclusiva, propiedades para la instalación de infraestructura de telecomunicaciones o radiodifusión, en contravención a las disposiciones aplicables u órdenes emitidas por la autoridad.</w:t>
      </w:r>
    </w:p>
    <w:p w:rsidR="005B6852" w:rsidRDefault="00CC1701" w:rsidP="00F54EB7">
      <w:pPr>
        <w:pStyle w:val="Estilo"/>
        <w:ind w:left="1134" w:right="709"/>
        <w:rPr>
          <w:rFonts w:ascii="ITC Avant Garde" w:hAnsi="ITC Avant Garde"/>
          <w:i/>
          <w:sz w:val="22"/>
        </w:rPr>
      </w:pPr>
      <w:r w:rsidRPr="004A1B15">
        <w:rPr>
          <w:rFonts w:ascii="ITC Avant Garde" w:hAnsi="ITC Avant Garde"/>
          <w:b/>
          <w:i/>
          <w:sz w:val="22"/>
        </w:rPr>
        <w:t>III.</w:t>
      </w:r>
      <w:r w:rsidRPr="004A1B15">
        <w:rPr>
          <w:rFonts w:ascii="ITC Avant Garde" w:hAnsi="ITC Avant Garde"/>
          <w:i/>
          <w:sz w:val="22"/>
        </w:rPr>
        <w:t xml:space="preserve"> Incumplir con las obligaciones o condiciones establecidas en la concesión o autorización cuyo incumplimiento no esté sancionado con revocación.</w:t>
      </w:r>
    </w:p>
    <w:p w:rsidR="005B6852" w:rsidRDefault="00CC1701" w:rsidP="00F54EB7">
      <w:pPr>
        <w:pStyle w:val="Estilo"/>
        <w:ind w:left="1134" w:right="709"/>
        <w:rPr>
          <w:rFonts w:ascii="ITC Avant Garde" w:hAnsi="ITC Avant Garde"/>
          <w:i/>
          <w:sz w:val="22"/>
        </w:rPr>
      </w:pPr>
      <w:r w:rsidRPr="004A1B15">
        <w:rPr>
          <w:rFonts w:ascii="ITC Avant Garde" w:hAnsi="ITC Avant Garde"/>
          <w:b/>
          <w:i/>
          <w:sz w:val="22"/>
        </w:rPr>
        <w:t>IV.</w:t>
      </w:r>
      <w:r w:rsidRPr="004A1B15">
        <w:rPr>
          <w:rFonts w:ascii="ITC Avant Garde" w:hAnsi="ITC Avant Garde"/>
          <w:i/>
          <w:sz w:val="22"/>
        </w:rPr>
        <w:t xml:space="preserve"> </w:t>
      </w:r>
      <w:r w:rsidRPr="00F54EB7">
        <w:rPr>
          <w:rFonts w:ascii="ITC Avant Garde" w:hAnsi="ITC Avant Garde"/>
          <w:i/>
          <w:sz w:val="22"/>
        </w:rPr>
        <w:t>Cualquier</w:t>
      </w:r>
      <w:r w:rsidRPr="004A1B15">
        <w:rPr>
          <w:rFonts w:ascii="ITC Avant Garde" w:hAnsi="ITC Avant Garde"/>
          <w:i/>
          <w:sz w:val="22"/>
          <w:u w:val="single"/>
        </w:rPr>
        <w:t xml:space="preserve"> otra violación a lo previsto en la Ley, a los Reglamentos, a las disposiciones administrativas, planes técnicos fundamentales y demás disposiciones emitidas por el Instituto; así como a las concesiones o autorizaciones que no estén expresamente contempladas en el presente capítulo</w:t>
      </w:r>
      <w:r w:rsidRPr="004A1B15">
        <w:rPr>
          <w:rFonts w:ascii="ITC Avant Garde" w:hAnsi="ITC Avant Garde"/>
          <w:i/>
          <w:sz w:val="22"/>
        </w:rPr>
        <w:t xml:space="preserve"> </w:t>
      </w:r>
      <w:r w:rsidRPr="004A1B15">
        <w:rPr>
          <w:rFonts w:ascii="ITC Avant Garde" w:hAnsi="ITC Avant Garde"/>
          <w:b/>
          <w:i/>
          <w:sz w:val="22"/>
        </w:rPr>
        <w:t>(este es el supuesto que se consideró actualizado en el caso.</w:t>
      </w:r>
    </w:p>
    <w:p w:rsidR="005B6852" w:rsidRDefault="00F54EB7" w:rsidP="004A1B15">
      <w:pPr>
        <w:pStyle w:val="Textoindependiente"/>
        <w:tabs>
          <w:tab w:val="left" w:pos="993"/>
        </w:tabs>
        <w:spacing w:after="0" w:line="360" w:lineRule="auto"/>
        <w:jc w:val="both"/>
        <w:rPr>
          <w:rFonts w:ascii="ITC Avant Garde" w:hAnsi="ITC Avant Garde" w:cs="Arial"/>
          <w:i/>
        </w:rPr>
      </w:pPr>
      <w:r w:rsidRPr="004A1B15">
        <w:rPr>
          <w:rFonts w:ascii="ITC Avant Garde" w:hAnsi="ITC Avant Garde" w:cs="Arial"/>
          <w:i/>
        </w:rPr>
        <w:t>(…</w:t>
      </w:r>
      <w:r>
        <w:rPr>
          <w:rFonts w:ascii="ITC Avant Garde" w:hAnsi="ITC Avant Garde" w:cs="Arial"/>
          <w:i/>
        </w:rPr>
        <w:t>)</w:t>
      </w:r>
    </w:p>
    <w:p w:rsidR="00CC1701" w:rsidRPr="00F54EB7" w:rsidRDefault="00F54EB7" w:rsidP="00F54EB7">
      <w:pPr>
        <w:spacing w:line="360" w:lineRule="auto"/>
        <w:ind w:left="1130" w:right="709"/>
        <w:jc w:val="both"/>
        <w:rPr>
          <w:rFonts w:ascii="ITC Avant Garde" w:hAnsi="ITC Avant Garde" w:cs="Arial"/>
          <w:i/>
        </w:rPr>
      </w:pPr>
      <w:r>
        <w:rPr>
          <w:rFonts w:ascii="ITC Avant Garde" w:hAnsi="ITC Avant Garde" w:cs="Arial"/>
          <w:i/>
        </w:rPr>
        <w:t xml:space="preserve">71. </w:t>
      </w:r>
      <w:r w:rsidR="00CC1701" w:rsidRPr="00F54EB7">
        <w:rPr>
          <w:rFonts w:ascii="ITC Avant Garde" w:hAnsi="ITC Avant Garde" w:cs="Arial"/>
          <w:i/>
        </w:rPr>
        <w:t xml:space="preserve">El segundo rango de sanciones corresponde a infracciones cuya trascendencia deja de ser meramente formal o de carácter técnico (homologación de equipos, la cual no afecta la prestación del servicio </w:t>
      </w:r>
      <w:r w:rsidR="00CC1701" w:rsidRPr="00F54EB7">
        <w:rPr>
          <w:rFonts w:ascii="ITC Avant Garde" w:hAnsi="ITC Avant Garde" w:cs="Arial"/>
          <w:i/>
        </w:rPr>
        <w:lastRenderedPageBreak/>
        <w:t xml:space="preserve">ni el aprovechamiento del espectro), pues se imponen respecto de </w:t>
      </w:r>
      <w:r w:rsidR="00CC1701" w:rsidRPr="00F54EB7">
        <w:rPr>
          <w:rFonts w:ascii="ITC Avant Garde" w:hAnsi="ITC Avant Garde" w:cs="Arial"/>
          <w:b/>
          <w:i/>
        </w:rPr>
        <w:t>conductas que afectan los derechos de terceros</w:t>
      </w:r>
      <w:r w:rsidR="00CC1701" w:rsidRPr="00F54EB7">
        <w:rPr>
          <w:rFonts w:ascii="ITC Avant Garde" w:hAnsi="ITC Avant Garde" w:cs="Arial"/>
          <w:i/>
        </w:rPr>
        <w:t xml:space="preserve"> (bloquear, interferir, discriminar, entorpecer o restringir arbitrariamente el derecho de cualquier usuario del servicio de acceso a Internet), </w:t>
      </w:r>
      <w:r w:rsidR="00CC1701" w:rsidRPr="00F54EB7">
        <w:rPr>
          <w:rFonts w:ascii="ITC Avant Garde" w:hAnsi="ITC Avant Garde" w:cs="Arial"/>
          <w:b/>
          <w:i/>
        </w:rPr>
        <w:t>el desacato a lo dispuesto por la autoridad</w:t>
      </w:r>
      <w:r w:rsidR="00CC1701" w:rsidRPr="00F54EB7">
        <w:rPr>
          <w:rFonts w:ascii="ITC Avant Garde" w:hAnsi="ITC Avant Garde" w:cs="Arial"/>
          <w:i/>
        </w:rPr>
        <w:t xml:space="preserve"> (contratar en exclusiva, propiedades para la instalación de infraestructura de telecomunicaciones o radiodifusión, en contravención a las disposiciones aplicables u órdenes emitidas por la autoridad) </w:t>
      </w:r>
      <w:r w:rsidR="00CC1701" w:rsidRPr="00F54EB7">
        <w:rPr>
          <w:rFonts w:ascii="ITC Avant Garde" w:hAnsi="ITC Avant Garde" w:cs="Arial"/>
          <w:b/>
          <w:i/>
        </w:rPr>
        <w:t>o la inobservancia de la normativa aplicable</w:t>
      </w:r>
      <w:r w:rsidR="00CC1701" w:rsidRPr="00F54EB7">
        <w:rPr>
          <w:rFonts w:ascii="ITC Avant Garde" w:hAnsi="ITC Avant Garde" w:cs="Arial"/>
          <w:i/>
        </w:rPr>
        <w:t xml:space="preserve"> (concesiones o autorizaciones cuando ello no genere la revocación y el incumplimiento de lo previsto en la Ley, los Reglamentos, las disposiciones administrativas, planes técnicos fundamentales y demás disposiciones emitidas por el Instituto)</w:t>
      </w:r>
      <w:r w:rsidR="00CC1701" w:rsidRPr="00F54EB7">
        <w:rPr>
          <w:rFonts w:ascii="ITC Avant Garde" w:hAnsi="ITC Avant Garde" w:cs="Arial"/>
          <w:b/>
          <w:i/>
        </w:rPr>
        <w:t>.</w:t>
      </w:r>
    </w:p>
    <w:p w:rsidR="00CC1701" w:rsidRPr="00F54EB7" w:rsidRDefault="00F54EB7" w:rsidP="00F54EB7">
      <w:pPr>
        <w:spacing w:line="360" w:lineRule="auto"/>
        <w:ind w:left="1130" w:right="709"/>
        <w:jc w:val="both"/>
        <w:rPr>
          <w:rFonts w:ascii="ITC Avant Garde" w:hAnsi="ITC Avant Garde" w:cs="Arial"/>
          <w:i/>
        </w:rPr>
      </w:pPr>
      <w:r w:rsidRPr="00F54EB7">
        <w:rPr>
          <w:rFonts w:ascii="ITC Avant Garde" w:hAnsi="ITC Avant Garde" w:cs="Arial"/>
          <w:i/>
        </w:rPr>
        <w:t xml:space="preserve">72. </w:t>
      </w:r>
      <w:r w:rsidR="00CC1701" w:rsidRPr="00F54EB7">
        <w:rPr>
          <w:rFonts w:ascii="ITC Avant Garde" w:hAnsi="ITC Avant Garde" w:cs="Arial"/>
          <w:i/>
        </w:rPr>
        <w:t xml:space="preserve">Como puede apreciarse, las conductas sancionadas con ese rango de multas ya no corresponden a aspectos meramente formales o infracciones menores, sino que se refiere a la afectación de terceros y al incumplimiento de los </w:t>
      </w:r>
      <w:proofErr w:type="gramStart"/>
      <w:r w:rsidR="00CC1701" w:rsidRPr="00F54EB7">
        <w:rPr>
          <w:rFonts w:ascii="ITC Avant Garde" w:hAnsi="ITC Avant Garde" w:cs="Arial"/>
          <w:i/>
        </w:rPr>
        <w:t>diversos tipo</w:t>
      </w:r>
      <w:proofErr w:type="gramEnd"/>
      <w:r w:rsidR="00CC1701" w:rsidRPr="00F54EB7">
        <w:rPr>
          <w:rFonts w:ascii="ITC Avant Garde" w:hAnsi="ITC Avant Garde" w:cs="Arial"/>
          <w:i/>
        </w:rPr>
        <w:t xml:space="preserve"> de normas y actos aplicables; de ahí que se trata de infracciones de mayor entidad jurídica y, por tanto, las multas procedentes son superiores a las previstas en el primer rango. </w:t>
      </w:r>
    </w:p>
    <w:p w:rsidR="005B6852" w:rsidRDefault="00F54EB7" w:rsidP="004A1B15">
      <w:pPr>
        <w:pStyle w:val="Textoindependiente"/>
        <w:tabs>
          <w:tab w:val="left" w:pos="993"/>
        </w:tabs>
        <w:spacing w:after="0" w:line="360" w:lineRule="auto"/>
        <w:jc w:val="both"/>
        <w:rPr>
          <w:rFonts w:ascii="ITC Avant Garde" w:eastAsia="Times New Roman" w:hAnsi="ITC Avant Garde"/>
          <w:b/>
          <w:bCs/>
          <w:i/>
          <w:color w:val="000000"/>
          <w:lang w:eastAsia="es-MX"/>
        </w:rPr>
      </w:pPr>
      <w:r w:rsidRPr="004A1B15">
        <w:rPr>
          <w:rFonts w:ascii="ITC Avant Garde" w:hAnsi="ITC Avant Garde" w:cs="Arial"/>
          <w:i/>
        </w:rPr>
        <w:t>(…</w:t>
      </w:r>
      <w:r>
        <w:rPr>
          <w:rFonts w:ascii="ITC Avant Garde" w:hAnsi="ITC Avant Garde" w:cs="Arial"/>
          <w:i/>
        </w:rPr>
        <w:t>)</w:t>
      </w:r>
    </w:p>
    <w:p w:rsidR="00CC1701" w:rsidRPr="004A1B15" w:rsidRDefault="00F54EB7" w:rsidP="00F54EB7">
      <w:pPr>
        <w:spacing w:line="360" w:lineRule="auto"/>
        <w:ind w:left="1130" w:right="709"/>
        <w:jc w:val="both"/>
        <w:rPr>
          <w:rFonts w:ascii="ITC Avant Garde" w:hAnsi="ITC Avant Garde" w:cs="Arial"/>
          <w:i/>
        </w:rPr>
      </w:pPr>
      <w:r>
        <w:rPr>
          <w:rFonts w:ascii="ITC Avant Garde" w:hAnsi="ITC Avant Garde" w:cs="Arial"/>
          <w:i/>
        </w:rPr>
        <w:t xml:space="preserve">76. </w:t>
      </w:r>
      <w:r w:rsidR="00CC1701" w:rsidRPr="004A1B15">
        <w:rPr>
          <w:rFonts w:ascii="ITC Avant Garde" w:hAnsi="ITC Avant Garde" w:cs="Arial"/>
          <w:i/>
        </w:rPr>
        <w:t xml:space="preserve">Sentado lo anterior, se insiste en que </w:t>
      </w:r>
      <w:r w:rsidR="00CC1701" w:rsidRPr="004A1B15">
        <w:rPr>
          <w:rFonts w:ascii="ITC Avant Garde" w:hAnsi="ITC Avant Garde" w:cs="Arial"/>
          <w:b/>
          <w:i/>
        </w:rPr>
        <w:t>la conducta reprochada consistió en el incumplimiento de lo previsto en el artículo 12 de los Lineamientos Generales y Modificación a los Lineamientos Generales en relación con el Listado de Señales Radiodifundidas</w:t>
      </w:r>
      <w:r w:rsidR="00CC1701" w:rsidRPr="004A1B15">
        <w:rPr>
          <w:rStyle w:val="Refdenotaalpie"/>
          <w:rFonts w:ascii="ITC Avant Garde" w:hAnsi="ITC Avant Garde" w:cs="Arial"/>
          <w:b/>
          <w:i/>
        </w:rPr>
        <w:footnoteReference w:id="8"/>
      </w:r>
      <w:r w:rsidR="00CC1701" w:rsidRPr="004A1B15">
        <w:rPr>
          <w:rFonts w:ascii="ITC Avant Garde" w:hAnsi="ITC Avant Garde" w:cs="Arial"/>
          <w:b/>
          <w:i/>
        </w:rPr>
        <w:t xml:space="preserve"> y sus actualizaciones</w:t>
      </w:r>
      <w:r w:rsidR="00CC1701" w:rsidRPr="004A1B15">
        <w:rPr>
          <w:rStyle w:val="Refdenotaalpie"/>
          <w:rFonts w:ascii="ITC Avant Garde" w:hAnsi="ITC Avant Garde" w:cs="Arial"/>
          <w:b/>
          <w:i/>
        </w:rPr>
        <w:footnoteReference w:id="9"/>
      </w:r>
      <w:r w:rsidR="00CC1701" w:rsidRPr="004A1B15">
        <w:rPr>
          <w:rFonts w:ascii="ITC Avant Garde" w:hAnsi="ITC Avant Garde" w:cs="Arial"/>
          <w:b/>
          <w:i/>
        </w:rPr>
        <w:t xml:space="preserve">, </w:t>
      </w:r>
      <w:r w:rsidR="00CC1701" w:rsidRPr="004A1B15">
        <w:rPr>
          <w:rFonts w:ascii="ITC Avant Garde" w:hAnsi="ITC Avant Garde" w:cs="Arial"/>
          <w:i/>
        </w:rPr>
        <w:t xml:space="preserve">y como consecuencia de ello, con fundamento en los artículos 298, inciso B), fracción IV, en relación con el numeral 299 de la Ley Federal de Telecomunicaciones y Radiodifusión, se le impuso una </w:t>
      </w:r>
      <w:r w:rsidR="00CC1701" w:rsidRPr="004A1B15">
        <w:rPr>
          <w:rFonts w:ascii="ITC Avant Garde" w:hAnsi="ITC Avant Garde" w:cs="Arial"/>
          <w:i/>
        </w:rPr>
        <w:lastRenderedPageBreak/>
        <w:t xml:space="preserve">sanción económica por el equivalente al </w:t>
      </w:r>
      <w:r w:rsidR="009C681B" w:rsidRPr="004E0D87">
        <w:rPr>
          <w:rFonts w:ascii="ITC Avant Garde" w:eastAsia="Times New Roman" w:hAnsi="ITC Avant Garde"/>
          <w:b/>
          <w:bCs/>
          <w:color w:val="0000FF"/>
          <w:lang w:eastAsia="es-MX"/>
        </w:rPr>
        <w:t>CONFIDENCIAL POR LEY</w:t>
      </w:r>
      <w:r w:rsidR="00CC1701" w:rsidRPr="004A1B15">
        <w:rPr>
          <w:rFonts w:ascii="ITC Avant Garde" w:hAnsi="ITC Avant Garde" w:cs="Arial"/>
          <w:i/>
        </w:rPr>
        <w:t xml:space="preserve"> de sus ingresos acumulables.</w:t>
      </w:r>
    </w:p>
    <w:p w:rsidR="00CC1701" w:rsidRPr="00F54EB7" w:rsidRDefault="00F54EB7" w:rsidP="00F54EB7">
      <w:pPr>
        <w:spacing w:line="360" w:lineRule="auto"/>
        <w:ind w:left="1130" w:right="709"/>
        <w:jc w:val="both"/>
        <w:rPr>
          <w:rFonts w:ascii="ITC Avant Garde" w:hAnsi="ITC Avant Garde" w:cs="Arial"/>
          <w:i/>
        </w:rPr>
      </w:pPr>
      <w:r w:rsidRPr="00F54EB7">
        <w:rPr>
          <w:rFonts w:ascii="ITC Avant Garde" w:hAnsi="ITC Avant Garde" w:cs="Arial"/>
          <w:i/>
        </w:rPr>
        <w:t xml:space="preserve">77. </w:t>
      </w:r>
      <w:r w:rsidR="00CC1701" w:rsidRPr="00F54EB7">
        <w:rPr>
          <w:rFonts w:ascii="ITC Avant Garde" w:hAnsi="ITC Avant Garde" w:cs="Arial"/>
          <w:i/>
        </w:rPr>
        <w:t>En esencia, las disposiciones cuyo incumplimiento se reproch</w:t>
      </w:r>
      <w:r w:rsidR="00B23466" w:rsidRPr="00F54EB7">
        <w:rPr>
          <w:rFonts w:ascii="ITC Avant Garde" w:hAnsi="ITC Avant Garde" w:cs="Arial"/>
          <w:i/>
        </w:rPr>
        <w:t>ó</w:t>
      </w:r>
      <w:r w:rsidR="00CC1701" w:rsidRPr="00F54EB7">
        <w:rPr>
          <w:rFonts w:ascii="ITC Avant Garde" w:hAnsi="ITC Avant Garde" w:cs="Arial"/>
          <w:i/>
        </w:rPr>
        <w:t xml:space="preserve"> a la quejosa establecen el deber de los concesionarios de televisión restringida de retransmitir de manera gratuita y no discriminatoria, en forma íntegra y sin modificaciones, simultáneamente, incluyendo (en su caso) la publicidad y con la misma calidad de la señal radiodifundida, todas las señales radiodifundidas por el Instituto Politécnico Nacional a través del </w:t>
      </w:r>
      <w:r w:rsidR="00CC1701" w:rsidRPr="00F54EB7">
        <w:rPr>
          <w:rFonts w:ascii="ITC Avant Garde" w:hAnsi="ITC Avant Garde" w:cs="Arial"/>
          <w:b/>
          <w:bCs/>
          <w:i/>
          <w:iCs/>
        </w:rPr>
        <w:t xml:space="preserve">Canal 11, junto con el canal </w:t>
      </w:r>
      <w:proofErr w:type="spellStart"/>
      <w:r w:rsidR="00CC1701" w:rsidRPr="00F54EB7">
        <w:rPr>
          <w:rFonts w:ascii="ITC Avant Garde" w:hAnsi="ITC Avant Garde" w:cs="Arial"/>
          <w:b/>
          <w:bCs/>
          <w:i/>
          <w:iCs/>
        </w:rPr>
        <w:t>multiprogramado</w:t>
      </w:r>
      <w:proofErr w:type="spellEnd"/>
      <w:r w:rsidR="00CC1701" w:rsidRPr="00F54EB7">
        <w:rPr>
          <w:rFonts w:ascii="ITC Avant Garde" w:hAnsi="ITC Avant Garde" w:cs="Arial"/>
          <w:b/>
          <w:bCs/>
          <w:i/>
          <w:iCs/>
        </w:rPr>
        <w:t xml:space="preserve"> 11.2, </w:t>
      </w:r>
      <w:r w:rsidR="00CC1701" w:rsidRPr="00F54EB7">
        <w:rPr>
          <w:rFonts w:ascii="ITC Avant Garde" w:hAnsi="ITC Avant Garde" w:cs="Arial"/>
          <w:bCs/>
          <w:i/>
          <w:iCs/>
        </w:rPr>
        <w:t>para lo cual se precisan las características técnicas de las señales radiodifundidas a cuya retransmisión están obligados los referidos concesionarios.</w:t>
      </w:r>
    </w:p>
    <w:p w:rsidR="00CC1701" w:rsidRPr="00F54EB7" w:rsidRDefault="00F54EB7" w:rsidP="00F54EB7">
      <w:pPr>
        <w:spacing w:line="360" w:lineRule="auto"/>
        <w:ind w:left="1130" w:right="709"/>
        <w:jc w:val="both"/>
        <w:rPr>
          <w:rFonts w:ascii="ITC Avant Garde" w:hAnsi="ITC Avant Garde" w:cs="Arial"/>
          <w:i/>
        </w:rPr>
      </w:pPr>
      <w:r w:rsidRPr="00F54EB7">
        <w:rPr>
          <w:rFonts w:ascii="ITC Avant Garde" w:hAnsi="ITC Avant Garde" w:cs="Arial"/>
          <w:i/>
        </w:rPr>
        <w:t xml:space="preserve">78. </w:t>
      </w:r>
      <w:r w:rsidR="00CC1701" w:rsidRPr="00F54EB7">
        <w:rPr>
          <w:rFonts w:ascii="ITC Avant Garde" w:hAnsi="ITC Avant Garde" w:cs="Arial"/>
          <w:i/>
        </w:rPr>
        <w:t>Claramente la conducta reprochada no corresponde a alguna de aquellas expresamente descritas en el artículo 298 de la Ley Federal de Telecomunicaciones y Radiodifusión; por el contrario, se trata de una conducta no prevista expresamente en esa norma, pero que es sancionable a partir de lo establecido en otros preceptos legales y con base en la fracción IV del inciso B), del citado numeral, siendo sancionable con una multa que oscila entre el 1% y hasta el 3% del ingreso acumulable del infractor.</w:t>
      </w:r>
    </w:p>
    <w:p w:rsidR="00CC1701" w:rsidRPr="00F54EB7" w:rsidRDefault="00F54EB7" w:rsidP="00F54EB7">
      <w:pPr>
        <w:spacing w:line="360" w:lineRule="auto"/>
        <w:ind w:left="1130" w:right="709"/>
        <w:jc w:val="both"/>
        <w:rPr>
          <w:rFonts w:ascii="ITC Avant Garde" w:hAnsi="ITC Avant Garde" w:cs="Arial"/>
          <w:i/>
        </w:rPr>
      </w:pPr>
      <w:r w:rsidRPr="00F54EB7">
        <w:rPr>
          <w:rFonts w:ascii="ITC Avant Garde" w:hAnsi="ITC Avant Garde" w:cs="Arial"/>
          <w:i/>
        </w:rPr>
        <w:t xml:space="preserve">79. </w:t>
      </w:r>
      <w:r w:rsidR="00CC1701" w:rsidRPr="00F54EB7">
        <w:rPr>
          <w:rFonts w:ascii="ITC Avant Garde" w:hAnsi="ITC Avant Garde" w:cs="Arial"/>
          <w:i/>
        </w:rPr>
        <w:t xml:space="preserve">Esto es, las conductas que pueden configurarse a partir de lo previsto en la fracción IV, inciso B), del artículo 298 de la Ley Federal de Telecomunicaciones y Radiodifusión pueden ser muy variadas y distintas respecto de aquellas expresamente consideradas por el legislador en los inciso A), fracciones I, II y III; B), fracciones I, II y III; C), fracciones I, II, III, IV, V y VI; D), fracciones I, II, III, IV, V, VI y VII; y  E), fracciones I y II, todos del artículo 298 de la Ley, lo cual puede significar que entre las conductas derivadas del ejercicio de integración por parte de la autoridad sancionadora a partir de cláusulas abiertas o </w:t>
      </w:r>
      <w:r w:rsidR="00CC1701" w:rsidRPr="00F54EB7">
        <w:rPr>
          <w:rFonts w:ascii="ITC Avant Garde" w:hAnsi="ITC Avant Garde" w:cs="Arial"/>
          <w:i/>
        </w:rPr>
        <w:lastRenderedPageBreak/>
        <w:t>tipos administrativos en blanco, se encuentren conductas cuya gravedad sea de gran significado y trascendencia, y otras que resulten irrelevantes o se refieran a aspectos de mucha menor importancia o produzca efectos nocivos ínfimos o irrelevantes; sin embargo, invariablemente, todas esas conductas serán sancionadas con el mismo porcentaje de multa, es decir, entre el 1% y hasta el 3% del ingreso acumulable del infractor.</w:t>
      </w:r>
    </w:p>
    <w:p w:rsidR="00CC1701" w:rsidRPr="00F54EB7" w:rsidRDefault="00F54EB7" w:rsidP="00F54EB7">
      <w:pPr>
        <w:spacing w:line="360" w:lineRule="auto"/>
        <w:ind w:left="1130" w:right="709"/>
        <w:jc w:val="both"/>
        <w:rPr>
          <w:rFonts w:ascii="ITC Avant Garde" w:hAnsi="ITC Avant Garde" w:cs="Arial"/>
          <w:i/>
        </w:rPr>
      </w:pPr>
      <w:r w:rsidRPr="00F54EB7">
        <w:rPr>
          <w:rFonts w:ascii="ITC Avant Garde" w:hAnsi="ITC Avant Garde" w:cs="Arial"/>
          <w:i/>
        </w:rPr>
        <w:t xml:space="preserve">80. </w:t>
      </w:r>
      <w:r w:rsidR="00CC1701" w:rsidRPr="00F54EB7">
        <w:rPr>
          <w:rFonts w:ascii="ITC Avant Garde" w:hAnsi="ITC Avant Garde" w:cs="Arial"/>
          <w:i/>
        </w:rPr>
        <w:t xml:space="preserve">Como se advierte, la porción normativa que se analiza presenta algunas circunstancias particulares respecto de las demás conductas sancionables y que están previstas con otros porcentajes de sanción ya sean menores, o bien, mayores, pues a diferencia de lo previsto en el artículo 298, inciso A), fracciones I, II y III; B), fracciones I, II y III; C), fracciones I, II, III, IV, V y VI; D), fracciones I, II, III, IV, V, VI y VII; y E), fracciones I y II, de la Ley, en la fracción IV del inciso B) de ese precepto, la conducta no está expresamente prevista, sino que como se ha indicado, </w:t>
      </w:r>
      <w:r w:rsidR="00CC1701" w:rsidRPr="00F54EB7">
        <w:rPr>
          <w:rFonts w:ascii="ITC Avant Garde" w:hAnsi="ITC Avant Garde" w:cs="Arial"/>
          <w:b/>
          <w:i/>
        </w:rPr>
        <w:t>es una norma que requiere de un ejercicio de integración normativa</w:t>
      </w:r>
      <w:r w:rsidR="00CC1701" w:rsidRPr="00F54EB7">
        <w:rPr>
          <w:rFonts w:ascii="ITC Avant Garde" w:hAnsi="ITC Avant Garde" w:cs="Arial"/>
          <w:i/>
        </w:rPr>
        <w:t xml:space="preserve"> para establecer el tipo administrativo o deber normativo eventualmente sancionable.</w:t>
      </w:r>
    </w:p>
    <w:p w:rsidR="00CC1701" w:rsidRPr="004A1B15" w:rsidRDefault="00F54EB7" w:rsidP="00F54EB7">
      <w:pPr>
        <w:spacing w:line="360" w:lineRule="auto"/>
        <w:ind w:left="1130" w:right="709"/>
        <w:jc w:val="both"/>
        <w:rPr>
          <w:rFonts w:ascii="ITC Avant Garde" w:hAnsi="ITC Avant Garde" w:cs="Arial"/>
          <w:i/>
          <w:highlight w:val="yellow"/>
        </w:rPr>
      </w:pPr>
      <w:r w:rsidRPr="00F54EB7">
        <w:rPr>
          <w:rFonts w:ascii="ITC Avant Garde" w:hAnsi="ITC Avant Garde" w:cs="Arial"/>
          <w:i/>
        </w:rPr>
        <w:t xml:space="preserve">81. </w:t>
      </w:r>
      <w:r w:rsidR="00CC1701" w:rsidRPr="00F54EB7">
        <w:rPr>
          <w:rFonts w:ascii="ITC Avant Garde" w:hAnsi="ITC Avant Garde" w:cs="Arial"/>
          <w:i/>
        </w:rPr>
        <w:t xml:space="preserve">Esta particularidad permite que </w:t>
      </w:r>
      <w:r w:rsidR="00CC1701" w:rsidRPr="00F54EB7">
        <w:rPr>
          <w:rFonts w:ascii="ITC Avant Garde" w:hAnsi="ITC Avant Garde" w:cs="Arial"/>
          <w:b/>
          <w:i/>
        </w:rPr>
        <w:t xml:space="preserve">las conductas sancionables que se configuren con base en el artículo 298, inciso B), fracción IV, de la ley en comento </w:t>
      </w:r>
      <w:r w:rsidR="00CC1701" w:rsidRPr="00F54EB7">
        <w:rPr>
          <w:rFonts w:ascii="ITC Avant Garde" w:hAnsi="ITC Avant Garde" w:cs="Arial"/>
          <w:i/>
        </w:rPr>
        <w:t xml:space="preserve">(las cuales consisten en el incumplimiento de lo previsto en la ley, reglamentos, disposiciones administrativas, planes técnicos fundamentales, disposiciones emitidas por el Instituto, las concesiones o autorizaciones) </w:t>
      </w:r>
      <w:r w:rsidR="00CC1701" w:rsidRPr="00F54EB7">
        <w:rPr>
          <w:rFonts w:ascii="ITC Avant Garde" w:hAnsi="ITC Avant Garde" w:cs="Arial"/>
          <w:b/>
          <w:i/>
        </w:rPr>
        <w:t>puedan tener alcances diferentes</w:t>
      </w:r>
      <w:r w:rsidR="00CC1701" w:rsidRPr="00F54EB7">
        <w:rPr>
          <w:rFonts w:ascii="ITC Avant Garde" w:hAnsi="ITC Avant Garde" w:cs="Arial"/>
          <w:i/>
        </w:rPr>
        <w:t>.</w:t>
      </w:r>
    </w:p>
    <w:p w:rsidR="00CC1701" w:rsidRPr="00F54EB7" w:rsidRDefault="00F54EB7" w:rsidP="00F54EB7">
      <w:pPr>
        <w:spacing w:line="360" w:lineRule="auto"/>
        <w:ind w:left="1130" w:right="709"/>
        <w:jc w:val="both"/>
        <w:rPr>
          <w:rFonts w:ascii="ITC Avant Garde" w:hAnsi="ITC Avant Garde" w:cs="Arial"/>
          <w:i/>
        </w:rPr>
      </w:pPr>
      <w:r w:rsidRPr="00F54EB7">
        <w:rPr>
          <w:rFonts w:ascii="ITC Avant Garde" w:hAnsi="ITC Avant Garde" w:cs="Arial"/>
          <w:i/>
        </w:rPr>
        <w:t xml:space="preserve">82. </w:t>
      </w:r>
      <w:r w:rsidR="00CC1701" w:rsidRPr="00F54EB7">
        <w:rPr>
          <w:rFonts w:ascii="ITC Avant Garde" w:hAnsi="ITC Avant Garde" w:cs="Arial"/>
          <w:i/>
        </w:rPr>
        <w:t xml:space="preserve">Es decir, al existir la posibilidad </w:t>
      </w:r>
      <w:r w:rsidR="003D3583">
        <w:rPr>
          <w:rFonts w:ascii="ITC Avant Garde" w:hAnsi="ITC Avant Garde" w:cs="Arial"/>
          <w:i/>
        </w:rPr>
        <w:t xml:space="preserve">de </w:t>
      </w:r>
      <w:r w:rsidR="00CC1701" w:rsidRPr="00F54EB7">
        <w:rPr>
          <w:rFonts w:ascii="ITC Avant Garde" w:hAnsi="ITC Avant Garde" w:cs="Arial"/>
          <w:i/>
        </w:rPr>
        <w:t xml:space="preserve">configurar muy variadas conductas infractoras a partir de la normativa aplicable a la materia, el resultado de cada una de esas conductas será muy diferente en cada supuesto y, por tanto, no es posible predeterminar que, en todos los casos que el deber incumplido (construido a partir de la normativa </w:t>
      </w:r>
      <w:r w:rsidR="00CC1701" w:rsidRPr="00F54EB7">
        <w:rPr>
          <w:rFonts w:ascii="ITC Avant Garde" w:hAnsi="ITC Avant Garde" w:cs="Arial"/>
          <w:i/>
        </w:rPr>
        <w:lastRenderedPageBreak/>
        <w:t>de la materia) generó una afectación idéntica y, por tanto, que la sanción deberá oscilar invariablemente entre el 1% y el 3% de los ingresos del infractor; esto pues es posible que esas conductas integradas a partir de cláusulas abiertas tengan una consecuencia o efecto muy grave (en cuyo caso será necesario imponer una sanción ejemplar de magnitud considerable), o bien, efectos mínimos que sólo ameriten el imponer sanciones menores en su cuantía.</w:t>
      </w:r>
    </w:p>
    <w:p w:rsidR="00721905" w:rsidRPr="004A1B15" w:rsidRDefault="00F54EB7" w:rsidP="00F54EB7">
      <w:pPr>
        <w:spacing w:line="360" w:lineRule="auto"/>
        <w:ind w:left="1130" w:right="709"/>
        <w:jc w:val="both"/>
        <w:rPr>
          <w:rFonts w:ascii="ITC Avant Garde" w:hAnsi="ITC Avant Garde" w:cs="Arial"/>
          <w:i/>
          <w:lang w:val="x-none"/>
        </w:rPr>
      </w:pPr>
      <w:r>
        <w:rPr>
          <w:rFonts w:ascii="ITC Avant Garde" w:hAnsi="ITC Avant Garde" w:cs="Arial"/>
          <w:i/>
        </w:rPr>
        <w:t xml:space="preserve">83. </w:t>
      </w:r>
      <w:r w:rsidR="00721905" w:rsidRPr="004A1B15">
        <w:rPr>
          <w:rFonts w:ascii="ITC Avant Garde" w:hAnsi="ITC Avant Garde" w:cs="Arial"/>
          <w:i/>
        </w:rPr>
        <w:t>Es cierto que de conformidad con las fracciones I y II del artículo 301 de la Ley Federal de Telecomunicaciones y Radiodifusión</w:t>
      </w:r>
      <w:r w:rsidR="00721905" w:rsidRPr="004A1B15">
        <w:rPr>
          <w:rStyle w:val="Refdenotaalpie"/>
          <w:rFonts w:ascii="ITC Avant Garde" w:hAnsi="ITC Avant Garde" w:cs="Arial"/>
          <w:i/>
        </w:rPr>
        <w:footnoteReference w:id="10"/>
      </w:r>
      <w:r w:rsidR="00721905" w:rsidRPr="004A1B15">
        <w:rPr>
          <w:rFonts w:ascii="ITC Avant Garde" w:hAnsi="ITC Avant Garde" w:cs="Arial"/>
          <w:i/>
        </w:rPr>
        <w:t xml:space="preserve">, </w:t>
      </w:r>
      <w:r w:rsidR="00721905" w:rsidRPr="004A1B15">
        <w:rPr>
          <w:rFonts w:ascii="ITC Avant Garde" w:hAnsi="ITC Avant Garde" w:cs="Arial"/>
          <w:b/>
          <w:i/>
        </w:rPr>
        <w:t>para determinar el monto de las multas aplicables, la autoridad debe atender tanto a la gravedad de la infracción, como a la capacidad económica del infractor;</w:t>
      </w:r>
      <w:r w:rsidR="00721905" w:rsidRPr="004A1B15">
        <w:rPr>
          <w:rFonts w:ascii="ITC Avant Garde" w:hAnsi="ITC Avant Garde" w:cs="Arial"/>
          <w:i/>
        </w:rPr>
        <w:t xml:space="preserve"> sin embargo esto no implica que pueda determinar el porcentaje de sanción que le parezca más adecuado en cada caso; en realidad esta posibilidad sólo faculta a </w:t>
      </w:r>
      <w:r w:rsidR="00721905" w:rsidRPr="004A1B15">
        <w:rPr>
          <w:rFonts w:ascii="ITC Avant Garde" w:hAnsi="ITC Avant Garde" w:cs="Arial"/>
          <w:b/>
          <w:i/>
        </w:rPr>
        <w:t>la autoridad a atender a los montos mínimos y máximos previstos en cada fracción del artículo 298 de la Ley</w:t>
      </w:r>
      <w:r w:rsidR="00721905" w:rsidRPr="004A1B15">
        <w:rPr>
          <w:rFonts w:ascii="ITC Avant Garde" w:hAnsi="ITC Avant Garde" w:cs="Arial"/>
          <w:i/>
        </w:rPr>
        <w:t>, lo que implica que cuando se estima incumplida alguna obligación derivada de la integración normativa, en ejercicio de lo previsto en el citado artículo 301, la autoridad sólo podrá determinar si aplica una sanción entre el 1% y el 3% del ingreso acumulable del infractor (por ser el aplicable para ese tipo de conductas).</w:t>
      </w:r>
    </w:p>
    <w:p w:rsidR="00721905" w:rsidRDefault="00F54EB7" w:rsidP="00F54EB7">
      <w:pPr>
        <w:spacing w:line="360" w:lineRule="auto"/>
        <w:ind w:left="1130" w:right="709"/>
        <w:jc w:val="both"/>
        <w:rPr>
          <w:rFonts w:ascii="ITC Avant Garde" w:hAnsi="ITC Avant Garde" w:cs="Arial"/>
          <w:i/>
        </w:rPr>
      </w:pPr>
      <w:r>
        <w:rPr>
          <w:rFonts w:ascii="ITC Avant Garde" w:hAnsi="ITC Avant Garde" w:cs="Arial"/>
          <w:i/>
        </w:rPr>
        <w:t xml:space="preserve">84. </w:t>
      </w:r>
      <w:r w:rsidR="00721905" w:rsidRPr="004A1B15">
        <w:rPr>
          <w:rFonts w:ascii="ITC Avant Garde" w:hAnsi="ITC Avant Garde" w:cs="Arial"/>
          <w:i/>
        </w:rPr>
        <w:t xml:space="preserve">Lo anterior se traduce en que, </w:t>
      </w:r>
      <w:r w:rsidR="00721905" w:rsidRPr="004A1B15">
        <w:rPr>
          <w:rFonts w:ascii="ITC Avant Garde" w:hAnsi="ITC Avant Garde" w:cs="Arial"/>
          <w:b/>
          <w:i/>
        </w:rPr>
        <w:t>invariablemente, la multa mínima será del 1% del ingreso acumulable,</w:t>
      </w:r>
      <w:r w:rsidR="00721905" w:rsidRPr="004A1B15">
        <w:rPr>
          <w:rFonts w:ascii="ITC Avant Garde" w:hAnsi="ITC Avant Garde" w:cs="Arial"/>
          <w:i/>
        </w:rPr>
        <w:t xml:space="preserve"> incluso en aquellos casos en que la infracción configurada pueda consistir en el incumplimiento de aspectos formales o técnicos; es decir, supuestos de menor relevancia </w:t>
      </w:r>
      <w:r w:rsidR="00721905" w:rsidRPr="004A1B15">
        <w:rPr>
          <w:rFonts w:ascii="ITC Avant Garde" w:hAnsi="ITC Avant Garde" w:cs="Arial"/>
          <w:i/>
        </w:rPr>
        <w:lastRenderedPageBreak/>
        <w:t>fáctica o al orden jurídico y afectación mínima al bien jurídico protegido (espectro radioeléctrico). Igualmente, en caso de que la conducta infractora —configurada a partir de normas en blanco o cláusulas abiertas— genere afectaciones considerables y afecte en forma importante el uso del espectro radioeléctrico, la autoridad administrativa también sólo estará en posibilidad de imponer una multa máxima de hasta el 3% del ingreso acumulable del infractor, esto aun cuando los efectos de ese actuar puedan ser de gran relevancia fáctica o al orden jurídico y de mayor afectación al bien jurídico protegido.</w:t>
      </w:r>
    </w:p>
    <w:p w:rsidR="00F54EB7" w:rsidRDefault="00F54EB7" w:rsidP="00F54EB7">
      <w:pPr>
        <w:spacing w:line="360" w:lineRule="auto"/>
        <w:ind w:left="1130" w:right="709"/>
        <w:jc w:val="both"/>
        <w:rPr>
          <w:rFonts w:ascii="ITC Avant Garde" w:hAnsi="ITC Avant Garde" w:cs="Arial"/>
          <w:i/>
        </w:rPr>
      </w:pPr>
      <w:r>
        <w:rPr>
          <w:rFonts w:ascii="ITC Avant Garde" w:hAnsi="ITC Avant Garde" w:cs="Arial"/>
          <w:i/>
        </w:rPr>
        <w:t>(…)</w:t>
      </w:r>
    </w:p>
    <w:p w:rsidR="00721905" w:rsidRPr="00F54EB7" w:rsidRDefault="00F54EB7" w:rsidP="00F54EB7">
      <w:pPr>
        <w:spacing w:line="360" w:lineRule="auto"/>
        <w:ind w:left="1130" w:right="709"/>
        <w:jc w:val="both"/>
        <w:rPr>
          <w:rFonts w:ascii="ITC Avant Garde" w:hAnsi="ITC Avant Garde" w:cs="Arial"/>
          <w:i/>
          <w:lang w:val="x-none"/>
        </w:rPr>
      </w:pPr>
      <w:r w:rsidRPr="00F54EB7">
        <w:rPr>
          <w:rFonts w:ascii="ITC Avant Garde" w:hAnsi="ITC Avant Garde" w:cs="Arial"/>
          <w:i/>
        </w:rPr>
        <w:t xml:space="preserve">86. </w:t>
      </w:r>
      <w:r w:rsidR="00721905" w:rsidRPr="00F54EB7">
        <w:rPr>
          <w:rFonts w:ascii="ITC Avant Garde" w:hAnsi="ITC Avant Garde" w:cs="Arial"/>
          <w:i/>
        </w:rPr>
        <w:t>En el caso se estima que la multa mínima (del 1%) prevista en el artículo 298, inciso B), fracción IV, de la Ley Federal de Telecomunicaciones y Radiodifusión es contraria al numeral 22 de la Constitución Política de los Estados Unidos Mexicanos porque se trata de un rango mínimo de sanción el cual resulta excesivo al permitir que cualquier conducta construida a partir de la normativa aplicable (cláusulas abiertas o tipos administrativos en blanco) sea sancionada con base en la misma proporción mínima (1% del ingreso acumulable), sin atender a la conducta en particular y a los efectos que ésta produce (frente al bien jurídico protegido), a efecto de imponer una sanción que resulte razonable y corresponda con la afectación causada.</w:t>
      </w:r>
    </w:p>
    <w:p w:rsidR="00721905" w:rsidRPr="00061ACD" w:rsidRDefault="00061ACD" w:rsidP="00061ACD">
      <w:pPr>
        <w:spacing w:line="360" w:lineRule="auto"/>
        <w:ind w:left="1130" w:right="709"/>
        <w:jc w:val="both"/>
        <w:rPr>
          <w:rFonts w:ascii="ITC Avant Garde" w:hAnsi="ITC Avant Garde" w:cs="Arial"/>
          <w:i/>
          <w:lang w:val="x-none"/>
        </w:rPr>
      </w:pPr>
      <w:r w:rsidRPr="00061ACD">
        <w:rPr>
          <w:rFonts w:ascii="ITC Avant Garde" w:hAnsi="ITC Avant Garde" w:cs="Arial"/>
          <w:i/>
        </w:rPr>
        <w:t xml:space="preserve">87. </w:t>
      </w:r>
      <w:r w:rsidR="00721905" w:rsidRPr="00061ACD">
        <w:rPr>
          <w:rFonts w:ascii="ITC Avant Garde" w:hAnsi="ITC Avant Garde" w:cs="Arial"/>
          <w:i/>
        </w:rPr>
        <w:t xml:space="preserve">Al respecto, debe hacerse notar que el 1% del ingreso acumulable que como multa mínima se prevé para las conductas a que se refiere el artículo 298, inciso B), fracción IV, de la Ley Federal de Telecomunicaciones y Radiodifusión, es superior a la multa mínima aplicable para otras infracciones como las establecidas en las fracciones I, II y III del inciso A), del propio numeral (cuyo rango de </w:t>
      </w:r>
      <w:r w:rsidR="00721905" w:rsidRPr="00061ACD">
        <w:rPr>
          <w:rFonts w:ascii="ITC Avant Garde" w:hAnsi="ITC Avant Garde" w:cs="Arial"/>
          <w:i/>
        </w:rPr>
        <w:lastRenderedPageBreak/>
        <w:t xml:space="preserve">sanción oscila entre el 0.01% y hasta el 0.75% del ingreso acumulable), siendo que eventualmente, las conductas configuradas con base en tipos administrativos en blanco puedan igualmente tener la misma gravedad o afectación del bien jurídico tutelado; es decir, en ciertos casos, la </w:t>
      </w:r>
      <w:r w:rsidR="00721905" w:rsidRPr="00061ACD">
        <w:rPr>
          <w:rFonts w:ascii="ITC Avant Garde" w:hAnsi="ITC Avant Garde" w:cs="Arial"/>
          <w:b/>
          <w:i/>
        </w:rPr>
        <w:t>magnitud de esas infracciones derivadas del ejercicio de integración normativo puede llegar a ser la misma que las infracciones expresamente previstas en el primer inciso de ese precepto y, no obstante ello, el legislador les asignó una sanción mínima superior</w:t>
      </w:r>
      <w:r w:rsidR="00721905" w:rsidRPr="00061ACD">
        <w:rPr>
          <w:rFonts w:ascii="ITC Avant Garde" w:hAnsi="ITC Avant Garde" w:cs="Arial"/>
          <w:i/>
        </w:rPr>
        <w:t xml:space="preserve"> (1% del ingreso acumulable), con lo cual se evidencia que en algunas ocasiones, la sanción mínima aplicable es excesiva por no atender al tipo de afectación generada con cada conducta específica; es decir, la sanción mínima aplicable a las conductas a que se refiere el artículo 298, inciso B), fracción IV, de la Ley Federal de Telecomunicaciones y Radiodifusión,</w:t>
      </w:r>
      <w:r w:rsidR="00721905" w:rsidRPr="00061ACD">
        <w:rPr>
          <w:rFonts w:ascii="ITC Avant Garde" w:hAnsi="ITC Avant Garde" w:cs="Arial"/>
          <w:b/>
          <w:i/>
        </w:rPr>
        <w:t xml:space="preserve"> será la misma en todos los casos</w:t>
      </w:r>
      <w:r w:rsidR="00721905" w:rsidRPr="00061ACD">
        <w:rPr>
          <w:rFonts w:ascii="ITC Avant Garde" w:hAnsi="ITC Avant Garde" w:cs="Arial"/>
          <w:i/>
        </w:rPr>
        <w:t>, al margen de la verdadera afectación causada por la infracción y la trascendencia, menoscabo o puesta en riesgo del bien jurídico tutelado que cada conducta particular pudo generar.</w:t>
      </w:r>
    </w:p>
    <w:p w:rsidR="005B6852" w:rsidRDefault="00061ACD" w:rsidP="00061ACD">
      <w:pPr>
        <w:spacing w:line="360" w:lineRule="auto"/>
        <w:ind w:left="1130" w:right="709"/>
        <w:jc w:val="both"/>
        <w:rPr>
          <w:rFonts w:ascii="ITC Avant Garde" w:hAnsi="ITC Avant Garde" w:cs="Arial"/>
          <w:i/>
        </w:rPr>
      </w:pPr>
      <w:r>
        <w:rPr>
          <w:rFonts w:ascii="ITC Avant Garde" w:hAnsi="ITC Avant Garde" w:cs="Arial"/>
          <w:i/>
        </w:rPr>
        <w:t xml:space="preserve">88. </w:t>
      </w:r>
      <w:r w:rsidR="00721905" w:rsidRPr="004A1B15">
        <w:rPr>
          <w:rFonts w:ascii="ITC Avant Garde" w:hAnsi="ITC Avant Garde" w:cs="Arial"/>
          <w:i/>
        </w:rPr>
        <w:t>Dicho de otro modo, dado que existen conductas no previstas expresamente por el legislador (pero sí en la ley y demás normativa aplicable) cuyo incumplimiento es susceptible de sanción conforme al artículo 298, inciso B), fracción IV, de la Ley Federal de Telecomunicaciones y Radiodifusión, las cuales pueden ser muy variadas, entonces los efectos generados por cada una de esas conductas particulares serán igualmente distintos, generando diferentes grados de afectación al bien jurídico protegido (espectro radioeléctrico); sin embargo, el referido precepto legal establece a esas conductas diferentes, un mismo porcentaje mínimo de sanción (1%), lo cual impide distinguir el grado de afectación producido con la conducta sancionable.</w:t>
      </w:r>
    </w:p>
    <w:p w:rsidR="005B6852" w:rsidRDefault="00061ACD" w:rsidP="00061ACD">
      <w:pPr>
        <w:spacing w:line="360" w:lineRule="auto"/>
        <w:ind w:left="1130" w:right="709"/>
        <w:jc w:val="both"/>
        <w:rPr>
          <w:rFonts w:ascii="ITC Avant Garde" w:hAnsi="ITC Avant Garde" w:cs="Arial"/>
          <w:i/>
        </w:rPr>
      </w:pPr>
      <w:r>
        <w:rPr>
          <w:rFonts w:ascii="ITC Avant Garde" w:hAnsi="ITC Avant Garde" w:cs="Arial"/>
          <w:i/>
        </w:rPr>
        <w:lastRenderedPageBreak/>
        <w:t xml:space="preserve">89. </w:t>
      </w:r>
      <w:r w:rsidR="00E07DDA" w:rsidRPr="004A1B15">
        <w:rPr>
          <w:rFonts w:ascii="ITC Avant Garde" w:hAnsi="ITC Avant Garde" w:cs="Arial"/>
          <w:i/>
        </w:rPr>
        <w:t>Cabe precisar que (aunque no es objeto de pronunciamiento por esta Sala según se indicó oportunamente), respecto del rango superior de sanción previsto en el artículo 298, inciso B), fracción IV, de la Ley Federal de Telecomunicaciones y Radiodifusión (3%), cuando la conducta atribuida genera una afectación considerablemente mayor al bien tutelado, el artículo 303 de la citada norma se prevé la procedencia de un porcentaje de sanción más elevado.</w:t>
      </w:r>
    </w:p>
    <w:p w:rsidR="005B6852" w:rsidRDefault="00E07DDA" w:rsidP="00061ACD">
      <w:pPr>
        <w:pStyle w:val="Textoindependiente"/>
        <w:tabs>
          <w:tab w:val="left" w:pos="993"/>
        </w:tabs>
        <w:spacing w:after="0" w:line="360" w:lineRule="auto"/>
        <w:ind w:left="1134"/>
        <w:jc w:val="both"/>
        <w:rPr>
          <w:rFonts w:ascii="ITC Avant Garde" w:eastAsia="Times New Roman" w:hAnsi="ITC Avant Garde"/>
          <w:bCs/>
          <w:color w:val="000000"/>
          <w:lang w:eastAsia="es-MX"/>
        </w:rPr>
      </w:pPr>
      <w:r w:rsidRPr="00061ACD">
        <w:rPr>
          <w:rFonts w:ascii="ITC Avant Garde" w:eastAsia="Times New Roman" w:hAnsi="ITC Avant Garde"/>
          <w:bCs/>
          <w:color w:val="000000"/>
          <w:lang w:eastAsia="es-MX"/>
        </w:rPr>
        <w:t>(…)</w:t>
      </w:r>
    </w:p>
    <w:p w:rsidR="005B6852" w:rsidRDefault="00061ACD" w:rsidP="00061ACD">
      <w:pPr>
        <w:spacing w:line="360" w:lineRule="auto"/>
        <w:ind w:left="1130" w:right="709"/>
        <w:jc w:val="both"/>
        <w:rPr>
          <w:rFonts w:ascii="ITC Avant Garde" w:hAnsi="ITC Avant Garde" w:cs="Arial"/>
          <w:i/>
        </w:rPr>
      </w:pPr>
      <w:r>
        <w:rPr>
          <w:rFonts w:ascii="ITC Avant Garde" w:hAnsi="ITC Avant Garde" w:cs="Arial"/>
          <w:i/>
        </w:rPr>
        <w:t xml:space="preserve">92. </w:t>
      </w:r>
      <w:r w:rsidR="00E07DDA" w:rsidRPr="004A1B15">
        <w:rPr>
          <w:rFonts w:ascii="ITC Avant Garde" w:hAnsi="ITC Avant Garde" w:cs="Arial"/>
          <w:i/>
        </w:rPr>
        <w:t>En cambio, por lo que se refiere al límite inferior de la sanción prevista en el inciso B) del artículo 298 de la ley en comento (1%), el legislador no contempló la posibilidad de que las conductas a que se refiere ese inciso produzcan efectos menos lesivos, o bien, sean de menor entidad jurídica y, por consiguiente, que esas conductas puedan sancionarse con un porcentaje de ingreso menor al 1%, como ocurre, por ejemplo, con las conductas previstas en el inciso A) de esa norma y la sanción que les resulta aplicable (entre el 0.01% y hasta el 0.75% del ingreso).</w:t>
      </w:r>
    </w:p>
    <w:p w:rsidR="005B6852" w:rsidRDefault="00061ACD" w:rsidP="00061ACD">
      <w:pPr>
        <w:spacing w:line="360" w:lineRule="auto"/>
        <w:ind w:left="1130" w:right="709"/>
        <w:jc w:val="both"/>
        <w:rPr>
          <w:rFonts w:ascii="ITC Avant Garde" w:hAnsi="ITC Avant Garde" w:cs="Arial"/>
          <w:i/>
        </w:rPr>
      </w:pPr>
      <w:r>
        <w:rPr>
          <w:rFonts w:ascii="ITC Avant Garde" w:hAnsi="ITC Avant Garde" w:cs="Arial"/>
          <w:i/>
        </w:rPr>
        <w:t xml:space="preserve">93. </w:t>
      </w:r>
      <w:r w:rsidR="00E07DDA" w:rsidRPr="004A1B15">
        <w:rPr>
          <w:rFonts w:ascii="ITC Avant Garde" w:hAnsi="ITC Avant Garde" w:cs="Arial"/>
          <w:i/>
        </w:rPr>
        <w:t>Esto es, tanto jurídica como materialmente es posible que las conductas a que se refiere el inciso B), de la fracción IV, del numeral 298 de la Ley Federal de Telecomunicaciones y Radiodifusión tengan menores consecuencias o produzcan jurídicas ínfimas respecto de otras conductas que están expresamente descritas en el artículo 298 de esa norma y, por tanto, que igualmente ameriten sancionarse en menor magnitud; es decir, con base en un porcentaje de ingreso menor del asignado por el legislador (1%).</w:t>
      </w:r>
    </w:p>
    <w:p w:rsidR="005B6852" w:rsidRDefault="00061ACD" w:rsidP="00061ACD">
      <w:pPr>
        <w:spacing w:line="360" w:lineRule="auto"/>
        <w:ind w:left="1130" w:right="709"/>
        <w:jc w:val="both"/>
        <w:rPr>
          <w:rFonts w:ascii="ITC Avant Garde" w:hAnsi="ITC Avant Garde" w:cs="Arial"/>
          <w:i/>
        </w:rPr>
      </w:pPr>
      <w:r w:rsidRPr="00061ACD">
        <w:rPr>
          <w:rFonts w:ascii="ITC Avant Garde" w:hAnsi="ITC Avant Garde" w:cs="Arial"/>
          <w:i/>
        </w:rPr>
        <w:t xml:space="preserve">94. </w:t>
      </w:r>
      <w:r w:rsidR="00E07DDA" w:rsidRPr="00061ACD">
        <w:rPr>
          <w:rFonts w:ascii="ITC Avant Garde" w:hAnsi="ITC Avant Garde" w:cs="Arial"/>
          <w:i/>
        </w:rPr>
        <w:t xml:space="preserve">Es decir, las conductas a que se refiere el artículo 298, inciso B), fracción IV, de la Ley Federal de Telecomunicaciones y Radiodifusión podrían tener efectos análogos, equiparables, similares o, incluso, menores que las conductas descritas en el inciso A), del artículo 298 en </w:t>
      </w:r>
      <w:r w:rsidR="00E07DDA" w:rsidRPr="00061ACD">
        <w:rPr>
          <w:rFonts w:ascii="ITC Avant Garde" w:hAnsi="ITC Avant Garde" w:cs="Arial"/>
          <w:i/>
        </w:rPr>
        <w:lastRenderedPageBreak/>
        <w:t>comento y, por tanto, lo adecuado es que se sancionen en menor porcentaje que las conductas cuyos efectos son m</w:t>
      </w:r>
      <w:r>
        <w:rPr>
          <w:rFonts w:ascii="ITC Avant Garde" w:hAnsi="ITC Avant Garde" w:cs="Arial"/>
          <w:i/>
        </w:rPr>
        <w:t>á</w:t>
      </w:r>
      <w:r w:rsidR="00E07DDA" w:rsidRPr="00061ACD">
        <w:rPr>
          <w:rFonts w:ascii="ITC Avant Garde" w:hAnsi="ITC Avant Garde" w:cs="Arial"/>
          <w:i/>
        </w:rPr>
        <w:t>s graves y lesionan en mayor medida al bien jurídico tutelado; sin embargo, el legislador impidió esa posibilidad al tasar la sanción aplicable en un mínimo del 1% del ingreso, lo cual desatiende a lo previsto en el artículo 22 constitucional pues se traduce en una sanción excesiva al desatender a la relación que debe existir entre la conducta, las consecuencias producidas y la sanción aplicable.</w:t>
      </w:r>
    </w:p>
    <w:p w:rsidR="00E07DDA" w:rsidRPr="004A1B15" w:rsidRDefault="00061ACD" w:rsidP="00061ACD">
      <w:pPr>
        <w:spacing w:line="360" w:lineRule="auto"/>
        <w:ind w:left="1130" w:right="709"/>
        <w:jc w:val="both"/>
        <w:rPr>
          <w:rFonts w:ascii="ITC Avant Garde" w:hAnsi="ITC Avant Garde" w:cs="Arial"/>
          <w:i/>
          <w:lang w:val="x-none"/>
        </w:rPr>
      </w:pPr>
      <w:r>
        <w:rPr>
          <w:rFonts w:ascii="ITC Avant Garde" w:hAnsi="ITC Avant Garde" w:cs="Arial"/>
          <w:i/>
        </w:rPr>
        <w:t xml:space="preserve">95. </w:t>
      </w:r>
      <w:r w:rsidR="00E07DDA" w:rsidRPr="004A1B15">
        <w:rPr>
          <w:rFonts w:ascii="ITC Avant Garde" w:hAnsi="ITC Avant Garde" w:cs="Arial"/>
          <w:i/>
        </w:rPr>
        <w:t xml:space="preserve">En este sentido, </w:t>
      </w:r>
      <w:r w:rsidR="00E07DDA" w:rsidRPr="004A1B15">
        <w:rPr>
          <w:rFonts w:ascii="ITC Avant Garde" w:hAnsi="ITC Avant Garde" w:cs="Arial"/>
          <w:b/>
          <w:i/>
        </w:rPr>
        <w:t>el legislador debió prever la posibilidad de que los efectos producidos por ciertas conductas indebidas sean menores a los causados por las conductas en cuyo rango de sanción estableció el porcentaje de multa para las infracciones derivadas de tipos administrativos en blanco</w:t>
      </w:r>
      <w:r w:rsidR="00E07DDA" w:rsidRPr="004A1B15">
        <w:rPr>
          <w:rFonts w:ascii="ITC Avant Garde" w:hAnsi="ITC Avant Garde" w:cs="Arial"/>
          <w:i/>
        </w:rPr>
        <w:t xml:space="preserve"> —como lo hizo cuando esas conductas tienen efectos m</w:t>
      </w:r>
      <w:r>
        <w:rPr>
          <w:rFonts w:ascii="ITC Avant Garde" w:hAnsi="ITC Avant Garde" w:cs="Arial"/>
          <w:i/>
        </w:rPr>
        <w:t>á</w:t>
      </w:r>
      <w:r w:rsidR="00E07DDA" w:rsidRPr="004A1B15">
        <w:rPr>
          <w:rFonts w:ascii="ITC Avant Garde" w:hAnsi="ITC Avant Garde" w:cs="Arial"/>
          <w:i/>
        </w:rPr>
        <w:t>s dañinos, al hacer en el artículo 303 de la ley, una remisión a la sanción prevista en el inciso E) del artículo 298—; sin embargo, en forma indebida, se limitó esa posibilidad y, por tanto, se dio la posibilidad de sancionar conductas cuyos efectos sean lesivos, en el mismo porcentaje mínimo que aquellas que pueden generar efectos mayores en el bien tutelado.</w:t>
      </w:r>
    </w:p>
    <w:p w:rsidR="005B6852" w:rsidRDefault="00061ACD" w:rsidP="00061ACD">
      <w:pPr>
        <w:spacing w:line="360" w:lineRule="auto"/>
        <w:ind w:left="1130" w:right="709"/>
        <w:jc w:val="both"/>
        <w:rPr>
          <w:rFonts w:ascii="ITC Avant Garde" w:hAnsi="ITC Avant Garde" w:cs="Arial"/>
          <w:i/>
        </w:rPr>
      </w:pPr>
      <w:r w:rsidRPr="00061ACD">
        <w:rPr>
          <w:rFonts w:ascii="ITC Avant Garde" w:hAnsi="ITC Avant Garde" w:cs="Arial"/>
          <w:i/>
        </w:rPr>
        <w:t xml:space="preserve">96. </w:t>
      </w:r>
      <w:r w:rsidR="00E07DDA" w:rsidRPr="00061ACD">
        <w:rPr>
          <w:rFonts w:ascii="ITC Avant Garde" w:hAnsi="ITC Avant Garde" w:cs="Arial"/>
          <w:i/>
        </w:rPr>
        <w:t xml:space="preserve">Bajo las consideraciones expuestas, </w:t>
      </w:r>
      <w:r w:rsidR="00E07DDA" w:rsidRPr="00061ACD">
        <w:rPr>
          <w:rFonts w:ascii="ITC Avant Garde" w:hAnsi="ITC Avant Garde" w:cs="Arial"/>
          <w:b/>
          <w:i/>
        </w:rPr>
        <w:t xml:space="preserve">esta Segunda Sala concluye que el artículo 298, inciso B), fracción IV, de la Ley Federal de Telecomunicaciones y Radiodifusión es inconstitucional en la porción normativa que establece un porcentaje de sanción mínima del 1% del ingreso del infractor, autorizado o concesionario, </w:t>
      </w:r>
      <w:r w:rsidR="00E07DDA" w:rsidRPr="00061ACD">
        <w:rPr>
          <w:rFonts w:ascii="ITC Avant Garde" w:hAnsi="ITC Avant Garde" w:cs="Arial"/>
          <w:i/>
        </w:rPr>
        <w:t xml:space="preserve">pues sanciona en el mismo porcentaje mínimo tanto a las conductas que producen efectos poco dañinos, como a aquellas que causan una seria afectación jurídica o material, por lo que tal porcentaje de sanción mínimo resulta excesivo al no poder analizarse la conducta particular atribuida y los efectos causados por ésta, a efecto de determinar la afectación </w:t>
      </w:r>
      <w:r w:rsidR="00E07DDA" w:rsidRPr="00061ACD">
        <w:rPr>
          <w:rFonts w:ascii="ITC Avant Garde" w:hAnsi="ITC Avant Garde" w:cs="Arial"/>
          <w:i/>
        </w:rPr>
        <w:lastRenderedPageBreak/>
        <w:t>causada y así imponer una sanción en un porcentaje aún menor al 1% del ingreso del infractor.</w:t>
      </w:r>
    </w:p>
    <w:p w:rsidR="005B6852" w:rsidRDefault="00061ACD" w:rsidP="00061ACD">
      <w:pPr>
        <w:spacing w:line="360" w:lineRule="auto"/>
        <w:ind w:left="1130" w:right="709"/>
        <w:jc w:val="both"/>
        <w:rPr>
          <w:rFonts w:ascii="ITC Avant Garde" w:hAnsi="ITC Avant Garde" w:cs="Arial"/>
          <w:i/>
        </w:rPr>
      </w:pPr>
      <w:r>
        <w:rPr>
          <w:rFonts w:ascii="ITC Avant Garde" w:hAnsi="ITC Avant Garde" w:cs="Arial"/>
          <w:i/>
        </w:rPr>
        <w:t xml:space="preserve">97. </w:t>
      </w:r>
      <w:r w:rsidR="00E07DDA" w:rsidRPr="004A1B15">
        <w:rPr>
          <w:rFonts w:ascii="ITC Avant Garde" w:hAnsi="ITC Avant Garde" w:cs="Arial"/>
          <w:i/>
        </w:rPr>
        <w:t>Esto es, el precepto en comento limita o encajona las múltiples conductas a que se refiere el artículo 298, inciso B), fracción IV, de la Ley Federal de Telecomunicaciones y Radiodifusión, en un rango mínimo determinado de sanción que no necesariamente atenderá a la gravedad de la infracción, impidiendo valorar si la conducta reprochada y los efectos por ella producidos son o no de una entidad menor que justifique la imposición de una sanción de menor proporción al 1% del ingreso del infractor, autorizado o concesionario.</w:t>
      </w:r>
    </w:p>
    <w:p w:rsidR="005B6852" w:rsidRDefault="00061ACD" w:rsidP="00061ACD">
      <w:pPr>
        <w:spacing w:line="360" w:lineRule="auto"/>
        <w:ind w:left="1130" w:right="709"/>
        <w:jc w:val="both"/>
        <w:rPr>
          <w:rFonts w:ascii="ITC Avant Garde" w:hAnsi="ITC Avant Garde" w:cs="Arial"/>
          <w:i/>
        </w:rPr>
      </w:pPr>
      <w:r>
        <w:rPr>
          <w:rFonts w:ascii="ITC Avant Garde" w:hAnsi="ITC Avant Garde" w:cs="Arial"/>
          <w:i/>
        </w:rPr>
        <w:t xml:space="preserve">98. </w:t>
      </w:r>
      <w:r w:rsidR="00E07DDA" w:rsidRPr="004A1B15">
        <w:rPr>
          <w:rFonts w:ascii="ITC Avant Garde" w:hAnsi="ITC Avant Garde" w:cs="Arial"/>
          <w:i/>
        </w:rPr>
        <w:t xml:space="preserve">Así, para que la norma analizada no resulte contraria al artículo 22 de la Constitución Política de los Estados Unidos Mexicanos —al menos por lo que respecta al monto inferior ahí previsto— se requiere de una relación entre la conducta imputada, la afectación producida y la sanción aplicable, la cual no existe en la especie pues entre los efectos producidos por la conducta reprochada y la sanción aplicable </w:t>
      </w:r>
      <w:r w:rsidR="00E07DDA" w:rsidRPr="004A1B15">
        <w:rPr>
          <w:rFonts w:ascii="ITC Avant Garde" w:hAnsi="ITC Avant Garde" w:cs="Arial"/>
          <w:b/>
          <w:i/>
        </w:rPr>
        <w:t>existe una discrepancia que se manifiesta en la imposibilidad de imponer sanciones menores al 1% del ingreso acumulable del infractor, a pesar de que la afectación sufrida en el bien jurídico tutelado sea ínfima o menor</w:t>
      </w:r>
      <w:r w:rsidR="00E07DDA" w:rsidRPr="004A1B15">
        <w:rPr>
          <w:rFonts w:ascii="ITC Avant Garde" w:hAnsi="ITC Avant Garde" w:cs="Arial"/>
          <w:i/>
        </w:rPr>
        <w:t>.</w:t>
      </w:r>
    </w:p>
    <w:p w:rsidR="005B6852" w:rsidRDefault="00E07DDA" w:rsidP="00061ACD">
      <w:pPr>
        <w:spacing w:line="360" w:lineRule="auto"/>
        <w:ind w:left="1130" w:right="709"/>
        <w:jc w:val="both"/>
        <w:rPr>
          <w:rFonts w:ascii="ITC Avant Garde" w:hAnsi="ITC Avant Garde" w:cs="Arial"/>
          <w:b/>
          <w:i/>
        </w:rPr>
      </w:pPr>
      <w:r w:rsidRPr="004A1B15">
        <w:rPr>
          <w:rFonts w:ascii="ITC Avant Garde" w:hAnsi="ITC Avant Garde" w:cs="Arial"/>
          <w:i/>
        </w:rPr>
        <w:t xml:space="preserve">99. En razón de la conclusión alcanzada, al resultar inconstitucional el porcentaje mínimo de sanción previsto en el </w:t>
      </w:r>
      <w:r w:rsidRPr="004A1B15">
        <w:rPr>
          <w:rFonts w:ascii="ITC Avant Garde" w:hAnsi="ITC Avant Garde" w:cs="Arial"/>
          <w:b/>
          <w:i/>
        </w:rPr>
        <w:t xml:space="preserve">artículo 298, inciso B), de la Ley Federal de Telecomunicaciones y Radiodifusión, únicamente por lo que hace a las conductas a que se refiere el artículo 298, inciso </w:t>
      </w:r>
    </w:p>
    <w:p w:rsidR="005B6852" w:rsidRDefault="00E07DDA" w:rsidP="00061ACD">
      <w:pPr>
        <w:spacing w:line="360" w:lineRule="auto"/>
        <w:ind w:left="1130" w:right="709"/>
        <w:jc w:val="both"/>
        <w:rPr>
          <w:rFonts w:ascii="ITC Avant Garde" w:hAnsi="ITC Avant Garde" w:cs="Arial"/>
          <w:b/>
          <w:i/>
        </w:rPr>
      </w:pPr>
      <w:r w:rsidRPr="004A1B15">
        <w:rPr>
          <w:rFonts w:ascii="ITC Avant Garde" w:hAnsi="ITC Avant Garde" w:cs="Arial"/>
          <w:b/>
          <w:i/>
        </w:rPr>
        <w:t xml:space="preserve">B), fracción IV, de la Ley Federal de Telecomunicaciones y Radiodifusión, entonces procede otorgar el amparo en contra del referido precepto, únicamente en lo que se refiere a la porción </w:t>
      </w:r>
      <w:r w:rsidRPr="004A1B15">
        <w:rPr>
          <w:rFonts w:ascii="ITC Avant Garde" w:hAnsi="ITC Avant Garde" w:cs="Arial"/>
          <w:b/>
          <w:i/>
        </w:rPr>
        <w:lastRenderedPageBreak/>
        <w:t xml:space="preserve">normativa en la cual se establece el porcentaje mínimo de sanción del 1% del ingreso. </w:t>
      </w:r>
    </w:p>
    <w:p w:rsidR="00E07DDA" w:rsidRPr="00061ACD" w:rsidRDefault="00061ACD" w:rsidP="00061ACD">
      <w:pPr>
        <w:spacing w:line="360" w:lineRule="auto"/>
        <w:ind w:left="1130" w:right="709"/>
        <w:jc w:val="both"/>
        <w:rPr>
          <w:rFonts w:ascii="ITC Avant Garde" w:hAnsi="ITC Avant Garde" w:cs="Arial"/>
          <w:i/>
          <w:lang w:val="x-none"/>
        </w:rPr>
      </w:pPr>
      <w:r w:rsidRPr="00061ACD">
        <w:rPr>
          <w:rFonts w:ascii="ITC Avant Garde" w:hAnsi="ITC Avant Garde" w:cs="Arial"/>
          <w:i/>
          <w:u w:val="single"/>
        </w:rPr>
        <w:t xml:space="preserve">100. </w:t>
      </w:r>
      <w:r w:rsidR="00E07DDA" w:rsidRPr="00061ACD">
        <w:rPr>
          <w:rFonts w:ascii="ITC Avant Garde" w:hAnsi="ITC Avant Garde" w:cs="Arial"/>
          <w:i/>
          <w:u w:val="single"/>
        </w:rPr>
        <w:t xml:space="preserve">Cabe precisar que ante el vicio de inconstitucionalidad advertido en la norma reclamada, el alcance del presente fallo se traduce en dejar </w:t>
      </w:r>
      <w:r w:rsidR="00E07DDA" w:rsidRPr="00061ACD">
        <w:rPr>
          <w:rFonts w:ascii="ITC Avant Garde" w:hAnsi="ITC Avant Garde" w:cs="Arial"/>
          <w:b/>
          <w:i/>
          <w:u w:val="single"/>
        </w:rPr>
        <w:t>insubsistentes tanto la resolución reclamada como primer acto de aplicación de esa norma, como el procedimiento correspondiente;</w:t>
      </w:r>
      <w:r w:rsidR="00E07DDA" w:rsidRPr="00061ACD">
        <w:rPr>
          <w:rFonts w:ascii="ITC Avant Garde" w:hAnsi="ITC Avant Garde" w:cs="Arial"/>
          <w:i/>
        </w:rPr>
        <w:t xml:space="preserve"> sin embargo, si en lo sucesivo la autoridad sancionadora (mediante otros procedimientos) estima que la quejosa incumplió con alguna obligación sancionable conforme a la fracción IV, del inciso B), del numeral 298 de la Ley Federal de Telecomunicaciones y Radiodifusión, al determinar el porcentaje mínimo de sanción procedente, podrá acudir al porcentaje mínimo previsto en el inciso A) del artículo 298 de la Ley, es decir, el </w:t>
      </w:r>
      <w:r w:rsidR="00E07DDA" w:rsidRPr="00061ACD">
        <w:rPr>
          <w:rFonts w:ascii="ITC Avant Garde" w:hAnsi="ITC Avant Garde" w:cs="Arial"/>
          <w:b/>
          <w:i/>
        </w:rPr>
        <w:t>0.01%</w:t>
      </w:r>
      <w:r w:rsidR="00E07DDA" w:rsidRPr="00061ACD">
        <w:rPr>
          <w:rFonts w:ascii="ITC Avant Garde" w:hAnsi="ITC Avant Garde" w:cs="Arial"/>
          <w:i/>
        </w:rPr>
        <w:t xml:space="preserve"> del ingreso del sujeto sancionado</w:t>
      </w:r>
      <w:r w:rsidR="00E07DDA" w:rsidRPr="00061ACD">
        <w:rPr>
          <w:rStyle w:val="Refdenotaalpie"/>
          <w:rFonts w:ascii="ITC Avant Garde" w:hAnsi="ITC Avant Garde" w:cs="Arial"/>
          <w:i/>
        </w:rPr>
        <w:footnoteReference w:id="11"/>
      </w:r>
      <w:r w:rsidR="00E07DDA" w:rsidRPr="00061ACD">
        <w:rPr>
          <w:rFonts w:ascii="ITC Avant Garde" w:hAnsi="ITC Avant Garde" w:cs="Arial"/>
          <w:i/>
        </w:rPr>
        <w:t>.</w:t>
      </w:r>
    </w:p>
    <w:p w:rsidR="005B6852" w:rsidRDefault="00061ACD" w:rsidP="0072413A">
      <w:pPr>
        <w:pStyle w:val="Textoindependiente"/>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b/>
      </w:r>
      <w:r w:rsidR="00E07DDA">
        <w:rPr>
          <w:rFonts w:ascii="ITC Avant Garde" w:eastAsia="Times New Roman" w:hAnsi="ITC Avant Garde"/>
          <w:bCs/>
          <w:color w:val="000000"/>
          <w:lang w:eastAsia="es-MX"/>
        </w:rPr>
        <w:t>(…)</w:t>
      </w:r>
    </w:p>
    <w:p w:rsidR="009860A8" w:rsidRPr="009860A8" w:rsidRDefault="009860A8" w:rsidP="009860A8">
      <w:pPr>
        <w:spacing w:line="360" w:lineRule="auto"/>
        <w:ind w:left="1130" w:right="709"/>
        <w:jc w:val="both"/>
        <w:rPr>
          <w:rFonts w:ascii="ITC Avant Garde" w:hAnsi="ITC Avant Garde" w:cs="Arial"/>
          <w:i/>
        </w:rPr>
      </w:pPr>
      <w:r w:rsidRPr="009860A8">
        <w:rPr>
          <w:rFonts w:ascii="ITC Avant Garde" w:hAnsi="ITC Avant Garde" w:cs="Arial"/>
          <w:i/>
        </w:rPr>
        <w:t xml:space="preserve">102. No escapa a esta Segunda Sala que subsisten agravios vertidos en el recurso principal, los cuales están relacionados con aspectos de legalidad; sin embargo, dado el sentido alcanzado en párrafos precedentes, resulta innecesario el estudio de tales argumentos ya que el beneficio obtenido no podría mejorarse, en razón de que el efecto del amparo, en términos de los criterios citados, se traduce en la no aplicación futura de la norma inconstitucional (al menos por lo que hace al porcentaje mínimo de sanción aplicable a las conductas </w:t>
      </w:r>
      <w:r w:rsidRPr="009860A8">
        <w:rPr>
          <w:rFonts w:ascii="ITC Avant Garde" w:hAnsi="ITC Avant Garde" w:cs="Arial"/>
          <w:i/>
        </w:rPr>
        <w:lastRenderedPageBreak/>
        <w:t>construidas a partir de tipos administrativos en blanco, en los términos expresados).</w:t>
      </w:r>
    </w:p>
    <w:p w:rsidR="005B6852" w:rsidRDefault="009860A8" w:rsidP="009860A8">
      <w:pPr>
        <w:pStyle w:val="Textoindependiente"/>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b/>
        <w:t>(…)</w:t>
      </w:r>
    </w:p>
    <w:p w:rsidR="005B6852" w:rsidRDefault="00D16E3F" w:rsidP="00D16E3F">
      <w:pPr>
        <w:spacing w:line="360" w:lineRule="auto"/>
        <w:ind w:left="1130" w:right="709"/>
        <w:jc w:val="both"/>
        <w:rPr>
          <w:rFonts w:ascii="ITC Avant Garde" w:hAnsi="ITC Avant Garde" w:cs="Arial"/>
          <w:i/>
        </w:rPr>
      </w:pPr>
      <w:r w:rsidRPr="00D16E3F">
        <w:rPr>
          <w:rFonts w:ascii="ITC Avant Garde" w:hAnsi="ITC Avant Garde" w:cs="Arial"/>
          <w:i/>
        </w:rPr>
        <w:t xml:space="preserve">104. Por las razones expuestas y ante lo </w:t>
      </w:r>
      <w:r w:rsidRPr="00D16E3F">
        <w:rPr>
          <w:rFonts w:ascii="ITC Avant Garde" w:hAnsi="ITC Avant Garde" w:cs="Arial"/>
          <w:b/>
          <w:i/>
        </w:rPr>
        <w:t>parcialmente fundado</w:t>
      </w:r>
      <w:r w:rsidRPr="00D16E3F">
        <w:rPr>
          <w:rFonts w:ascii="ITC Avant Garde" w:hAnsi="ITC Avant Garde" w:cs="Arial"/>
          <w:i/>
        </w:rPr>
        <w:t xml:space="preserve"> de los agravios propuestos, procede </w:t>
      </w:r>
      <w:r w:rsidRPr="00D16E3F">
        <w:rPr>
          <w:rFonts w:ascii="ITC Avant Garde" w:hAnsi="ITC Avant Garde" w:cs="Arial"/>
          <w:b/>
          <w:i/>
        </w:rPr>
        <w:t>modificar</w:t>
      </w:r>
      <w:r w:rsidRPr="00D16E3F">
        <w:rPr>
          <w:rFonts w:ascii="ITC Avant Garde" w:hAnsi="ITC Avant Garde" w:cs="Arial"/>
          <w:i/>
        </w:rPr>
        <w:t xml:space="preserve"> la sentencia recurrida, </w:t>
      </w:r>
      <w:r w:rsidRPr="00D16E3F">
        <w:rPr>
          <w:rFonts w:ascii="ITC Avant Garde" w:hAnsi="ITC Avant Garde" w:cs="Arial"/>
          <w:b/>
          <w:i/>
        </w:rPr>
        <w:t>negar</w:t>
      </w:r>
      <w:r w:rsidRPr="00D16E3F">
        <w:rPr>
          <w:rFonts w:ascii="ITC Avant Garde" w:hAnsi="ITC Avant Garde" w:cs="Arial"/>
          <w:i/>
        </w:rPr>
        <w:t xml:space="preserve"> el amparo en contra del artículo 299 de la Ley Federal de Telecomunicaciones y Radiodifusión y </w:t>
      </w:r>
      <w:r w:rsidRPr="00D16E3F">
        <w:rPr>
          <w:rFonts w:ascii="ITC Avant Garde" w:hAnsi="ITC Avant Garde" w:cs="Arial"/>
          <w:b/>
          <w:i/>
        </w:rPr>
        <w:t>otorgar</w:t>
      </w:r>
      <w:r w:rsidRPr="00D16E3F">
        <w:rPr>
          <w:rFonts w:ascii="ITC Avant Garde" w:hAnsi="ITC Avant Garde" w:cs="Arial"/>
          <w:i/>
        </w:rPr>
        <w:t xml:space="preserve"> la protección constitucional en contra del artículo 298, inciso B), fracción IV, de ese ordenamiento en la porción normativa precisada y declarar </w:t>
      </w:r>
      <w:r w:rsidRPr="00D16E3F">
        <w:rPr>
          <w:rFonts w:ascii="ITC Avant Garde" w:hAnsi="ITC Avant Garde" w:cs="Arial"/>
          <w:b/>
          <w:i/>
        </w:rPr>
        <w:t>sin materia el recurso de revisión adhesivo</w:t>
      </w:r>
      <w:r w:rsidRPr="00D16E3F">
        <w:rPr>
          <w:rFonts w:ascii="ITC Avant Garde" w:hAnsi="ITC Avant Garde" w:cs="Arial"/>
          <w:i/>
        </w:rPr>
        <w:t>; esto, por las razones expuestas tanto en el fallo recurrido, como por lo expresado en la presente ejecutoria; en consecuencia, esta Segunda Sala de la Suprema Corte de Justicia de la Nación.”</w:t>
      </w:r>
    </w:p>
    <w:p w:rsidR="005B6852" w:rsidRDefault="00E07DDA" w:rsidP="0072413A">
      <w:pPr>
        <w:pStyle w:val="Textoindependiente"/>
        <w:tabs>
          <w:tab w:val="left" w:pos="993"/>
        </w:tabs>
        <w:spacing w:after="0" w:line="360" w:lineRule="auto"/>
        <w:jc w:val="both"/>
        <w:rPr>
          <w:rFonts w:ascii="ITC Avant Garde" w:eastAsia="Times New Roman" w:hAnsi="ITC Avant Garde"/>
          <w:bCs/>
          <w:color w:val="000000"/>
          <w:lang w:eastAsia="es-MX"/>
        </w:rPr>
      </w:pPr>
      <w:r w:rsidRPr="00E07DDA">
        <w:rPr>
          <w:rFonts w:ascii="ITC Avant Garde" w:eastAsia="Times New Roman" w:hAnsi="ITC Avant Garde"/>
          <w:b/>
          <w:bCs/>
          <w:color w:val="000000"/>
          <w:lang w:eastAsia="es-MX"/>
        </w:rPr>
        <w:t xml:space="preserve">OCTAVO. </w:t>
      </w:r>
      <w:r w:rsidR="00077F8F" w:rsidRPr="00077F8F">
        <w:rPr>
          <w:rFonts w:ascii="ITC Avant Garde" w:eastAsia="Times New Roman" w:hAnsi="ITC Avant Garde"/>
          <w:bCs/>
          <w:color w:val="000000"/>
          <w:lang w:eastAsia="es-MX"/>
        </w:rPr>
        <w:t xml:space="preserve">Mediante </w:t>
      </w:r>
      <w:r w:rsidR="00DD6B95">
        <w:rPr>
          <w:rFonts w:ascii="ITC Avant Garde" w:eastAsia="Times New Roman" w:hAnsi="ITC Avant Garde"/>
          <w:bCs/>
          <w:color w:val="000000"/>
          <w:lang w:eastAsia="es-MX"/>
        </w:rPr>
        <w:t xml:space="preserve">el </w:t>
      </w:r>
      <w:r w:rsidR="00077F8F" w:rsidRPr="00077F8F">
        <w:rPr>
          <w:rFonts w:ascii="ITC Avant Garde" w:eastAsia="Times New Roman" w:hAnsi="ITC Avant Garde"/>
          <w:bCs/>
          <w:color w:val="000000"/>
          <w:lang w:eastAsia="es-MX"/>
        </w:rPr>
        <w:t xml:space="preserve">acuerdo </w:t>
      </w:r>
      <w:r w:rsidR="00BE13B1">
        <w:rPr>
          <w:rFonts w:ascii="ITC Avant Garde" w:eastAsia="Times New Roman" w:hAnsi="ITC Avant Garde"/>
          <w:bCs/>
          <w:color w:val="000000"/>
          <w:lang w:eastAsia="es-MX"/>
        </w:rPr>
        <w:t xml:space="preserve">dictado el veinticuatro de noviembre de dos mil diecisiete y </w:t>
      </w:r>
      <w:r w:rsidR="00077F8F" w:rsidRPr="00077F8F">
        <w:rPr>
          <w:rFonts w:ascii="ITC Avant Garde" w:eastAsia="Times New Roman" w:hAnsi="ITC Avant Garde"/>
          <w:bCs/>
          <w:color w:val="000000"/>
          <w:lang w:eastAsia="es-MX"/>
        </w:rPr>
        <w:t>notificado</w:t>
      </w:r>
      <w:r w:rsidR="00BE13B1">
        <w:rPr>
          <w:rFonts w:ascii="ITC Avant Garde" w:eastAsia="Times New Roman" w:hAnsi="ITC Avant Garde"/>
          <w:bCs/>
          <w:color w:val="000000"/>
          <w:lang w:eastAsia="es-MX"/>
        </w:rPr>
        <w:t xml:space="preserve"> a este Instituto</w:t>
      </w:r>
      <w:r w:rsidR="00077F8F" w:rsidRPr="00077F8F">
        <w:rPr>
          <w:rFonts w:ascii="ITC Avant Garde" w:eastAsia="Times New Roman" w:hAnsi="ITC Avant Garde"/>
          <w:bCs/>
          <w:color w:val="000000"/>
          <w:lang w:eastAsia="es-MX"/>
        </w:rPr>
        <w:t xml:space="preserve"> el </w:t>
      </w:r>
      <w:r w:rsidR="00BE13B1">
        <w:rPr>
          <w:rFonts w:ascii="ITC Avant Garde" w:eastAsia="Times New Roman" w:hAnsi="ITC Avant Garde"/>
          <w:bCs/>
          <w:color w:val="000000"/>
          <w:lang w:eastAsia="es-MX"/>
        </w:rPr>
        <w:t>veintisiete de noviembre del año en curso</w:t>
      </w:r>
      <w:r w:rsidR="00077F8F" w:rsidRPr="00077F8F">
        <w:rPr>
          <w:rFonts w:ascii="ITC Avant Garde" w:eastAsia="Times New Roman" w:hAnsi="ITC Avant Garde"/>
          <w:bCs/>
          <w:color w:val="000000"/>
          <w:lang w:eastAsia="es-MX"/>
        </w:rPr>
        <w:t>,</w:t>
      </w:r>
      <w:r w:rsidR="00077F8F" w:rsidRPr="00077F8F">
        <w:rPr>
          <w:rFonts w:ascii="ITC Avant Garde" w:eastAsia="Times New Roman" w:hAnsi="ITC Avant Garde"/>
          <w:b/>
          <w:bCs/>
          <w:color w:val="000000"/>
          <w:lang w:eastAsia="es-MX"/>
        </w:rPr>
        <w:t xml:space="preserve"> </w:t>
      </w:r>
      <w:r w:rsidR="00077F8F" w:rsidRPr="00077F8F">
        <w:rPr>
          <w:rFonts w:ascii="ITC Avant Garde" w:eastAsia="Times New Roman" w:hAnsi="ITC Avant Garde"/>
          <w:bCs/>
          <w:color w:val="000000"/>
          <w:lang w:eastAsia="es-MX"/>
        </w:rPr>
        <w:t xml:space="preserve">el </w:t>
      </w:r>
      <w:r w:rsidR="00077F8F" w:rsidRPr="00077F8F">
        <w:rPr>
          <w:rFonts w:ascii="ITC Avant Garde" w:eastAsia="Times New Roman" w:hAnsi="ITC Avant Garde"/>
          <w:b/>
          <w:bCs/>
          <w:color w:val="000000"/>
          <w:lang w:eastAsia="es-MX"/>
        </w:rPr>
        <w:t xml:space="preserve">JUZGADO </w:t>
      </w:r>
      <w:r w:rsidR="00BE13B1">
        <w:rPr>
          <w:rFonts w:ascii="ITC Avant Garde" w:eastAsia="Times New Roman" w:hAnsi="ITC Avant Garde"/>
          <w:b/>
          <w:bCs/>
          <w:color w:val="000000"/>
          <w:lang w:eastAsia="es-MX"/>
        </w:rPr>
        <w:t>PRIMERO</w:t>
      </w:r>
      <w:r w:rsidR="00077F8F" w:rsidRPr="00077F8F">
        <w:rPr>
          <w:rFonts w:ascii="ITC Avant Garde" w:eastAsia="Times New Roman" w:hAnsi="ITC Avant Garde"/>
          <w:bCs/>
          <w:color w:val="000000"/>
          <w:lang w:eastAsia="es-MX"/>
        </w:rPr>
        <w:t xml:space="preserve"> </w:t>
      </w:r>
      <w:r w:rsidR="00784FDD">
        <w:rPr>
          <w:rFonts w:ascii="ITC Avant Garde" w:eastAsia="Times New Roman" w:hAnsi="ITC Avant Garde"/>
          <w:bCs/>
          <w:color w:val="000000"/>
          <w:lang w:eastAsia="es-MX"/>
        </w:rPr>
        <w:t>señaló de manera textual:</w:t>
      </w:r>
    </w:p>
    <w:p w:rsidR="005B6852" w:rsidRDefault="00B44E65" w:rsidP="00CD1681">
      <w:pPr>
        <w:spacing w:after="0" w:line="240" w:lineRule="auto"/>
        <w:ind w:left="567" w:right="616"/>
        <w:jc w:val="both"/>
        <w:rPr>
          <w:rFonts w:ascii="ITC Avant Garde" w:hAnsi="ITC Avant Garde"/>
          <w:bCs/>
          <w:i/>
          <w:kern w:val="16"/>
        </w:rPr>
      </w:pPr>
      <w:r w:rsidRPr="00CD1681">
        <w:rPr>
          <w:rFonts w:ascii="ITC Avant Garde" w:hAnsi="ITC Avant Garde"/>
          <w:bCs/>
          <w:i/>
          <w:kern w:val="16"/>
        </w:rPr>
        <w:t xml:space="preserve"> </w:t>
      </w:r>
      <w:r w:rsidR="00784FDD" w:rsidRPr="00CD1681">
        <w:rPr>
          <w:rFonts w:ascii="ITC Avant Garde" w:hAnsi="ITC Avant Garde"/>
          <w:bCs/>
          <w:i/>
          <w:kern w:val="16"/>
        </w:rPr>
        <w:t>“La Segunda Sala de la Suprema Corte de Justicia de la Nación, concedió el amparo para el efecto de que el Pleno del Instituto Federal de Telecomunicaciones:</w:t>
      </w:r>
    </w:p>
    <w:p w:rsidR="00CA6A7E" w:rsidRPr="00CD1681" w:rsidRDefault="00CA6A7E" w:rsidP="00CD1681">
      <w:pPr>
        <w:spacing w:after="0" w:line="240" w:lineRule="auto"/>
        <w:ind w:left="567" w:right="616"/>
        <w:jc w:val="both"/>
        <w:rPr>
          <w:rFonts w:ascii="ITC Avant Garde" w:hAnsi="ITC Avant Garde"/>
          <w:bCs/>
          <w:i/>
          <w:kern w:val="16"/>
        </w:rPr>
      </w:pPr>
    </w:p>
    <w:p w:rsidR="005B6852" w:rsidRDefault="007E3B2B" w:rsidP="00CD1681">
      <w:pPr>
        <w:spacing w:after="0" w:line="240" w:lineRule="auto"/>
        <w:ind w:left="567" w:right="616"/>
        <w:jc w:val="both"/>
        <w:rPr>
          <w:rFonts w:ascii="ITC Avant Garde" w:hAnsi="ITC Avant Garde"/>
          <w:bCs/>
          <w:i/>
          <w:kern w:val="16"/>
        </w:rPr>
      </w:pPr>
      <w:r>
        <w:rPr>
          <w:rFonts w:ascii="ITC Avant Garde" w:hAnsi="ITC Avant Garde"/>
          <w:bCs/>
          <w:i/>
          <w:kern w:val="16"/>
        </w:rPr>
        <w:t xml:space="preserve">I. </w:t>
      </w:r>
      <w:r w:rsidR="00784FDD" w:rsidRPr="00CD1681">
        <w:rPr>
          <w:rFonts w:ascii="ITC Avant Garde" w:hAnsi="ITC Avant Garde"/>
          <w:bCs/>
          <w:i/>
          <w:kern w:val="16"/>
        </w:rPr>
        <w:t xml:space="preserve">Desincorpore a la ahora quejosa de su esfera jurídica el artículo 298, inciso B), fracción IV de la Ley Federal de Telecomunicaciones y Radiodifusión, únicamente en lo que se refiere a la porción normativa en la cual se establece el porcentaje mínimo de sanción del </w:t>
      </w:r>
      <w:r w:rsidR="009C681B" w:rsidRPr="009C681B">
        <w:rPr>
          <w:rFonts w:ascii="ITC Avant Garde" w:eastAsia="Times New Roman" w:hAnsi="ITC Avant Garde"/>
          <w:b/>
          <w:bCs/>
          <w:i/>
          <w:color w:val="0000FF"/>
          <w:lang w:eastAsia="es-MX"/>
        </w:rPr>
        <w:t>CONFIDENCIAL POR LEY</w:t>
      </w:r>
      <w:r w:rsidR="00784FDD" w:rsidRPr="00CD1681">
        <w:rPr>
          <w:rFonts w:ascii="ITC Avant Garde" w:hAnsi="ITC Avant Garde"/>
          <w:bCs/>
          <w:i/>
          <w:kern w:val="16"/>
        </w:rPr>
        <w:t xml:space="preserve"> de su ingreso.</w:t>
      </w:r>
    </w:p>
    <w:p w:rsidR="005B6852" w:rsidRDefault="00CD1681" w:rsidP="00CD1681">
      <w:pPr>
        <w:spacing w:after="0" w:line="240" w:lineRule="auto"/>
        <w:ind w:left="567" w:right="616"/>
        <w:jc w:val="both"/>
        <w:rPr>
          <w:rFonts w:ascii="ITC Avant Garde" w:eastAsia="Times New Roman" w:hAnsi="ITC Avant Garde"/>
          <w:bCs/>
          <w:color w:val="000000"/>
          <w:lang w:eastAsia="es-MX"/>
        </w:rPr>
      </w:pPr>
      <w:r w:rsidRPr="00CD1681">
        <w:rPr>
          <w:rFonts w:ascii="ITC Avant Garde" w:eastAsia="Times New Roman" w:hAnsi="ITC Avant Garde"/>
          <w:bCs/>
          <w:i/>
          <w:color w:val="000000"/>
          <w:lang w:eastAsia="es-MX"/>
        </w:rPr>
        <w:t xml:space="preserve">II. </w:t>
      </w:r>
      <w:r w:rsidR="00784FDD" w:rsidRPr="00CD1681">
        <w:rPr>
          <w:rFonts w:ascii="ITC Avant Garde" w:eastAsia="Times New Roman" w:hAnsi="ITC Avant Garde"/>
          <w:bCs/>
          <w:i/>
          <w:color w:val="000000"/>
          <w:lang w:eastAsia="es-MX"/>
        </w:rPr>
        <w:t xml:space="preserve">Deje insubsistente la resolución mediante la cual el Pleno del referido Instituto impone una sanción a la hoy quejosa, derivada del procedimiento administrativo iniciado por el incumplimiento al artículo 12 de los Lineamientos para la retransmisión de las señales radiodifundidas y de las Instituciones Públicas Federales en la Ciudad </w:t>
      </w:r>
      <w:r w:rsidR="003D3583">
        <w:rPr>
          <w:rFonts w:ascii="ITC Avant Garde" w:eastAsia="Times New Roman" w:hAnsi="ITC Avant Garde"/>
          <w:bCs/>
          <w:i/>
          <w:color w:val="000000"/>
          <w:lang w:eastAsia="es-MX"/>
        </w:rPr>
        <w:t>d</w:t>
      </w:r>
      <w:r w:rsidR="00784FDD" w:rsidRPr="00CD1681">
        <w:rPr>
          <w:rFonts w:ascii="ITC Avant Garde" w:eastAsia="Times New Roman" w:hAnsi="ITC Avant Garde"/>
          <w:bCs/>
          <w:i/>
          <w:color w:val="000000"/>
          <w:lang w:eastAsia="es-MX"/>
        </w:rPr>
        <w:t>e Monterrey, Estado de Nuevo León, contenida en el Acuerdo P/IFT/230816/446, con motivo del primer acto de aplicación del artículo de mérito, y por ende, se deje insubsistente el procedimiento correspondiente.</w:t>
      </w:r>
      <w:r w:rsidR="00784FDD">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(sic) </w:t>
      </w:r>
    </w:p>
    <w:p w:rsidR="005B6852" w:rsidRDefault="00784FDD" w:rsidP="00077F8F">
      <w:pPr>
        <w:pStyle w:val="Textoindependiente"/>
        <w:tabs>
          <w:tab w:val="left" w:pos="993"/>
        </w:tabs>
        <w:spacing w:after="0" w:line="360" w:lineRule="auto"/>
        <w:jc w:val="both"/>
        <w:rPr>
          <w:rFonts w:ascii="ITC Avant Garde" w:eastAsia="Times New Roman" w:hAnsi="ITC Avant Garde"/>
          <w:b/>
          <w:lang w:eastAsia="es-MX"/>
        </w:rPr>
      </w:pPr>
      <w:r>
        <w:rPr>
          <w:rFonts w:ascii="ITC Avant Garde" w:eastAsia="Times New Roman" w:hAnsi="ITC Avant Garde"/>
          <w:bCs/>
          <w:color w:val="000000"/>
          <w:lang w:eastAsia="es-MX"/>
        </w:rPr>
        <w:lastRenderedPageBreak/>
        <w:t xml:space="preserve">Con base en lo anterior, </w:t>
      </w:r>
      <w:r w:rsidRPr="00077F8F">
        <w:rPr>
          <w:rFonts w:ascii="ITC Avant Garde" w:eastAsia="Times New Roman" w:hAnsi="ITC Avant Garde"/>
          <w:bCs/>
          <w:color w:val="000000"/>
          <w:lang w:eastAsia="es-MX"/>
        </w:rPr>
        <w:t xml:space="preserve">el </w:t>
      </w:r>
      <w:r w:rsidRPr="00077F8F">
        <w:rPr>
          <w:rFonts w:ascii="ITC Avant Garde" w:eastAsia="Times New Roman" w:hAnsi="ITC Avant Garde"/>
          <w:b/>
          <w:bCs/>
          <w:color w:val="000000"/>
          <w:lang w:eastAsia="es-MX"/>
        </w:rPr>
        <w:t xml:space="preserve">JUZGADO </w:t>
      </w:r>
      <w:r>
        <w:rPr>
          <w:rFonts w:ascii="ITC Avant Garde" w:eastAsia="Times New Roman" w:hAnsi="ITC Avant Garde"/>
          <w:b/>
          <w:bCs/>
          <w:color w:val="000000"/>
          <w:lang w:eastAsia="es-MX"/>
        </w:rPr>
        <w:t>PRIMERO</w:t>
      </w:r>
      <w:r w:rsidRPr="00077F8F">
        <w:rPr>
          <w:rFonts w:ascii="ITC Avant Garde" w:eastAsia="Times New Roman" w:hAnsi="ITC Avant Garde"/>
          <w:bCs/>
          <w:color w:val="000000"/>
          <w:lang w:eastAsia="es-MX"/>
        </w:rPr>
        <w:t xml:space="preserve"> </w:t>
      </w:r>
      <w:r w:rsidR="00077F8F" w:rsidRPr="00077F8F">
        <w:rPr>
          <w:rFonts w:ascii="ITC Avant Garde" w:eastAsia="Times New Roman" w:hAnsi="ITC Avant Garde"/>
          <w:bCs/>
          <w:color w:val="000000"/>
          <w:lang w:eastAsia="es-MX"/>
        </w:rPr>
        <w:t>requirió a</w:t>
      </w:r>
      <w:r w:rsidR="00BE13B1">
        <w:rPr>
          <w:rFonts w:ascii="ITC Avant Garde" w:eastAsia="Times New Roman" w:hAnsi="ITC Avant Garde"/>
          <w:bCs/>
          <w:color w:val="000000"/>
          <w:lang w:eastAsia="es-MX"/>
        </w:rPr>
        <w:t xml:space="preserve">l </w:t>
      </w:r>
      <w:r w:rsidR="00077F8F" w:rsidRPr="00077F8F">
        <w:rPr>
          <w:rFonts w:ascii="ITC Avant Garde" w:eastAsia="Times New Roman" w:hAnsi="ITC Avant Garde"/>
          <w:bCs/>
          <w:color w:val="000000"/>
          <w:lang w:eastAsia="es-MX"/>
        </w:rPr>
        <w:t xml:space="preserve">Pleno del Instituto, como autoridad </w:t>
      </w:r>
      <w:r w:rsidR="00BE13B1">
        <w:rPr>
          <w:rFonts w:ascii="ITC Avant Garde" w:eastAsia="Times New Roman" w:hAnsi="ITC Avant Garde"/>
          <w:bCs/>
          <w:color w:val="000000"/>
          <w:lang w:eastAsia="es-MX"/>
        </w:rPr>
        <w:t>obligada</w:t>
      </w:r>
      <w:r w:rsidR="00077F8F" w:rsidRPr="00077F8F">
        <w:rPr>
          <w:rFonts w:ascii="ITC Avant Garde" w:eastAsia="Times New Roman" w:hAnsi="ITC Avant Garde"/>
          <w:bCs/>
          <w:color w:val="000000"/>
          <w:lang w:eastAsia="es-MX"/>
        </w:rPr>
        <w:t xml:space="preserve">, para que en el término de </w:t>
      </w:r>
      <w:r w:rsidR="00BE13B1">
        <w:rPr>
          <w:rFonts w:ascii="ITC Avant Garde" w:eastAsia="Times New Roman" w:hAnsi="ITC Avant Garde"/>
          <w:b/>
          <w:bCs/>
          <w:color w:val="000000"/>
          <w:lang w:eastAsia="es-MX"/>
        </w:rPr>
        <w:t>TRES</w:t>
      </w:r>
      <w:r w:rsidR="00077F8F" w:rsidRPr="00077F8F">
        <w:rPr>
          <w:rFonts w:ascii="ITC Avant Garde" w:eastAsia="Times New Roman" w:hAnsi="ITC Avant Garde"/>
          <w:b/>
          <w:bCs/>
          <w:color w:val="000000"/>
          <w:lang w:eastAsia="es-MX"/>
        </w:rPr>
        <w:t xml:space="preserve"> DÍAS</w:t>
      </w:r>
      <w:r w:rsidR="00487476">
        <w:rPr>
          <w:rStyle w:val="Refdenotaalpie"/>
          <w:rFonts w:ascii="ITC Avant Garde" w:eastAsia="Times New Roman" w:hAnsi="ITC Avant Garde"/>
          <w:b/>
          <w:bCs/>
          <w:color w:val="000000"/>
          <w:lang w:eastAsia="es-MX"/>
        </w:rPr>
        <w:footnoteReference w:id="12"/>
      </w:r>
      <w:r w:rsidR="00077F8F" w:rsidRPr="00077F8F">
        <w:rPr>
          <w:rFonts w:ascii="ITC Avant Garde" w:eastAsia="Times New Roman" w:hAnsi="ITC Avant Garde"/>
          <w:bCs/>
          <w:color w:val="000000"/>
          <w:lang w:eastAsia="es-MX"/>
        </w:rPr>
        <w:t xml:space="preserve"> </w:t>
      </w:r>
      <w:r w:rsidR="007E3B2B">
        <w:rPr>
          <w:rFonts w:ascii="ITC Avant Garde" w:eastAsia="Times New Roman" w:hAnsi="ITC Avant Garde"/>
          <w:bCs/>
          <w:color w:val="000000"/>
          <w:lang w:eastAsia="es-MX"/>
        </w:rPr>
        <w:t>“…</w:t>
      </w:r>
      <w:r w:rsidR="007E3B2B" w:rsidRPr="007E3B2B">
        <w:rPr>
          <w:rFonts w:ascii="ITC Avant Garde" w:eastAsia="Times New Roman" w:hAnsi="ITC Avant Garde"/>
          <w:bCs/>
          <w:i/>
          <w:color w:val="000000"/>
          <w:lang w:eastAsia="es-MX"/>
        </w:rPr>
        <w:t>remita las constancias con las que se acredite haber llevado a cabo lo reseñado en párrafos que anteceden</w:t>
      </w:r>
      <w:r w:rsidR="007E3B2B">
        <w:rPr>
          <w:rFonts w:ascii="ITC Avant Garde" w:eastAsia="Times New Roman" w:hAnsi="ITC Avant Garde"/>
          <w:bCs/>
          <w:color w:val="000000"/>
          <w:lang w:eastAsia="es-MX"/>
        </w:rPr>
        <w:t xml:space="preserve">.” </w:t>
      </w:r>
      <w:r w:rsidR="00CA4640" w:rsidRPr="00C3268A">
        <w:rPr>
          <w:rFonts w:ascii="ITC Avant Garde" w:hAnsi="ITC Avant Garde"/>
          <w:szCs w:val="20"/>
        </w:rPr>
        <w:t>por lo que</w:t>
      </w:r>
      <w:r w:rsidR="00CA4640">
        <w:rPr>
          <w:rFonts w:ascii="ITC Avant Garde" w:hAnsi="ITC Avant Garde"/>
          <w:color w:val="000000"/>
          <w:shd w:val="clear" w:color="auto" w:fill="FFFFFF"/>
        </w:rPr>
        <w:t xml:space="preserve"> </w:t>
      </w:r>
      <w:r w:rsidR="00CA4640" w:rsidRPr="00443137">
        <w:rPr>
          <w:rFonts w:ascii="ITC Avant Garde" w:eastAsia="Times New Roman" w:hAnsi="ITC Avant Garde"/>
          <w:b/>
          <w:lang w:eastAsia="es-MX"/>
        </w:rPr>
        <w:t>EN ESTRICTO CUMPLIMIENTO</w:t>
      </w:r>
      <w:r w:rsidR="00CA4640" w:rsidRPr="00F82378">
        <w:rPr>
          <w:rFonts w:ascii="ITC Avant Garde" w:eastAsia="Times New Roman" w:hAnsi="ITC Avant Garde"/>
          <w:lang w:eastAsia="es-MX"/>
        </w:rPr>
        <w:t xml:space="preserve"> </w:t>
      </w:r>
      <w:r w:rsidR="00CA4640">
        <w:rPr>
          <w:rFonts w:ascii="ITC Avant Garde" w:eastAsia="Times New Roman" w:hAnsi="ITC Avant Garde"/>
          <w:lang w:eastAsia="es-MX"/>
        </w:rPr>
        <w:t>a</w:t>
      </w:r>
      <w:r w:rsidR="00CA4640" w:rsidRPr="00F82378">
        <w:rPr>
          <w:rFonts w:ascii="ITC Avant Garde" w:eastAsia="Times New Roman" w:hAnsi="ITC Avant Garde"/>
          <w:lang w:eastAsia="es-MX"/>
        </w:rPr>
        <w:t xml:space="preserve"> la </w:t>
      </w:r>
      <w:r w:rsidR="00ED084B">
        <w:rPr>
          <w:rFonts w:ascii="ITC Avant Garde" w:eastAsia="Times New Roman" w:hAnsi="ITC Avant Garde"/>
          <w:lang w:eastAsia="es-MX"/>
        </w:rPr>
        <w:t>sentencia dictada por la</w:t>
      </w:r>
      <w:r w:rsidR="00ED084B" w:rsidRPr="00ED084B">
        <w:rPr>
          <w:rFonts w:ascii="ITC Avant Garde" w:eastAsia="Times New Roman" w:hAnsi="ITC Avant Garde"/>
          <w:b/>
          <w:lang w:eastAsia="es-MX"/>
        </w:rPr>
        <w:t xml:space="preserve"> SEGUNDA SALA DE LA SCJN</w:t>
      </w:r>
      <w:r w:rsidR="00CA4640" w:rsidRPr="00F82378">
        <w:rPr>
          <w:rFonts w:ascii="ITC Avant Garde" w:eastAsia="Times New Roman" w:hAnsi="ITC Avant Garde"/>
          <w:lang w:eastAsia="es-MX"/>
        </w:rPr>
        <w:t xml:space="preserve"> detallada en el cuerpo del presente </w:t>
      </w:r>
      <w:r w:rsidR="00C3268A">
        <w:rPr>
          <w:rFonts w:ascii="ITC Avant Garde" w:eastAsia="Times New Roman" w:hAnsi="ITC Avant Garde"/>
          <w:lang w:eastAsia="es-MX"/>
        </w:rPr>
        <w:t>acuerdo</w:t>
      </w:r>
      <w:r w:rsidR="00CA4640" w:rsidRPr="00F82378">
        <w:rPr>
          <w:rFonts w:ascii="ITC Avant Garde" w:eastAsia="Times New Roman" w:hAnsi="ITC Avant Garde"/>
          <w:lang w:eastAsia="es-MX"/>
        </w:rPr>
        <w:t xml:space="preserve">, </w:t>
      </w:r>
      <w:r w:rsidR="00CA4640">
        <w:rPr>
          <w:rFonts w:ascii="ITC Avant Garde" w:eastAsia="Times New Roman" w:hAnsi="ITC Avant Garde"/>
          <w:b/>
          <w:lang w:eastAsia="es-MX"/>
        </w:rPr>
        <w:t xml:space="preserve">LO PROCEDENTE ES DEJAR </w:t>
      </w:r>
      <w:r w:rsidR="00CA4640" w:rsidRPr="00443137">
        <w:rPr>
          <w:rFonts w:ascii="ITC Avant Garde" w:eastAsia="Times New Roman" w:hAnsi="ITC Avant Garde"/>
          <w:b/>
          <w:lang w:eastAsia="es-MX"/>
        </w:rPr>
        <w:t>INSUBSISTENTE</w:t>
      </w:r>
      <w:r w:rsidR="007E3B2B">
        <w:rPr>
          <w:rFonts w:ascii="ITC Avant Garde" w:eastAsia="Times New Roman" w:hAnsi="ITC Avant Garde"/>
          <w:b/>
          <w:lang w:eastAsia="es-MX"/>
        </w:rPr>
        <w:t xml:space="preserve"> </w:t>
      </w:r>
      <w:r w:rsidR="00CA4640" w:rsidRPr="00443137">
        <w:rPr>
          <w:rFonts w:ascii="ITC Avant Garde" w:eastAsia="Times New Roman" w:hAnsi="ITC Avant Garde"/>
          <w:b/>
          <w:lang w:eastAsia="es-MX"/>
        </w:rPr>
        <w:t xml:space="preserve">LA RESOLUCIÓN </w:t>
      </w:r>
      <w:r w:rsidR="00CA4640">
        <w:rPr>
          <w:rFonts w:ascii="ITC Avant Garde" w:eastAsia="Times New Roman" w:hAnsi="ITC Avant Garde"/>
          <w:b/>
          <w:lang w:eastAsia="es-MX"/>
        </w:rPr>
        <w:t>EMITIDA</w:t>
      </w:r>
      <w:r w:rsidR="00CA4640" w:rsidRPr="00443137">
        <w:rPr>
          <w:rFonts w:ascii="ITC Avant Garde" w:eastAsia="Times New Roman" w:hAnsi="ITC Avant Garde"/>
          <w:b/>
          <w:lang w:eastAsia="es-MX"/>
        </w:rPr>
        <w:t xml:space="preserve"> POR EL PLENO DEL INSTITUTO FEDERA</w:t>
      </w:r>
      <w:r w:rsidR="00CA4640">
        <w:rPr>
          <w:rFonts w:ascii="ITC Avant Garde" w:eastAsia="Times New Roman" w:hAnsi="ITC Avant Garde"/>
          <w:b/>
          <w:lang w:eastAsia="es-MX"/>
        </w:rPr>
        <w:t>L DE TELECOMUNICACIONES EN SU X</w:t>
      </w:r>
      <w:r w:rsidR="00ED084B">
        <w:rPr>
          <w:rFonts w:ascii="ITC Avant Garde" w:eastAsia="Times New Roman" w:hAnsi="ITC Avant Garde"/>
          <w:b/>
          <w:lang w:eastAsia="es-MX"/>
        </w:rPr>
        <w:t>XVI</w:t>
      </w:r>
      <w:r w:rsidR="00CA4640" w:rsidRPr="00443137">
        <w:rPr>
          <w:rFonts w:ascii="ITC Avant Garde" w:eastAsia="Times New Roman" w:hAnsi="ITC Avant Garde"/>
          <w:b/>
          <w:lang w:eastAsia="es-MX"/>
        </w:rPr>
        <w:t xml:space="preserve"> SESIÓN ORDINARIA CELEBRA</w:t>
      </w:r>
      <w:r w:rsidR="00CA4640">
        <w:rPr>
          <w:rFonts w:ascii="ITC Avant Garde" w:eastAsia="Times New Roman" w:hAnsi="ITC Avant Garde"/>
          <w:b/>
          <w:lang w:eastAsia="es-MX"/>
        </w:rPr>
        <w:t xml:space="preserve">DA EL </w:t>
      </w:r>
      <w:r w:rsidR="00ED084B">
        <w:rPr>
          <w:rFonts w:ascii="ITC Avant Garde" w:eastAsia="Times New Roman" w:hAnsi="ITC Avant Garde"/>
          <w:b/>
          <w:lang w:eastAsia="es-MX"/>
        </w:rPr>
        <w:t>VEINTITRÉS DE AGOSTO DE DOS MIL DIECISEIS</w:t>
      </w:r>
      <w:r w:rsidR="00CA4640" w:rsidRPr="00443137">
        <w:rPr>
          <w:rFonts w:ascii="ITC Avant Garde" w:eastAsia="Times New Roman" w:hAnsi="ITC Avant Garde"/>
          <w:b/>
          <w:lang w:eastAsia="es-MX"/>
        </w:rPr>
        <w:t>, CONT</w:t>
      </w:r>
      <w:r w:rsidR="00CA4640">
        <w:rPr>
          <w:rFonts w:ascii="ITC Avant Garde" w:eastAsia="Times New Roman" w:hAnsi="ITC Avant Garde"/>
          <w:b/>
          <w:lang w:eastAsia="es-MX"/>
        </w:rPr>
        <w:t>ENI</w:t>
      </w:r>
      <w:r w:rsidR="00ED084B">
        <w:rPr>
          <w:rFonts w:ascii="ITC Avant Garde" w:eastAsia="Times New Roman" w:hAnsi="ITC Avant Garde"/>
          <w:b/>
          <w:lang w:eastAsia="es-MX"/>
        </w:rPr>
        <w:t>DA EN EL ACUERDO P/IFT/230816/446</w:t>
      </w:r>
      <w:r w:rsidR="007E3B2B">
        <w:rPr>
          <w:rFonts w:ascii="ITC Avant Garde" w:eastAsia="Times New Roman" w:hAnsi="ITC Avant Garde"/>
          <w:b/>
          <w:lang w:eastAsia="es-MX"/>
        </w:rPr>
        <w:t>)</w:t>
      </w:r>
      <w:r w:rsidR="00CA4640">
        <w:rPr>
          <w:rFonts w:ascii="ITC Avant Garde" w:eastAsia="Times New Roman" w:hAnsi="ITC Avant Garde"/>
          <w:b/>
          <w:lang w:eastAsia="es-MX"/>
        </w:rPr>
        <w:t>,</w:t>
      </w:r>
      <w:r w:rsidR="00ED084B">
        <w:rPr>
          <w:rFonts w:ascii="ITC Avant Garde" w:eastAsia="Times New Roman" w:hAnsi="ITC Avant Garde"/>
          <w:b/>
          <w:lang w:eastAsia="es-MX"/>
        </w:rPr>
        <w:t xml:space="preserve"> </w:t>
      </w:r>
      <w:r w:rsidR="001D700F">
        <w:rPr>
          <w:rFonts w:ascii="ITC Avant Garde" w:eastAsia="Times New Roman" w:hAnsi="ITC Avant Garde"/>
          <w:b/>
          <w:lang w:eastAsia="es-MX"/>
        </w:rPr>
        <w:t xml:space="preserve">RECLAMADA COMO PRIMER ACTO DE APLICACIÓN DEL ARTÍCULO 298, INCISO B), FRACCIÓN IV DE LA LEY FEDERAL DE TELECOMUNICACIONES Y RADIODIFUSIÓN, </w:t>
      </w:r>
      <w:r w:rsidR="001D700F" w:rsidRPr="001D700F">
        <w:rPr>
          <w:rFonts w:ascii="ITC Avant Garde" w:eastAsia="Times New Roman" w:hAnsi="ITC Avant Garde"/>
          <w:b/>
          <w:lang w:eastAsia="es-MX"/>
        </w:rPr>
        <w:t>ASÍ COMO EL PROCEDIMIENTO ADMINISTRATIVO DEL CUAL DERIVÓ</w:t>
      </w:r>
      <w:r w:rsidR="007E3B2B" w:rsidRPr="001D700F">
        <w:rPr>
          <w:rFonts w:ascii="ITC Avant Garde" w:eastAsia="Times New Roman" w:hAnsi="ITC Avant Garde"/>
          <w:b/>
          <w:lang w:eastAsia="es-MX"/>
        </w:rPr>
        <w:t>.</w:t>
      </w:r>
    </w:p>
    <w:p w:rsidR="005B6852" w:rsidRDefault="00077F8F" w:rsidP="00077F8F">
      <w:pPr>
        <w:pStyle w:val="Textoindependiente"/>
        <w:tabs>
          <w:tab w:val="left" w:pos="993"/>
        </w:tabs>
        <w:spacing w:after="0" w:line="360" w:lineRule="auto"/>
        <w:jc w:val="both"/>
        <w:rPr>
          <w:rFonts w:ascii="ITC Avant Garde" w:eastAsia="Times New Roman" w:hAnsi="ITC Avant Garde"/>
          <w:lang w:eastAsia="es-MX"/>
        </w:rPr>
      </w:pPr>
      <w:r w:rsidRPr="00F82378">
        <w:rPr>
          <w:rFonts w:ascii="ITC Avant Garde" w:eastAsia="Times New Roman" w:hAnsi="ITC Avant Garde"/>
          <w:lang w:eastAsia="es-MX"/>
        </w:rPr>
        <w:t xml:space="preserve">Por lo expuesto, </w:t>
      </w:r>
      <w:r>
        <w:rPr>
          <w:rFonts w:ascii="ITC Avant Garde" w:eastAsia="Times New Roman" w:hAnsi="ITC Avant Garde"/>
          <w:lang w:eastAsia="es-MX"/>
        </w:rPr>
        <w:t>el Pleno</w:t>
      </w:r>
      <w:r w:rsidRPr="00F82378">
        <w:rPr>
          <w:rFonts w:ascii="ITC Avant Garde" w:eastAsia="Times New Roman" w:hAnsi="ITC Avant Garde"/>
          <w:lang w:eastAsia="es-MX"/>
        </w:rPr>
        <w:t xml:space="preserve"> del Instituto Federal de Telecomunicaciones</w:t>
      </w:r>
      <w:r w:rsidR="00CA4640">
        <w:rPr>
          <w:rFonts w:ascii="ITC Avant Garde" w:eastAsia="Times New Roman" w:hAnsi="ITC Avant Garde"/>
          <w:lang w:eastAsia="es-MX"/>
        </w:rPr>
        <w:t>, emite el siguiente</w:t>
      </w:r>
      <w:r>
        <w:rPr>
          <w:rFonts w:ascii="ITC Avant Garde" w:eastAsia="Times New Roman" w:hAnsi="ITC Avant Garde"/>
          <w:lang w:eastAsia="es-MX"/>
        </w:rPr>
        <w:t>:</w:t>
      </w:r>
    </w:p>
    <w:p w:rsidR="00CA6A7E" w:rsidRDefault="00CA6A7E" w:rsidP="00077F8F">
      <w:pPr>
        <w:pStyle w:val="Textoindependiente"/>
        <w:tabs>
          <w:tab w:val="left" w:pos="993"/>
        </w:tabs>
        <w:spacing w:after="0" w:line="360" w:lineRule="auto"/>
        <w:jc w:val="both"/>
        <w:rPr>
          <w:rFonts w:ascii="ITC Avant Garde" w:eastAsia="Times New Roman" w:hAnsi="ITC Avant Garde"/>
          <w:lang w:eastAsia="es-MX"/>
        </w:rPr>
      </w:pPr>
    </w:p>
    <w:p w:rsidR="005B6852" w:rsidRDefault="00CA4640" w:rsidP="005B6852">
      <w:pPr>
        <w:pStyle w:val="Ttulo2"/>
        <w:spacing w:after="240"/>
        <w:jc w:val="center"/>
        <w:rPr>
          <w:rFonts w:ascii="ITC Avant Garde" w:eastAsiaTheme="majorEastAsia" w:hAnsi="ITC Avant Garde" w:cstheme="majorBidi"/>
          <w:b/>
          <w:color w:val="000000" w:themeColor="text1"/>
          <w:sz w:val="22"/>
          <w:szCs w:val="22"/>
        </w:rPr>
      </w:pPr>
      <w:r w:rsidRPr="005B6852">
        <w:rPr>
          <w:rFonts w:ascii="ITC Avant Garde" w:eastAsiaTheme="majorEastAsia" w:hAnsi="ITC Avant Garde" w:cstheme="majorBidi"/>
          <w:b/>
          <w:color w:val="000000" w:themeColor="text1"/>
          <w:sz w:val="22"/>
          <w:szCs w:val="22"/>
        </w:rPr>
        <w:t>ACUERDO</w:t>
      </w:r>
    </w:p>
    <w:p w:rsidR="005B6852" w:rsidRDefault="00DD6B95" w:rsidP="00366A7F">
      <w:pPr>
        <w:pStyle w:val="Textoindependiente"/>
        <w:tabs>
          <w:tab w:val="left" w:pos="993"/>
        </w:tabs>
        <w:spacing w:after="0" w:line="360" w:lineRule="auto"/>
        <w:jc w:val="both"/>
        <w:rPr>
          <w:rFonts w:ascii="ITC Avant Garde" w:hAnsi="ITC Avant Garde"/>
        </w:rPr>
      </w:pPr>
      <w:r w:rsidRPr="00C45D45">
        <w:rPr>
          <w:rFonts w:ascii="ITC Avant Garde" w:eastAsia="Times New Roman" w:hAnsi="ITC Avant Garde"/>
          <w:b/>
          <w:bCs/>
          <w:color w:val="000000"/>
          <w:lang w:eastAsia="es-MX"/>
        </w:rPr>
        <w:t>PRIMERO.</w:t>
      </w:r>
      <w:r w:rsidRPr="00C45D45">
        <w:rPr>
          <w:rFonts w:ascii="ITC Avant Garde" w:eastAsia="Times New Roman" w:hAnsi="ITC Avant Garde"/>
          <w:bCs/>
          <w:color w:val="000000"/>
          <w:lang w:eastAsia="es-MX"/>
        </w:rPr>
        <w:t xml:space="preserve"> En términos de lo expuesto y </w:t>
      </w:r>
      <w:r w:rsidRPr="00C45D45">
        <w:rPr>
          <w:rFonts w:ascii="ITC Avant Garde" w:eastAsia="Times New Roman" w:hAnsi="ITC Avant Garde"/>
          <w:b/>
          <w:bCs/>
          <w:color w:val="000000"/>
          <w:lang w:eastAsia="es-MX"/>
        </w:rPr>
        <w:t xml:space="preserve">EN ESTRICTO CUMPLIMIENTO DE LA </w:t>
      </w:r>
      <w:r w:rsidR="001D700F">
        <w:rPr>
          <w:rFonts w:ascii="ITC Avant Garde" w:eastAsia="Times New Roman" w:hAnsi="ITC Avant Garde"/>
          <w:b/>
          <w:bCs/>
          <w:color w:val="000000"/>
          <w:lang w:eastAsia="es-MX"/>
        </w:rPr>
        <w:t>EJECUTORIA</w:t>
      </w:r>
      <w:r w:rsidR="00C77130" w:rsidRPr="00C77130">
        <w:rPr>
          <w:rFonts w:ascii="ITC Avant Garde" w:eastAsia="Times New Roman" w:hAnsi="ITC Avant Garde"/>
          <w:b/>
          <w:bCs/>
          <w:color w:val="000000"/>
          <w:lang w:eastAsia="es-MX"/>
        </w:rPr>
        <w:t xml:space="preserve"> </w:t>
      </w:r>
      <w:r w:rsidR="00C77130" w:rsidRPr="00C77130">
        <w:rPr>
          <w:rFonts w:ascii="ITC Avant Garde" w:eastAsia="Times New Roman" w:hAnsi="ITC Avant Garde"/>
          <w:b/>
          <w:lang w:eastAsia="es-MX"/>
        </w:rPr>
        <w:t>DICTADA POR LA</w:t>
      </w:r>
      <w:r w:rsidR="00C77130" w:rsidRPr="00ED084B">
        <w:rPr>
          <w:rFonts w:ascii="ITC Avant Garde" w:eastAsia="Times New Roman" w:hAnsi="ITC Avant Garde"/>
          <w:b/>
          <w:lang w:eastAsia="es-MX"/>
        </w:rPr>
        <w:t xml:space="preserve"> SEGUNDA SALA DE LA S</w:t>
      </w:r>
      <w:r w:rsidR="00C77130">
        <w:rPr>
          <w:rFonts w:ascii="ITC Avant Garde" w:eastAsia="Times New Roman" w:hAnsi="ITC Avant Garde"/>
          <w:b/>
          <w:lang w:eastAsia="es-MX"/>
        </w:rPr>
        <w:t>UPREMA CORTE DE JUSTICIA DE LA NACIÓN</w:t>
      </w:r>
      <w:r w:rsidRPr="00C45D45">
        <w:rPr>
          <w:rFonts w:ascii="ITC Avant Garde" w:eastAsia="Times New Roman" w:hAnsi="ITC Avant Garde"/>
          <w:bCs/>
          <w:color w:val="000000"/>
          <w:lang w:eastAsia="es-MX"/>
        </w:rPr>
        <w:t xml:space="preserve">, el </w:t>
      </w:r>
      <w:r>
        <w:rPr>
          <w:rFonts w:ascii="ITC Avant Garde" w:eastAsia="Times New Roman" w:hAnsi="ITC Avant Garde"/>
          <w:bCs/>
          <w:color w:val="000000"/>
          <w:lang w:eastAsia="es-MX"/>
        </w:rPr>
        <w:t>Pleno</w:t>
      </w:r>
      <w:r w:rsidRPr="00C45D45">
        <w:rPr>
          <w:rFonts w:ascii="ITC Avant Garde" w:eastAsia="Times New Roman" w:hAnsi="ITC Avant Garde"/>
          <w:bCs/>
          <w:color w:val="000000"/>
          <w:lang w:eastAsia="es-MX"/>
        </w:rPr>
        <w:t xml:space="preserve"> del Instituto Federal de Telecomunicaciones deja </w:t>
      </w:r>
      <w:r>
        <w:rPr>
          <w:rFonts w:ascii="ITC Avant Garde" w:eastAsia="Times New Roman" w:hAnsi="ITC Avant Garde"/>
          <w:b/>
          <w:bCs/>
          <w:color w:val="000000"/>
          <w:lang w:eastAsia="es-MX"/>
        </w:rPr>
        <w:t>INSUBSISTENTE</w:t>
      </w:r>
      <w:r w:rsidRPr="00C45D45">
        <w:rPr>
          <w:rFonts w:ascii="ITC Avant Garde" w:eastAsia="Times New Roman" w:hAnsi="ITC Avant Garde"/>
          <w:bCs/>
          <w:color w:val="000000"/>
          <w:lang w:eastAsia="es-MX"/>
        </w:rPr>
        <w:t xml:space="preserve"> la resolución de </w:t>
      </w:r>
      <w:r w:rsidR="00802E10">
        <w:rPr>
          <w:rFonts w:ascii="ITC Avant Garde" w:eastAsia="Times New Roman" w:hAnsi="ITC Avant Garde"/>
          <w:bCs/>
          <w:color w:val="000000"/>
          <w:lang w:eastAsia="es-MX"/>
        </w:rPr>
        <w:t>veintitrés de agosto</w:t>
      </w:r>
      <w:r>
        <w:rPr>
          <w:rFonts w:ascii="ITC Avant Garde" w:eastAsia="Times New Roman" w:hAnsi="ITC Avant Garde"/>
          <w:bCs/>
          <w:color w:val="000000"/>
          <w:lang w:eastAsia="es-MX"/>
        </w:rPr>
        <w:t xml:space="preserve"> de dos mil diecis</w:t>
      </w:r>
      <w:r w:rsidR="003D3583">
        <w:rPr>
          <w:rFonts w:ascii="ITC Avant Garde" w:eastAsia="Times New Roman" w:hAnsi="ITC Avant Garde"/>
          <w:bCs/>
          <w:color w:val="000000"/>
          <w:lang w:eastAsia="es-MX"/>
        </w:rPr>
        <w:t>éis</w:t>
      </w:r>
      <w:r>
        <w:rPr>
          <w:rFonts w:ascii="ITC Avant Garde" w:eastAsia="Times New Roman" w:hAnsi="ITC Avant Garde"/>
          <w:bCs/>
          <w:color w:val="000000"/>
          <w:lang w:eastAsia="es-MX"/>
        </w:rPr>
        <w:t xml:space="preserve"> </w:t>
      </w:r>
      <w:r w:rsidRPr="00C45D45">
        <w:rPr>
          <w:rFonts w:ascii="ITC Avant Garde" w:eastAsia="Times New Roman" w:hAnsi="ITC Avant Garde"/>
          <w:bCs/>
          <w:color w:val="000000"/>
          <w:lang w:eastAsia="es-MX"/>
        </w:rPr>
        <w:t xml:space="preserve">emitida dentro de los autos del expediente </w:t>
      </w:r>
      <w:r w:rsidRPr="003E1176">
        <w:rPr>
          <w:rFonts w:ascii="ITC Avant Garde" w:eastAsia="Times New Roman" w:hAnsi="ITC Avant Garde"/>
          <w:b/>
          <w:bCs/>
          <w:color w:val="000000"/>
          <w:lang w:eastAsia="es-MX"/>
        </w:rPr>
        <w:t>E-IFT.UC.DG-SAN.IV.0</w:t>
      </w:r>
      <w:r w:rsidR="00802E10">
        <w:rPr>
          <w:rFonts w:ascii="ITC Avant Garde" w:eastAsia="Times New Roman" w:hAnsi="ITC Avant Garde"/>
          <w:b/>
          <w:bCs/>
          <w:color w:val="000000"/>
          <w:lang w:eastAsia="es-MX"/>
        </w:rPr>
        <w:t>01</w:t>
      </w:r>
      <w:r w:rsidRPr="003E1176">
        <w:rPr>
          <w:rFonts w:ascii="ITC Avant Garde" w:eastAsia="Times New Roman" w:hAnsi="ITC Avant Garde"/>
          <w:b/>
          <w:bCs/>
          <w:color w:val="000000"/>
          <w:lang w:eastAsia="es-MX"/>
        </w:rPr>
        <w:t>/2016</w:t>
      </w:r>
      <w:r w:rsidRPr="003E1176">
        <w:rPr>
          <w:rFonts w:ascii="ITC Avant Garde" w:eastAsia="Times New Roman" w:hAnsi="ITC Avant Garde"/>
          <w:b/>
          <w:lang w:eastAsia="es-MX"/>
        </w:rPr>
        <w:t xml:space="preserve"> </w:t>
      </w:r>
      <w:r w:rsidR="002F654F" w:rsidRPr="002F654F">
        <w:rPr>
          <w:rFonts w:ascii="ITC Avant Garde" w:eastAsia="Times New Roman" w:hAnsi="ITC Avant Garde"/>
          <w:lang w:eastAsia="es-MX"/>
        </w:rPr>
        <w:t xml:space="preserve">por </w:t>
      </w:r>
      <w:r>
        <w:rPr>
          <w:rFonts w:ascii="ITC Avant Garde" w:eastAsia="Times New Roman" w:hAnsi="ITC Avant Garde"/>
          <w:lang w:eastAsia="es-MX"/>
        </w:rPr>
        <w:t xml:space="preserve">la cual </w:t>
      </w:r>
      <w:r w:rsidR="00EF7123">
        <w:rPr>
          <w:rFonts w:ascii="ITC Avant Garde" w:eastAsia="Times New Roman" w:hAnsi="ITC Avant Garde"/>
          <w:lang w:eastAsia="es-MX"/>
        </w:rPr>
        <w:t xml:space="preserve">en términos del artículo 298, inciso B), fracción IV de la Ley Federal de Telecomunicaciones </w:t>
      </w:r>
      <w:r>
        <w:rPr>
          <w:rFonts w:ascii="ITC Avant Garde" w:eastAsia="Times New Roman" w:hAnsi="ITC Avant Garde"/>
          <w:lang w:eastAsia="es-MX"/>
        </w:rPr>
        <w:t xml:space="preserve">se resolvió imponer a </w:t>
      </w:r>
      <w:r w:rsidR="00802E10">
        <w:rPr>
          <w:rFonts w:ascii="ITC Avant Garde" w:eastAsia="Times New Roman" w:hAnsi="ITC Avant Garde"/>
          <w:b/>
          <w:lang w:eastAsia="es-MX"/>
        </w:rPr>
        <w:t xml:space="preserve">TELEVISIÓN INTERNACIONAL, S.A. DE C.V. </w:t>
      </w:r>
      <w:r w:rsidRPr="007E1D31">
        <w:rPr>
          <w:rFonts w:ascii="ITC Avant Garde" w:hAnsi="ITC Avant Garde"/>
          <w:bCs/>
          <w:lang w:eastAsia="es-MX"/>
        </w:rPr>
        <w:t xml:space="preserve">una </w:t>
      </w:r>
      <w:r w:rsidRPr="00084820">
        <w:rPr>
          <w:rFonts w:ascii="ITC Avant Garde" w:hAnsi="ITC Avant Garde"/>
        </w:rPr>
        <w:t xml:space="preserve">multa </w:t>
      </w:r>
      <w:r>
        <w:rPr>
          <w:rFonts w:ascii="ITC Avant Garde" w:hAnsi="ITC Avant Garde"/>
        </w:rPr>
        <w:t xml:space="preserve">por la cantidad de </w:t>
      </w:r>
      <w:r w:rsidR="009C681B" w:rsidRPr="0080056C">
        <w:rPr>
          <w:rFonts w:ascii="ITC Avant Garde" w:eastAsia="Times New Roman" w:hAnsi="ITC Avant Garde"/>
          <w:b/>
          <w:bCs/>
          <w:lang w:eastAsia="es-MX"/>
        </w:rPr>
        <w:t>$31,104</w:t>
      </w:r>
      <w:r w:rsidR="009C681B">
        <w:rPr>
          <w:rFonts w:ascii="ITC Avant Garde" w:eastAsia="Times New Roman" w:hAnsi="ITC Avant Garde"/>
          <w:b/>
          <w:bCs/>
          <w:lang w:eastAsia="es-MX"/>
        </w:rPr>
        <w:t>,</w:t>
      </w:r>
      <w:r w:rsidR="009C681B" w:rsidRPr="0080056C">
        <w:rPr>
          <w:rFonts w:ascii="ITC Avant Garde" w:eastAsia="Times New Roman" w:hAnsi="ITC Avant Garde"/>
          <w:b/>
          <w:bCs/>
          <w:lang w:eastAsia="es-MX"/>
        </w:rPr>
        <w:t>326.66 (treinta y un millones ciento cuatro mil trescientos veintiséis pesos 66/100 M.N.)</w:t>
      </w:r>
      <w:r w:rsidR="00802E10">
        <w:rPr>
          <w:rFonts w:ascii="ITC Avant Garde" w:eastAsia="Times New Roman" w:hAnsi="ITC Avant Garde"/>
          <w:b/>
          <w:bCs/>
          <w:color w:val="000000"/>
          <w:lang w:eastAsia="es-MX"/>
        </w:rPr>
        <w:t xml:space="preserve"> </w:t>
      </w:r>
      <w:r w:rsidR="00802E10" w:rsidRPr="005D6116">
        <w:rPr>
          <w:rFonts w:ascii="ITC Avant Garde" w:eastAsia="Times New Roman" w:hAnsi="ITC Avant Garde"/>
          <w:bCs/>
          <w:color w:val="000000"/>
          <w:lang w:eastAsia="es-MX"/>
        </w:rPr>
        <w:t>por</w:t>
      </w:r>
      <w:r w:rsidR="00802E10">
        <w:rPr>
          <w:rFonts w:ascii="ITC Avant Garde" w:eastAsia="Times New Roman" w:hAnsi="ITC Avant Garde"/>
          <w:bCs/>
          <w:color w:val="000000"/>
          <w:lang w:eastAsia="es-MX"/>
        </w:rPr>
        <w:t xml:space="preserve"> </w:t>
      </w:r>
      <w:r w:rsidR="00802E10" w:rsidRPr="00225503">
        <w:rPr>
          <w:rFonts w:ascii="ITC Avant Garde" w:eastAsia="Times New Roman" w:hAnsi="ITC Avant Garde"/>
          <w:bCs/>
          <w:color w:val="000000"/>
          <w:lang w:eastAsia="es-MX"/>
        </w:rPr>
        <w:t>incumpli</w:t>
      </w:r>
      <w:r w:rsidR="00802E10">
        <w:rPr>
          <w:rFonts w:ascii="ITC Avant Garde" w:eastAsia="Times New Roman" w:hAnsi="ITC Avant Garde"/>
          <w:bCs/>
          <w:color w:val="000000"/>
          <w:lang w:eastAsia="es-MX"/>
        </w:rPr>
        <w:t>r</w:t>
      </w:r>
      <w:r w:rsidR="00802E10" w:rsidRPr="00225503">
        <w:rPr>
          <w:rFonts w:ascii="ITC Avant Garde" w:eastAsia="Times New Roman" w:hAnsi="ITC Avant Garde"/>
          <w:bCs/>
          <w:color w:val="000000"/>
          <w:lang w:eastAsia="es-MX"/>
        </w:rPr>
        <w:t xml:space="preserve"> con lo establecido </w:t>
      </w:r>
      <w:r w:rsidR="00802E10">
        <w:rPr>
          <w:rFonts w:ascii="ITC Avant Garde" w:eastAsia="Times New Roman" w:hAnsi="ITC Avant Garde"/>
          <w:bCs/>
          <w:color w:val="000000"/>
          <w:lang w:eastAsia="es-MX"/>
        </w:rPr>
        <w:t xml:space="preserve">en el artículo </w:t>
      </w:r>
      <w:r w:rsidR="00802E10" w:rsidRPr="00C73356">
        <w:rPr>
          <w:rFonts w:ascii="ITC Avant Garde" w:hAnsi="ITC Avant Garde"/>
          <w:color w:val="000000"/>
        </w:rPr>
        <w:t xml:space="preserve">12 de </w:t>
      </w:r>
      <w:r w:rsidR="00802E10" w:rsidRPr="00C73356">
        <w:rPr>
          <w:rFonts w:ascii="ITC Avant Garde" w:hAnsi="ITC Avant Garde"/>
          <w:b/>
        </w:rPr>
        <w:t>LOS LINEAMIENTOS</w:t>
      </w:r>
      <w:r w:rsidR="00802E10" w:rsidRPr="00C73356">
        <w:rPr>
          <w:rFonts w:ascii="ITC Avant Garde" w:hAnsi="ITC Avant Garde"/>
        </w:rPr>
        <w:t xml:space="preserve"> </w:t>
      </w:r>
      <w:r w:rsidR="00802E10">
        <w:rPr>
          <w:rFonts w:ascii="ITC Avant Garde" w:hAnsi="ITC Avant Garde"/>
        </w:rPr>
        <w:t xml:space="preserve">y </w:t>
      </w:r>
      <w:r w:rsidR="00802E10" w:rsidRPr="00C73356">
        <w:rPr>
          <w:rFonts w:ascii="ITC Avant Garde" w:hAnsi="ITC Avant Garde"/>
          <w:b/>
        </w:rPr>
        <w:t>LAS MODIFICACIONES A LOS LINEAMIENTOS</w:t>
      </w:r>
      <w:r w:rsidR="00802E10" w:rsidRPr="00C73356">
        <w:rPr>
          <w:rFonts w:ascii="ITC Avant Garde" w:hAnsi="ITC Avant Garde"/>
          <w:b/>
          <w:color w:val="000000"/>
        </w:rPr>
        <w:t xml:space="preserve">, </w:t>
      </w:r>
      <w:r w:rsidR="00802E10" w:rsidRPr="00C73356">
        <w:rPr>
          <w:rFonts w:ascii="ITC Avant Garde" w:hAnsi="ITC Avant Garde"/>
          <w:color w:val="000000"/>
        </w:rPr>
        <w:t>en relación con el</w:t>
      </w:r>
      <w:r w:rsidR="00802E10" w:rsidRPr="00C73356">
        <w:rPr>
          <w:rFonts w:ascii="ITC Avant Garde" w:hAnsi="ITC Avant Garde"/>
          <w:b/>
          <w:color w:val="000000"/>
        </w:rPr>
        <w:t xml:space="preserve"> LISTADO</w:t>
      </w:r>
      <w:r w:rsidR="00802E10">
        <w:rPr>
          <w:rFonts w:ascii="ITC Avant Garde" w:hAnsi="ITC Avant Garde"/>
          <w:b/>
          <w:color w:val="000000"/>
        </w:rPr>
        <w:t xml:space="preserve"> </w:t>
      </w:r>
      <w:r w:rsidR="00802E10" w:rsidRPr="00C73356">
        <w:rPr>
          <w:rFonts w:ascii="ITC Avant Garde" w:hAnsi="ITC Avant Garde"/>
          <w:color w:val="000000"/>
        </w:rPr>
        <w:t xml:space="preserve">y </w:t>
      </w:r>
      <w:r w:rsidR="00802E10" w:rsidRPr="00C73356">
        <w:rPr>
          <w:rFonts w:ascii="ITC Avant Garde" w:hAnsi="ITC Avant Garde"/>
          <w:b/>
        </w:rPr>
        <w:t>LA ACTUALIZACIÓN DEL LISTADO</w:t>
      </w:r>
      <w:r w:rsidR="00802E10" w:rsidRPr="00C73356">
        <w:rPr>
          <w:rFonts w:ascii="ITC Avant Garde" w:hAnsi="ITC Avant Garde"/>
        </w:rPr>
        <w:t>,</w:t>
      </w:r>
      <w:r w:rsidR="00802E10" w:rsidRPr="001E62FF">
        <w:rPr>
          <w:rFonts w:ascii="ITC Avant Garde" w:hAnsi="ITC Avant Garde"/>
        </w:rPr>
        <w:t xml:space="preserve"> </w:t>
      </w:r>
      <w:r w:rsidR="00802E10" w:rsidRPr="00C73356">
        <w:rPr>
          <w:rFonts w:ascii="ITC Avant Garde" w:hAnsi="ITC Avant Garde"/>
        </w:rPr>
        <w:t xml:space="preserve">toda vez que dicha concesionaria </w:t>
      </w:r>
      <w:r w:rsidR="00802E10">
        <w:rPr>
          <w:rFonts w:ascii="ITC Avant Garde" w:hAnsi="ITC Avant Garde"/>
        </w:rPr>
        <w:t xml:space="preserve">no retransmitía al momento en que se llevó a cabo la visita de </w:t>
      </w:r>
      <w:r w:rsidR="00802E10">
        <w:rPr>
          <w:rFonts w:ascii="ITC Avant Garde" w:hAnsi="ITC Avant Garde"/>
        </w:rPr>
        <w:lastRenderedPageBreak/>
        <w:t xml:space="preserve">verificación el canal </w:t>
      </w:r>
      <w:proofErr w:type="spellStart"/>
      <w:r w:rsidR="00802E10">
        <w:rPr>
          <w:rFonts w:ascii="ITC Avant Garde" w:hAnsi="ITC Avant Garde"/>
        </w:rPr>
        <w:t>multiprogramado</w:t>
      </w:r>
      <w:proofErr w:type="spellEnd"/>
      <w:r w:rsidR="00802E10">
        <w:rPr>
          <w:rFonts w:ascii="ITC Avant Garde" w:hAnsi="ITC Avant Garde"/>
        </w:rPr>
        <w:t xml:space="preserve"> </w:t>
      </w:r>
      <w:r w:rsidR="00802E10" w:rsidRPr="006A2C5A">
        <w:rPr>
          <w:rFonts w:ascii="ITC Avant Garde" w:hAnsi="ITC Avant Garde"/>
          <w:b/>
        </w:rPr>
        <w:t xml:space="preserve">11.2 </w:t>
      </w:r>
      <w:r w:rsidR="00802E10">
        <w:rPr>
          <w:rFonts w:ascii="ITC Avant Garde" w:hAnsi="ITC Avant Garde"/>
        </w:rPr>
        <w:t>del Instituto Politécnico Nacional</w:t>
      </w:r>
      <w:r w:rsidR="00802E10" w:rsidRPr="00516074">
        <w:rPr>
          <w:rFonts w:ascii="ITC Avant Garde" w:hAnsi="ITC Avant Garde"/>
          <w:b/>
        </w:rPr>
        <w:t xml:space="preserve"> </w:t>
      </w:r>
      <w:r w:rsidR="00802E10" w:rsidRPr="00516074">
        <w:rPr>
          <w:rFonts w:ascii="ITC Avant Garde" w:hAnsi="ITC Avant Garde"/>
        </w:rPr>
        <w:t>identificado como Once Niños</w:t>
      </w:r>
      <w:r w:rsidR="000B70B2">
        <w:rPr>
          <w:rFonts w:ascii="ITC Avant Garde" w:hAnsi="ITC Avant Garde"/>
        </w:rPr>
        <w:t xml:space="preserve">, así como </w:t>
      </w:r>
      <w:r w:rsidR="003D3583">
        <w:rPr>
          <w:rFonts w:ascii="ITC Avant Garde" w:hAnsi="ITC Avant Garde"/>
        </w:rPr>
        <w:t xml:space="preserve">también se deja insubsistente </w:t>
      </w:r>
      <w:r w:rsidR="000B70B2">
        <w:rPr>
          <w:rFonts w:ascii="ITC Avant Garde" w:hAnsi="ITC Avant Garde"/>
        </w:rPr>
        <w:t xml:space="preserve">el procedimiento </w:t>
      </w:r>
      <w:r w:rsidR="003D3583">
        <w:rPr>
          <w:rFonts w:ascii="ITC Avant Garde" w:hAnsi="ITC Avant Garde"/>
        </w:rPr>
        <w:t xml:space="preserve">sancionatorio </w:t>
      </w:r>
      <w:r w:rsidR="000B70B2">
        <w:rPr>
          <w:rFonts w:ascii="ITC Avant Garde" w:hAnsi="ITC Avant Garde"/>
        </w:rPr>
        <w:t>correspondiente.</w:t>
      </w:r>
    </w:p>
    <w:p w:rsidR="005B6852" w:rsidRDefault="005B6852" w:rsidP="00366A7F">
      <w:pPr>
        <w:pStyle w:val="Textoindependiente"/>
        <w:tabs>
          <w:tab w:val="left" w:pos="993"/>
        </w:tabs>
        <w:spacing w:after="0" w:line="360" w:lineRule="auto"/>
        <w:jc w:val="both"/>
        <w:rPr>
          <w:rFonts w:ascii="ITC Avant Garde" w:hAnsi="ITC Avant Garde"/>
        </w:rPr>
      </w:pPr>
    </w:p>
    <w:p w:rsidR="005B6852" w:rsidRDefault="001D700F" w:rsidP="001D700F">
      <w:pPr>
        <w:pStyle w:val="Textoindependiente"/>
        <w:tabs>
          <w:tab w:val="left" w:pos="993"/>
        </w:tabs>
        <w:spacing w:after="0" w:line="360" w:lineRule="auto"/>
        <w:jc w:val="both"/>
        <w:rPr>
          <w:rFonts w:ascii="ITC Avant Garde" w:eastAsia="Times New Roman" w:hAnsi="ITC Avant Garde"/>
          <w:bCs/>
          <w:color w:val="000000"/>
          <w:lang w:eastAsia="es-MX"/>
        </w:rPr>
      </w:pPr>
      <w:r w:rsidRPr="001D700F">
        <w:rPr>
          <w:rFonts w:ascii="ITC Avant Garde" w:hAnsi="ITC Avant Garde"/>
          <w:b/>
        </w:rPr>
        <w:t>SEGUNDO.</w:t>
      </w:r>
      <w:r>
        <w:rPr>
          <w:rFonts w:ascii="ITC Avant Garde" w:hAnsi="ITC Avant Garde"/>
        </w:rPr>
        <w:t xml:space="preserve"> </w:t>
      </w:r>
      <w:r w:rsidRPr="001D700F">
        <w:rPr>
          <w:rFonts w:ascii="ITC Avant Garde" w:eastAsia="Times New Roman" w:hAnsi="ITC Avant Garde"/>
          <w:lang w:eastAsia="es-MX"/>
        </w:rPr>
        <w:t xml:space="preserve">Asimismo, se hace de su conocimiento que si en lo subsecuente se estima que </w:t>
      </w:r>
      <w:r w:rsidRPr="001D700F">
        <w:rPr>
          <w:rFonts w:ascii="ITC Avant Garde" w:eastAsia="Times New Roman" w:hAnsi="ITC Avant Garde"/>
          <w:b/>
          <w:lang w:eastAsia="es-MX"/>
        </w:rPr>
        <w:t xml:space="preserve">TELEVISIÓN INTERNACIONAL, S.A. DE C.V. </w:t>
      </w:r>
      <w:r w:rsidRPr="001D700F">
        <w:rPr>
          <w:rFonts w:ascii="ITC Avant Garde" w:eastAsia="Times New Roman" w:hAnsi="ITC Avant Garde"/>
          <w:lang w:eastAsia="es-MX"/>
        </w:rPr>
        <w:t>incumpl</w:t>
      </w:r>
      <w:r w:rsidR="003D3583">
        <w:rPr>
          <w:rFonts w:ascii="ITC Avant Garde" w:eastAsia="Times New Roman" w:hAnsi="ITC Avant Garde"/>
          <w:lang w:eastAsia="es-MX"/>
        </w:rPr>
        <w:t>e</w:t>
      </w:r>
      <w:r w:rsidRPr="001D700F">
        <w:rPr>
          <w:rFonts w:ascii="ITC Avant Garde" w:eastAsia="Times New Roman" w:hAnsi="ITC Avant Garde"/>
          <w:lang w:eastAsia="es-MX"/>
        </w:rPr>
        <w:t xml:space="preserve"> con alguna obligación sancionable en términos de la fracción IV del inciso B) del artículo 298 de la Ley Federal de Telecomunicaciones y Radiodifusión, al determinar el porcentaje mínimo de sanción que proceda, se acudirá al porcentaje mínimo previsto en el inciso A) del artículo 298 de la citada legislación, es decir, el 0.01% de los ingresos acumulables de dicha persona moral.</w:t>
      </w:r>
    </w:p>
    <w:p w:rsidR="005B6852" w:rsidRDefault="00B806C6" w:rsidP="00DD6B95">
      <w:pPr>
        <w:pStyle w:val="Textoindependiente"/>
        <w:tabs>
          <w:tab w:val="left" w:pos="993"/>
        </w:tabs>
        <w:spacing w:after="0" w:line="360" w:lineRule="auto"/>
        <w:jc w:val="both"/>
        <w:rPr>
          <w:rFonts w:ascii="ITC Avant Garde" w:eastAsia="Times New Roman" w:hAnsi="ITC Avant Garde"/>
          <w:b/>
          <w:lang w:eastAsia="es-MX"/>
        </w:rPr>
      </w:pPr>
      <w:r>
        <w:rPr>
          <w:rFonts w:ascii="ITC Avant Garde" w:eastAsia="Times New Roman" w:hAnsi="ITC Avant Garde"/>
          <w:b/>
          <w:lang w:eastAsia="es-MX"/>
        </w:rPr>
        <w:t>TERCERO</w:t>
      </w:r>
      <w:r w:rsidR="00393B14" w:rsidRPr="00393B14">
        <w:rPr>
          <w:rFonts w:ascii="ITC Avant Garde" w:eastAsia="Times New Roman" w:hAnsi="ITC Avant Garde"/>
          <w:b/>
          <w:lang w:eastAsia="es-MX"/>
        </w:rPr>
        <w:t xml:space="preserve">. </w:t>
      </w:r>
      <w:r w:rsidR="00DD6B95" w:rsidRPr="00F82378">
        <w:rPr>
          <w:rFonts w:ascii="ITC Avant Garde" w:eastAsia="Times New Roman" w:hAnsi="ITC Avant Garde"/>
          <w:lang w:eastAsia="es-MX"/>
        </w:rPr>
        <w:t xml:space="preserve">En términos de lo establecido por el artículo 3, fracción XIV de la </w:t>
      </w:r>
      <w:r w:rsidR="00DD6B95" w:rsidRPr="003437E9">
        <w:rPr>
          <w:rFonts w:ascii="ITC Avant Garde" w:eastAsia="Times New Roman" w:hAnsi="ITC Avant Garde"/>
          <w:b/>
          <w:lang w:eastAsia="es-MX"/>
        </w:rPr>
        <w:t>LFPA</w:t>
      </w:r>
      <w:r w:rsidR="00DD6B95" w:rsidRPr="00F82378">
        <w:rPr>
          <w:rFonts w:ascii="ITC Avant Garde" w:eastAsia="Times New Roman" w:hAnsi="ITC Avant Garde"/>
          <w:lang w:eastAsia="es-MX"/>
        </w:rPr>
        <w:t>, se hace de</w:t>
      </w:r>
      <w:r w:rsidR="00DD6B95">
        <w:rPr>
          <w:rFonts w:ascii="ITC Avant Garde" w:eastAsia="Times New Roman" w:hAnsi="ITC Avant Garde"/>
          <w:lang w:eastAsia="es-MX"/>
        </w:rPr>
        <w:t>l</w:t>
      </w:r>
      <w:r w:rsidR="00DD6B95" w:rsidRPr="00F82378">
        <w:rPr>
          <w:rFonts w:ascii="ITC Avant Garde" w:eastAsia="Times New Roman" w:hAnsi="ITC Avant Garde"/>
          <w:lang w:eastAsia="es-MX"/>
        </w:rPr>
        <w:t xml:space="preserve"> conocimiento </w:t>
      </w:r>
      <w:r w:rsidR="00DD6B95">
        <w:rPr>
          <w:rFonts w:ascii="ITC Avant Garde" w:eastAsia="Times New Roman" w:hAnsi="ITC Avant Garde"/>
          <w:lang w:eastAsia="es-MX"/>
        </w:rPr>
        <w:t xml:space="preserve">de </w:t>
      </w:r>
      <w:r w:rsidR="00393B14">
        <w:rPr>
          <w:rFonts w:ascii="ITC Avant Garde" w:eastAsia="Times New Roman" w:hAnsi="ITC Avant Garde"/>
          <w:b/>
          <w:lang w:eastAsia="es-MX"/>
        </w:rPr>
        <w:t xml:space="preserve">TELEVISIÓN INTERNACIONAL, S.A. DE C.V. </w:t>
      </w:r>
      <w:r w:rsidR="00DD6B95" w:rsidRPr="00F82378">
        <w:rPr>
          <w:rFonts w:ascii="ITC Avant Garde" w:eastAsia="Times New Roman" w:hAnsi="ITC Avant Garde"/>
          <w:lang w:eastAsia="es-MX"/>
        </w:rPr>
        <w:t xml:space="preserve">que en caso de requerirse el expediente del asunto, </w:t>
      </w:r>
      <w:r w:rsidR="00DD6B95">
        <w:rPr>
          <w:rFonts w:ascii="ITC Avant Garde" w:eastAsia="Times New Roman" w:hAnsi="ITC Avant Garde"/>
          <w:lang w:eastAsia="es-MX"/>
        </w:rPr>
        <w:t xml:space="preserve">éste </w:t>
      </w:r>
      <w:r w:rsidR="00DD6B95" w:rsidRPr="00F82378">
        <w:rPr>
          <w:rFonts w:ascii="ITC Avant Garde" w:eastAsia="Times New Roman" w:hAnsi="ITC Avant Garde"/>
          <w:lang w:eastAsia="es-MX"/>
        </w:rPr>
        <w:t xml:space="preserve">podrá ser consultado en las oficinas </w:t>
      </w:r>
      <w:r w:rsidR="00DD6B95" w:rsidRPr="00F82378">
        <w:rPr>
          <w:rFonts w:ascii="ITC Avant Garde" w:eastAsia="Times New Roman" w:hAnsi="ITC Avant Garde"/>
          <w:bCs/>
          <w:color w:val="000000"/>
          <w:lang w:eastAsia="es-MX"/>
        </w:rPr>
        <w:t xml:space="preserve">de la Unidad de Cumplimiento del Instituto Federal de Telecomunicaciones, con domicilio en </w:t>
      </w:r>
      <w:r w:rsidR="00DD6B95" w:rsidRPr="00F82378">
        <w:rPr>
          <w:rFonts w:ascii="ITC Avant Garde" w:hAnsi="ITC Avant Garde"/>
          <w:color w:val="000000"/>
        </w:rPr>
        <w:t>Insurgentes Sur número 838, cuarto piso, Colonia Del Valle, Delegación Benito Juárez, México, Distrito Federal, Código Postal 03100</w:t>
      </w:r>
      <w:r w:rsidR="00DD6B95" w:rsidRPr="00F82378">
        <w:rPr>
          <w:rFonts w:ascii="ITC Avant Garde" w:eastAsia="Times New Roman" w:hAnsi="ITC Avant Garde"/>
          <w:bCs/>
          <w:color w:val="000000"/>
          <w:lang w:eastAsia="es-MX"/>
        </w:rPr>
        <w:t xml:space="preserve">, </w:t>
      </w:r>
      <w:r w:rsidR="00DD6B95" w:rsidRPr="00F82378">
        <w:rPr>
          <w:rFonts w:ascii="ITC Avant Garde" w:eastAsia="Times New Roman" w:hAnsi="ITC Avant Garde"/>
          <w:lang w:eastAsia="es-MX"/>
        </w:rPr>
        <w:t xml:space="preserve">(edificio alterno a la sede de este Instituto), </w:t>
      </w:r>
      <w:r w:rsidR="00DD6B95" w:rsidRPr="00F82378">
        <w:rPr>
          <w:rFonts w:ascii="ITC Avant Garde" w:eastAsia="Times New Roman" w:hAnsi="ITC Avant Garde"/>
          <w:bCs/>
          <w:color w:val="000000"/>
          <w:lang w:eastAsia="es-MX"/>
        </w:rPr>
        <w:t>dentro del siguiente horario: de lunes a jueves de las 9:00 a las 18:</w:t>
      </w:r>
      <w:r w:rsidR="00DD6B95">
        <w:rPr>
          <w:rFonts w:ascii="ITC Avant Garde" w:eastAsia="Times New Roman" w:hAnsi="ITC Avant Garde"/>
          <w:bCs/>
          <w:color w:val="000000"/>
          <w:lang w:eastAsia="es-MX"/>
        </w:rPr>
        <w:t>3</w:t>
      </w:r>
      <w:r w:rsidR="00DD6B95" w:rsidRPr="00F82378">
        <w:rPr>
          <w:rFonts w:ascii="ITC Avant Garde" w:eastAsia="Times New Roman" w:hAnsi="ITC Avant Garde"/>
          <w:bCs/>
          <w:color w:val="000000"/>
          <w:lang w:eastAsia="es-MX"/>
        </w:rPr>
        <w:t xml:space="preserve">0 horas y los viernes de las </w:t>
      </w:r>
      <w:r w:rsidR="00DD6B95">
        <w:rPr>
          <w:rFonts w:ascii="ITC Avant Garde" w:eastAsia="Times New Roman" w:hAnsi="ITC Avant Garde"/>
          <w:bCs/>
          <w:color w:val="000000"/>
          <w:lang w:eastAsia="es-MX"/>
        </w:rPr>
        <w:t>9</w:t>
      </w:r>
      <w:r w:rsidR="00DD6B95" w:rsidRPr="00F82378">
        <w:rPr>
          <w:rFonts w:ascii="ITC Avant Garde" w:eastAsia="Times New Roman" w:hAnsi="ITC Avant Garde"/>
          <w:bCs/>
          <w:color w:val="000000"/>
          <w:lang w:eastAsia="es-MX"/>
        </w:rPr>
        <w:t>:</w:t>
      </w:r>
      <w:r w:rsidR="00DD6B95">
        <w:rPr>
          <w:rFonts w:ascii="ITC Avant Garde" w:eastAsia="Times New Roman" w:hAnsi="ITC Avant Garde"/>
          <w:bCs/>
          <w:color w:val="000000"/>
          <w:lang w:eastAsia="es-MX"/>
        </w:rPr>
        <w:t>0</w:t>
      </w:r>
      <w:r w:rsidR="00DD6B95" w:rsidRPr="00F82378">
        <w:rPr>
          <w:rFonts w:ascii="ITC Avant Garde" w:eastAsia="Times New Roman" w:hAnsi="ITC Avant Garde"/>
          <w:bCs/>
          <w:color w:val="000000"/>
          <w:lang w:eastAsia="es-MX"/>
        </w:rPr>
        <w:t>0 a las 1</w:t>
      </w:r>
      <w:r w:rsidR="00DD6B95">
        <w:rPr>
          <w:rFonts w:ascii="ITC Avant Garde" w:eastAsia="Times New Roman" w:hAnsi="ITC Avant Garde"/>
          <w:bCs/>
          <w:color w:val="000000"/>
          <w:lang w:eastAsia="es-MX"/>
        </w:rPr>
        <w:t>5</w:t>
      </w:r>
      <w:r w:rsidR="00DD6B95" w:rsidRPr="00F82378">
        <w:rPr>
          <w:rFonts w:ascii="ITC Avant Garde" w:eastAsia="Times New Roman" w:hAnsi="ITC Avant Garde"/>
          <w:bCs/>
          <w:color w:val="000000"/>
          <w:lang w:eastAsia="es-MX"/>
        </w:rPr>
        <w:t>:</w:t>
      </w:r>
      <w:r w:rsidR="00DD6B95">
        <w:rPr>
          <w:rFonts w:ascii="ITC Avant Garde" w:eastAsia="Times New Roman" w:hAnsi="ITC Avant Garde"/>
          <w:bCs/>
          <w:color w:val="000000"/>
          <w:lang w:eastAsia="es-MX"/>
        </w:rPr>
        <w:t>0</w:t>
      </w:r>
      <w:r w:rsidR="00DD6B95" w:rsidRPr="00F82378">
        <w:rPr>
          <w:rFonts w:ascii="ITC Avant Garde" w:eastAsia="Times New Roman" w:hAnsi="ITC Avant Garde"/>
          <w:bCs/>
          <w:color w:val="000000"/>
          <w:lang w:eastAsia="es-MX"/>
        </w:rPr>
        <w:t>0</w:t>
      </w:r>
      <w:r w:rsidR="00DD6B95">
        <w:rPr>
          <w:rFonts w:ascii="ITC Avant Garde" w:eastAsia="Times New Roman" w:hAnsi="ITC Avant Garde"/>
          <w:bCs/>
          <w:color w:val="000000"/>
          <w:lang w:eastAsia="es-MX"/>
        </w:rPr>
        <w:t xml:space="preserve"> horas</w:t>
      </w:r>
      <w:r w:rsidR="00DD6B95" w:rsidRPr="00F82378">
        <w:rPr>
          <w:rFonts w:ascii="ITC Avant Garde" w:eastAsia="Times New Roman" w:hAnsi="ITC Avant Garde"/>
          <w:bCs/>
          <w:color w:val="000000"/>
          <w:lang w:eastAsia="es-MX"/>
        </w:rPr>
        <w:t>.</w:t>
      </w:r>
    </w:p>
    <w:p w:rsidR="005B6852" w:rsidRDefault="00B806C6" w:rsidP="00DD6B95">
      <w:pPr>
        <w:pStyle w:val="Textoindependiente"/>
        <w:tabs>
          <w:tab w:val="left" w:pos="993"/>
        </w:tabs>
        <w:spacing w:after="0" w:line="360" w:lineRule="auto"/>
        <w:jc w:val="both"/>
        <w:rPr>
          <w:rFonts w:ascii="ITC Avant Garde" w:eastAsia="Times New Roman" w:hAnsi="ITC Avant Garde"/>
          <w:lang w:eastAsia="es-MX"/>
        </w:rPr>
      </w:pPr>
      <w:r>
        <w:rPr>
          <w:rFonts w:ascii="ITC Avant Garde" w:eastAsia="Times New Roman" w:hAnsi="ITC Avant Garde"/>
          <w:b/>
          <w:lang w:eastAsia="es-MX"/>
        </w:rPr>
        <w:t>CUARTO</w:t>
      </w:r>
      <w:r w:rsidR="00DD6B95" w:rsidRPr="00F82378">
        <w:rPr>
          <w:rFonts w:ascii="ITC Avant Garde" w:eastAsia="Times New Roman" w:hAnsi="ITC Avant Garde"/>
          <w:b/>
          <w:lang w:eastAsia="es-MX"/>
        </w:rPr>
        <w:t xml:space="preserve">. </w:t>
      </w:r>
      <w:r w:rsidR="00DD6B95" w:rsidRPr="00F82378">
        <w:rPr>
          <w:rFonts w:ascii="ITC Avant Garde" w:eastAsia="Times New Roman" w:hAnsi="ITC Avant Garde"/>
          <w:lang w:eastAsia="es-MX"/>
        </w:rPr>
        <w:t xml:space="preserve">Se instruye a la Unidad de Cumplimiento para que notifique </w:t>
      </w:r>
      <w:r w:rsidR="00DD6B95">
        <w:rPr>
          <w:rFonts w:ascii="ITC Avant Garde" w:eastAsia="Times New Roman" w:hAnsi="ITC Avant Garde"/>
          <w:lang w:eastAsia="es-MX"/>
        </w:rPr>
        <w:t xml:space="preserve">personalmente a </w:t>
      </w:r>
      <w:r w:rsidR="00393B14">
        <w:rPr>
          <w:rFonts w:ascii="ITC Avant Garde" w:eastAsia="Times New Roman" w:hAnsi="ITC Avant Garde"/>
          <w:b/>
          <w:lang w:eastAsia="es-MX"/>
        </w:rPr>
        <w:t>TELEVISIÓN INTERNACIONAL, S.A. DE C.V.</w:t>
      </w:r>
      <w:r w:rsidR="00DD6B95" w:rsidRPr="0045068A">
        <w:rPr>
          <w:rFonts w:ascii="ITC Avant Garde" w:eastAsia="Times New Roman" w:hAnsi="ITC Avant Garde"/>
          <w:b/>
          <w:bCs/>
          <w:color w:val="000000"/>
          <w:lang w:eastAsia="es-MX"/>
        </w:rPr>
        <w:t>,</w:t>
      </w:r>
      <w:r w:rsidR="00DD6B95">
        <w:rPr>
          <w:rFonts w:ascii="ITC Avant Garde" w:eastAsia="Times New Roman" w:hAnsi="ITC Avant Garde"/>
          <w:b/>
          <w:bCs/>
          <w:color w:val="000000"/>
          <w:lang w:eastAsia="es-MX"/>
        </w:rPr>
        <w:t xml:space="preserve"> </w:t>
      </w:r>
      <w:r w:rsidR="00393B14" w:rsidRPr="00393B14">
        <w:rPr>
          <w:rFonts w:ascii="ITC Avant Garde" w:eastAsia="Times New Roman" w:hAnsi="ITC Avant Garde"/>
          <w:bCs/>
          <w:color w:val="000000"/>
          <w:lang w:eastAsia="es-MX"/>
        </w:rPr>
        <w:t>e</w:t>
      </w:r>
      <w:r w:rsidR="00DD6B95" w:rsidRPr="00F82378">
        <w:rPr>
          <w:rFonts w:ascii="ITC Avant Garde" w:eastAsia="Times New Roman" w:hAnsi="ITC Avant Garde"/>
          <w:lang w:eastAsia="es-MX"/>
        </w:rPr>
        <w:t>l presente</w:t>
      </w:r>
      <w:r w:rsidR="00393B14">
        <w:rPr>
          <w:rFonts w:ascii="ITC Avant Garde" w:eastAsia="Times New Roman" w:hAnsi="ITC Avant Garde"/>
          <w:lang w:eastAsia="es-MX"/>
        </w:rPr>
        <w:t xml:space="preserve"> acuerdo</w:t>
      </w:r>
      <w:r w:rsidR="00DD6B95" w:rsidRPr="00F82378">
        <w:rPr>
          <w:rFonts w:ascii="ITC Avant Garde" w:eastAsia="Times New Roman" w:hAnsi="ITC Avant Garde"/>
          <w:lang w:eastAsia="es-MX"/>
        </w:rPr>
        <w:t xml:space="preserve">. </w:t>
      </w:r>
    </w:p>
    <w:p w:rsidR="005B6852" w:rsidRDefault="00B806C6" w:rsidP="00DD6B95">
      <w:pPr>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
          <w:bCs/>
          <w:lang w:eastAsia="es-MX"/>
        </w:rPr>
        <w:t>QUINTO</w:t>
      </w:r>
      <w:r w:rsidR="00DD6B95" w:rsidRPr="00564560">
        <w:rPr>
          <w:rFonts w:ascii="ITC Avant Garde" w:eastAsia="Times New Roman" w:hAnsi="ITC Avant Garde"/>
          <w:b/>
          <w:bCs/>
          <w:lang w:eastAsia="es-MX"/>
        </w:rPr>
        <w:t>.</w:t>
      </w:r>
      <w:r w:rsidR="00DD6B95">
        <w:rPr>
          <w:rFonts w:ascii="ITC Avant Garde" w:eastAsia="Times New Roman" w:hAnsi="ITC Avant Garde"/>
          <w:b/>
          <w:bCs/>
          <w:lang w:eastAsia="es-MX"/>
        </w:rPr>
        <w:t xml:space="preserve"> </w:t>
      </w:r>
      <w:r w:rsidR="00DD6B95" w:rsidRPr="00F82378">
        <w:rPr>
          <w:rFonts w:ascii="ITC Avant Garde" w:eastAsia="Times New Roman" w:hAnsi="ITC Avant Garde"/>
          <w:lang w:eastAsia="es-MX"/>
        </w:rPr>
        <w:t>Se instruye a la Unidad de Asuntos Jurídicos del Instituto, para que una vez que reciba copia certificada de</w:t>
      </w:r>
      <w:r w:rsidR="00393B14">
        <w:rPr>
          <w:rFonts w:ascii="ITC Avant Garde" w:eastAsia="Times New Roman" w:hAnsi="ITC Avant Garde"/>
          <w:lang w:eastAsia="es-MX"/>
        </w:rPr>
        <w:t>l</w:t>
      </w:r>
      <w:r w:rsidR="00DD6B95" w:rsidRPr="00F82378">
        <w:rPr>
          <w:rFonts w:ascii="ITC Avant Garde" w:eastAsia="Times New Roman" w:hAnsi="ITC Avant Garde"/>
          <w:lang w:eastAsia="es-MX"/>
        </w:rPr>
        <w:t xml:space="preserve"> presente </w:t>
      </w:r>
      <w:r w:rsidR="00393B14">
        <w:rPr>
          <w:rFonts w:ascii="ITC Avant Garde" w:eastAsia="Times New Roman" w:hAnsi="ITC Avant Garde"/>
          <w:lang w:eastAsia="es-MX"/>
        </w:rPr>
        <w:t>acuerdo</w:t>
      </w:r>
      <w:r w:rsidR="00DD6B95" w:rsidRPr="00F82378">
        <w:rPr>
          <w:rFonts w:ascii="ITC Avant Garde" w:eastAsia="Times New Roman" w:hAnsi="ITC Avant Garde"/>
          <w:lang w:eastAsia="es-MX"/>
        </w:rPr>
        <w:t xml:space="preserve">, así como de sus constancias de notificación por parte de la Unidad de Cumplimiento, con fundamento en el artículo 52 en relación con el 55 fracción III del Estatuto Orgánico del Instituto Federal de Telecomunicaciones, gire oficio al </w:t>
      </w:r>
      <w:r w:rsidR="00DD6B95">
        <w:rPr>
          <w:rFonts w:ascii="ITC Avant Garde" w:eastAsia="Times New Roman" w:hAnsi="ITC Avant Garde"/>
          <w:b/>
          <w:bCs/>
          <w:color w:val="000000"/>
          <w:lang w:eastAsia="es-MX"/>
        </w:rPr>
        <w:t xml:space="preserve">JUZGADO </w:t>
      </w:r>
      <w:r w:rsidR="00393B14">
        <w:rPr>
          <w:rFonts w:ascii="ITC Avant Garde" w:eastAsia="Times New Roman" w:hAnsi="ITC Avant Garde"/>
          <w:b/>
          <w:bCs/>
          <w:color w:val="000000"/>
          <w:lang w:eastAsia="es-MX"/>
        </w:rPr>
        <w:t>PRIMERO</w:t>
      </w:r>
      <w:r w:rsidR="00DD6B95" w:rsidRPr="00564560">
        <w:rPr>
          <w:rFonts w:ascii="ITC Avant Garde" w:eastAsia="Times New Roman" w:hAnsi="ITC Avant Garde"/>
          <w:bCs/>
          <w:lang w:eastAsia="es-MX"/>
        </w:rPr>
        <w:t xml:space="preserve"> en l</w:t>
      </w:r>
      <w:r w:rsidR="00DD6B95">
        <w:rPr>
          <w:rFonts w:ascii="ITC Avant Garde" w:eastAsia="Times New Roman" w:hAnsi="ITC Avant Garde"/>
          <w:bCs/>
          <w:lang w:eastAsia="es-MX"/>
        </w:rPr>
        <w:t xml:space="preserve">os autos del juicio de amparo </w:t>
      </w:r>
      <w:r w:rsidR="00393B14">
        <w:rPr>
          <w:rFonts w:ascii="ITC Avant Garde" w:eastAsia="Times New Roman" w:hAnsi="ITC Avant Garde"/>
          <w:b/>
          <w:bCs/>
          <w:lang w:eastAsia="es-MX"/>
        </w:rPr>
        <w:t>135/2016</w:t>
      </w:r>
      <w:r w:rsidR="00DD6B95" w:rsidRPr="00564560">
        <w:rPr>
          <w:rFonts w:ascii="ITC Avant Garde" w:eastAsia="Times New Roman" w:hAnsi="ITC Avant Garde"/>
          <w:bCs/>
          <w:lang w:eastAsia="es-MX"/>
        </w:rPr>
        <w:t xml:space="preserve">, a efecto de informar y acreditar adecuadamente el debido cumplimiento </w:t>
      </w:r>
      <w:r w:rsidR="00DD6B95">
        <w:rPr>
          <w:rFonts w:ascii="ITC Avant Garde" w:eastAsia="Times New Roman" w:hAnsi="ITC Avant Garde"/>
          <w:bCs/>
          <w:lang w:eastAsia="es-MX"/>
        </w:rPr>
        <w:t xml:space="preserve">de la sentencia </w:t>
      </w:r>
      <w:r w:rsidR="00DD6B95" w:rsidRPr="00564560">
        <w:rPr>
          <w:rFonts w:ascii="ITC Avant Garde" w:eastAsia="Times New Roman" w:hAnsi="ITC Avant Garde"/>
          <w:bCs/>
          <w:lang w:eastAsia="es-MX"/>
        </w:rPr>
        <w:t xml:space="preserve">dictada por </w:t>
      </w:r>
      <w:r w:rsidR="00393B14">
        <w:rPr>
          <w:rFonts w:ascii="ITC Avant Garde" w:eastAsia="Times New Roman" w:hAnsi="ITC Avant Garde"/>
          <w:bCs/>
          <w:lang w:eastAsia="es-MX"/>
        </w:rPr>
        <w:t xml:space="preserve">la </w:t>
      </w:r>
      <w:r w:rsidR="00393B14" w:rsidRPr="00393B14">
        <w:rPr>
          <w:rFonts w:ascii="ITC Avant Garde" w:eastAsia="Times New Roman" w:hAnsi="ITC Avant Garde"/>
          <w:b/>
          <w:bCs/>
          <w:lang w:eastAsia="es-MX"/>
        </w:rPr>
        <w:t>SEGUNDA SALA DE LA SUPREMA CORTE DE JUSTICIA DE LA NACIÓN</w:t>
      </w:r>
      <w:r w:rsidR="00393B14">
        <w:rPr>
          <w:rFonts w:ascii="ITC Avant Garde" w:eastAsia="Times New Roman" w:hAnsi="ITC Avant Garde"/>
          <w:bCs/>
          <w:lang w:eastAsia="es-MX"/>
        </w:rPr>
        <w:t xml:space="preserve"> </w:t>
      </w:r>
      <w:r w:rsidR="00DD6B95">
        <w:rPr>
          <w:rFonts w:ascii="ITC Avant Garde" w:eastAsia="Times New Roman" w:hAnsi="ITC Avant Garde"/>
          <w:bCs/>
          <w:lang w:eastAsia="es-MX"/>
        </w:rPr>
        <w:t xml:space="preserve">el </w:t>
      </w:r>
      <w:r w:rsidR="00393B14">
        <w:rPr>
          <w:rFonts w:ascii="ITC Avant Garde" w:eastAsia="Times New Roman" w:hAnsi="ITC Avant Garde"/>
          <w:bCs/>
          <w:lang w:eastAsia="es-MX"/>
        </w:rPr>
        <w:t xml:space="preserve">veinticinco de octubre </w:t>
      </w:r>
      <w:r w:rsidR="00DD6B95">
        <w:rPr>
          <w:rFonts w:ascii="ITC Avant Garde" w:eastAsia="Times New Roman" w:hAnsi="ITC Avant Garde"/>
          <w:bCs/>
          <w:lang w:eastAsia="es-MX"/>
        </w:rPr>
        <w:t>de dos mil diecisiete</w:t>
      </w:r>
      <w:r w:rsidR="00DD6B95" w:rsidRPr="00564560">
        <w:rPr>
          <w:rFonts w:ascii="ITC Avant Garde" w:eastAsia="Times New Roman" w:hAnsi="ITC Avant Garde"/>
          <w:bCs/>
          <w:lang w:eastAsia="es-MX"/>
        </w:rPr>
        <w:t>.</w:t>
      </w:r>
    </w:p>
    <w:p w:rsidR="005B6852" w:rsidRDefault="00DD6B95" w:rsidP="005B6852">
      <w:pPr>
        <w:spacing w:before="240" w:line="360" w:lineRule="auto"/>
        <w:jc w:val="both"/>
        <w:rPr>
          <w:rFonts w:ascii="ITC Avant Garde" w:eastAsia="Times New Roman" w:hAnsi="ITC Avant Garde"/>
          <w:lang w:eastAsia="es-MX"/>
        </w:rPr>
      </w:pPr>
      <w:r w:rsidRPr="00090312">
        <w:rPr>
          <w:rFonts w:ascii="ITC Avant Garde" w:eastAsia="Times New Roman" w:hAnsi="ITC Avant Garde"/>
          <w:bCs/>
          <w:lang w:eastAsia="es-MX"/>
        </w:rPr>
        <w:lastRenderedPageBreak/>
        <w:t xml:space="preserve">Así lo </w:t>
      </w:r>
      <w:r w:rsidR="0070318F" w:rsidRPr="00090312">
        <w:rPr>
          <w:rFonts w:ascii="ITC Avant Garde" w:eastAsia="Times New Roman" w:hAnsi="ITC Avant Garde"/>
          <w:bCs/>
          <w:lang w:eastAsia="es-MX"/>
        </w:rPr>
        <w:t>acordó</w:t>
      </w:r>
      <w:r w:rsidRPr="00090312">
        <w:rPr>
          <w:rFonts w:ascii="ITC Avant Garde" w:eastAsia="Times New Roman" w:hAnsi="ITC Avant Garde"/>
          <w:bCs/>
          <w:lang w:eastAsia="es-MX"/>
        </w:rPr>
        <w:t xml:space="preserve"> el Pleno del Instituto Federal de Telecomunicaciones, con fundamento en los artículos señalados en el presente acuerdo.</w:t>
      </w:r>
    </w:p>
    <w:p w:rsidR="005B6852" w:rsidRDefault="001D79C4" w:rsidP="001D79C4">
      <w:pPr>
        <w:pStyle w:val="Prrafodelista"/>
        <w:spacing w:after="0" w:line="240" w:lineRule="auto"/>
        <w:ind w:left="0"/>
        <w:jc w:val="both"/>
        <w:rPr>
          <w:rFonts w:ascii="ITC Avant Garde" w:hAnsi="ITC Avant Garde"/>
          <w:sz w:val="13"/>
          <w:szCs w:val="13"/>
        </w:rPr>
      </w:pPr>
      <w:r w:rsidRPr="001D79C4">
        <w:rPr>
          <w:rFonts w:ascii="ITC Avant Garde" w:hAnsi="ITC Avant Garde"/>
          <w:sz w:val="13"/>
          <w:szCs w:val="13"/>
        </w:rPr>
        <w:t xml:space="preserve">El presente Acuerdo fue aprobado por el Pleno del Instituto Federal de Telecomunicaciones en su LI Sesión Ordinaria celebrada el 6 de diciembre de 2017, </w:t>
      </w:r>
      <w:r w:rsidRPr="001D79C4">
        <w:rPr>
          <w:rFonts w:ascii="ITC Avant Garde" w:hAnsi="ITC Avant Garde"/>
          <w:bCs/>
          <w:sz w:val="13"/>
          <w:szCs w:val="13"/>
        </w:rPr>
        <w:t>por unanimidad</w:t>
      </w:r>
      <w:r w:rsidRPr="001D79C4">
        <w:rPr>
          <w:rFonts w:ascii="ITC Avant Garde" w:hAnsi="ITC Avant Garde"/>
          <w:sz w:val="13"/>
          <w:szCs w:val="13"/>
        </w:rPr>
        <w:t xml:space="preserve"> de votos de los Comisionados Gabriel Oswaldo Contreras Saldívar, Adriana Sofía Labardini </w:t>
      </w:r>
      <w:proofErr w:type="spellStart"/>
      <w:r w:rsidRPr="001D79C4">
        <w:rPr>
          <w:rFonts w:ascii="ITC Avant Garde" w:hAnsi="ITC Avant Garde"/>
          <w:sz w:val="13"/>
          <w:szCs w:val="13"/>
        </w:rPr>
        <w:t>Inzunza</w:t>
      </w:r>
      <w:proofErr w:type="spellEnd"/>
      <w:r w:rsidRPr="001D79C4">
        <w:rPr>
          <w:rFonts w:ascii="ITC Avant Garde" w:hAnsi="ITC Avant Garde"/>
          <w:sz w:val="13"/>
          <w:szCs w:val="13"/>
        </w:rPr>
        <w:t xml:space="preserve">, María Elena </w:t>
      </w:r>
      <w:proofErr w:type="spellStart"/>
      <w:r w:rsidRPr="001D79C4">
        <w:rPr>
          <w:rFonts w:ascii="ITC Avant Garde" w:hAnsi="ITC Avant Garde"/>
          <w:sz w:val="13"/>
          <w:szCs w:val="13"/>
        </w:rPr>
        <w:t>Estavillo</w:t>
      </w:r>
      <w:proofErr w:type="spellEnd"/>
      <w:r w:rsidRPr="001D79C4">
        <w:rPr>
          <w:rFonts w:ascii="ITC Avant Garde" w:hAnsi="ITC Avant Garde"/>
          <w:sz w:val="13"/>
          <w:szCs w:val="13"/>
        </w:rPr>
        <w:t xml:space="preserve"> Flores, Mario Germán </w:t>
      </w:r>
      <w:proofErr w:type="spellStart"/>
      <w:r w:rsidRPr="001D79C4">
        <w:rPr>
          <w:rFonts w:ascii="ITC Avant Garde" w:hAnsi="ITC Avant Garde"/>
          <w:sz w:val="13"/>
          <w:szCs w:val="13"/>
        </w:rPr>
        <w:t>Fromow</w:t>
      </w:r>
      <w:proofErr w:type="spellEnd"/>
      <w:r w:rsidRPr="001D79C4">
        <w:rPr>
          <w:rFonts w:ascii="ITC Avant Garde" w:hAnsi="ITC Avant Garde"/>
          <w:sz w:val="13"/>
          <w:szCs w:val="13"/>
        </w:rPr>
        <w:t xml:space="preserve"> Rangel, Adolfo Cuevas Teja, Javier Juárez Mojica y Arturo Robles </w:t>
      </w:r>
      <w:proofErr w:type="spellStart"/>
      <w:r w:rsidRPr="001D79C4">
        <w:rPr>
          <w:rFonts w:ascii="ITC Avant Garde" w:hAnsi="ITC Avant Garde"/>
          <w:sz w:val="13"/>
          <w:szCs w:val="13"/>
        </w:rPr>
        <w:t>Rovalo</w:t>
      </w:r>
      <w:proofErr w:type="spellEnd"/>
      <w:r w:rsidRPr="001D79C4">
        <w:rPr>
          <w:rFonts w:ascii="ITC Avant Garde" w:hAnsi="ITC Avant Garde"/>
          <w:sz w:val="13"/>
          <w:szCs w:val="13"/>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P/IFT/061217/875.</w:t>
      </w:r>
    </w:p>
    <w:p w:rsidR="001D79C4" w:rsidRPr="001D79C4" w:rsidRDefault="001D79C4" w:rsidP="001D79C4">
      <w:pPr>
        <w:pStyle w:val="Prrafodelista"/>
        <w:spacing w:after="0" w:line="240" w:lineRule="auto"/>
        <w:ind w:left="0"/>
        <w:jc w:val="both"/>
        <w:rPr>
          <w:rFonts w:ascii="ITC Avant Garde" w:hAnsi="ITC Avant Garde"/>
          <w:sz w:val="13"/>
          <w:szCs w:val="13"/>
        </w:rPr>
      </w:pPr>
      <w:r w:rsidRPr="001D79C4">
        <w:rPr>
          <w:rFonts w:ascii="ITC Avant Garde" w:hAnsi="ITC Avant Garde"/>
          <w:sz w:val="13"/>
          <w:szCs w:val="13"/>
        </w:rPr>
        <w:t xml:space="preserve">La Comisionada María Elena </w:t>
      </w:r>
      <w:proofErr w:type="spellStart"/>
      <w:r w:rsidRPr="001D79C4">
        <w:rPr>
          <w:rFonts w:ascii="ITC Avant Garde" w:hAnsi="ITC Avant Garde"/>
          <w:sz w:val="13"/>
          <w:szCs w:val="13"/>
        </w:rPr>
        <w:t>Estavillo</w:t>
      </w:r>
      <w:proofErr w:type="spellEnd"/>
      <w:r w:rsidRPr="001D79C4">
        <w:rPr>
          <w:rFonts w:ascii="ITC Avant Garde" w:hAnsi="ITC Avant Garde"/>
          <w:sz w:val="13"/>
          <w:szCs w:val="13"/>
        </w:rPr>
        <w:t xml:space="preserve"> Flores, así como los Comisionados Adolfo Cuevas Teja y Arturo Robles </w:t>
      </w:r>
      <w:proofErr w:type="spellStart"/>
      <w:r w:rsidRPr="001D79C4">
        <w:rPr>
          <w:rFonts w:ascii="ITC Avant Garde" w:hAnsi="ITC Avant Garde"/>
          <w:sz w:val="13"/>
          <w:szCs w:val="13"/>
        </w:rPr>
        <w:t>Rovalo</w:t>
      </w:r>
      <w:proofErr w:type="spellEnd"/>
      <w:r w:rsidRPr="001D79C4">
        <w:rPr>
          <w:rFonts w:ascii="ITC Avant Garde" w:hAnsi="ITC Avant Garde"/>
          <w:sz w:val="13"/>
          <w:szCs w:val="13"/>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1D79C4" w:rsidRPr="001D79C4" w:rsidSect="007A6223">
      <w:headerReference w:type="default" r:id="rId12"/>
      <w:pgSz w:w="12240" w:h="15840"/>
      <w:pgMar w:top="1985" w:right="1418" w:bottom="1418"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0C" w:rsidRDefault="0096520C" w:rsidP="003B7118">
      <w:pPr>
        <w:spacing w:after="0" w:line="240" w:lineRule="auto"/>
      </w:pPr>
      <w:r>
        <w:separator/>
      </w:r>
    </w:p>
  </w:endnote>
  <w:endnote w:type="continuationSeparator" w:id="0">
    <w:p w:rsidR="0096520C" w:rsidRDefault="0096520C"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2C" w:rsidRPr="007A6223" w:rsidRDefault="00CF132C" w:rsidP="007A6223">
    <w:pPr>
      <w:pStyle w:val="Piedepgina"/>
      <w:jc w:val="center"/>
      <w:rPr>
        <w:rFonts w:ascii="ITC Avac" w:hAnsi="ITC Avac"/>
        <w:b/>
      </w:rPr>
    </w:pPr>
    <w:r w:rsidRPr="00090312">
      <w:rPr>
        <w:rFonts w:ascii="ITC Avant Garde" w:eastAsia="Times New Roman" w:hAnsi="ITC Avant Garde"/>
        <w:b/>
        <w:bCs/>
        <w:lang w:eastAsia="es-MX"/>
      </w:rPr>
      <w:t xml:space="preserve">Página </w:t>
    </w:r>
    <w:r w:rsidRPr="00090312">
      <w:rPr>
        <w:rFonts w:ascii="ITC Avant Garde" w:eastAsia="Times New Roman" w:hAnsi="ITC Avant Garde"/>
        <w:b/>
        <w:bCs/>
        <w:lang w:eastAsia="es-MX"/>
      </w:rPr>
      <w:fldChar w:fldCharType="begin"/>
    </w:r>
    <w:r w:rsidRPr="00090312">
      <w:rPr>
        <w:rFonts w:ascii="ITC Avant Garde" w:eastAsia="Times New Roman" w:hAnsi="ITC Avant Garde"/>
        <w:b/>
        <w:bCs/>
        <w:lang w:eastAsia="es-MX"/>
      </w:rPr>
      <w:instrText>PAGE</w:instrText>
    </w:r>
    <w:r w:rsidRPr="00090312">
      <w:rPr>
        <w:rFonts w:ascii="ITC Avant Garde" w:eastAsia="Times New Roman" w:hAnsi="ITC Avant Garde"/>
        <w:b/>
        <w:bCs/>
        <w:lang w:eastAsia="es-MX"/>
      </w:rPr>
      <w:fldChar w:fldCharType="separate"/>
    </w:r>
    <w:r>
      <w:rPr>
        <w:rFonts w:ascii="ITC Avant Garde" w:eastAsia="Times New Roman" w:hAnsi="ITC Avant Garde"/>
        <w:b/>
        <w:bCs/>
        <w:noProof/>
        <w:lang w:eastAsia="es-MX"/>
      </w:rPr>
      <w:t>1</w:t>
    </w:r>
    <w:r w:rsidRPr="00090312">
      <w:rPr>
        <w:rFonts w:ascii="ITC Avant Garde" w:eastAsia="Times New Roman" w:hAnsi="ITC Avant Garde"/>
        <w:b/>
        <w:bCs/>
        <w:lang w:eastAsia="es-MX"/>
      </w:rPr>
      <w:fldChar w:fldCharType="end"/>
    </w:r>
    <w:r w:rsidRPr="00090312">
      <w:rPr>
        <w:rFonts w:ascii="ITC Avant Garde" w:eastAsia="Times New Roman" w:hAnsi="ITC Avant Garde"/>
        <w:b/>
        <w:bCs/>
        <w:lang w:eastAsia="es-MX"/>
      </w:rPr>
      <w:t xml:space="preserve"> de </w:t>
    </w:r>
    <w:r w:rsidRPr="00090312">
      <w:rPr>
        <w:rFonts w:ascii="ITC Avant Garde" w:eastAsia="Times New Roman" w:hAnsi="ITC Avant Garde"/>
        <w:b/>
        <w:bCs/>
        <w:lang w:eastAsia="es-MX"/>
      </w:rPr>
      <w:fldChar w:fldCharType="begin"/>
    </w:r>
    <w:r w:rsidRPr="00090312">
      <w:rPr>
        <w:rFonts w:ascii="ITC Avant Garde" w:eastAsia="Times New Roman" w:hAnsi="ITC Avant Garde"/>
        <w:b/>
        <w:bCs/>
        <w:lang w:eastAsia="es-MX"/>
      </w:rPr>
      <w:instrText>NUMPAGES</w:instrText>
    </w:r>
    <w:r w:rsidRPr="00090312">
      <w:rPr>
        <w:rFonts w:ascii="ITC Avant Garde" w:eastAsia="Times New Roman" w:hAnsi="ITC Avant Garde"/>
        <w:b/>
        <w:bCs/>
        <w:lang w:eastAsia="es-MX"/>
      </w:rPr>
      <w:fldChar w:fldCharType="separate"/>
    </w:r>
    <w:r>
      <w:rPr>
        <w:rFonts w:ascii="ITC Avant Garde" w:eastAsia="Times New Roman" w:hAnsi="ITC Avant Garde"/>
        <w:b/>
        <w:bCs/>
        <w:noProof/>
        <w:lang w:eastAsia="es-MX"/>
      </w:rPr>
      <w:t>25</w:t>
    </w:r>
    <w:r w:rsidRPr="00090312">
      <w:rPr>
        <w:rFonts w:ascii="ITC Avant Garde" w:eastAsia="Times New Roman" w:hAnsi="ITC Avant Garde"/>
        <w:b/>
        <w:bCs/>
        <w:lang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0C" w:rsidRDefault="0096520C" w:rsidP="003B7118">
      <w:pPr>
        <w:spacing w:after="0" w:line="240" w:lineRule="auto"/>
      </w:pPr>
      <w:r>
        <w:separator/>
      </w:r>
    </w:p>
  </w:footnote>
  <w:footnote w:type="continuationSeparator" w:id="0">
    <w:p w:rsidR="0096520C" w:rsidRDefault="0096520C" w:rsidP="003B7118">
      <w:pPr>
        <w:spacing w:after="0" w:line="240" w:lineRule="auto"/>
      </w:pPr>
      <w:r>
        <w:continuationSeparator/>
      </w:r>
    </w:p>
  </w:footnote>
  <w:footnote w:id="1">
    <w:p w:rsidR="00D35092" w:rsidRDefault="00D35092" w:rsidP="00D65864">
      <w:pPr>
        <w:pStyle w:val="Textonotapie"/>
        <w:jc w:val="both"/>
      </w:pPr>
      <w:r>
        <w:rPr>
          <w:rStyle w:val="Refdenotaalpie"/>
        </w:rPr>
        <w:footnoteRef/>
      </w:r>
      <w:r>
        <w:t xml:space="preserve"> </w:t>
      </w:r>
      <w:r w:rsidRPr="00D65864">
        <w:rPr>
          <w:rFonts w:ascii="ITC Avant Garde" w:hAnsi="ITC Avant Garde"/>
          <w:sz w:val="16"/>
          <w:szCs w:val="16"/>
        </w:rPr>
        <w:t xml:space="preserve">Notificada a este Instituto el veintisiete de noviembre de dos mil diecisiete, </w:t>
      </w:r>
      <w:r w:rsidR="000E4251" w:rsidRPr="00D65864">
        <w:rPr>
          <w:rFonts w:ascii="ITC Avant Garde" w:hAnsi="ITC Avant Garde"/>
          <w:sz w:val="16"/>
          <w:szCs w:val="16"/>
        </w:rPr>
        <w:t>mediante el proveído dictado el veinticuatro de noviembre del año en curso, por el Juzgado Primero de Distrito en Materia Administrativa Especializado en Competencia Económica, Radiodifusión y Telecomunicaciones.</w:t>
      </w:r>
    </w:p>
  </w:footnote>
  <w:footnote w:id="2">
    <w:p w:rsidR="00D946DB" w:rsidRDefault="00D946DB" w:rsidP="00D946DB">
      <w:pPr>
        <w:pStyle w:val="Textonotapie"/>
        <w:jc w:val="both"/>
      </w:pPr>
      <w:r>
        <w:rPr>
          <w:rStyle w:val="Refdenotaalpie"/>
        </w:rPr>
        <w:footnoteRef/>
      </w:r>
      <w:r>
        <w:t xml:space="preserve"> </w:t>
      </w:r>
      <w:r w:rsidRPr="00D946DB">
        <w:rPr>
          <w:rFonts w:ascii="ITC Avant Garde" w:eastAsia="Times New Roman" w:hAnsi="ITC Avant Garde"/>
          <w:bCs/>
          <w:i/>
          <w:color w:val="000000"/>
          <w:sz w:val="16"/>
          <w:szCs w:val="16"/>
          <w:lang w:eastAsia="es-MX"/>
        </w:rPr>
        <w:t xml:space="preserve">ACUERDO mediante el cual el Pleno del Instituto Federal de Telecomunicaciones emite los </w:t>
      </w:r>
      <w:r w:rsidRPr="00D946DB">
        <w:rPr>
          <w:rFonts w:ascii="ITC Avant Garde" w:hAnsi="ITC Avant Garde"/>
          <w:i/>
          <w:sz w:val="16"/>
          <w:szCs w:val="16"/>
        </w:rPr>
        <w:t>Lineamientos generales en relación con lo dispuesto por la fracción I del artículo octavo transitorio del Decreto por el que se reforman y adicionan diversas disposiciones</w:t>
      </w:r>
      <w:r w:rsidR="00D65864">
        <w:rPr>
          <w:rFonts w:ascii="ITC Avant Garde" w:hAnsi="ITC Avant Garde"/>
          <w:i/>
          <w:sz w:val="16"/>
          <w:szCs w:val="16"/>
        </w:rPr>
        <w:t xml:space="preserve"> </w:t>
      </w:r>
      <w:r w:rsidRPr="00D946DB">
        <w:rPr>
          <w:rFonts w:ascii="ITC Avant Garde" w:hAnsi="ITC Avant Garde"/>
          <w:i/>
          <w:sz w:val="16"/>
          <w:szCs w:val="16"/>
        </w:rPr>
        <w:t xml:space="preserve">de los artículos 6o., 7o., 27, 28, 73, 78, 94 y 105 de la Constitución Política de los Estados Unidos Mexicanos, en Materia de Telecomunicaciones”, </w:t>
      </w:r>
      <w:r w:rsidRPr="00D946DB">
        <w:rPr>
          <w:rFonts w:ascii="ITC Avant Garde" w:eastAsia="Times New Roman" w:hAnsi="ITC Avant Garde"/>
          <w:bCs/>
          <w:color w:val="000000"/>
          <w:sz w:val="16"/>
          <w:szCs w:val="16"/>
          <w:lang w:eastAsia="es-MX"/>
        </w:rPr>
        <w:t xml:space="preserve">emitido por el Pleno de este </w:t>
      </w:r>
      <w:r w:rsidRPr="00D946DB">
        <w:rPr>
          <w:rFonts w:ascii="ITC Avant Garde" w:eastAsia="Times New Roman" w:hAnsi="ITC Avant Garde"/>
          <w:b/>
          <w:bCs/>
          <w:color w:val="000000"/>
          <w:sz w:val="16"/>
          <w:szCs w:val="16"/>
          <w:lang w:eastAsia="es-MX"/>
        </w:rPr>
        <w:t>Instituto</w:t>
      </w:r>
      <w:r w:rsidRPr="00D946DB">
        <w:rPr>
          <w:rFonts w:ascii="ITC Avant Garde" w:eastAsia="Times New Roman" w:hAnsi="ITC Avant Garde"/>
          <w:bCs/>
          <w:color w:val="000000"/>
          <w:sz w:val="16"/>
          <w:szCs w:val="16"/>
          <w:lang w:eastAsia="es-MX"/>
        </w:rPr>
        <w:t xml:space="preserve"> el veintiuno de febrero de dos mil catorce y publicado en el Diario Oficial de la Federación</w:t>
      </w:r>
      <w:r>
        <w:rPr>
          <w:rFonts w:ascii="ITC Avant Garde" w:eastAsia="Times New Roman" w:hAnsi="ITC Avant Garde"/>
          <w:bCs/>
          <w:color w:val="000000"/>
          <w:sz w:val="16"/>
          <w:szCs w:val="16"/>
          <w:lang w:eastAsia="es-MX"/>
        </w:rPr>
        <w:t>.</w:t>
      </w:r>
    </w:p>
  </w:footnote>
  <w:footnote w:id="3">
    <w:p w:rsidR="00D946DB" w:rsidRPr="00D946DB" w:rsidRDefault="00D946DB" w:rsidP="00D946DB">
      <w:pPr>
        <w:pStyle w:val="Textonotapie"/>
        <w:jc w:val="both"/>
        <w:rPr>
          <w:sz w:val="16"/>
          <w:szCs w:val="16"/>
        </w:rPr>
      </w:pPr>
      <w:r>
        <w:rPr>
          <w:rStyle w:val="Refdenotaalpie"/>
        </w:rPr>
        <w:footnoteRef/>
      </w:r>
      <w:r>
        <w:t xml:space="preserve"> </w:t>
      </w:r>
      <w:r w:rsidRPr="00D946DB">
        <w:rPr>
          <w:rFonts w:ascii="ITC Avant Garde" w:hAnsi="ITC Avant Garde"/>
          <w:i/>
          <w:sz w:val="16"/>
          <w:szCs w:val="16"/>
        </w:rPr>
        <w:t>ACUERDO por el que el Pleno del Instituto Federal de Telecomunicaciones modifica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D946DB">
        <w:rPr>
          <w:rFonts w:ascii="ITC Avant Garde" w:hAnsi="ITC Avant Garde"/>
          <w:sz w:val="16"/>
          <w:szCs w:val="16"/>
        </w:rPr>
        <w:t xml:space="preserve"> </w:t>
      </w:r>
      <w:r w:rsidRPr="00D946DB">
        <w:rPr>
          <w:rFonts w:ascii="ITC Avant Garde" w:eastAsia="Times New Roman" w:hAnsi="ITC Avant Garde"/>
          <w:bCs/>
          <w:color w:val="000000"/>
          <w:sz w:val="16"/>
          <w:szCs w:val="16"/>
          <w:lang w:eastAsia="es-MX"/>
        </w:rPr>
        <w:t xml:space="preserve">emitido por el Pleno de este </w:t>
      </w:r>
      <w:r w:rsidRPr="00D946DB">
        <w:rPr>
          <w:rFonts w:ascii="ITC Avant Garde" w:eastAsia="Times New Roman" w:hAnsi="ITC Avant Garde"/>
          <w:b/>
          <w:bCs/>
          <w:color w:val="000000"/>
          <w:sz w:val="16"/>
          <w:szCs w:val="16"/>
          <w:lang w:eastAsia="es-MX"/>
        </w:rPr>
        <w:t>Instituto</w:t>
      </w:r>
      <w:r w:rsidRPr="00D946DB">
        <w:rPr>
          <w:rFonts w:ascii="ITC Avant Garde" w:eastAsia="Times New Roman" w:hAnsi="ITC Avant Garde"/>
          <w:bCs/>
          <w:color w:val="000000"/>
          <w:sz w:val="16"/>
          <w:szCs w:val="16"/>
          <w:lang w:eastAsia="es-MX"/>
        </w:rPr>
        <w:t xml:space="preserve"> el</w:t>
      </w:r>
      <w:r w:rsidRPr="00C73356">
        <w:rPr>
          <w:rFonts w:ascii="ITC Avant Garde" w:eastAsia="Times New Roman" w:hAnsi="ITC Avant Garde"/>
          <w:bCs/>
          <w:color w:val="000000"/>
          <w:lang w:eastAsia="es-MX"/>
        </w:rPr>
        <w:t xml:space="preserve"> </w:t>
      </w:r>
      <w:r w:rsidRPr="00D946DB">
        <w:rPr>
          <w:rFonts w:ascii="ITC Avant Garde" w:eastAsia="Times New Roman" w:hAnsi="ITC Avant Garde"/>
          <w:bCs/>
          <w:color w:val="000000"/>
          <w:sz w:val="16"/>
          <w:szCs w:val="16"/>
          <w:lang w:eastAsia="es-MX"/>
        </w:rPr>
        <w:t xml:space="preserve">veintiocho de enero de dos mil quince y publicado en el </w:t>
      </w:r>
      <w:r w:rsidRPr="00D946DB">
        <w:rPr>
          <w:rFonts w:ascii="ITC Avant Garde" w:eastAsia="Times New Roman" w:hAnsi="ITC Avant Garde"/>
          <w:b/>
          <w:bCs/>
          <w:color w:val="000000"/>
          <w:sz w:val="16"/>
          <w:szCs w:val="16"/>
          <w:lang w:eastAsia="es-MX"/>
        </w:rPr>
        <w:t>DOF</w:t>
      </w:r>
      <w:r w:rsidRPr="00D946DB">
        <w:rPr>
          <w:rFonts w:ascii="ITC Avant Garde" w:eastAsia="Times New Roman" w:hAnsi="ITC Avant Garde"/>
          <w:bCs/>
          <w:color w:val="000000"/>
          <w:sz w:val="16"/>
          <w:szCs w:val="16"/>
          <w:lang w:eastAsia="es-MX"/>
        </w:rPr>
        <w:t xml:space="preserve"> el seis de febrero de esa anualidad</w:t>
      </w:r>
      <w:r>
        <w:rPr>
          <w:rFonts w:ascii="ITC Avant Garde" w:eastAsia="Times New Roman" w:hAnsi="ITC Avant Garde"/>
          <w:bCs/>
          <w:color w:val="000000"/>
          <w:sz w:val="16"/>
          <w:szCs w:val="16"/>
          <w:lang w:eastAsia="es-MX"/>
        </w:rPr>
        <w:t>.</w:t>
      </w:r>
    </w:p>
  </w:footnote>
  <w:footnote w:id="4">
    <w:p w:rsidR="00D946DB" w:rsidRPr="00D946DB" w:rsidRDefault="00D946DB" w:rsidP="00D946DB">
      <w:pPr>
        <w:pStyle w:val="Textonotapie"/>
        <w:jc w:val="both"/>
        <w:rPr>
          <w:sz w:val="16"/>
          <w:szCs w:val="16"/>
        </w:rPr>
      </w:pPr>
      <w:r>
        <w:rPr>
          <w:rStyle w:val="Refdenotaalpie"/>
        </w:rPr>
        <w:footnoteRef/>
      </w:r>
      <w:r>
        <w:t xml:space="preserve"> </w:t>
      </w:r>
      <w:r w:rsidRPr="00D946DB">
        <w:rPr>
          <w:rFonts w:ascii="ITC Avant Garde" w:eastAsia="Times New Roman" w:hAnsi="ITC Avant Garde"/>
          <w:bCs/>
          <w:i/>
          <w:color w:val="000000"/>
          <w:sz w:val="16"/>
          <w:szCs w:val="16"/>
          <w:lang w:eastAsia="es-MX"/>
        </w:rPr>
        <w:t>LISTADO y características técnicas de las señales radiodifundidas de las instituciones públicas federales que se consideran disponibles para su retransmisión de conformidad con el artículo 12 de los lineamientos generales en relación con lo dispuesto por</w:t>
      </w:r>
      <w:r w:rsidRPr="00D946DB">
        <w:rPr>
          <w:rFonts w:ascii="ITC Avant Garde" w:eastAsia="Times New Roman" w:hAnsi="ITC Avant Garde" w:hint="eastAsia"/>
          <w:bCs/>
          <w:i/>
          <w:color w:val="000000"/>
          <w:sz w:val="16"/>
          <w:szCs w:val="16"/>
          <w:lang w:eastAsia="es-MX"/>
        </w:rPr>
        <w:t> </w:t>
      </w:r>
      <w:r w:rsidRPr="00D946DB">
        <w:rPr>
          <w:rFonts w:ascii="ITC Avant Garde" w:eastAsia="Times New Roman" w:hAnsi="ITC Avant Garde"/>
          <w:bCs/>
          <w:i/>
          <w:color w:val="000000"/>
          <w:sz w:val="16"/>
          <w:szCs w:val="16"/>
          <w:lang w:eastAsia="es-MX"/>
        </w:rPr>
        <w:t>la fracción I del artículo octavo transitorio del Decreto por el que se reforman y</w:t>
      </w:r>
      <w:r w:rsidRPr="00D946DB">
        <w:rPr>
          <w:rFonts w:ascii="ITC Avant Garde" w:eastAsia="Times New Roman" w:hAnsi="ITC Avant Garde" w:hint="eastAsia"/>
          <w:bCs/>
          <w:i/>
          <w:color w:val="000000"/>
          <w:sz w:val="16"/>
          <w:szCs w:val="16"/>
          <w:lang w:eastAsia="es-MX"/>
        </w:rPr>
        <w:t> </w:t>
      </w:r>
      <w:r w:rsidRPr="00D946DB">
        <w:rPr>
          <w:rFonts w:ascii="ITC Avant Garde" w:eastAsia="Times New Roman" w:hAnsi="ITC Avant Garde"/>
          <w:bCs/>
          <w:i/>
          <w:color w:val="000000"/>
          <w:sz w:val="16"/>
          <w:szCs w:val="16"/>
          <w:lang w:eastAsia="es-MX"/>
        </w:rPr>
        <w:t>adicionan diversas disposiciones de los artículos 6o., 7o., 27, 28, 73, 78, 94 y 105 de la Constitución Política de los</w:t>
      </w:r>
      <w:r w:rsidRPr="00D946DB">
        <w:rPr>
          <w:rFonts w:ascii="ITC Avant Garde" w:eastAsia="Times New Roman" w:hAnsi="ITC Avant Garde" w:hint="eastAsia"/>
          <w:bCs/>
          <w:i/>
          <w:color w:val="000000"/>
          <w:sz w:val="16"/>
          <w:szCs w:val="16"/>
          <w:lang w:eastAsia="es-MX"/>
        </w:rPr>
        <w:t> </w:t>
      </w:r>
      <w:r w:rsidRPr="00D946DB">
        <w:rPr>
          <w:rFonts w:ascii="ITC Avant Garde" w:eastAsia="Times New Roman" w:hAnsi="ITC Avant Garde"/>
          <w:bCs/>
          <w:i/>
          <w:color w:val="000000"/>
          <w:sz w:val="16"/>
          <w:szCs w:val="16"/>
          <w:lang w:eastAsia="es-MX"/>
        </w:rPr>
        <w:t xml:space="preserve">Estados Unidos Mexicanos, en Materia de Telecomunicaciones, publicado el 27 de febrero de 2014.”, </w:t>
      </w:r>
      <w:r w:rsidRPr="00D946DB">
        <w:rPr>
          <w:rFonts w:ascii="ITC Avant Garde" w:hAnsi="ITC Avant Garde"/>
          <w:sz w:val="16"/>
          <w:szCs w:val="16"/>
        </w:rPr>
        <w:t xml:space="preserve">publicado en el </w:t>
      </w:r>
      <w:r w:rsidRPr="00D946DB">
        <w:rPr>
          <w:rFonts w:ascii="ITC Avant Garde" w:eastAsia="Times New Roman" w:hAnsi="ITC Avant Garde"/>
          <w:b/>
          <w:bCs/>
          <w:color w:val="000000"/>
          <w:sz w:val="16"/>
          <w:szCs w:val="16"/>
          <w:lang w:eastAsia="es-MX"/>
        </w:rPr>
        <w:t xml:space="preserve">DOF </w:t>
      </w:r>
      <w:r w:rsidRPr="00D946DB">
        <w:rPr>
          <w:rFonts w:ascii="ITC Avant Garde" w:hAnsi="ITC Avant Garde"/>
          <w:sz w:val="16"/>
          <w:szCs w:val="16"/>
        </w:rPr>
        <w:t>el seis de mayo de dos mil catorce</w:t>
      </w:r>
    </w:p>
  </w:footnote>
  <w:footnote w:id="5">
    <w:p w:rsidR="00D946DB" w:rsidRPr="00D946DB" w:rsidRDefault="00D946DB">
      <w:pPr>
        <w:pStyle w:val="Textonotapie"/>
        <w:rPr>
          <w:sz w:val="16"/>
          <w:szCs w:val="16"/>
        </w:rPr>
      </w:pPr>
      <w:r>
        <w:rPr>
          <w:rStyle w:val="Refdenotaalpie"/>
        </w:rPr>
        <w:footnoteRef/>
      </w:r>
      <w:r>
        <w:t xml:space="preserve"> </w:t>
      </w:r>
      <w:r w:rsidRPr="00D946DB">
        <w:rPr>
          <w:sz w:val="16"/>
          <w:szCs w:val="16"/>
        </w:rPr>
        <w:t>P</w:t>
      </w:r>
      <w:r w:rsidRPr="00D946DB">
        <w:rPr>
          <w:rFonts w:ascii="ITC Avant Garde" w:hAnsi="ITC Avant Garde"/>
          <w:sz w:val="16"/>
          <w:szCs w:val="16"/>
        </w:rPr>
        <w:t>ublicadas en el Diario Oficial de la Federación el veintiuno de octubre de dos mil catorce y el seis de febrero de dos mil quince.</w:t>
      </w:r>
    </w:p>
  </w:footnote>
  <w:footnote w:id="6">
    <w:p w:rsidR="00CB7034" w:rsidRPr="00D65864" w:rsidRDefault="00CB7034" w:rsidP="00CB7034">
      <w:pPr>
        <w:pStyle w:val="corte4fondo"/>
        <w:spacing w:line="240" w:lineRule="auto"/>
        <w:ind w:firstLine="0"/>
        <w:rPr>
          <w:rFonts w:ascii="ITC Avant Garde" w:hAnsi="ITC Avant Garde" w:cs="Arial"/>
          <w:sz w:val="16"/>
          <w:szCs w:val="16"/>
        </w:rPr>
      </w:pPr>
      <w:r w:rsidRPr="007F1AC6">
        <w:rPr>
          <w:rStyle w:val="Refdenotaalpie"/>
          <w:rFonts w:cs="Arial"/>
          <w:sz w:val="20"/>
        </w:rPr>
        <w:footnoteRef/>
      </w:r>
      <w:r w:rsidRPr="007F1AC6">
        <w:rPr>
          <w:rFonts w:cs="Arial"/>
          <w:sz w:val="20"/>
        </w:rPr>
        <w:t xml:space="preserve"> “</w:t>
      </w:r>
      <w:r w:rsidRPr="00D65864">
        <w:rPr>
          <w:rFonts w:ascii="ITC Avant Garde" w:hAnsi="ITC Avant Garde" w:cs="Arial"/>
          <w:i/>
          <w:sz w:val="16"/>
          <w:szCs w:val="16"/>
        </w:rPr>
        <w:t>AGUAS NACIONALES. LA MULTA PREVISTA EN EL ARTÍCULO 120, FRACCIÓN III, DE LA LEY RELATIVA, ATIENDE A PARÁMETROS DE RAZONABILIDAD CONSIDERANDO EL BIEN JURÍDICO QUE SE PRETENDE PROTEGER</w:t>
      </w:r>
      <w:r w:rsidRPr="00D65864">
        <w:rPr>
          <w:rFonts w:ascii="ITC Avant Garde" w:hAnsi="ITC Avant Garde" w:cs="Arial"/>
          <w:sz w:val="16"/>
          <w:szCs w:val="16"/>
        </w:rPr>
        <w:t xml:space="preserve">” (Décima Época, Registro: 2000712, Instancia: Segunda Sala, Tipo de Tesis: Aislada, Fuente: Semanario Judicial de la Federación y su Gaceta, Libro VIII, </w:t>
      </w:r>
      <w:proofErr w:type="gramStart"/>
      <w:r w:rsidRPr="00D65864">
        <w:rPr>
          <w:rFonts w:ascii="ITC Avant Garde" w:hAnsi="ITC Avant Garde" w:cs="Arial"/>
          <w:sz w:val="16"/>
          <w:szCs w:val="16"/>
        </w:rPr>
        <w:t>Mayo</w:t>
      </w:r>
      <w:proofErr w:type="gramEnd"/>
      <w:r w:rsidRPr="00D65864">
        <w:rPr>
          <w:rFonts w:ascii="ITC Avant Garde" w:hAnsi="ITC Avant Garde" w:cs="Arial"/>
          <w:sz w:val="16"/>
          <w:szCs w:val="16"/>
        </w:rPr>
        <w:t xml:space="preserve"> de 2012, Tomo 2, Materia(s): Administrativa, Tesis: 2a. XLI/2012 (10a.), Página: 1345).</w:t>
      </w:r>
    </w:p>
  </w:footnote>
  <w:footnote w:id="7">
    <w:p w:rsidR="00CB7034" w:rsidRPr="007F1AC6" w:rsidRDefault="00CB7034" w:rsidP="00CB7034">
      <w:pPr>
        <w:pStyle w:val="Textonotapie"/>
        <w:jc w:val="both"/>
        <w:rPr>
          <w:rFonts w:ascii="Arial" w:hAnsi="Arial" w:cs="Arial"/>
        </w:rPr>
      </w:pPr>
      <w:r w:rsidRPr="00D65864">
        <w:rPr>
          <w:rStyle w:val="Refdenotaalpie"/>
          <w:rFonts w:ascii="ITC Avant Garde" w:hAnsi="ITC Avant Garde" w:cs="Arial"/>
          <w:sz w:val="16"/>
          <w:szCs w:val="16"/>
        </w:rPr>
        <w:footnoteRef/>
      </w:r>
      <w:r w:rsidRPr="00D65864">
        <w:rPr>
          <w:rFonts w:ascii="ITC Avant Garde" w:hAnsi="ITC Avant Garde" w:cs="Arial"/>
          <w:sz w:val="16"/>
          <w:szCs w:val="16"/>
        </w:rPr>
        <w:t xml:space="preserve"> Conforme a su artículo 1°.</w:t>
      </w:r>
      <w:r w:rsidRPr="007F1AC6">
        <w:rPr>
          <w:rFonts w:ascii="Arial" w:hAnsi="Arial" w:cs="Arial"/>
        </w:rPr>
        <w:t xml:space="preserve"> </w:t>
      </w:r>
    </w:p>
  </w:footnote>
  <w:footnote w:id="8">
    <w:p w:rsidR="00CC1701" w:rsidRPr="00D65864" w:rsidRDefault="00CC1701" w:rsidP="00CC1701">
      <w:pPr>
        <w:pStyle w:val="Textonotapie"/>
        <w:jc w:val="both"/>
        <w:rPr>
          <w:rFonts w:ascii="ITC Avant Garde" w:hAnsi="ITC Avant Garde" w:cs="Arial"/>
          <w:sz w:val="16"/>
          <w:szCs w:val="16"/>
        </w:rPr>
      </w:pPr>
      <w:r w:rsidRPr="007F1AC6">
        <w:rPr>
          <w:rStyle w:val="Refdenotaalpie"/>
          <w:rFonts w:ascii="Arial" w:hAnsi="Arial" w:cs="Arial"/>
        </w:rPr>
        <w:footnoteRef/>
      </w:r>
      <w:r w:rsidRPr="007F1AC6">
        <w:rPr>
          <w:rFonts w:ascii="Arial" w:hAnsi="Arial" w:cs="Arial"/>
        </w:rPr>
        <w:t xml:space="preserve"> </w:t>
      </w:r>
      <w:r w:rsidRPr="00D65864">
        <w:rPr>
          <w:rFonts w:ascii="ITC Avant Garde" w:hAnsi="ITC Avant Garde" w:cs="Arial"/>
          <w:sz w:val="16"/>
          <w:szCs w:val="16"/>
        </w:rPr>
        <w:t>Publicados en el Diario Oficial de la Federación el veintisiete de febrero y seis de mayo de dos mil catorce.</w:t>
      </w:r>
    </w:p>
  </w:footnote>
  <w:footnote w:id="9">
    <w:p w:rsidR="00CC1701" w:rsidRPr="00D65864" w:rsidRDefault="00CC1701" w:rsidP="00CC1701">
      <w:pPr>
        <w:pStyle w:val="Textonotapie"/>
        <w:jc w:val="both"/>
        <w:rPr>
          <w:rFonts w:ascii="ITC Avant Garde" w:hAnsi="ITC Avant Garde" w:cs="Arial"/>
          <w:sz w:val="16"/>
          <w:szCs w:val="16"/>
        </w:rPr>
      </w:pPr>
      <w:r w:rsidRPr="00D65864">
        <w:rPr>
          <w:rStyle w:val="Refdenotaalpie"/>
          <w:rFonts w:ascii="ITC Avant Garde" w:hAnsi="ITC Avant Garde" w:cs="Arial"/>
          <w:sz w:val="16"/>
          <w:szCs w:val="16"/>
        </w:rPr>
        <w:footnoteRef/>
      </w:r>
      <w:r w:rsidRPr="00D65864">
        <w:rPr>
          <w:rFonts w:ascii="ITC Avant Garde" w:hAnsi="ITC Avant Garde" w:cs="Arial"/>
          <w:sz w:val="16"/>
          <w:szCs w:val="16"/>
        </w:rPr>
        <w:t xml:space="preserve"> Publicado en el Diario Oficial de la Federación el veintiuno de octubre de dos mil catorce.</w:t>
      </w:r>
    </w:p>
  </w:footnote>
  <w:footnote w:id="10">
    <w:p w:rsidR="00721905" w:rsidRPr="00D65864" w:rsidRDefault="00721905" w:rsidP="00721905">
      <w:pPr>
        <w:pStyle w:val="Estilo"/>
        <w:rPr>
          <w:rFonts w:ascii="ITC Avant Garde" w:hAnsi="ITC Avant Garde" w:cs="Arial"/>
          <w:sz w:val="16"/>
          <w:szCs w:val="16"/>
        </w:rPr>
      </w:pPr>
      <w:r>
        <w:rPr>
          <w:rStyle w:val="Refdenotaalpie"/>
          <w:rFonts w:cs="Arial"/>
          <w:sz w:val="20"/>
          <w:szCs w:val="20"/>
        </w:rPr>
        <w:footnoteRef/>
      </w:r>
      <w:r>
        <w:rPr>
          <w:rFonts w:cs="Arial"/>
          <w:sz w:val="20"/>
          <w:szCs w:val="20"/>
        </w:rPr>
        <w:t xml:space="preserve"> </w:t>
      </w:r>
      <w:r w:rsidRPr="00D65864">
        <w:rPr>
          <w:rFonts w:ascii="ITC Avant Garde" w:hAnsi="ITC Avant Garde" w:cs="Arial"/>
          <w:sz w:val="16"/>
          <w:szCs w:val="16"/>
        </w:rPr>
        <w:t>Artículo 301. Para determinar el monto de las multas establecidas en el presente Capítulo, el Instituto deberá considerar:</w:t>
      </w:r>
    </w:p>
    <w:p w:rsidR="00721905" w:rsidRPr="00D65864" w:rsidRDefault="00721905" w:rsidP="00721905">
      <w:pPr>
        <w:pStyle w:val="Estilo"/>
        <w:rPr>
          <w:rFonts w:ascii="ITC Avant Garde" w:hAnsi="ITC Avant Garde" w:cs="Arial"/>
          <w:sz w:val="16"/>
          <w:szCs w:val="16"/>
        </w:rPr>
      </w:pPr>
      <w:r w:rsidRPr="00D65864">
        <w:rPr>
          <w:rFonts w:ascii="ITC Avant Garde" w:hAnsi="ITC Avant Garde" w:cs="Arial"/>
          <w:sz w:val="16"/>
          <w:szCs w:val="16"/>
        </w:rPr>
        <w:t xml:space="preserve">I. </w:t>
      </w:r>
      <w:r w:rsidRPr="00D65864">
        <w:rPr>
          <w:rFonts w:ascii="ITC Avant Garde" w:hAnsi="ITC Avant Garde" w:cs="Arial"/>
          <w:b/>
          <w:sz w:val="16"/>
          <w:szCs w:val="16"/>
          <w:u w:val="single"/>
        </w:rPr>
        <w:t>La gravedad de la infracción;</w:t>
      </w:r>
    </w:p>
    <w:p w:rsidR="00721905" w:rsidRPr="00D65864" w:rsidRDefault="00721905" w:rsidP="00721905">
      <w:pPr>
        <w:pStyle w:val="Estilo"/>
        <w:rPr>
          <w:rFonts w:ascii="ITC Avant Garde" w:hAnsi="ITC Avant Garde" w:cs="Arial"/>
          <w:sz w:val="16"/>
          <w:szCs w:val="16"/>
        </w:rPr>
      </w:pPr>
      <w:r w:rsidRPr="00D65864">
        <w:rPr>
          <w:rFonts w:ascii="ITC Avant Garde" w:hAnsi="ITC Avant Garde" w:cs="Arial"/>
          <w:sz w:val="16"/>
          <w:szCs w:val="16"/>
        </w:rPr>
        <w:t>II. La capacidad económica del infractor;</w:t>
      </w:r>
    </w:p>
    <w:p w:rsidR="00721905" w:rsidRPr="00D65864" w:rsidRDefault="00721905" w:rsidP="00721905">
      <w:pPr>
        <w:pStyle w:val="Estilo"/>
        <w:rPr>
          <w:rFonts w:ascii="ITC Avant Garde" w:hAnsi="ITC Avant Garde" w:cs="Arial"/>
          <w:sz w:val="16"/>
          <w:szCs w:val="16"/>
        </w:rPr>
      </w:pPr>
      <w:r w:rsidRPr="00D65864">
        <w:rPr>
          <w:rFonts w:ascii="ITC Avant Garde" w:hAnsi="ITC Avant Garde" w:cs="Arial"/>
          <w:sz w:val="16"/>
          <w:szCs w:val="16"/>
        </w:rPr>
        <w:t>III. La reincidencia, y</w:t>
      </w:r>
    </w:p>
    <w:p w:rsidR="00721905" w:rsidRPr="00D65864" w:rsidRDefault="00721905" w:rsidP="00721905">
      <w:pPr>
        <w:pStyle w:val="Estilo"/>
        <w:rPr>
          <w:rFonts w:ascii="ITC Avant Garde" w:hAnsi="ITC Avant Garde" w:cs="Arial"/>
          <w:sz w:val="16"/>
          <w:szCs w:val="16"/>
        </w:rPr>
      </w:pPr>
      <w:r w:rsidRPr="00D65864">
        <w:rPr>
          <w:rFonts w:ascii="ITC Avant Garde" w:hAnsi="ITC Avant Garde" w:cs="Arial"/>
          <w:sz w:val="16"/>
          <w:szCs w:val="16"/>
        </w:rPr>
        <w:t>IV. En su caso, el cumplimiento espontáneo de las obligaciones que dieron origen al procedimiento sancionatorio, el cual podrá considerarse como atenuante de la sanción a imponerse.</w:t>
      </w:r>
    </w:p>
  </w:footnote>
  <w:footnote w:id="11">
    <w:p w:rsidR="00E07DDA" w:rsidRDefault="00E07DDA" w:rsidP="00E07DDA">
      <w:pPr>
        <w:pStyle w:val="Prrafodelista"/>
        <w:ind w:left="0"/>
        <w:jc w:val="both"/>
        <w:rPr>
          <w:rFonts w:ascii="Arial" w:hAnsi="Arial" w:cs="Arial"/>
          <w:lang w:val="x-none"/>
        </w:rPr>
      </w:pPr>
      <w:r>
        <w:rPr>
          <w:rStyle w:val="Refdenotaalpie"/>
          <w:rFonts w:ascii="Arial" w:hAnsi="Arial" w:cs="Arial"/>
        </w:rPr>
        <w:footnoteRef/>
      </w:r>
      <w:r>
        <w:rPr>
          <w:rFonts w:ascii="Arial" w:hAnsi="Arial" w:cs="Arial"/>
        </w:rPr>
        <w:t xml:space="preserve"> </w:t>
      </w:r>
      <w:r w:rsidRPr="00061ACD">
        <w:rPr>
          <w:rFonts w:ascii="Arial" w:hAnsi="Arial" w:cs="Arial"/>
          <w:sz w:val="16"/>
          <w:szCs w:val="16"/>
        </w:rPr>
        <w:t xml:space="preserve">La remisión por integración del porcentaje mínimo precisado del 0.01%, no implica el ejercicio de la potestad legislativa por parte de este órgano jurisdiccional, sino que se trata de un ejercicio de integración normativa a partir del vicio de inconstitucionalidad advertido y en aras de atender a la voluntad expresa del creador de la norma; lo anterior porque </w:t>
      </w:r>
      <w:r w:rsidRPr="00061ACD">
        <w:rPr>
          <w:rFonts w:ascii="Arial" w:hAnsi="Arial" w:cs="Arial"/>
          <w:b/>
          <w:sz w:val="16"/>
          <w:szCs w:val="16"/>
        </w:rPr>
        <w:t xml:space="preserve">fue voluntad del legislador establecer expresamente ese porcentaje como el mínimo aplicable </w:t>
      </w:r>
      <w:r w:rsidRPr="00061ACD">
        <w:rPr>
          <w:rFonts w:ascii="Arial" w:hAnsi="Arial" w:cs="Arial"/>
          <w:sz w:val="16"/>
          <w:szCs w:val="16"/>
        </w:rPr>
        <w:t>en</w:t>
      </w:r>
      <w:r w:rsidRPr="00061ACD">
        <w:rPr>
          <w:rFonts w:ascii="Arial" w:hAnsi="Arial" w:cs="Arial"/>
          <w:b/>
          <w:sz w:val="16"/>
          <w:szCs w:val="16"/>
        </w:rPr>
        <w:t xml:space="preserve"> </w:t>
      </w:r>
      <w:r w:rsidRPr="00061ACD">
        <w:rPr>
          <w:rFonts w:ascii="Arial" w:hAnsi="Arial" w:cs="Arial"/>
          <w:sz w:val="16"/>
          <w:szCs w:val="16"/>
        </w:rPr>
        <w:t>la materia, ya que así lo dispuso en el artículo 298, inciso A), de la Ley Federal de Telecomunicaciones y Radiodifusión, aunado a que tal determinación genera seguridad jurídica tanto a quienes participan en el sector de telecomunicaciones como a la sociedad, ya que así se conoce el porcentaje mínimo de sanción aplicable en la materia en aras de garantizar el cumplimiento de los mandatos previstos a nivel constitucional</w:t>
      </w:r>
      <w:r w:rsidR="00061ACD">
        <w:rPr>
          <w:rFonts w:ascii="Arial" w:hAnsi="Arial" w:cs="Arial"/>
        </w:rPr>
        <w:t>.</w:t>
      </w:r>
    </w:p>
    <w:p w:rsidR="00E07DDA" w:rsidRDefault="00E07DDA" w:rsidP="00E07DDA">
      <w:pPr>
        <w:pStyle w:val="Textonotapie"/>
        <w:rPr>
          <w:lang w:val="x-none"/>
        </w:rPr>
      </w:pPr>
    </w:p>
  </w:footnote>
  <w:footnote w:id="12">
    <w:p w:rsidR="00487476" w:rsidRPr="00D65864" w:rsidRDefault="00487476" w:rsidP="00487476">
      <w:pPr>
        <w:pStyle w:val="Textonotapie"/>
        <w:jc w:val="both"/>
        <w:rPr>
          <w:rFonts w:ascii="ITC Avant Garde" w:hAnsi="ITC Avant Garde"/>
          <w:sz w:val="16"/>
          <w:szCs w:val="16"/>
        </w:rPr>
      </w:pPr>
      <w:r>
        <w:rPr>
          <w:rStyle w:val="Refdenotaalpie"/>
        </w:rPr>
        <w:footnoteRef/>
      </w:r>
      <w:r>
        <w:t xml:space="preserve"> </w:t>
      </w:r>
      <w:r w:rsidR="002B1C68" w:rsidRPr="00D65864">
        <w:rPr>
          <w:rFonts w:ascii="ITC Avant Garde" w:hAnsi="ITC Avant Garde"/>
          <w:sz w:val="16"/>
          <w:szCs w:val="16"/>
        </w:rPr>
        <w:t xml:space="preserve">El plazo de </w:t>
      </w:r>
      <w:r w:rsidR="00BE13B1" w:rsidRPr="00D65864">
        <w:rPr>
          <w:rFonts w:ascii="ITC Avant Garde" w:hAnsi="ITC Avant Garde"/>
          <w:sz w:val="16"/>
          <w:szCs w:val="16"/>
        </w:rPr>
        <w:t>tres</w:t>
      </w:r>
      <w:r w:rsidR="002B1C68" w:rsidRPr="00D65864">
        <w:rPr>
          <w:rFonts w:ascii="ITC Avant Garde" w:hAnsi="ITC Avant Garde"/>
          <w:sz w:val="16"/>
          <w:szCs w:val="16"/>
        </w:rPr>
        <w:t xml:space="preserve"> días comprend</w:t>
      </w:r>
      <w:r w:rsidR="00401083" w:rsidRPr="00D65864">
        <w:rPr>
          <w:rFonts w:ascii="ITC Avant Garde" w:hAnsi="ITC Avant Garde"/>
          <w:sz w:val="16"/>
          <w:szCs w:val="16"/>
        </w:rPr>
        <w:t>ió</w:t>
      </w:r>
      <w:r w:rsidR="002B1C68" w:rsidRPr="00D65864">
        <w:rPr>
          <w:rFonts w:ascii="ITC Avant Garde" w:hAnsi="ITC Avant Garde"/>
          <w:sz w:val="16"/>
          <w:szCs w:val="16"/>
        </w:rPr>
        <w:t xml:space="preserve"> el periodo del </w:t>
      </w:r>
      <w:r w:rsidR="00BE13B1" w:rsidRPr="00D65864">
        <w:rPr>
          <w:rFonts w:ascii="ITC Avant Garde" w:hAnsi="ITC Avant Garde"/>
          <w:sz w:val="16"/>
          <w:szCs w:val="16"/>
        </w:rPr>
        <w:t xml:space="preserve">veintiocho al treinta de noviembre </w:t>
      </w:r>
      <w:r w:rsidR="002B1C68" w:rsidRPr="00D65864">
        <w:rPr>
          <w:rFonts w:ascii="ITC Avant Garde" w:hAnsi="ITC Avant Garde"/>
          <w:sz w:val="16"/>
          <w:szCs w:val="16"/>
        </w:rPr>
        <w:t>de dos mil diecisiete</w:t>
      </w:r>
      <w:r w:rsidR="007E3B2B" w:rsidRPr="00D65864">
        <w:rPr>
          <w:rFonts w:ascii="ITC Avant Garde" w:hAnsi="ITC Avant Garde"/>
          <w:sz w:val="16"/>
          <w:szCs w:val="16"/>
        </w:rPr>
        <w:t>, en términos de lo dispuesto por el artículo 22 de la Ley de Amparo</w:t>
      </w:r>
      <w:r w:rsidR="002B1C68" w:rsidRPr="00D65864">
        <w:rPr>
          <w:rFonts w:ascii="ITC Avant Garde" w:hAnsi="ITC Avant Garde"/>
          <w:sz w:val="16"/>
          <w:szCs w:val="16"/>
        </w:rPr>
        <w:t>.</w:t>
      </w:r>
      <w:r w:rsidR="00401083" w:rsidRPr="00D65864">
        <w:rPr>
          <w:rFonts w:ascii="ITC Avant Garde" w:hAnsi="ITC Avant Garde"/>
          <w:sz w:val="16"/>
          <w:szCs w:val="16"/>
        </w:rPr>
        <w:t xml:space="preserve"> Sin embargo, mediante acuerdo de primero de diciembre del año en curso dictado en el cuaderno principal del juicio de amparo 135/2017, la Juez del conocimiento concedió a este Instituto una prórroga de diez días hábiles para dar cumplimiento a la ejecutoria de amparo. En razón de lo anterior, </w:t>
      </w:r>
      <w:r w:rsidR="00087925" w:rsidRPr="00D65864">
        <w:rPr>
          <w:rFonts w:ascii="ITC Avant Garde" w:hAnsi="ITC Avant Garde"/>
          <w:sz w:val="16"/>
          <w:szCs w:val="16"/>
        </w:rPr>
        <w:t xml:space="preserve">dado que el citado acuerdo se notificó el cuatro de diciembre actual, </w:t>
      </w:r>
      <w:r w:rsidR="00401083" w:rsidRPr="00D65864">
        <w:rPr>
          <w:rFonts w:ascii="ITC Avant Garde" w:hAnsi="ITC Avant Garde"/>
          <w:sz w:val="16"/>
          <w:szCs w:val="16"/>
        </w:rPr>
        <w:t>dicho plazo fenece</w:t>
      </w:r>
      <w:r w:rsidR="00087925" w:rsidRPr="00D65864">
        <w:rPr>
          <w:rFonts w:ascii="ITC Avant Garde" w:hAnsi="ITC Avant Garde"/>
          <w:sz w:val="16"/>
          <w:szCs w:val="16"/>
        </w:rPr>
        <w:t>rá</w:t>
      </w:r>
      <w:r w:rsidR="00401083" w:rsidRPr="00D65864">
        <w:rPr>
          <w:rFonts w:ascii="ITC Avant Garde" w:hAnsi="ITC Avant Garde"/>
          <w:sz w:val="16"/>
          <w:szCs w:val="16"/>
        </w:rPr>
        <w:t xml:space="preserve"> el día dieciocho de diciembre de dos mil diecisiete.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8F" w:rsidRDefault="0096520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8F" w:rsidRDefault="0096520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2C" w:rsidRPr="007A6223" w:rsidRDefault="00CF132C" w:rsidP="007A6223">
    <w:pPr>
      <w:pStyle w:val="Encabezado"/>
      <w:spacing w:after="240"/>
      <w:jc w:val="both"/>
      <w:rPr>
        <w:color w:val="0000CC"/>
        <w:sz w:val="20"/>
        <w:szCs w:val="20"/>
      </w:rPr>
    </w:pPr>
    <w:r w:rsidRPr="007A6223">
      <w:rPr>
        <w:noProof/>
        <w:color w:val="0000CC"/>
        <w:sz w:val="20"/>
        <w:szCs w:val="20"/>
        <w:lang w:eastAsia="es-MX"/>
      </w:rPr>
      <w:t>De conformidad con los artículos 23 y 116</w:t>
    </w:r>
    <w:r>
      <w:rPr>
        <w:noProof/>
        <w:color w:val="0000CC"/>
        <w:sz w:val="20"/>
        <w:szCs w:val="20"/>
        <w:lang w:eastAsia="es-MX"/>
      </w:rPr>
      <w:t>,</w:t>
    </w:r>
    <w:r w:rsidRPr="007A6223">
      <w:rPr>
        <w:noProof/>
        <w:color w:val="0000CC"/>
        <w:sz w:val="20"/>
        <w:szCs w:val="20"/>
        <w:lang w:eastAsia="es-MX"/>
      </w:rPr>
      <w:t xml:space="preserve"> de la Ley General de Transparencia y Acceso a la Información Pública; 113, fracci</w:t>
    </w:r>
    <w:r>
      <w:rPr>
        <w:noProof/>
        <w:color w:val="0000CC"/>
        <w:sz w:val="20"/>
        <w:szCs w:val="20"/>
        <w:lang w:eastAsia="es-MX"/>
      </w:rPr>
      <w:t xml:space="preserve">ón I, </w:t>
    </w:r>
    <w:r w:rsidRPr="007A6223">
      <w:rPr>
        <w:noProof/>
        <w:color w:val="0000CC"/>
        <w:sz w:val="20"/>
        <w:szCs w:val="20"/>
        <w:lang w:eastAsia="es-MX"/>
      </w:rPr>
      <w:t>de la Ley Federal de Transparencia y Acceso a lla Información Pública; 2, fracción V, 6, 31, 103, 104</w:t>
    </w:r>
    <w:r>
      <w:rPr>
        <w:noProof/>
        <w:color w:val="0000CC"/>
        <w:sz w:val="20"/>
        <w:szCs w:val="20"/>
        <w:lang w:eastAsia="es-MX"/>
      </w:rPr>
      <w:t>,</w:t>
    </w:r>
    <w:r w:rsidRPr="007A6223">
      <w:rPr>
        <w:noProof/>
        <w:color w:val="0000CC"/>
        <w:sz w:val="20"/>
        <w:szCs w:val="20"/>
        <w:lang w:eastAsia="es-MX"/>
      </w:rPr>
      <w:t xml:space="preserve"> fracci</w:t>
    </w:r>
    <w:r>
      <w:rPr>
        <w:noProof/>
        <w:color w:val="0000CC"/>
        <w:sz w:val="20"/>
        <w:szCs w:val="20"/>
        <w:lang w:eastAsia="es-MX"/>
      </w:rPr>
      <w:t>ón I,</w:t>
    </w:r>
    <w:r w:rsidRPr="007A6223">
      <w:rPr>
        <w:noProof/>
        <w:color w:val="0000CC"/>
        <w:sz w:val="20"/>
        <w:szCs w:val="20"/>
        <w:lang w:eastAsia="es-MX"/>
      </w:rPr>
      <w:t xml:space="preserve"> 116 de l</w:t>
    </w:r>
    <w:r>
      <w:rPr>
        <w:noProof/>
        <w:color w:val="0000CC"/>
        <w:sz w:val="20"/>
        <w:szCs w:val="20"/>
        <w:lang w:eastAsia="es-MX"/>
      </w:rPr>
      <w:t>a</w:t>
    </w:r>
    <w:r w:rsidRPr="007A6223">
      <w:rPr>
        <w:noProof/>
        <w:color w:val="0000CC"/>
        <w:sz w:val="20"/>
        <w:szCs w:val="20"/>
        <w:lang w:eastAsia="es-MX"/>
      </w:rPr>
      <w:t xml:space="preserve"> Ley General de Protección de Datos Personales en Posesión de Sujetos Obligados y el artículo 47, primer párrafo de la Ley Fedeal de Telecomunicaciones y Radiodifusión y Lineamiento Trigésimo Octavo, fracciones I, II y III y Sexagésimo Primero de los Lineamientos Generales en materia de Clasificación y Desclasificación de la Información, así como  para la Elaboración de Versiones Públicas, se suprime el contenido de lo testado en virtud de contener datos personales confidenciales</w:t>
    </w:r>
    <w:r>
      <w:rPr>
        <w:noProof/>
        <w:color w:val="0000CC"/>
        <w:sz w:val="20"/>
        <w:szCs w:val="20"/>
        <w:lang w:eastAsia="es-MX"/>
      </w:rPr>
      <w:t>,</w:t>
    </w:r>
    <w:r w:rsidRPr="007A6223">
      <w:rPr>
        <w:noProof/>
        <w:color w:val="0000CC"/>
        <w:sz w:val="20"/>
        <w:szCs w:val="20"/>
        <w:lang w:eastAsia="es-MX"/>
      </w:rPr>
      <w:t xml:space="preserve"> informaci</w:t>
    </w:r>
    <w:r>
      <w:rPr>
        <w:noProof/>
        <w:color w:val="0000CC"/>
        <w:sz w:val="20"/>
        <w:szCs w:val="20"/>
        <w:lang w:eastAsia="es-MX"/>
      </w:rPr>
      <w:t>ón confidencial y/o e</w:t>
    </w:r>
    <w:r w:rsidRPr="007A6223">
      <w:rPr>
        <w:noProof/>
        <w:color w:val="0000CC"/>
        <w:sz w:val="20"/>
        <w:szCs w:val="20"/>
        <w:lang w:eastAsia="es-MX"/>
      </w:rPr>
      <w:t xml:space="preserve">n su caso información reservada.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23" w:rsidRPr="007A6223" w:rsidRDefault="007A6223" w:rsidP="007A62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6CB"/>
    <w:multiLevelType w:val="hybridMultilevel"/>
    <w:tmpl w:val="2B969EA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0F14898"/>
    <w:multiLevelType w:val="hybridMultilevel"/>
    <w:tmpl w:val="EFA2DA82"/>
    <w:lvl w:ilvl="0" w:tplc="5DAE52B2">
      <w:start w:val="64"/>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651FB"/>
    <w:multiLevelType w:val="hybridMultilevel"/>
    <w:tmpl w:val="EE1AF23C"/>
    <w:lvl w:ilvl="0" w:tplc="8656F27A">
      <w:start w:val="71"/>
      <w:numFmt w:val="decimal"/>
      <w:lvlText w:val="%1."/>
      <w:lvlJc w:val="left"/>
      <w:pPr>
        <w:ind w:left="780" w:hanging="42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73E43"/>
    <w:multiLevelType w:val="hybridMultilevel"/>
    <w:tmpl w:val="F12A6AA0"/>
    <w:lvl w:ilvl="0" w:tplc="BD24AA1E">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 w15:restartNumberingAfterBreak="0">
    <w:nsid w:val="0CDF6E72"/>
    <w:multiLevelType w:val="hybridMultilevel"/>
    <w:tmpl w:val="194A9202"/>
    <w:lvl w:ilvl="0" w:tplc="A796CDE4">
      <w:start w:val="100"/>
      <w:numFmt w:val="decimal"/>
      <w:lvlText w:val="%1."/>
      <w:lvlJc w:val="left"/>
      <w:pPr>
        <w:ind w:left="1365" w:hanging="585"/>
      </w:pPr>
      <w:rPr>
        <w:rFonts w:hint="default"/>
        <w:u w:val="single"/>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5" w15:restartNumberingAfterBreak="0">
    <w:nsid w:val="0D3132FE"/>
    <w:multiLevelType w:val="hybridMultilevel"/>
    <w:tmpl w:val="CEFC23BE"/>
    <w:lvl w:ilvl="0" w:tplc="71BC9378">
      <w:start w:val="55"/>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672B4"/>
    <w:multiLevelType w:val="multilevel"/>
    <w:tmpl w:val="36D0221A"/>
    <w:lvl w:ilvl="0">
      <w:start w:val="1"/>
      <w:numFmt w:val="decimal"/>
      <w:lvlText w:val="%1."/>
      <w:lvlJc w:val="left"/>
      <w:pPr>
        <w:ind w:left="0" w:firstLine="0"/>
      </w:pPr>
      <w:rPr>
        <w:rFonts w:ascii="Arial" w:hAnsi="Arial" w:cs="Arial" w:hint="default"/>
        <w:b w:val="0"/>
        <w:i w:val="0"/>
        <w:color w:val="auto"/>
        <w:sz w:val="30"/>
        <w:szCs w:val="30"/>
        <w:lang w:val="x-none"/>
      </w:rPr>
    </w:lvl>
    <w:lvl w:ilvl="1">
      <w:start w:val="1"/>
      <w:numFmt w:val="decimal"/>
      <w:isLgl/>
      <w:lvlText w:val="%1.%2"/>
      <w:lvlJc w:val="left"/>
      <w:pPr>
        <w:ind w:left="862" w:hanging="720"/>
      </w:pPr>
      <w:rPr>
        <w:rFonts w:cs="Times New Roman" w:hint="default"/>
        <w:spacing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15:restartNumberingAfterBreak="0">
    <w:nsid w:val="1F163520"/>
    <w:multiLevelType w:val="hybridMultilevel"/>
    <w:tmpl w:val="156AF702"/>
    <w:lvl w:ilvl="0" w:tplc="14B82732">
      <w:start w:val="48"/>
      <w:numFmt w:val="decimal"/>
      <w:lvlText w:val="%1."/>
      <w:lvlJc w:val="left"/>
      <w:pPr>
        <w:ind w:left="1490" w:hanging="360"/>
      </w:pPr>
      <w:rPr>
        <w:rFonts w:hint="default"/>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8" w15:restartNumberingAfterBreak="0">
    <w:nsid w:val="23B63685"/>
    <w:multiLevelType w:val="hybridMultilevel"/>
    <w:tmpl w:val="F3CC63A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04C62"/>
    <w:multiLevelType w:val="hybridMultilevel"/>
    <w:tmpl w:val="C27A32BC"/>
    <w:lvl w:ilvl="0" w:tplc="B48CE8F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6E44B8"/>
    <w:multiLevelType w:val="hybridMultilevel"/>
    <w:tmpl w:val="A0EE526E"/>
    <w:lvl w:ilvl="0" w:tplc="7D9405EC">
      <w:start w:val="55"/>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1" w15:restartNumberingAfterBreak="0">
    <w:nsid w:val="42503CC7"/>
    <w:multiLevelType w:val="hybridMultilevel"/>
    <w:tmpl w:val="F0A45F6A"/>
    <w:lvl w:ilvl="0" w:tplc="E4682A3E">
      <w:start w:val="46"/>
      <w:numFmt w:val="decimal"/>
      <w:lvlText w:val="%1."/>
      <w:lvlJc w:val="left"/>
      <w:pPr>
        <w:ind w:left="1130" w:hanging="4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2" w15:restartNumberingAfterBreak="0">
    <w:nsid w:val="42D36496"/>
    <w:multiLevelType w:val="hybridMultilevel"/>
    <w:tmpl w:val="0CC89C8C"/>
    <w:lvl w:ilvl="0" w:tplc="0C94FF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910697"/>
    <w:multiLevelType w:val="hybridMultilevel"/>
    <w:tmpl w:val="C0CE4874"/>
    <w:lvl w:ilvl="0" w:tplc="B4DCE9EC">
      <w:start w:val="47"/>
      <w:numFmt w:val="decimal"/>
      <w:lvlText w:val="%1."/>
      <w:lvlJc w:val="left"/>
      <w:pPr>
        <w:ind w:left="1490" w:hanging="360"/>
      </w:pPr>
      <w:rPr>
        <w:rFonts w:hint="default"/>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48E67663"/>
    <w:multiLevelType w:val="hybridMultilevel"/>
    <w:tmpl w:val="5CFEE21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7145A3"/>
    <w:multiLevelType w:val="hybridMultilevel"/>
    <w:tmpl w:val="56FEB160"/>
    <w:lvl w:ilvl="0" w:tplc="243C946C">
      <w:start w:val="66"/>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F71527"/>
    <w:multiLevelType w:val="hybridMultilevel"/>
    <w:tmpl w:val="4E84B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57003C"/>
    <w:multiLevelType w:val="hybridMultilevel"/>
    <w:tmpl w:val="F244DF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1495"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36A2350"/>
    <w:multiLevelType w:val="hybridMultilevel"/>
    <w:tmpl w:val="803C18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D171A9"/>
    <w:multiLevelType w:val="hybridMultilevel"/>
    <w:tmpl w:val="79D6A81A"/>
    <w:lvl w:ilvl="0" w:tplc="6E5634FC">
      <w:start w:val="1"/>
      <w:numFmt w:val="upperRoman"/>
      <w:lvlText w:val="%1."/>
      <w:lvlJc w:val="left"/>
      <w:pPr>
        <w:ind w:left="1080" w:hanging="720"/>
      </w:pPr>
      <w:rPr>
        <w:rFonts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895B15"/>
    <w:multiLevelType w:val="hybridMultilevel"/>
    <w:tmpl w:val="EA6826A8"/>
    <w:lvl w:ilvl="0" w:tplc="C94C0FC2">
      <w:start w:val="86"/>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E8268A"/>
    <w:multiLevelType w:val="hybridMultilevel"/>
    <w:tmpl w:val="EA461E52"/>
    <w:lvl w:ilvl="0" w:tplc="2FB45E94">
      <w:start w:val="2"/>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7667197C"/>
    <w:multiLevelType w:val="hybridMultilevel"/>
    <w:tmpl w:val="9952545C"/>
    <w:lvl w:ilvl="0" w:tplc="0F38334E">
      <w:start w:val="92"/>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7323F3"/>
    <w:multiLevelType w:val="hybridMultilevel"/>
    <w:tmpl w:val="7EDE7330"/>
    <w:lvl w:ilvl="0" w:tplc="24A89070">
      <w:start w:val="76"/>
      <w:numFmt w:val="decimal"/>
      <w:lvlText w:val="%1."/>
      <w:lvlJc w:val="left"/>
      <w:pPr>
        <w:ind w:left="720" w:hanging="360"/>
      </w:pPr>
      <w:rPr>
        <w:rFonts w:ascii="ITC Avant Garde" w:eastAsia="Times New Roman" w:hAnsi="ITC Avant Garde" w:cs="Times New Roman" w:hint="default"/>
        <w:b/>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9"/>
  </w:num>
  <w:num w:numId="3">
    <w:abstractNumId w:val="0"/>
  </w:num>
  <w:num w:numId="4">
    <w:abstractNumId w:val="3"/>
  </w:num>
  <w:num w:numId="5">
    <w:abstractNumId w:val="18"/>
  </w:num>
  <w:num w:numId="6">
    <w:abstractNumId w:val="6"/>
  </w:num>
  <w:num w:numId="7">
    <w:abstractNumId w:val="12"/>
  </w:num>
  <w:num w:numId="8">
    <w:abstractNumId w:val="21"/>
  </w:num>
  <w:num w:numId="9">
    <w:abstractNumId w:val="8"/>
  </w:num>
  <w:num w:numId="10">
    <w:abstractNumId w:val="14"/>
  </w:num>
  <w:num w:numId="11">
    <w:abstractNumId w:val="11"/>
  </w:num>
  <w:num w:numId="12">
    <w:abstractNumId w:val="17"/>
  </w:num>
  <w:num w:numId="13">
    <w:abstractNumId w:val="5"/>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 w:numId="18">
    <w:abstractNumId w:val="23"/>
  </w:num>
  <w:num w:numId="19">
    <w:abstractNumId w:val="20"/>
  </w:num>
  <w:num w:numId="20">
    <w:abstractNumId w:val="22"/>
  </w:num>
  <w:num w:numId="21">
    <w:abstractNumId w:val="4"/>
  </w:num>
  <w:num w:numId="22">
    <w:abstractNumId w:val="13"/>
  </w:num>
  <w:num w:numId="23">
    <w:abstractNumId w:val="7"/>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049A"/>
    <w:rsid w:val="00001917"/>
    <w:rsid w:val="00002B61"/>
    <w:rsid w:val="00002C0C"/>
    <w:rsid w:val="000030BC"/>
    <w:rsid w:val="00003195"/>
    <w:rsid w:val="000031E5"/>
    <w:rsid w:val="000034AE"/>
    <w:rsid w:val="000038C1"/>
    <w:rsid w:val="00003D44"/>
    <w:rsid w:val="0000489D"/>
    <w:rsid w:val="00004977"/>
    <w:rsid w:val="00004BAB"/>
    <w:rsid w:val="00005785"/>
    <w:rsid w:val="00006522"/>
    <w:rsid w:val="000065E8"/>
    <w:rsid w:val="00007020"/>
    <w:rsid w:val="0001224A"/>
    <w:rsid w:val="00013851"/>
    <w:rsid w:val="00013899"/>
    <w:rsid w:val="000139F3"/>
    <w:rsid w:val="000143EB"/>
    <w:rsid w:val="000152E7"/>
    <w:rsid w:val="0001674F"/>
    <w:rsid w:val="000174F8"/>
    <w:rsid w:val="00017897"/>
    <w:rsid w:val="000206EE"/>
    <w:rsid w:val="00022190"/>
    <w:rsid w:val="000228AB"/>
    <w:rsid w:val="0002471D"/>
    <w:rsid w:val="00024ED1"/>
    <w:rsid w:val="000274F5"/>
    <w:rsid w:val="0003039C"/>
    <w:rsid w:val="00030495"/>
    <w:rsid w:val="0003196C"/>
    <w:rsid w:val="00031985"/>
    <w:rsid w:val="000330DD"/>
    <w:rsid w:val="000331B6"/>
    <w:rsid w:val="000341A3"/>
    <w:rsid w:val="00034AD0"/>
    <w:rsid w:val="000351E1"/>
    <w:rsid w:val="0003543B"/>
    <w:rsid w:val="00035982"/>
    <w:rsid w:val="000373A5"/>
    <w:rsid w:val="00040E3C"/>
    <w:rsid w:val="000410DD"/>
    <w:rsid w:val="00042418"/>
    <w:rsid w:val="0004374E"/>
    <w:rsid w:val="00043C93"/>
    <w:rsid w:val="00044ADC"/>
    <w:rsid w:val="00044FFD"/>
    <w:rsid w:val="00046C26"/>
    <w:rsid w:val="00047B7A"/>
    <w:rsid w:val="0005019A"/>
    <w:rsid w:val="000502FD"/>
    <w:rsid w:val="00051AFD"/>
    <w:rsid w:val="00051CC8"/>
    <w:rsid w:val="00052BF1"/>
    <w:rsid w:val="000546E7"/>
    <w:rsid w:val="00054A5C"/>
    <w:rsid w:val="00054D55"/>
    <w:rsid w:val="00055055"/>
    <w:rsid w:val="00055927"/>
    <w:rsid w:val="00055C3F"/>
    <w:rsid w:val="0005631B"/>
    <w:rsid w:val="00056363"/>
    <w:rsid w:val="00056652"/>
    <w:rsid w:val="000568AE"/>
    <w:rsid w:val="00056CF3"/>
    <w:rsid w:val="00056F3E"/>
    <w:rsid w:val="00056F6A"/>
    <w:rsid w:val="000600C9"/>
    <w:rsid w:val="0006084F"/>
    <w:rsid w:val="000617B9"/>
    <w:rsid w:val="00061ACD"/>
    <w:rsid w:val="000623C9"/>
    <w:rsid w:val="00062437"/>
    <w:rsid w:val="000634CD"/>
    <w:rsid w:val="00064213"/>
    <w:rsid w:val="00064A5D"/>
    <w:rsid w:val="00064DAA"/>
    <w:rsid w:val="00065274"/>
    <w:rsid w:val="000656FA"/>
    <w:rsid w:val="000659B8"/>
    <w:rsid w:val="000676A4"/>
    <w:rsid w:val="000704D3"/>
    <w:rsid w:val="00070B6E"/>
    <w:rsid w:val="00070EA8"/>
    <w:rsid w:val="0007161D"/>
    <w:rsid w:val="000725DC"/>
    <w:rsid w:val="0007271F"/>
    <w:rsid w:val="00072969"/>
    <w:rsid w:val="0007527A"/>
    <w:rsid w:val="00075C13"/>
    <w:rsid w:val="000774FD"/>
    <w:rsid w:val="00077810"/>
    <w:rsid w:val="00077F77"/>
    <w:rsid w:val="00077F8F"/>
    <w:rsid w:val="000803F2"/>
    <w:rsid w:val="00080E1E"/>
    <w:rsid w:val="00080FCA"/>
    <w:rsid w:val="00081DA8"/>
    <w:rsid w:val="000823DB"/>
    <w:rsid w:val="00082CEB"/>
    <w:rsid w:val="000831D3"/>
    <w:rsid w:val="00083E39"/>
    <w:rsid w:val="00084505"/>
    <w:rsid w:val="00084820"/>
    <w:rsid w:val="0008485F"/>
    <w:rsid w:val="00084BC3"/>
    <w:rsid w:val="00084E99"/>
    <w:rsid w:val="0008501A"/>
    <w:rsid w:val="00085E56"/>
    <w:rsid w:val="00085EC8"/>
    <w:rsid w:val="000866C1"/>
    <w:rsid w:val="0008705D"/>
    <w:rsid w:val="00087653"/>
    <w:rsid w:val="00087925"/>
    <w:rsid w:val="00090312"/>
    <w:rsid w:val="000903C8"/>
    <w:rsid w:val="000921A0"/>
    <w:rsid w:val="00092F0F"/>
    <w:rsid w:val="000932EC"/>
    <w:rsid w:val="00093962"/>
    <w:rsid w:val="00093A80"/>
    <w:rsid w:val="00093D80"/>
    <w:rsid w:val="0009426C"/>
    <w:rsid w:val="000943FE"/>
    <w:rsid w:val="000951ED"/>
    <w:rsid w:val="00095861"/>
    <w:rsid w:val="000965FD"/>
    <w:rsid w:val="000968E3"/>
    <w:rsid w:val="000972CF"/>
    <w:rsid w:val="000979B3"/>
    <w:rsid w:val="000A05C0"/>
    <w:rsid w:val="000A19DD"/>
    <w:rsid w:val="000A2C1D"/>
    <w:rsid w:val="000A3854"/>
    <w:rsid w:val="000A4868"/>
    <w:rsid w:val="000A66A7"/>
    <w:rsid w:val="000B07CF"/>
    <w:rsid w:val="000B083E"/>
    <w:rsid w:val="000B247D"/>
    <w:rsid w:val="000B3888"/>
    <w:rsid w:val="000B3A11"/>
    <w:rsid w:val="000B3DE8"/>
    <w:rsid w:val="000B3F10"/>
    <w:rsid w:val="000B46DA"/>
    <w:rsid w:val="000B4FF3"/>
    <w:rsid w:val="000B5AB4"/>
    <w:rsid w:val="000B5D17"/>
    <w:rsid w:val="000B61BB"/>
    <w:rsid w:val="000B64A9"/>
    <w:rsid w:val="000B68D0"/>
    <w:rsid w:val="000B70B2"/>
    <w:rsid w:val="000B7240"/>
    <w:rsid w:val="000B774F"/>
    <w:rsid w:val="000B7755"/>
    <w:rsid w:val="000B7EFF"/>
    <w:rsid w:val="000C03FC"/>
    <w:rsid w:val="000C05B9"/>
    <w:rsid w:val="000C115D"/>
    <w:rsid w:val="000C1222"/>
    <w:rsid w:val="000C13BC"/>
    <w:rsid w:val="000C144C"/>
    <w:rsid w:val="000C1F20"/>
    <w:rsid w:val="000C2A22"/>
    <w:rsid w:val="000C3634"/>
    <w:rsid w:val="000C38A7"/>
    <w:rsid w:val="000C3C31"/>
    <w:rsid w:val="000C44C7"/>
    <w:rsid w:val="000C4626"/>
    <w:rsid w:val="000C4779"/>
    <w:rsid w:val="000C5297"/>
    <w:rsid w:val="000C5496"/>
    <w:rsid w:val="000C5553"/>
    <w:rsid w:val="000C6EA8"/>
    <w:rsid w:val="000C71B9"/>
    <w:rsid w:val="000C7415"/>
    <w:rsid w:val="000C77BE"/>
    <w:rsid w:val="000C7DB9"/>
    <w:rsid w:val="000D037C"/>
    <w:rsid w:val="000D1124"/>
    <w:rsid w:val="000D20C1"/>
    <w:rsid w:val="000D4B90"/>
    <w:rsid w:val="000D57B3"/>
    <w:rsid w:val="000D6747"/>
    <w:rsid w:val="000D797F"/>
    <w:rsid w:val="000E0B3C"/>
    <w:rsid w:val="000E24AB"/>
    <w:rsid w:val="000E2E38"/>
    <w:rsid w:val="000E2FC9"/>
    <w:rsid w:val="000E3B94"/>
    <w:rsid w:val="000E3D55"/>
    <w:rsid w:val="000E4251"/>
    <w:rsid w:val="000E4D57"/>
    <w:rsid w:val="000E60D7"/>
    <w:rsid w:val="000E6D6C"/>
    <w:rsid w:val="000E752B"/>
    <w:rsid w:val="000F0B17"/>
    <w:rsid w:val="000F10EC"/>
    <w:rsid w:val="000F16AA"/>
    <w:rsid w:val="000F1776"/>
    <w:rsid w:val="000F310D"/>
    <w:rsid w:val="000F35A3"/>
    <w:rsid w:val="000F4CC5"/>
    <w:rsid w:val="000F5550"/>
    <w:rsid w:val="000F597D"/>
    <w:rsid w:val="000F5F98"/>
    <w:rsid w:val="000F7217"/>
    <w:rsid w:val="000F7278"/>
    <w:rsid w:val="000F7306"/>
    <w:rsid w:val="000F7A03"/>
    <w:rsid w:val="000F7B51"/>
    <w:rsid w:val="00100062"/>
    <w:rsid w:val="00101396"/>
    <w:rsid w:val="00102482"/>
    <w:rsid w:val="001030C9"/>
    <w:rsid w:val="00103A72"/>
    <w:rsid w:val="00103E5A"/>
    <w:rsid w:val="00104767"/>
    <w:rsid w:val="00105AA0"/>
    <w:rsid w:val="00110ACE"/>
    <w:rsid w:val="00111297"/>
    <w:rsid w:val="00111505"/>
    <w:rsid w:val="00112FA9"/>
    <w:rsid w:val="00113856"/>
    <w:rsid w:val="00114430"/>
    <w:rsid w:val="00114BF0"/>
    <w:rsid w:val="00114D14"/>
    <w:rsid w:val="00114EAD"/>
    <w:rsid w:val="001157EA"/>
    <w:rsid w:val="0011628E"/>
    <w:rsid w:val="00116B72"/>
    <w:rsid w:val="001171C7"/>
    <w:rsid w:val="00117DFC"/>
    <w:rsid w:val="0012163F"/>
    <w:rsid w:val="00121782"/>
    <w:rsid w:val="00121ECE"/>
    <w:rsid w:val="0012233F"/>
    <w:rsid w:val="001228DB"/>
    <w:rsid w:val="00122BAB"/>
    <w:rsid w:val="00122D2C"/>
    <w:rsid w:val="001236E7"/>
    <w:rsid w:val="00124BCE"/>
    <w:rsid w:val="0012642F"/>
    <w:rsid w:val="001264D1"/>
    <w:rsid w:val="0012676B"/>
    <w:rsid w:val="001311E0"/>
    <w:rsid w:val="00131506"/>
    <w:rsid w:val="00131A7D"/>
    <w:rsid w:val="001329C9"/>
    <w:rsid w:val="001330C3"/>
    <w:rsid w:val="00133F22"/>
    <w:rsid w:val="0013404F"/>
    <w:rsid w:val="001341C6"/>
    <w:rsid w:val="00135210"/>
    <w:rsid w:val="001352D8"/>
    <w:rsid w:val="001363A2"/>
    <w:rsid w:val="001378BC"/>
    <w:rsid w:val="00137BAD"/>
    <w:rsid w:val="00137FEB"/>
    <w:rsid w:val="001412C3"/>
    <w:rsid w:val="0014299A"/>
    <w:rsid w:val="0014352B"/>
    <w:rsid w:val="0014410D"/>
    <w:rsid w:val="00146053"/>
    <w:rsid w:val="00146374"/>
    <w:rsid w:val="00146564"/>
    <w:rsid w:val="00147720"/>
    <w:rsid w:val="00150651"/>
    <w:rsid w:val="00150CAB"/>
    <w:rsid w:val="00150CD0"/>
    <w:rsid w:val="001528D9"/>
    <w:rsid w:val="00152CDF"/>
    <w:rsid w:val="00154BF2"/>
    <w:rsid w:val="00156238"/>
    <w:rsid w:val="001566F6"/>
    <w:rsid w:val="00156E7A"/>
    <w:rsid w:val="0015701C"/>
    <w:rsid w:val="001572E4"/>
    <w:rsid w:val="0015742C"/>
    <w:rsid w:val="001576AD"/>
    <w:rsid w:val="00157917"/>
    <w:rsid w:val="001602ED"/>
    <w:rsid w:val="001607D6"/>
    <w:rsid w:val="00160C06"/>
    <w:rsid w:val="00160D23"/>
    <w:rsid w:val="00163306"/>
    <w:rsid w:val="00166BA0"/>
    <w:rsid w:val="00166F13"/>
    <w:rsid w:val="00170547"/>
    <w:rsid w:val="001720E0"/>
    <w:rsid w:val="00173136"/>
    <w:rsid w:val="001735AE"/>
    <w:rsid w:val="001738DB"/>
    <w:rsid w:val="001738EC"/>
    <w:rsid w:val="00173B73"/>
    <w:rsid w:val="00173D1C"/>
    <w:rsid w:val="001741C1"/>
    <w:rsid w:val="00174DDF"/>
    <w:rsid w:val="001753E2"/>
    <w:rsid w:val="0017630E"/>
    <w:rsid w:val="001767F8"/>
    <w:rsid w:val="001774FB"/>
    <w:rsid w:val="001777F5"/>
    <w:rsid w:val="001803D0"/>
    <w:rsid w:val="00180FBB"/>
    <w:rsid w:val="001810B5"/>
    <w:rsid w:val="001821C3"/>
    <w:rsid w:val="0018443C"/>
    <w:rsid w:val="00185F1E"/>
    <w:rsid w:val="00186F10"/>
    <w:rsid w:val="00190AF2"/>
    <w:rsid w:val="00193774"/>
    <w:rsid w:val="00194AFE"/>
    <w:rsid w:val="00195C0E"/>
    <w:rsid w:val="001965A7"/>
    <w:rsid w:val="001A0F04"/>
    <w:rsid w:val="001A245C"/>
    <w:rsid w:val="001A3338"/>
    <w:rsid w:val="001A335A"/>
    <w:rsid w:val="001A3DAD"/>
    <w:rsid w:val="001A3DB5"/>
    <w:rsid w:val="001A4741"/>
    <w:rsid w:val="001A50CC"/>
    <w:rsid w:val="001A66B0"/>
    <w:rsid w:val="001A781F"/>
    <w:rsid w:val="001A786B"/>
    <w:rsid w:val="001B1E6F"/>
    <w:rsid w:val="001B2E2D"/>
    <w:rsid w:val="001B30DC"/>
    <w:rsid w:val="001B359E"/>
    <w:rsid w:val="001B3A7E"/>
    <w:rsid w:val="001B48A7"/>
    <w:rsid w:val="001B4927"/>
    <w:rsid w:val="001B4C6D"/>
    <w:rsid w:val="001B5BFB"/>
    <w:rsid w:val="001B6083"/>
    <w:rsid w:val="001B6707"/>
    <w:rsid w:val="001B69A8"/>
    <w:rsid w:val="001B7A81"/>
    <w:rsid w:val="001C05EB"/>
    <w:rsid w:val="001C1B72"/>
    <w:rsid w:val="001C2DC6"/>
    <w:rsid w:val="001C2E6A"/>
    <w:rsid w:val="001C34EA"/>
    <w:rsid w:val="001C39DF"/>
    <w:rsid w:val="001C3ACB"/>
    <w:rsid w:val="001C4493"/>
    <w:rsid w:val="001C530E"/>
    <w:rsid w:val="001C59B0"/>
    <w:rsid w:val="001C6ED9"/>
    <w:rsid w:val="001C7C79"/>
    <w:rsid w:val="001D05A5"/>
    <w:rsid w:val="001D09BA"/>
    <w:rsid w:val="001D1CD0"/>
    <w:rsid w:val="001D4891"/>
    <w:rsid w:val="001D4B9A"/>
    <w:rsid w:val="001D6677"/>
    <w:rsid w:val="001D6B04"/>
    <w:rsid w:val="001D700F"/>
    <w:rsid w:val="001D79C4"/>
    <w:rsid w:val="001E0D0E"/>
    <w:rsid w:val="001E15EF"/>
    <w:rsid w:val="001E29AF"/>
    <w:rsid w:val="001E3358"/>
    <w:rsid w:val="001E4F4E"/>
    <w:rsid w:val="001E56B3"/>
    <w:rsid w:val="001E62A9"/>
    <w:rsid w:val="001E6D93"/>
    <w:rsid w:val="001E726A"/>
    <w:rsid w:val="001E73A5"/>
    <w:rsid w:val="001E78AB"/>
    <w:rsid w:val="001E7C84"/>
    <w:rsid w:val="001E7EEC"/>
    <w:rsid w:val="001F0D9A"/>
    <w:rsid w:val="001F1582"/>
    <w:rsid w:val="001F1907"/>
    <w:rsid w:val="001F2E63"/>
    <w:rsid w:val="001F2F3D"/>
    <w:rsid w:val="001F3CE6"/>
    <w:rsid w:val="001F4601"/>
    <w:rsid w:val="001F4C3A"/>
    <w:rsid w:val="001F6D39"/>
    <w:rsid w:val="002001F0"/>
    <w:rsid w:val="00200760"/>
    <w:rsid w:val="0020083D"/>
    <w:rsid w:val="0020096F"/>
    <w:rsid w:val="00200EA1"/>
    <w:rsid w:val="0020268C"/>
    <w:rsid w:val="00202A3C"/>
    <w:rsid w:val="00202FEB"/>
    <w:rsid w:val="0020344B"/>
    <w:rsid w:val="00203951"/>
    <w:rsid w:val="00205893"/>
    <w:rsid w:val="0021034B"/>
    <w:rsid w:val="002105C0"/>
    <w:rsid w:val="00211004"/>
    <w:rsid w:val="0021105C"/>
    <w:rsid w:val="00211D74"/>
    <w:rsid w:val="00212C95"/>
    <w:rsid w:val="00212D79"/>
    <w:rsid w:val="00215DF9"/>
    <w:rsid w:val="002172A0"/>
    <w:rsid w:val="00217538"/>
    <w:rsid w:val="00220EC4"/>
    <w:rsid w:val="00221593"/>
    <w:rsid w:val="002229CB"/>
    <w:rsid w:val="00222D4C"/>
    <w:rsid w:val="00223A5B"/>
    <w:rsid w:val="00224296"/>
    <w:rsid w:val="00224CFD"/>
    <w:rsid w:val="00224DAE"/>
    <w:rsid w:val="002265F4"/>
    <w:rsid w:val="00226FF9"/>
    <w:rsid w:val="0022716D"/>
    <w:rsid w:val="002278C8"/>
    <w:rsid w:val="002279B7"/>
    <w:rsid w:val="00227F4C"/>
    <w:rsid w:val="00230B0E"/>
    <w:rsid w:val="002314D1"/>
    <w:rsid w:val="00231E76"/>
    <w:rsid w:val="002326EC"/>
    <w:rsid w:val="00233AE5"/>
    <w:rsid w:val="00234914"/>
    <w:rsid w:val="00234C0A"/>
    <w:rsid w:val="002368B7"/>
    <w:rsid w:val="00236AEB"/>
    <w:rsid w:val="002400C7"/>
    <w:rsid w:val="00240EC6"/>
    <w:rsid w:val="00240F16"/>
    <w:rsid w:val="00241255"/>
    <w:rsid w:val="00243BA2"/>
    <w:rsid w:val="002450D2"/>
    <w:rsid w:val="00250417"/>
    <w:rsid w:val="0025090D"/>
    <w:rsid w:val="00251155"/>
    <w:rsid w:val="0025132C"/>
    <w:rsid w:val="00252154"/>
    <w:rsid w:val="0025232A"/>
    <w:rsid w:val="0025253E"/>
    <w:rsid w:val="00253043"/>
    <w:rsid w:val="002531E2"/>
    <w:rsid w:val="00254C7D"/>
    <w:rsid w:val="002552D2"/>
    <w:rsid w:val="002557A3"/>
    <w:rsid w:val="0025670E"/>
    <w:rsid w:val="002567B6"/>
    <w:rsid w:val="0025688A"/>
    <w:rsid w:val="0025789F"/>
    <w:rsid w:val="00260B9E"/>
    <w:rsid w:val="00261670"/>
    <w:rsid w:val="0026194A"/>
    <w:rsid w:val="00261D58"/>
    <w:rsid w:val="00262E7E"/>
    <w:rsid w:val="00263819"/>
    <w:rsid w:val="00263F66"/>
    <w:rsid w:val="002665C1"/>
    <w:rsid w:val="00267221"/>
    <w:rsid w:val="00267350"/>
    <w:rsid w:val="0026765B"/>
    <w:rsid w:val="00267A1A"/>
    <w:rsid w:val="002707AA"/>
    <w:rsid w:val="00271CF2"/>
    <w:rsid w:val="00273F3D"/>
    <w:rsid w:val="00275104"/>
    <w:rsid w:val="00276121"/>
    <w:rsid w:val="002762AF"/>
    <w:rsid w:val="002765BA"/>
    <w:rsid w:val="002768FD"/>
    <w:rsid w:val="0027696F"/>
    <w:rsid w:val="00276B0C"/>
    <w:rsid w:val="002777FE"/>
    <w:rsid w:val="002807BA"/>
    <w:rsid w:val="00280C19"/>
    <w:rsid w:val="00281133"/>
    <w:rsid w:val="00281437"/>
    <w:rsid w:val="0028162A"/>
    <w:rsid w:val="002819DD"/>
    <w:rsid w:val="00282776"/>
    <w:rsid w:val="002827DB"/>
    <w:rsid w:val="0028371F"/>
    <w:rsid w:val="00283984"/>
    <w:rsid w:val="00284411"/>
    <w:rsid w:val="00284D68"/>
    <w:rsid w:val="00284EDA"/>
    <w:rsid w:val="00284F7E"/>
    <w:rsid w:val="0028531A"/>
    <w:rsid w:val="00285475"/>
    <w:rsid w:val="00285B81"/>
    <w:rsid w:val="00286BD0"/>
    <w:rsid w:val="00286E03"/>
    <w:rsid w:val="00286E72"/>
    <w:rsid w:val="00290E28"/>
    <w:rsid w:val="00291A11"/>
    <w:rsid w:val="0029201F"/>
    <w:rsid w:val="00293BB2"/>
    <w:rsid w:val="00294794"/>
    <w:rsid w:val="00294E64"/>
    <w:rsid w:val="00294F3B"/>
    <w:rsid w:val="002954DA"/>
    <w:rsid w:val="00295DC3"/>
    <w:rsid w:val="002973E6"/>
    <w:rsid w:val="00297BF0"/>
    <w:rsid w:val="002A0EE7"/>
    <w:rsid w:val="002A2733"/>
    <w:rsid w:val="002A3378"/>
    <w:rsid w:val="002A34FE"/>
    <w:rsid w:val="002A389E"/>
    <w:rsid w:val="002A3CA0"/>
    <w:rsid w:val="002A4B88"/>
    <w:rsid w:val="002A543D"/>
    <w:rsid w:val="002A5523"/>
    <w:rsid w:val="002A5D33"/>
    <w:rsid w:val="002A6696"/>
    <w:rsid w:val="002A6C7D"/>
    <w:rsid w:val="002A6CBE"/>
    <w:rsid w:val="002A72BE"/>
    <w:rsid w:val="002A7A19"/>
    <w:rsid w:val="002A7BFB"/>
    <w:rsid w:val="002B00DC"/>
    <w:rsid w:val="002B0BE9"/>
    <w:rsid w:val="002B18E0"/>
    <w:rsid w:val="002B1C68"/>
    <w:rsid w:val="002B492D"/>
    <w:rsid w:val="002B4A00"/>
    <w:rsid w:val="002B4D7A"/>
    <w:rsid w:val="002B673E"/>
    <w:rsid w:val="002B7D44"/>
    <w:rsid w:val="002C023E"/>
    <w:rsid w:val="002C2E52"/>
    <w:rsid w:val="002C3660"/>
    <w:rsid w:val="002C36B4"/>
    <w:rsid w:val="002C3A3A"/>
    <w:rsid w:val="002C4424"/>
    <w:rsid w:val="002C47CE"/>
    <w:rsid w:val="002C4AEF"/>
    <w:rsid w:val="002C4E4F"/>
    <w:rsid w:val="002C5067"/>
    <w:rsid w:val="002C552A"/>
    <w:rsid w:val="002C5D6B"/>
    <w:rsid w:val="002C6067"/>
    <w:rsid w:val="002C6181"/>
    <w:rsid w:val="002C72CF"/>
    <w:rsid w:val="002C7E28"/>
    <w:rsid w:val="002D199B"/>
    <w:rsid w:val="002D2246"/>
    <w:rsid w:val="002D2BF8"/>
    <w:rsid w:val="002D3B07"/>
    <w:rsid w:val="002D42A0"/>
    <w:rsid w:val="002D50CD"/>
    <w:rsid w:val="002D600C"/>
    <w:rsid w:val="002D6345"/>
    <w:rsid w:val="002D7ADA"/>
    <w:rsid w:val="002E0D06"/>
    <w:rsid w:val="002E10E1"/>
    <w:rsid w:val="002E1DA8"/>
    <w:rsid w:val="002E1FA6"/>
    <w:rsid w:val="002E240F"/>
    <w:rsid w:val="002E3BA0"/>
    <w:rsid w:val="002E466C"/>
    <w:rsid w:val="002E56C6"/>
    <w:rsid w:val="002E6558"/>
    <w:rsid w:val="002E67C0"/>
    <w:rsid w:val="002E6E02"/>
    <w:rsid w:val="002E7B60"/>
    <w:rsid w:val="002F1A76"/>
    <w:rsid w:val="002F1D2C"/>
    <w:rsid w:val="002F26E0"/>
    <w:rsid w:val="002F3CB7"/>
    <w:rsid w:val="002F43D6"/>
    <w:rsid w:val="002F5775"/>
    <w:rsid w:val="002F6369"/>
    <w:rsid w:val="002F654F"/>
    <w:rsid w:val="002F67B0"/>
    <w:rsid w:val="002F7034"/>
    <w:rsid w:val="002F7734"/>
    <w:rsid w:val="002F7943"/>
    <w:rsid w:val="00301031"/>
    <w:rsid w:val="00301603"/>
    <w:rsid w:val="00301D55"/>
    <w:rsid w:val="003021BB"/>
    <w:rsid w:val="003031BD"/>
    <w:rsid w:val="003031F8"/>
    <w:rsid w:val="0030371F"/>
    <w:rsid w:val="00307A24"/>
    <w:rsid w:val="00307CB1"/>
    <w:rsid w:val="00307FD9"/>
    <w:rsid w:val="00310D66"/>
    <w:rsid w:val="003117DD"/>
    <w:rsid w:val="0031282B"/>
    <w:rsid w:val="003144C3"/>
    <w:rsid w:val="00315F5A"/>
    <w:rsid w:val="0031603A"/>
    <w:rsid w:val="003166F4"/>
    <w:rsid w:val="00316FBE"/>
    <w:rsid w:val="0031750F"/>
    <w:rsid w:val="0032044B"/>
    <w:rsid w:val="00321504"/>
    <w:rsid w:val="00321D65"/>
    <w:rsid w:val="00321ECA"/>
    <w:rsid w:val="00323725"/>
    <w:rsid w:val="00324ED2"/>
    <w:rsid w:val="003264E2"/>
    <w:rsid w:val="00327455"/>
    <w:rsid w:val="003279EA"/>
    <w:rsid w:val="00330471"/>
    <w:rsid w:val="00330B16"/>
    <w:rsid w:val="0033184B"/>
    <w:rsid w:val="0033319B"/>
    <w:rsid w:val="003334FD"/>
    <w:rsid w:val="003335C1"/>
    <w:rsid w:val="0033626A"/>
    <w:rsid w:val="00336589"/>
    <w:rsid w:val="00336A8E"/>
    <w:rsid w:val="00336F75"/>
    <w:rsid w:val="00337274"/>
    <w:rsid w:val="00342137"/>
    <w:rsid w:val="003427E4"/>
    <w:rsid w:val="00343E0B"/>
    <w:rsid w:val="00343F59"/>
    <w:rsid w:val="0034434A"/>
    <w:rsid w:val="00344F84"/>
    <w:rsid w:val="00345B47"/>
    <w:rsid w:val="003463A7"/>
    <w:rsid w:val="00346509"/>
    <w:rsid w:val="00347E80"/>
    <w:rsid w:val="00350480"/>
    <w:rsid w:val="00350594"/>
    <w:rsid w:val="003507FB"/>
    <w:rsid w:val="00351000"/>
    <w:rsid w:val="00351D93"/>
    <w:rsid w:val="00351EF8"/>
    <w:rsid w:val="00351F20"/>
    <w:rsid w:val="00352EFC"/>
    <w:rsid w:val="00352FAF"/>
    <w:rsid w:val="00353445"/>
    <w:rsid w:val="00354512"/>
    <w:rsid w:val="00354A84"/>
    <w:rsid w:val="00354C27"/>
    <w:rsid w:val="003553D1"/>
    <w:rsid w:val="00357E03"/>
    <w:rsid w:val="0036091B"/>
    <w:rsid w:val="00360D97"/>
    <w:rsid w:val="00361F39"/>
    <w:rsid w:val="003633A5"/>
    <w:rsid w:val="0036389B"/>
    <w:rsid w:val="00365264"/>
    <w:rsid w:val="003662B9"/>
    <w:rsid w:val="00366876"/>
    <w:rsid w:val="00366A7F"/>
    <w:rsid w:val="003671CD"/>
    <w:rsid w:val="00367426"/>
    <w:rsid w:val="00367B77"/>
    <w:rsid w:val="00370590"/>
    <w:rsid w:val="003738EE"/>
    <w:rsid w:val="00373C17"/>
    <w:rsid w:val="00377025"/>
    <w:rsid w:val="00377B2D"/>
    <w:rsid w:val="003805B5"/>
    <w:rsid w:val="0038159C"/>
    <w:rsid w:val="003815D8"/>
    <w:rsid w:val="00381899"/>
    <w:rsid w:val="00382D07"/>
    <w:rsid w:val="003830CB"/>
    <w:rsid w:val="00383A06"/>
    <w:rsid w:val="00385BDA"/>
    <w:rsid w:val="00386F41"/>
    <w:rsid w:val="00387078"/>
    <w:rsid w:val="003872B2"/>
    <w:rsid w:val="00387F69"/>
    <w:rsid w:val="00390245"/>
    <w:rsid w:val="003918FA"/>
    <w:rsid w:val="00391F84"/>
    <w:rsid w:val="003921C1"/>
    <w:rsid w:val="00392B64"/>
    <w:rsid w:val="0039366A"/>
    <w:rsid w:val="00393B14"/>
    <w:rsid w:val="0039455B"/>
    <w:rsid w:val="003945FD"/>
    <w:rsid w:val="003947AE"/>
    <w:rsid w:val="0039509C"/>
    <w:rsid w:val="00395B1D"/>
    <w:rsid w:val="00396DB1"/>
    <w:rsid w:val="00396E08"/>
    <w:rsid w:val="00397A27"/>
    <w:rsid w:val="00397E7A"/>
    <w:rsid w:val="003A098F"/>
    <w:rsid w:val="003A0EC9"/>
    <w:rsid w:val="003A165A"/>
    <w:rsid w:val="003A187B"/>
    <w:rsid w:val="003A2780"/>
    <w:rsid w:val="003A2B68"/>
    <w:rsid w:val="003A3037"/>
    <w:rsid w:val="003A38FE"/>
    <w:rsid w:val="003A589E"/>
    <w:rsid w:val="003A61E1"/>
    <w:rsid w:val="003A6388"/>
    <w:rsid w:val="003A65FF"/>
    <w:rsid w:val="003A6F0B"/>
    <w:rsid w:val="003B0677"/>
    <w:rsid w:val="003B1E21"/>
    <w:rsid w:val="003B243A"/>
    <w:rsid w:val="003B2486"/>
    <w:rsid w:val="003B2627"/>
    <w:rsid w:val="003B2695"/>
    <w:rsid w:val="003B3607"/>
    <w:rsid w:val="003B3BF1"/>
    <w:rsid w:val="003B3CEA"/>
    <w:rsid w:val="003B52C0"/>
    <w:rsid w:val="003B59D5"/>
    <w:rsid w:val="003B61A3"/>
    <w:rsid w:val="003B6A83"/>
    <w:rsid w:val="003B7118"/>
    <w:rsid w:val="003B7368"/>
    <w:rsid w:val="003C0C55"/>
    <w:rsid w:val="003C0D62"/>
    <w:rsid w:val="003C1E0F"/>
    <w:rsid w:val="003C3063"/>
    <w:rsid w:val="003C4445"/>
    <w:rsid w:val="003C4DE4"/>
    <w:rsid w:val="003C4EBD"/>
    <w:rsid w:val="003C56B7"/>
    <w:rsid w:val="003C6674"/>
    <w:rsid w:val="003C729C"/>
    <w:rsid w:val="003C7552"/>
    <w:rsid w:val="003D1036"/>
    <w:rsid w:val="003D1177"/>
    <w:rsid w:val="003D1568"/>
    <w:rsid w:val="003D1667"/>
    <w:rsid w:val="003D261D"/>
    <w:rsid w:val="003D3500"/>
    <w:rsid w:val="003D3583"/>
    <w:rsid w:val="003D3931"/>
    <w:rsid w:val="003D3D93"/>
    <w:rsid w:val="003D4FF0"/>
    <w:rsid w:val="003D51F6"/>
    <w:rsid w:val="003D5E86"/>
    <w:rsid w:val="003D6210"/>
    <w:rsid w:val="003D70FB"/>
    <w:rsid w:val="003E3414"/>
    <w:rsid w:val="003E4442"/>
    <w:rsid w:val="003E4B61"/>
    <w:rsid w:val="003E5C14"/>
    <w:rsid w:val="003E6787"/>
    <w:rsid w:val="003E7A51"/>
    <w:rsid w:val="003E7DEB"/>
    <w:rsid w:val="003F039E"/>
    <w:rsid w:val="003F03AC"/>
    <w:rsid w:val="003F0430"/>
    <w:rsid w:val="003F0A57"/>
    <w:rsid w:val="003F0BCD"/>
    <w:rsid w:val="003F14DC"/>
    <w:rsid w:val="003F235B"/>
    <w:rsid w:val="003F23CC"/>
    <w:rsid w:val="003F2F15"/>
    <w:rsid w:val="003F42EE"/>
    <w:rsid w:val="003F50B7"/>
    <w:rsid w:val="003F5DB4"/>
    <w:rsid w:val="003F6209"/>
    <w:rsid w:val="003F6333"/>
    <w:rsid w:val="003F6B7D"/>
    <w:rsid w:val="003F7669"/>
    <w:rsid w:val="003F7A8D"/>
    <w:rsid w:val="003F7ED3"/>
    <w:rsid w:val="00400628"/>
    <w:rsid w:val="00400BEC"/>
    <w:rsid w:val="00401083"/>
    <w:rsid w:val="004013E9"/>
    <w:rsid w:val="00401EB1"/>
    <w:rsid w:val="00402B35"/>
    <w:rsid w:val="00402D2F"/>
    <w:rsid w:val="00402DAF"/>
    <w:rsid w:val="00404926"/>
    <w:rsid w:val="00404A8C"/>
    <w:rsid w:val="004063F8"/>
    <w:rsid w:val="00406B0D"/>
    <w:rsid w:val="0040780E"/>
    <w:rsid w:val="004078D8"/>
    <w:rsid w:val="004101A9"/>
    <w:rsid w:val="00410C10"/>
    <w:rsid w:val="0041110B"/>
    <w:rsid w:val="004132FB"/>
    <w:rsid w:val="00413FB3"/>
    <w:rsid w:val="004141B2"/>
    <w:rsid w:val="00414775"/>
    <w:rsid w:val="00414B52"/>
    <w:rsid w:val="0041517A"/>
    <w:rsid w:val="004154B9"/>
    <w:rsid w:val="0041608C"/>
    <w:rsid w:val="0041656E"/>
    <w:rsid w:val="004167FC"/>
    <w:rsid w:val="004168D4"/>
    <w:rsid w:val="00417339"/>
    <w:rsid w:val="00417960"/>
    <w:rsid w:val="00420049"/>
    <w:rsid w:val="0042092E"/>
    <w:rsid w:val="0042221B"/>
    <w:rsid w:val="00422894"/>
    <w:rsid w:val="00423942"/>
    <w:rsid w:val="0042437F"/>
    <w:rsid w:val="004249B5"/>
    <w:rsid w:val="004250A9"/>
    <w:rsid w:val="00425BA6"/>
    <w:rsid w:val="00426533"/>
    <w:rsid w:val="0043015D"/>
    <w:rsid w:val="004318BB"/>
    <w:rsid w:val="00433BD9"/>
    <w:rsid w:val="00433D05"/>
    <w:rsid w:val="004347EC"/>
    <w:rsid w:val="00434D30"/>
    <w:rsid w:val="00435820"/>
    <w:rsid w:val="00435B3D"/>
    <w:rsid w:val="00435E9E"/>
    <w:rsid w:val="0043624D"/>
    <w:rsid w:val="00440CEF"/>
    <w:rsid w:val="00442E70"/>
    <w:rsid w:val="00443783"/>
    <w:rsid w:val="00443E50"/>
    <w:rsid w:val="00444347"/>
    <w:rsid w:val="004446F5"/>
    <w:rsid w:val="004447CF"/>
    <w:rsid w:val="004451D7"/>
    <w:rsid w:val="00445C17"/>
    <w:rsid w:val="00446065"/>
    <w:rsid w:val="00450FA3"/>
    <w:rsid w:val="00451FBE"/>
    <w:rsid w:val="0045204F"/>
    <w:rsid w:val="004522E7"/>
    <w:rsid w:val="0045249F"/>
    <w:rsid w:val="00452775"/>
    <w:rsid w:val="004527AE"/>
    <w:rsid w:val="00452B06"/>
    <w:rsid w:val="00453E46"/>
    <w:rsid w:val="004548BC"/>
    <w:rsid w:val="00454AA9"/>
    <w:rsid w:val="00454FD8"/>
    <w:rsid w:val="004570F0"/>
    <w:rsid w:val="004571EC"/>
    <w:rsid w:val="00460655"/>
    <w:rsid w:val="00461883"/>
    <w:rsid w:val="00461ED0"/>
    <w:rsid w:val="00462B65"/>
    <w:rsid w:val="00462BE9"/>
    <w:rsid w:val="00462C30"/>
    <w:rsid w:val="00462E24"/>
    <w:rsid w:val="00464A57"/>
    <w:rsid w:val="004650DF"/>
    <w:rsid w:val="00467004"/>
    <w:rsid w:val="00467243"/>
    <w:rsid w:val="00467572"/>
    <w:rsid w:val="004676C3"/>
    <w:rsid w:val="00470A75"/>
    <w:rsid w:val="004712DF"/>
    <w:rsid w:val="0047214E"/>
    <w:rsid w:val="00472C0C"/>
    <w:rsid w:val="00473069"/>
    <w:rsid w:val="00473798"/>
    <w:rsid w:val="00474E81"/>
    <w:rsid w:val="00474ECF"/>
    <w:rsid w:val="00475326"/>
    <w:rsid w:val="00475743"/>
    <w:rsid w:val="004758A1"/>
    <w:rsid w:val="00475981"/>
    <w:rsid w:val="00476642"/>
    <w:rsid w:val="00483961"/>
    <w:rsid w:val="00483B5B"/>
    <w:rsid w:val="0048415A"/>
    <w:rsid w:val="00484DF0"/>
    <w:rsid w:val="00485EBA"/>
    <w:rsid w:val="004866AD"/>
    <w:rsid w:val="00487476"/>
    <w:rsid w:val="00490422"/>
    <w:rsid w:val="00490DB7"/>
    <w:rsid w:val="00491D33"/>
    <w:rsid w:val="00491D34"/>
    <w:rsid w:val="0049431E"/>
    <w:rsid w:val="0049504C"/>
    <w:rsid w:val="0049638A"/>
    <w:rsid w:val="00496C44"/>
    <w:rsid w:val="004A0488"/>
    <w:rsid w:val="004A06B5"/>
    <w:rsid w:val="004A0902"/>
    <w:rsid w:val="004A09C4"/>
    <w:rsid w:val="004A0A39"/>
    <w:rsid w:val="004A13FF"/>
    <w:rsid w:val="004A1B15"/>
    <w:rsid w:val="004A4121"/>
    <w:rsid w:val="004A6D8F"/>
    <w:rsid w:val="004A7081"/>
    <w:rsid w:val="004A725A"/>
    <w:rsid w:val="004A7CF0"/>
    <w:rsid w:val="004B03A3"/>
    <w:rsid w:val="004B18FD"/>
    <w:rsid w:val="004B2D0F"/>
    <w:rsid w:val="004B3C2B"/>
    <w:rsid w:val="004B444E"/>
    <w:rsid w:val="004B4DA2"/>
    <w:rsid w:val="004B5171"/>
    <w:rsid w:val="004B5765"/>
    <w:rsid w:val="004B5A0F"/>
    <w:rsid w:val="004B5A37"/>
    <w:rsid w:val="004B6135"/>
    <w:rsid w:val="004B7034"/>
    <w:rsid w:val="004C0913"/>
    <w:rsid w:val="004C0ABE"/>
    <w:rsid w:val="004C10D8"/>
    <w:rsid w:val="004C1296"/>
    <w:rsid w:val="004C17AC"/>
    <w:rsid w:val="004C1EE2"/>
    <w:rsid w:val="004C1FE4"/>
    <w:rsid w:val="004C4755"/>
    <w:rsid w:val="004C4B66"/>
    <w:rsid w:val="004C4DE7"/>
    <w:rsid w:val="004C5619"/>
    <w:rsid w:val="004C5BC6"/>
    <w:rsid w:val="004C6118"/>
    <w:rsid w:val="004C62BC"/>
    <w:rsid w:val="004C6477"/>
    <w:rsid w:val="004C69BE"/>
    <w:rsid w:val="004C6D9B"/>
    <w:rsid w:val="004C7127"/>
    <w:rsid w:val="004C7D65"/>
    <w:rsid w:val="004D0175"/>
    <w:rsid w:val="004D0F42"/>
    <w:rsid w:val="004D1B84"/>
    <w:rsid w:val="004D22BC"/>
    <w:rsid w:val="004D37B9"/>
    <w:rsid w:val="004D3F30"/>
    <w:rsid w:val="004D42B4"/>
    <w:rsid w:val="004D43E0"/>
    <w:rsid w:val="004D4961"/>
    <w:rsid w:val="004D51EF"/>
    <w:rsid w:val="004D5529"/>
    <w:rsid w:val="004D62B5"/>
    <w:rsid w:val="004D68D1"/>
    <w:rsid w:val="004D69B7"/>
    <w:rsid w:val="004D6AB9"/>
    <w:rsid w:val="004E02F6"/>
    <w:rsid w:val="004E0D87"/>
    <w:rsid w:val="004E10E9"/>
    <w:rsid w:val="004E141D"/>
    <w:rsid w:val="004E1615"/>
    <w:rsid w:val="004E2CFE"/>
    <w:rsid w:val="004E31A4"/>
    <w:rsid w:val="004E4247"/>
    <w:rsid w:val="004E4ADB"/>
    <w:rsid w:val="004E4B91"/>
    <w:rsid w:val="004E57A7"/>
    <w:rsid w:val="004E5CDB"/>
    <w:rsid w:val="004E62F8"/>
    <w:rsid w:val="004E71CF"/>
    <w:rsid w:val="004E7285"/>
    <w:rsid w:val="004E737D"/>
    <w:rsid w:val="004E7C06"/>
    <w:rsid w:val="004F06C5"/>
    <w:rsid w:val="004F099D"/>
    <w:rsid w:val="004F17AE"/>
    <w:rsid w:val="004F2CCA"/>
    <w:rsid w:val="004F2FEA"/>
    <w:rsid w:val="004F569D"/>
    <w:rsid w:val="004F56DC"/>
    <w:rsid w:val="004F5E37"/>
    <w:rsid w:val="004F6C4C"/>
    <w:rsid w:val="004F6FCC"/>
    <w:rsid w:val="004F748C"/>
    <w:rsid w:val="00501E3F"/>
    <w:rsid w:val="0050310D"/>
    <w:rsid w:val="005048B2"/>
    <w:rsid w:val="00506264"/>
    <w:rsid w:val="005069AE"/>
    <w:rsid w:val="005075EA"/>
    <w:rsid w:val="00507B0F"/>
    <w:rsid w:val="005114E8"/>
    <w:rsid w:val="005114FD"/>
    <w:rsid w:val="005116B6"/>
    <w:rsid w:val="00511D02"/>
    <w:rsid w:val="0051247D"/>
    <w:rsid w:val="0051253F"/>
    <w:rsid w:val="00512F83"/>
    <w:rsid w:val="0051344E"/>
    <w:rsid w:val="00513E6C"/>
    <w:rsid w:val="005142AA"/>
    <w:rsid w:val="00515A04"/>
    <w:rsid w:val="005166D8"/>
    <w:rsid w:val="005178BB"/>
    <w:rsid w:val="005214C7"/>
    <w:rsid w:val="00522338"/>
    <w:rsid w:val="00522558"/>
    <w:rsid w:val="005233C7"/>
    <w:rsid w:val="005239CA"/>
    <w:rsid w:val="005245EC"/>
    <w:rsid w:val="00524719"/>
    <w:rsid w:val="0052498A"/>
    <w:rsid w:val="0052562F"/>
    <w:rsid w:val="0052633A"/>
    <w:rsid w:val="005269E5"/>
    <w:rsid w:val="005274C1"/>
    <w:rsid w:val="00527601"/>
    <w:rsid w:val="00527E32"/>
    <w:rsid w:val="005303FC"/>
    <w:rsid w:val="005307E1"/>
    <w:rsid w:val="005313B1"/>
    <w:rsid w:val="00531C9F"/>
    <w:rsid w:val="00531E14"/>
    <w:rsid w:val="00532722"/>
    <w:rsid w:val="00532A8A"/>
    <w:rsid w:val="00533E41"/>
    <w:rsid w:val="00534012"/>
    <w:rsid w:val="0053464D"/>
    <w:rsid w:val="00534BAF"/>
    <w:rsid w:val="00535EDD"/>
    <w:rsid w:val="005372CC"/>
    <w:rsid w:val="00537BFA"/>
    <w:rsid w:val="00540435"/>
    <w:rsid w:val="00540CF5"/>
    <w:rsid w:val="00540EDD"/>
    <w:rsid w:val="00541467"/>
    <w:rsid w:val="00541974"/>
    <w:rsid w:val="00541AF0"/>
    <w:rsid w:val="00542882"/>
    <w:rsid w:val="00544A40"/>
    <w:rsid w:val="00544D4D"/>
    <w:rsid w:val="00545CE8"/>
    <w:rsid w:val="0054694A"/>
    <w:rsid w:val="00547536"/>
    <w:rsid w:val="00547DA7"/>
    <w:rsid w:val="00551226"/>
    <w:rsid w:val="00551A3D"/>
    <w:rsid w:val="00551A8E"/>
    <w:rsid w:val="00551E21"/>
    <w:rsid w:val="00552E7B"/>
    <w:rsid w:val="00553B22"/>
    <w:rsid w:val="00553F1A"/>
    <w:rsid w:val="0055428C"/>
    <w:rsid w:val="0055470B"/>
    <w:rsid w:val="0055538C"/>
    <w:rsid w:val="00555554"/>
    <w:rsid w:val="00555AEC"/>
    <w:rsid w:val="00555C54"/>
    <w:rsid w:val="005570D4"/>
    <w:rsid w:val="005575FE"/>
    <w:rsid w:val="005608CF"/>
    <w:rsid w:val="005629E3"/>
    <w:rsid w:val="00564077"/>
    <w:rsid w:val="00564CB4"/>
    <w:rsid w:val="00565008"/>
    <w:rsid w:val="00565C96"/>
    <w:rsid w:val="005667FE"/>
    <w:rsid w:val="0056706E"/>
    <w:rsid w:val="005701EE"/>
    <w:rsid w:val="0057060A"/>
    <w:rsid w:val="00570F9F"/>
    <w:rsid w:val="0057205E"/>
    <w:rsid w:val="00572706"/>
    <w:rsid w:val="00574457"/>
    <w:rsid w:val="00574696"/>
    <w:rsid w:val="00574A51"/>
    <w:rsid w:val="005752CB"/>
    <w:rsid w:val="00575311"/>
    <w:rsid w:val="00575A6C"/>
    <w:rsid w:val="005765CB"/>
    <w:rsid w:val="005772B8"/>
    <w:rsid w:val="00577806"/>
    <w:rsid w:val="00577F36"/>
    <w:rsid w:val="005816C6"/>
    <w:rsid w:val="00581D8E"/>
    <w:rsid w:val="005824FF"/>
    <w:rsid w:val="00583D98"/>
    <w:rsid w:val="005840FC"/>
    <w:rsid w:val="0058411D"/>
    <w:rsid w:val="00584594"/>
    <w:rsid w:val="00585941"/>
    <w:rsid w:val="00585B3C"/>
    <w:rsid w:val="00586205"/>
    <w:rsid w:val="00586EB9"/>
    <w:rsid w:val="00587356"/>
    <w:rsid w:val="0058740D"/>
    <w:rsid w:val="005875F7"/>
    <w:rsid w:val="00587A46"/>
    <w:rsid w:val="005904FD"/>
    <w:rsid w:val="005916A7"/>
    <w:rsid w:val="005919B8"/>
    <w:rsid w:val="00592006"/>
    <w:rsid w:val="00592C49"/>
    <w:rsid w:val="00592E61"/>
    <w:rsid w:val="0059349B"/>
    <w:rsid w:val="0059388E"/>
    <w:rsid w:val="00593E55"/>
    <w:rsid w:val="005952B9"/>
    <w:rsid w:val="00595D5A"/>
    <w:rsid w:val="005964D4"/>
    <w:rsid w:val="00596552"/>
    <w:rsid w:val="00596574"/>
    <w:rsid w:val="00596C02"/>
    <w:rsid w:val="005A16E3"/>
    <w:rsid w:val="005A1C6A"/>
    <w:rsid w:val="005A1E77"/>
    <w:rsid w:val="005A2E03"/>
    <w:rsid w:val="005A3668"/>
    <w:rsid w:val="005A4A12"/>
    <w:rsid w:val="005A5384"/>
    <w:rsid w:val="005A69B4"/>
    <w:rsid w:val="005A7A30"/>
    <w:rsid w:val="005A7A45"/>
    <w:rsid w:val="005A7AEC"/>
    <w:rsid w:val="005A7B2A"/>
    <w:rsid w:val="005A7F03"/>
    <w:rsid w:val="005B0D08"/>
    <w:rsid w:val="005B1113"/>
    <w:rsid w:val="005B2BB1"/>
    <w:rsid w:val="005B2F69"/>
    <w:rsid w:val="005B300F"/>
    <w:rsid w:val="005B4EDE"/>
    <w:rsid w:val="005B6363"/>
    <w:rsid w:val="005B6852"/>
    <w:rsid w:val="005C02B2"/>
    <w:rsid w:val="005C05C1"/>
    <w:rsid w:val="005C0EAF"/>
    <w:rsid w:val="005C1B2E"/>
    <w:rsid w:val="005C1BFB"/>
    <w:rsid w:val="005C2871"/>
    <w:rsid w:val="005C3F36"/>
    <w:rsid w:val="005C40C0"/>
    <w:rsid w:val="005C46AC"/>
    <w:rsid w:val="005C4C25"/>
    <w:rsid w:val="005C542C"/>
    <w:rsid w:val="005C61DB"/>
    <w:rsid w:val="005C7422"/>
    <w:rsid w:val="005C7AC0"/>
    <w:rsid w:val="005D0159"/>
    <w:rsid w:val="005D0783"/>
    <w:rsid w:val="005D096B"/>
    <w:rsid w:val="005D09B9"/>
    <w:rsid w:val="005D0EC6"/>
    <w:rsid w:val="005D19D8"/>
    <w:rsid w:val="005D1BB7"/>
    <w:rsid w:val="005D2C42"/>
    <w:rsid w:val="005D319F"/>
    <w:rsid w:val="005D331B"/>
    <w:rsid w:val="005D3D21"/>
    <w:rsid w:val="005D4097"/>
    <w:rsid w:val="005D45FC"/>
    <w:rsid w:val="005D4F3D"/>
    <w:rsid w:val="005D5748"/>
    <w:rsid w:val="005D579E"/>
    <w:rsid w:val="005D5A9C"/>
    <w:rsid w:val="005D5CCB"/>
    <w:rsid w:val="005D6FCD"/>
    <w:rsid w:val="005D713B"/>
    <w:rsid w:val="005D713E"/>
    <w:rsid w:val="005D7154"/>
    <w:rsid w:val="005D71F0"/>
    <w:rsid w:val="005D74A1"/>
    <w:rsid w:val="005E00C7"/>
    <w:rsid w:val="005E01B6"/>
    <w:rsid w:val="005E01DE"/>
    <w:rsid w:val="005E1675"/>
    <w:rsid w:val="005E38DB"/>
    <w:rsid w:val="005E4BDC"/>
    <w:rsid w:val="005E4F55"/>
    <w:rsid w:val="005E504C"/>
    <w:rsid w:val="005E5D02"/>
    <w:rsid w:val="005E5D69"/>
    <w:rsid w:val="005E64DE"/>
    <w:rsid w:val="005F0376"/>
    <w:rsid w:val="005F0C9A"/>
    <w:rsid w:val="005F136D"/>
    <w:rsid w:val="005F19EA"/>
    <w:rsid w:val="005F3264"/>
    <w:rsid w:val="005F32E8"/>
    <w:rsid w:val="005F3641"/>
    <w:rsid w:val="005F42B5"/>
    <w:rsid w:val="005F521F"/>
    <w:rsid w:val="005F6601"/>
    <w:rsid w:val="005F6B90"/>
    <w:rsid w:val="005F6BCD"/>
    <w:rsid w:val="005F7788"/>
    <w:rsid w:val="006005CA"/>
    <w:rsid w:val="006006EE"/>
    <w:rsid w:val="00600845"/>
    <w:rsid w:val="006016BC"/>
    <w:rsid w:val="0060194E"/>
    <w:rsid w:val="00602B32"/>
    <w:rsid w:val="00603322"/>
    <w:rsid w:val="006039CB"/>
    <w:rsid w:val="00603AB9"/>
    <w:rsid w:val="006066C7"/>
    <w:rsid w:val="00606B4A"/>
    <w:rsid w:val="00606C33"/>
    <w:rsid w:val="00607849"/>
    <w:rsid w:val="00607BB9"/>
    <w:rsid w:val="00607D85"/>
    <w:rsid w:val="00610012"/>
    <w:rsid w:val="00610BE3"/>
    <w:rsid w:val="00613BEB"/>
    <w:rsid w:val="00614511"/>
    <w:rsid w:val="0061545F"/>
    <w:rsid w:val="006168AB"/>
    <w:rsid w:val="00616A3B"/>
    <w:rsid w:val="006171DD"/>
    <w:rsid w:val="006177AB"/>
    <w:rsid w:val="00617DD1"/>
    <w:rsid w:val="00617E6A"/>
    <w:rsid w:val="0062002D"/>
    <w:rsid w:val="0062021A"/>
    <w:rsid w:val="00620F59"/>
    <w:rsid w:val="00620F76"/>
    <w:rsid w:val="006212D8"/>
    <w:rsid w:val="006215F3"/>
    <w:rsid w:val="006222DD"/>
    <w:rsid w:val="00622836"/>
    <w:rsid w:val="00622BB1"/>
    <w:rsid w:val="006233AC"/>
    <w:rsid w:val="00625074"/>
    <w:rsid w:val="00625337"/>
    <w:rsid w:val="006258DD"/>
    <w:rsid w:val="00625DF9"/>
    <w:rsid w:val="00626F90"/>
    <w:rsid w:val="00627EA2"/>
    <w:rsid w:val="0063045B"/>
    <w:rsid w:val="006308A3"/>
    <w:rsid w:val="0063196E"/>
    <w:rsid w:val="00631AC4"/>
    <w:rsid w:val="0063234C"/>
    <w:rsid w:val="00632BB7"/>
    <w:rsid w:val="00632DB8"/>
    <w:rsid w:val="0063356F"/>
    <w:rsid w:val="00634F35"/>
    <w:rsid w:val="00635B9E"/>
    <w:rsid w:val="0063612D"/>
    <w:rsid w:val="006369B8"/>
    <w:rsid w:val="00637602"/>
    <w:rsid w:val="00640959"/>
    <w:rsid w:val="00641FDC"/>
    <w:rsid w:val="00642D08"/>
    <w:rsid w:val="00643604"/>
    <w:rsid w:val="00644631"/>
    <w:rsid w:val="00644F5B"/>
    <w:rsid w:val="00647A45"/>
    <w:rsid w:val="00647DE7"/>
    <w:rsid w:val="00650BD6"/>
    <w:rsid w:val="00651036"/>
    <w:rsid w:val="006513B9"/>
    <w:rsid w:val="006515C4"/>
    <w:rsid w:val="0065193A"/>
    <w:rsid w:val="006521AC"/>
    <w:rsid w:val="0065243F"/>
    <w:rsid w:val="00652727"/>
    <w:rsid w:val="00654A0B"/>
    <w:rsid w:val="006552E8"/>
    <w:rsid w:val="00656F44"/>
    <w:rsid w:val="00657A69"/>
    <w:rsid w:val="00660686"/>
    <w:rsid w:val="00660881"/>
    <w:rsid w:val="00660B03"/>
    <w:rsid w:val="00660C2C"/>
    <w:rsid w:val="00661012"/>
    <w:rsid w:val="006623FF"/>
    <w:rsid w:val="006628D1"/>
    <w:rsid w:val="006629AA"/>
    <w:rsid w:val="00662EB1"/>
    <w:rsid w:val="0066392B"/>
    <w:rsid w:val="00663D60"/>
    <w:rsid w:val="00666AB0"/>
    <w:rsid w:val="00666C1F"/>
    <w:rsid w:val="00666F24"/>
    <w:rsid w:val="006679C3"/>
    <w:rsid w:val="006700B2"/>
    <w:rsid w:val="00671E18"/>
    <w:rsid w:val="00672CFE"/>
    <w:rsid w:val="00672FF7"/>
    <w:rsid w:val="00673F2E"/>
    <w:rsid w:val="00675858"/>
    <w:rsid w:val="0067586F"/>
    <w:rsid w:val="0067596F"/>
    <w:rsid w:val="006762CB"/>
    <w:rsid w:val="00676989"/>
    <w:rsid w:val="00676DD7"/>
    <w:rsid w:val="006801D6"/>
    <w:rsid w:val="00681385"/>
    <w:rsid w:val="0068281F"/>
    <w:rsid w:val="00683AB8"/>
    <w:rsid w:val="006843CE"/>
    <w:rsid w:val="0068495A"/>
    <w:rsid w:val="00684A53"/>
    <w:rsid w:val="00684AFB"/>
    <w:rsid w:val="00685AF6"/>
    <w:rsid w:val="00686942"/>
    <w:rsid w:val="0068731E"/>
    <w:rsid w:val="00690075"/>
    <w:rsid w:val="00690858"/>
    <w:rsid w:val="00690D2E"/>
    <w:rsid w:val="0069146E"/>
    <w:rsid w:val="00691DBE"/>
    <w:rsid w:val="00692097"/>
    <w:rsid w:val="00692102"/>
    <w:rsid w:val="006928F1"/>
    <w:rsid w:val="00692FBE"/>
    <w:rsid w:val="0069376E"/>
    <w:rsid w:val="00693A8E"/>
    <w:rsid w:val="00694BA4"/>
    <w:rsid w:val="0069615A"/>
    <w:rsid w:val="00697782"/>
    <w:rsid w:val="006A03EC"/>
    <w:rsid w:val="006A33A6"/>
    <w:rsid w:val="006A3EAD"/>
    <w:rsid w:val="006A473D"/>
    <w:rsid w:val="006A5034"/>
    <w:rsid w:val="006A58CC"/>
    <w:rsid w:val="006A5FB8"/>
    <w:rsid w:val="006A7D02"/>
    <w:rsid w:val="006B12D4"/>
    <w:rsid w:val="006B2D0D"/>
    <w:rsid w:val="006B3B16"/>
    <w:rsid w:val="006B3C18"/>
    <w:rsid w:val="006B50E5"/>
    <w:rsid w:val="006B59EE"/>
    <w:rsid w:val="006B5F79"/>
    <w:rsid w:val="006B602C"/>
    <w:rsid w:val="006B783F"/>
    <w:rsid w:val="006C1CD1"/>
    <w:rsid w:val="006C1DD0"/>
    <w:rsid w:val="006C1FDE"/>
    <w:rsid w:val="006C25B1"/>
    <w:rsid w:val="006C41EB"/>
    <w:rsid w:val="006C44CA"/>
    <w:rsid w:val="006C4893"/>
    <w:rsid w:val="006C4BA5"/>
    <w:rsid w:val="006C5083"/>
    <w:rsid w:val="006C5C88"/>
    <w:rsid w:val="006C6FD0"/>
    <w:rsid w:val="006D0300"/>
    <w:rsid w:val="006D055A"/>
    <w:rsid w:val="006D0704"/>
    <w:rsid w:val="006D08C1"/>
    <w:rsid w:val="006D11EF"/>
    <w:rsid w:val="006D2F92"/>
    <w:rsid w:val="006D32A4"/>
    <w:rsid w:val="006D4C26"/>
    <w:rsid w:val="006D4D60"/>
    <w:rsid w:val="006D54BE"/>
    <w:rsid w:val="006D56EF"/>
    <w:rsid w:val="006D6402"/>
    <w:rsid w:val="006D6506"/>
    <w:rsid w:val="006E01E3"/>
    <w:rsid w:val="006E109C"/>
    <w:rsid w:val="006E15B9"/>
    <w:rsid w:val="006E1F04"/>
    <w:rsid w:val="006E3E12"/>
    <w:rsid w:val="006E43E9"/>
    <w:rsid w:val="006E4DB1"/>
    <w:rsid w:val="006E595D"/>
    <w:rsid w:val="006E6335"/>
    <w:rsid w:val="006E6737"/>
    <w:rsid w:val="006E6E55"/>
    <w:rsid w:val="006F0309"/>
    <w:rsid w:val="006F094B"/>
    <w:rsid w:val="006F0CB6"/>
    <w:rsid w:val="006F16CE"/>
    <w:rsid w:val="006F19E8"/>
    <w:rsid w:val="006F27E6"/>
    <w:rsid w:val="006F2B82"/>
    <w:rsid w:val="006F2C5B"/>
    <w:rsid w:val="006F3A9B"/>
    <w:rsid w:val="006F6F4C"/>
    <w:rsid w:val="0070031D"/>
    <w:rsid w:val="0070036C"/>
    <w:rsid w:val="00700634"/>
    <w:rsid w:val="00700A3A"/>
    <w:rsid w:val="00701352"/>
    <w:rsid w:val="00701639"/>
    <w:rsid w:val="007019B0"/>
    <w:rsid w:val="00701CE8"/>
    <w:rsid w:val="007020E5"/>
    <w:rsid w:val="007028ED"/>
    <w:rsid w:val="00702B05"/>
    <w:rsid w:val="0070318F"/>
    <w:rsid w:val="00703EAE"/>
    <w:rsid w:val="00704C40"/>
    <w:rsid w:val="00705D42"/>
    <w:rsid w:val="00706658"/>
    <w:rsid w:val="00706769"/>
    <w:rsid w:val="00706E63"/>
    <w:rsid w:val="0070747A"/>
    <w:rsid w:val="00710A6D"/>
    <w:rsid w:val="00711D84"/>
    <w:rsid w:val="007121C5"/>
    <w:rsid w:val="007124ED"/>
    <w:rsid w:val="00713EA6"/>
    <w:rsid w:val="00713F69"/>
    <w:rsid w:val="007143A3"/>
    <w:rsid w:val="00714D32"/>
    <w:rsid w:val="00715068"/>
    <w:rsid w:val="00715078"/>
    <w:rsid w:val="0071568F"/>
    <w:rsid w:val="00715A65"/>
    <w:rsid w:val="00716762"/>
    <w:rsid w:val="00716CC6"/>
    <w:rsid w:val="007170BE"/>
    <w:rsid w:val="007171D9"/>
    <w:rsid w:val="00717988"/>
    <w:rsid w:val="00717A54"/>
    <w:rsid w:val="00717D26"/>
    <w:rsid w:val="00720EDF"/>
    <w:rsid w:val="00721905"/>
    <w:rsid w:val="00723BA2"/>
    <w:rsid w:val="0072413A"/>
    <w:rsid w:val="00725FFC"/>
    <w:rsid w:val="00726B4F"/>
    <w:rsid w:val="00730140"/>
    <w:rsid w:val="0073025C"/>
    <w:rsid w:val="00731841"/>
    <w:rsid w:val="00731972"/>
    <w:rsid w:val="00733730"/>
    <w:rsid w:val="007339CB"/>
    <w:rsid w:val="007346DB"/>
    <w:rsid w:val="00736B5D"/>
    <w:rsid w:val="0073796D"/>
    <w:rsid w:val="00737FAC"/>
    <w:rsid w:val="00740FB5"/>
    <w:rsid w:val="00741611"/>
    <w:rsid w:val="00741A4D"/>
    <w:rsid w:val="00741E8A"/>
    <w:rsid w:val="00744BC9"/>
    <w:rsid w:val="00746145"/>
    <w:rsid w:val="0074744C"/>
    <w:rsid w:val="00747B68"/>
    <w:rsid w:val="00747E3B"/>
    <w:rsid w:val="00750248"/>
    <w:rsid w:val="00750ABD"/>
    <w:rsid w:val="00751751"/>
    <w:rsid w:val="00751C95"/>
    <w:rsid w:val="00753699"/>
    <w:rsid w:val="0075451D"/>
    <w:rsid w:val="0075456D"/>
    <w:rsid w:val="00754BB5"/>
    <w:rsid w:val="0075557B"/>
    <w:rsid w:val="007571BC"/>
    <w:rsid w:val="00757275"/>
    <w:rsid w:val="007576CD"/>
    <w:rsid w:val="007579DA"/>
    <w:rsid w:val="00757B7D"/>
    <w:rsid w:val="0076084E"/>
    <w:rsid w:val="00760F09"/>
    <w:rsid w:val="00761209"/>
    <w:rsid w:val="00761F3C"/>
    <w:rsid w:val="00762130"/>
    <w:rsid w:val="00762B18"/>
    <w:rsid w:val="00764028"/>
    <w:rsid w:val="0076480B"/>
    <w:rsid w:val="007653ED"/>
    <w:rsid w:val="0076628F"/>
    <w:rsid w:val="007675B9"/>
    <w:rsid w:val="00767DAE"/>
    <w:rsid w:val="00770E31"/>
    <w:rsid w:val="00772F2F"/>
    <w:rsid w:val="007754BA"/>
    <w:rsid w:val="00775E18"/>
    <w:rsid w:val="00776B87"/>
    <w:rsid w:val="00776D60"/>
    <w:rsid w:val="00777E55"/>
    <w:rsid w:val="00780094"/>
    <w:rsid w:val="007801D4"/>
    <w:rsid w:val="00780B4F"/>
    <w:rsid w:val="00781612"/>
    <w:rsid w:val="0078241B"/>
    <w:rsid w:val="007831AA"/>
    <w:rsid w:val="0078454D"/>
    <w:rsid w:val="007846B3"/>
    <w:rsid w:val="00784FDD"/>
    <w:rsid w:val="00786B6C"/>
    <w:rsid w:val="00787BDE"/>
    <w:rsid w:val="007908D6"/>
    <w:rsid w:val="00790F3B"/>
    <w:rsid w:val="00791A8F"/>
    <w:rsid w:val="00791E02"/>
    <w:rsid w:val="00791FFF"/>
    <w:rsid w:val="007922CB"/>
    <w:rsid w:val="00792C09"/>
    <w:rsid w:val="0079364D"/>
    <w:rsid w:val="00793665"/>
    <w:rsid w:val="007939DC"/>
    <w:rsid w:val="00793C1A"/>
    <w:rsid w:val="00793CA1"/>
    <w:rsid w:val="00794002"/>
    <w:rsid w:val="007958B0"/>
    <w:rsid w:val="007959AB"/>
    <w:rsid w:val="00795BD9"/>
    <w:rsid w:val="007964D9"/>
    <w:rsid w:val="007967E6"/>
    <w:rsid w:val="007971B6"/>
    <w:rsid w:val="00797F8B"/>
    <w:rsid w:val="007A01DD"/>
    <w:rsid w:val="007A01E5"/>
    <w:rsid w:val="007A028A"/>
    <w:rsid w:val="007A0758"/>
    <w:rsid w:val="007A08C2"/>
    <w:rsid w:val="007A0A94"/>
    <w:rsid w:val="007A0F4F"/>
    <w:rsid w:val="007A15F9"/>
    <w:rsid w:val="007A19FF"/>
    <w:rsid w:val="007A1A0B"/>
    <w:rsid w:val="007A1AAE"/>
    <w:rsid w:val="007A3E7F"/>
    <w:rsid w:val="007A4227"/>
    <w:rsid w:val="007A5228"/>
    <w:rsid w:val="007A5BAE"/>
    <w:rsid w:val="007A5D29"/>
    <w:rsid w:val="007A61F2"/>
    <w:rsid w:val="007A6223"/>
    <w:rsid w:val="007A6463"/>
    <w:rsid w:val="007B07CD"/>
    <w:rsid w:val="007B178F"/>
    <w:rsid w:val="007B185B"/>
    <w:rsid w:val="007B1C72"/>
    <w:rsid w:val="007B24FB"/>
    <w:rsid w:val="007B29D7"/>
    <w:rsid w:val="007B35E3"/>
    <w:rsid w:val="007B5300"/>
    <w:rsid w:val="007B6002"/>
    <w:rsid w:val="007B6C64"/>
    <w:rsid w:val="007B6F75"/>
    <w:rsid w:val="007B7456"/>
    <w:rsid w:val="007B79E0"/>
    <w:rsid w:val="007C0359"/>
    <w:rsid w:val="007C0905"/>
    <w:rsid w:val="007C2A78"/>
    <w:rsid w:val="007C3B9F"/>
    <w:rsid w:val="007C4356"/>
    <w:rsid w:val="007C45C1"/>
    <w:rsid w:val="007C57E7"/>
    <w:rsid w:val="007C702B"/>
    <w:rsid w:val="007C78C9"/>
    <w:rsid w:val="007D236C"/>
    <w:rsid w:val="007D243B"/>
    <w:rsid w:val="007D2607"/>
    <w:rsid w:val="007D2E32"/>
    <w:rsid w:val="007D37B3"/>
    <w:rsid w:val="007D3E90"/>
    <w:rsid w:val="007D4C59"/>
    <w:rsid w:val="007D4D44"/>
    <w:rsid w:val="007D4D96"/>
    <w:rsid w:val="007D657C"/>
    <w:rsid w:val="007D69EC"/>
    <w:rsid w:val="007D6B8B"/>
    <w:rsid w:val="007D7663"/>
    <w:rsid w:val="007E0AEB"/>
    <w:rsid w:val="007E2442"/>
    <w:rsid w:val="007E33AD"/>
    <w:rsid w:val="007E3987"/>
    <w:rsid w:val="007E3B2B"/>
    <w:rsid w:val="007E445E"/>
    <w:rsid w:val="007E66B7"/>
    <w:rsid w:val="007F1144"/>
    <w:rsid w:val="007F1B45"/>
    <w:rsid w:val="007F2062"/>
    <w:rsid w:val="007F4221"/>
    <w:rsid w:val="007F4D07"/>
    <w:rsid w:val="007F4D7C"/>
    <w:rsid w:val="007F4F17"/>
    <w:rsid w:val="007F595F"/>
    <w:rsid w:val="007F5A06"/>
    <w:rsid w:val="007F5F7E"/>
    <w:rsid w:val="007F600E"/>
    <w:rsid w:val="007F6CB7"/>
    <w:rsid w:val="007F6E8C"/>
    <w:rsid w:val="007F7023"/>
    <w:rsid w:val="007F7565"/>
    <w:rsid w:val="007F764C"/>
    <w:rsid w:val="007F7825"/>
    <w:rsid w:val="007F79FC"/>
    <w:rsid w:val="0080056C"/>
    <w:rsid w:val="008016AE"/>
    <w:rsid w:val="008016B6"/>
    <w:rsid w:val="00802E10"/>
    <w:rsid w:val="00803593"/>
    <w:rsid w:val="008035E6"/>
    <w:rsid w:val="00804818"/>
    <w:rsid w:val="0080574E"/>
    <w:rsid w:val="0080674B"/>
    <w:rsid w:val="00806C9C"/>
    <w:rsid w:val="0081067B"/>
    <w:rsid w:val="00812D3F"/>
    <w:rsid w:val="00813446"/>
    <w:rsid w:val="00813F1E"/>
    <w:rsid w:val="00814166"/>
    <w:rsid w:val="008145B3"/>
    <w:rsid w:val="00814B70"/>
    <w:rsid w:val="00816444"/>
    <w:rsid w:val="00817C2C"/>
    <w:rsid w:val="00820EAA"/>
    <w:rsid w:val="00821AAF"/>
    <w:rsid w:val="00823BBC"/>
    <w:rsid w:val="008250DC"/>
    <w:rsid w:val="00825423"/>
    <w:rsid w:val="00826D9B"/>
    <w:rsid w:val="008276A4"/>
    <w:rsid w:val="00827B7B"/>
    <w:rsid w:val="00827F3B"/>
    <w:rsid w:val="008300E3"/>
    <w:rsid w:val="0083130E"/>
    <w:rsid w:val="00831A2A"/>
    <w:rsid w:val="008338A4"/>
    <w:rsid w:val="00833E40"/>
    <w:rsid w:val="00834C87"/>
    <w:rsid w:val="00834FF4"/>
    <w:rsid w:val="00835077"/>
    <w:rsid w:val="008353D5"/>
    <w:rsid w:val="008357B0"/>
    <w:rsid w:val="00835C52"/>
    <w:rsid w:val="00835D7B"/>
    <w:rsid w:val="00836ABA"/>
    <w:rsid w:val="00837D84"/>
    <w:rsid w:val="008402C0"/>
    <w:rsid w:val="008412B5"/>
    <w:rsid w:val="00841B80"/>
    <w:rsid w:val="00841F7B"/>
    <w:rsid w:val="0084372D"/>
    <w:rsid w:val="00843AE4"/>
    <w:rsid w:val="00844499"/>
    <w:rsid w:val="00845521"/>
    <w:rsid w:val="00845BB5"/>
    <w:rsid w:val="008474D6"/>
    <w:rsid w:val="00850616"/>
    <w:rsid w:val="00850650"/>
    <w:rsid w:val="00852EFA"/>
    <w:rsid w:val="0085310E"/>
    <w:rsid w:val="00853138"/>
    <w:rsid w:val="00853FFB"/>
    <w:rsid w:val="008546BD"/>
    <w:rsid w:val="00856A6A"/>
    <w:rsid w:val="008573B8"/>
    <w:rsid w:val="008602C6"/>
    <w:rsid w:val="0086121F"/>
    <w:rsid w:val="00861876"/>
    <w:rsid w:val="00861EEA"/>
    <w:rsid w:val="00862150"/>
    <w:rsid w:val="00862C5A"/>
    <w:rsid w:val="00864755"/>
    <w:rsid w:val="00870ED5"/>
    <w:rsid w:val="00872412"/>
    <w:rsid w:val="00872D5E"/>
    <w:rsid w:val="00873367"/>
    <w:rsid w:val="008733BD"/>
    <w:rsid w:val="0087383B"/>
    <w:rsid w:val="00873B18"/>
    <w:rsid w:val="008750E0"/>
    <w:rsid w:val="008757D3"/>
    <w:rsid w:val="008814AA"/>
    <w:rsid w:val="00882434"/>
    <w:rsid w:val="0088257F"/>
    <w:rsid w:val="008829A1"/>
    <w:rsid w:val="00883736"/>
    <w:rsid w:val="00884D5D"/>
    <w:rsid w:val="008855B0"/>
    <w:rsid w:val="008859EC"/>
    <w:rsid w:val="00886082"/>
    <w:rsid w:val="008905A7"/>
    <w:rsid w:val="0089087F"/>
    <w:rsid w:val="00891202"/>
    <w:rsid w:val="008912D8"/>
    <w:rsid w:val="0089161D"/>
    <w:rsid w:val="00892DD6"/>
    <w:rsid w:val="00893966"/>
    <w:rsid w:val="00893A3D"/>
    <w:rsid w:val="008942EB"/>
    <w:rsid w:val="00894E14"/>
    <w:rsid w:val="00897953"/>
    <w:rsid w:val="00897F51"/>
    <w:rsid w:val="008A0014"/>
    <w:rsid w:val="008A068F"/>
    <w:rsid w:val="008A11C0"/>
    <w:rsid w:val="008A153B"/>
    <w:rsid w:val="008A2F62"/>
    <w:rsid w:val="008A35BA"/>
    <w:rsid w:val="008A4146"/>
    <w:rsid w:val="008A5530"/>
    <w:rsid w:val="008A6D41"/>
    <w:rsid w:val="008A7E99"/>
    <w:rsid w:val="008B21A8"/>
    <w:rsid w:val="008B227A"/>
    <w:rsid w:val="008B2364"/>
    <w:rsid w:val="008B2693"/>
    <w:rsid w:val="008B29CD"/>
    <w:rsid w:val="008B2ACA"/>
    <w:rsid w:val="008B3CF2"/>
    <w:rsid w:val="008B466B"/>
    <w:rsid w:val="008B482C"/>
    <w:rsid w:val="008B4BA3"/>
    <w:rsid w:val="008B4D9A"/>
    <w:rsid w:val="008B5E44"/>
    <w:rsid w:val="008B6065"/>
    <w:rsid w:val="008B7567"/>
    <w:rsid w:val="008B7637"/>
    <w:rsid w:val="008B7BB6"/>
    <w:rsid w:val="008C0AC1"/>
    <w:rsid w:val="008C0C1C"/>
    <w:rsid w:val="008C0EF6"/>
    <w:rsid w:val="008C1F59"/>
    <w:rsid w:val="008C20B2"/>
    <w:rsid w:val="008C2A94"/>
    <w:rsid w:val="008C2E00"/>
    <w:rsid w:val="008C2EA0"/>
    <w:rsid w:val="008C2F4A"/>
    <w:rsid w:val="008C3EE4"/>
    <w:rsid w:val="008C3F6E"/>
    <w:rsid w:val="008C3FD2"/>
    <w:rsid w:val="008C460A"/>
    <w:rsid w:val="008C5C41"/>
    <w:rsid w:val="008C6087"/>
    <w:rsid w:val="008C6240"/>
    <w:rsid w:val="008C6539"/>
    <w:rsid w:val="008C687A"/>
    <w:rsid w:val="008C6F05"/>
    <w:rsid w:val="008C7D2C"/>
    <w:rsid w:val="008D2189"/>
    <w:rsid w:val="008D32A0"/>
    <w:rsid w:val="008D36AB"/>
    <w:rsid w:val="008D431D"/>
    <w:rsid w:val="008D4889"/>
    <w:rsid w:val="008D55D7"/>
    <w:rsid w:val="008D6184"/>
    <w:rsid w:val="008D628C"/>
    <w:rsid w:val="008D6754"/>
    <w:rsid w:val="008D6C8D"/>
    <w:rsid w:val="008E032F"/>
    <w:rsid w:val="008E0E61"/>
    <w:rsid w:val="008E1987"/>
    <w:rsid w:val="008E20C2"/>
    <w:rsid w:val="008E4F80"/>
    <w:rsid w:val="008E5656"/>
    <w:rsid w:val="008E578D"/>
    <w:rsid w:val="008E6366"/>
    <w:rsid w:val="008E6B86"/>
    <w:rsid w:val="008E7D36"/>
    <w:rsid w:val="008E7EF5"/>
    <w:rsid w:val="008F037B"/>
    <w:rsid w:val="008F0597"/>
    <w:rsid w:val="008F0A52"/>
    <w:rsid w:val="008F1990"/>
    <w:rsid w:val="008F1B78"/>
    <w:rsid w:val="008F240D"/>
    <w:rsid w:val="008F2A68"/>
    <w:rsid w:val="008F2C79"/>
    <w:rsid w:val="008F2EAE"/>
    <w:rsid w:val="008F5673"/>
    <w:rsid w:val="008F6A46"/>
    <w:rsid w:val="009005BE"/>
    <w:rsid w:val="009007A9"/>
    <w:rsid w:val="00900F0D"/>
    <w:rsid w:val="009012A2"/>
    <w:rsid w:val="00902086"/>
    <w:rsid w:val="0090362A"/>
    <w:rsid w:val="00903726"/>
    <w:rsid w:val="0090494B"/>
    <w:rsid w:val="00904C8B"/>
    <w:rsid w:val="00905F40"/>
    <w:rsid w:val="009064B9"/>
    <w:rsid w:val="009078F9"/>
    <w:rsid w:val="00910A3A"/>
    <w:rsid w:val="00910BD4"/>
    <w:rsid w:val="0091111E"/>
    <w:rsid w:val="009111F1"/>
    <w:rsid w:val="00911A0B"/>
    <w:rsid w:val="0091246F"/>
    <w:rsid w:val="00913082"/>
    <w:rsid w:val="00913434"/>
    <w:rsid w:val="00914EED"/>
    <w:rsid w:val="0091522C"/>
    <w:rsid w:val="009159B6"/>
    <w:rsid w:val="009174BD"/>
    <w:rsid w:val="00917BD5"/>
    <w:rsid w:val="00917C5E"/>
    <w:rsid w:val="00920D98"/>
    <w:rsid w:val="00920DA8"/>
    <w:rsid w:val="00921142"/>
    <w:rsid w:val="0092270B"/>
    <w:rsid w:val="00922C9A"/>
    <w:rsid w:val="009238F2"/>
    <w:rsid w:val="00923EC4"/>
    <w:rsid w:val="00924A45"/>
    <w:rsid w:val="009251A4"/>
    <w:rsid w:val="00925539"/>
    <w:rsid w:val="0092626E"/>
    <w:rsid w:val="00926503"/>
    <w:rsid w:val="00926525"/>
    <w:rsid w:val="009269FF"/>
    <w:rsid w:val="00926D0B"/>
    <w:rsid w:val="00927629"/>
    <w:rsid w:val="0093109F"/>
    <w:rsid w:val="0093189A"/>
    <w:rsid w:val="00931B58"/>
    <w:rsid w:val="00931F1B"/>
    <w:rsid w:val="00932E25"/>
    <w:rsid w:val="00932F3C"/>
    <w:rsid w:val="00933E78"/>
    <w:rsid w:val="009340E3"/>
    <w:rsid w:val="009343BB"/>
    <w:rsid w:val="009357A5"/>
    <w:rsid w:val="009365D9"/>
    <w:rsid w:val="00936E9A"/>
    <w:rsid w:val="009375E9"/>
    <w:rsid w:val="00942E14"/>
    <w:rsid w:val="00942FDF"/>
    <w:rsid w:val="009439F6"/>
    <w:rsid w:val="00943F6B"/>
    <w:rsid w:val="00943F94"/>
    <w:rsid w:val="0094402A"/>
    <w:rsid w:val="00944EC7"/>
    <w:rsid w:val="009460FD"/>
    <w:rsid w:val="009462DB"/>
    <w:rsid w:val="009471BD"/>
    <w:rsid w:val="00950BA6"/>
    <w:rsid w:val="00951FA3"/>
    <w:rsid w:val="009522D7"/>
    <w:rsid w:val="00952677"/>
    <w:rsid w:val="009534A7"/>
    <w:rsid w:val="009548DB"/>
    <w:rsid w:val="009551D5"/>
    <w:rsid w:val="00955399"/>
    <w:rsid w:val="009569DE"/>
    <w:rsid w:val="00956C27"/>
    <w:rsid w:val="00956E1C"/>
    <w:rsid w:val="00961960"/>
    <w:rsid w:val="00961C81"/>
    <w:rsid w:val="00961EC8"/>
    <w:rsid w:val="00963C25"/>
    <w:rsid w:val="00963FFB"/>
    <w:rsid w:val="009645FB"/>
    <w:rsid w:val="00964C66"/>
    <w:rsid w:val="00965151"/>
    <w:rsid w:val="0096520C"/>
    <w:rsid w:val="009671A1"/>
    <w:rsid w:val="00967D3B"/>
    <w:rsid w:val="009704D5"/>
    <w:rsid w:val="00971508"/>
    <w:rsid w:val="00971933"/>
    <w:rsid w:val="00972CCF"/>
    <w:rsid w:val="009730BC"/>
    <w:rsid w:val="009741BE"/>
    <w:rsid w:val="00974581"/>
    <w:rsid w:val="0097466C"/>
    <w:rsid w:val="00974E91"/>
    <w:rsid w:val="0097565B"/>
    <w:rsid w:val="0098124D"/>
    <w:rsid w:val="00981993"/>
    <w:rsid w:val="00982AC0"/>
    <w:rsid w:val="00982B30"/>
    <w:rsid w:val="00983CFC"/>
    <w:rsid w:val="009843B0"/>
    <w:rsid w:val="0098522E"/>
    <w:rsid w:val="009856BE"/>
    <w:rsid w:val="009857AA"/>
    <w:rsid w:val="00985899"/>
    <w:rsid w:val="009860A8"/>
    <w:rsid w:val="00986F60"/>
    <w:rsid w:val="00987612"/>
    <w:rsid w:val="00990BBA"/>
    <w:rsid w:val="009912E7"/>
    <w:rsid w:val="009918CE"/>
    <w:rsid w:val="00991F96"/>
    <w:rsid w:val="009926F0"/>
    <w:rsid w:val="00992930"/>
    <w:rsid w:val="00992D8E"/>
    <w:rsid w:val="00993084"/>
    <w:rsid w:val="00993089"/>
    <w:rsid w:val="009932DF"/>
    <w:rsid w:val="009937BD"/>
    <w:rsid w:val="00994B6F"/>
    <w:rsid w:val="00995524"/>
    <w:rsid w:val="00996689"/>
    <w:rsid w:val="00996FD8"/>
    <w:rsid w:val="009970A9"/>
    <w:rsid w:val="0099786E"/>
    <w:rsid w:val="00997F34"/>
    <w:rsid w:val="009A029F"/>
    <w:rsid w:val="009A06BD"/>
    <w:rsid w:val="009A2638"/>
    <w:rsid w:val="009A42B3"/>
    <w:rsid w:val="009A4B3D"/>
    <w:rsid w:val="009A4D4B"/>
    <w:rsid w:val="009A76EB"/>
    <w:rsid w:val="009A79CC"/>
    <w:rsid w:val="009B0A33"/>
    <w:rsid w:val="009B0C0E"/>
    <w:rsid w:val="009B144A"/>
    <w:rsid w:val="009B170D"/>
    <w:rsid w:val="009B1824"/>
    <w:rsid w:val="009B1888"/>
    <w:rsid w:val="009B22D9"/>
    <w:rsid w:val="009B37EA"/>
    <w:rsid w:val="009B38CA"/>
    <w:rsid w:val="009B3A44"/>
    <w:rsid w:val="009B43B2"/>
    <w:rsid w:val="009B46B0"/>
    <w:rsid w:val="009B4CAE"/>
    <w:rsid w:val="009B531F"/>
    <w:rsid w:val="009B5C1A"/>
    <w:rsid w:val="009B5D07"/>
    <w:rsid w:val="009B6020"/>
    <w:rsid w:val="009B7206"/>
    <w:rsid w:val="009C0091"/>
    <w:rsid w:val="009C1656"/>
    <w:rsid w:val="009C21D6"/>
    <w:rsid w:val="009C2DC3"/>
    <w:rsid w:val="009C3F7A"/>
    <w:rsid w:val="009C421C"/>
    <w:rsid w:val="009C4DDB"/>
    <w:rsid w:val="009C5142"/>
    <w:rsid w:val="009C5726"/>
    <w:rsid w:val="009C681B"/>
    <w:rsid w:val="009C6948"/>
    <w:rsid w:val="009C6A04"/>
    <w:rsid w:val="009D0960"/>
    <w:rsid w:val="009D1249"/>
    <w:rsid w:val="009D1679"/>
    <w:rsid w:val="009D1D97"/>
    <w:rsid w:val="009D26B4"/>
    <w:rsid w:val="009D2A66"/>
    <w:rsid w:val="009D37D8"/>
    <w:rsid w:val="009D4B13"/>
    <w:rsid w:val="009D50F5"/>
    <w:rsid w:val="009D559A"/>
    <w:rsid w:val="009D605E"/>
    <w:rsid w:val="009D62B6"/>
    <w:rsid w:val="009D63B3"/>
    <w:rsid w:val="009D6B21"/>
    <w:rsid w:val="009D7CCA"/>
    <w:rsid w:val="009D7CE9"/>
    <w:rsid w:val="009D7D2F"/>
    <w:rsid w:val="009E01F2"/>
    <w:rsid w:val="009E0452"/>
    <w:rsid w:val="009E0C53"/>
    <w:rsid w:val="009E2330"/>
    <w:rsid w:val="009E27C4"/>
    <w:rsid w:val="009E3087"/>
    <w:rsid w:val="009E4806"/>
    <w:rsid w:val="009E4D61"/>
    <w:rsid w:val="009E643D"/>
    <w:rsid w:val="009E6890"/>
    <w:rsid w:val="009E6ECD"/>
    <w:rsid w:val="009E7B1A"/>
    <w:rsid w:val="009F0AEE"/>
    <w:rsid w:val="009F0B27"/>
    <w:rsid w:val="009F0C15"/>
    <w:rsid w:val="009F0F1C"/>
    <w:rsid w:val="009F1340"/>
    <w:rsid w:val="009F1A42"/>
    <w:rsid w:val="009F1E03"/>
    <w:rsid w:val="009F34AD"/>
    <w:rsid w:val="009F363D"/>
    <w:rsid w:val="009F37D5"/>
    <w:rsid w:val="009F4016"/>
    <w:rsid w:val="009F46EF"/>
    <w:rsid w:val="009F4724"/>
    <w:rsid w:val="009F4948"/>
    <w:rsid w:val="009F4C26"/>
    <w:rsid w:val="009F4E08"/>
    <w:rsid w:val="009F56E6"/>
    <w:rsid w:val="009F7474"/>
    <w:rsid w:val="009F7ED9"/>
    <w:rsid w:val="00A013B6"/>
    <w:rsid w:val="00A02DE5"/>
    <w:rsid w:val="00A02E8D"/>
    <w:rsid w:val="00A03CF2"/>
    <w:rsid w:val="00A03E59"/>
    <w:rsid w:val="00A04113"/>
    <w:rsid w:val="00A046FA"/>
    <w:rsid w:val="00A04A22"/>
    <w:rsid w:val="00A055F0"/>
    <w:rsid w:val="00A05ADF"/>
    <w:rsid w:val="00A06977"/>
    <w:rsid w:val="00A07040"/>
    <w:rsid w:val="00A10904"/>
    <w:rsid w:val="00A11471"/>
    <w:rsid w:val="00A12335"/>
    <w:rsid w:val="00A12A43"/>
    <w:rsid w:val="00A12E27"/>
    <w:rsid w:val="00A134B5"/>
    <w:rsid w:val="00A14604"/>
    <w:rsid w:val="00A14BAF"/>
    <w:rsid w:val="00A15A76"/>
    <w:rsid w:val="00A15D8D"/>
    <w:rsid w:val="00A16379"/>
    <w:rsid w:val="00A16DEE"/>
    <w:rsid w:val="00A17A80"/>
    <w:rsid w:val="00A216F6"/>
    <w:rsid w:val="00A21E0C"/>
    <w:rsid w:val="00A2334B"/>
    <w:rsid w:val="00A234F8"/>
    <w:rsid w:val="00A23FB8"/>
    <w:rsid w:val="00A2403D"/>
    <w:rsid w:val="00A254C7"/>
    <w:rsid w:val="00A25A6D"/>
    <w:rsid w:val="00A25EAF"/>
    <w:rsid w:val="00A25ECF"/>
    <w:rsid w:val="00A26F6D"/>
    <w:rsid w:val="00A3117C"/>
    <w:rsid w:val="00A31AE7"/>
    <w:rsid w:val="00A32233"/>
    <w:rsid w:val="00A327F2"/>
    <w:rsid w:val="00A33000"/>
    <w:rsid w:val="00A3315C"/>
    <w:rsid w:val="00A339F1"/>
    <w:rsid w:val="00A33AC5"/>
    <w:rsid w:val="00A33BC1"/>
    <w:rsid w:val="00A34190"/>
    <w:rsid w:val="00A34A02"/>
    <w:rsid w:val="00A35479"/>
    <w:rsid w:val="00A35785"/>
    <w:rsid w:val="00A36FBA"/>
    <w:rsid w:val="00A375F5"/>
    <w:rsid w:val="00A406DF"/>
    <w:rsid w:val="00A411BB"/>
    <w:rsid w:val="00A41E59"/>
    <w:rsid w:val="00A4370B"/>
    <w:rsid w:val="00A43896"/>
    <w:rsid w:val="00A448EF"/>
    <w:rsid w:val="00A469D1"/>
    <w:rsid w:val="00A47696"/>
    <w:rsid w:val="00A47FAF"/>
    <w:rsid w:val="00A5042F"/>
    <w:rsid w:val="00A506F0"/>
    <w:rsid w:val="00A50E7D"/>
    <w:rsid w:val="00A50FCF"/>
    <w:rsid w:val="00A51234"/>
    <w:rsid w:val="00A533CB"/>
    <w:rsid w:val="00A533F3"/>
    <w:rsid w:val="00A545A3"/>
    <w:rsid w:val="00A555C3"/>
    <w:rsid w:val="00A5630B"/>
    <w:rsid w:val="00A570D8"/>
    <w:rsid w:val="00A5797E"/>
    <w:rsid w:val="00A613CA"/>
    <w:rsid w:val="00A6162F"/>
    <w:rsid w:val="00A62063"/>
    <w:rsid w:val="00A624EC"/>
    <w:rsid w:val="00A62A30"/>
    <w:rsid w:val="00A62FC8"/>
    <w:rsid w:val="00A6394E"/>
    <w:rsid w:val="00A64B64"/>
    <w:rsid w:val="00A64F79"/>
    <w:rsid w:val="00A64F9E"/>
    <w:rsid w:val="00A65479"/>
    <w:rsid w:val="00A65C5B"/>
    <w:rsid w:val="00A66556"/>
    <w:rsid w:val="00A667F4"/>
    <w:rsid w:val="00A668F3"/>
    <w:rsid w:val="00A66EC8"/>
    <w:rsid w:val="00A67350"/>
    <w:rsid w:val="00A6745B"/>
    <w:rsid w:val="00A70376"/>
    <w:rsid w:val="00A70B4D"/>
    <w:rsid w:val="00A713CB"/>
    <w:rsid w:val="00A716C5"/>
    <w:rsid w:val="00A72923"/>
    <w:rsid w:val="00A73886"/>
    <w:rsid w:val="00A73FC8"/>
    <w:rsid w:val="00A74247"/>
    <w:rsid w:val="00A74788"/>
    <w:rsid w:val="00A749AC"/>
    <w:rsid w:val="00A74F03"/>
    <w:rsid w:val="00A75A39"/>
    <w:rsid w:val="00A76CA3"/>
    <w:rsid w:val="00A802EB"/>
    <w:rsid w:val="00A80314"/>
    <w:rsid w:val="00A80E89"/>
    <w:rsid w:val="00A81878"/>
    <w:rsid w:val="00A8390A"/>
    <w:rsid w:val="00A84417"/>
    <w:rsid w:val="00A84D68"/>
    <w:rsid w:val="00A85F46"/>
    <w:rsid w:val="00A86545"/>
    <w:rsid w:val="00A8684A"/>
    <w:rsid w:val="00A86ABC"/>
    <w:rsid w:val="00A86DBA"/>
    <w:rsid w:val="00A87DB1"/>
    <w:rsid w:val="00A90666"/>
    <w:rsid w:val="00A911A6"/>
    <w:rsid w:val="00A91B4A"/>
    <w:rsid w:val="00A92098"/>
    <w:rsid w:val="00A92CB9"/>
    <w:rsid w:val="00A92CD8"/>
    <w:rsid w:val="00A9360E"/>
    <w:rsid w:val="00A93DE8"/>
    <w:rsid w:val="00A945BB"/>
    <w:rsid w:val="00A95842"/>
    <w:rsid w:val="00A95DDF"/>
    <w:rsid w:val="00A96043"/>
    <w:rsid w:val="00A960FE"/>
    <w:rsid w:val="00A96DC2"/>
    <w:rsid w:val="00A96EA0"/>
    <w:rsid w:val="00AA10FA"/>
    <w:rsid w:val="00AA1749"/>
    <w:rsid w:val="00AA1C93"/>
    <w:rsid w:val="00AA3A26"/>
    <w:rsid w:val="00AA3E21"/>
    <w:rsid w:val="00AA429B"/>
    <w:rsid w:val="00AA4369"/>
    <w:rsid w:val="00AA438D"/>
    <w:rsid w:val="00AA5A5F"/>
    <w:rsid w:val="00AA5F42"/>
    <w:rsid w:val="00AA60FF"/>
    <w:rsid w:val="00AB0E1F"/>
    <w:rsid w:val="00AB2169"/>
    <w:rsid w:val="00AB22F0"/>
    <w:rsid w:val="00AB2352"/>
    <w:rsid w:val="00AB282A"/>
    <w:rsid w:val="00AB30C5"/>
    <w:rsid w:val="00AB339F"/>
    <w:rsid w:val="00AB3CFC"/>
    <w:rsid w:val="00AB456D"/>
    <w:rsid w:val="00AB6105"/>
    <w:rsid w:val="00AB61D9"/>
    <w:rsid w:val="00AC0663"/>
    <w:rsid w:val="00AC08C1"/>
    <w:rsid w:val="00AC0A6E"/>
    <w:rsid w:val="00AC1523"/>
    <w:rsid w:val="00AC1FE4"/>
    <w:rsid w:val="00AC216B"/>
    <w:rsid w:val="00AC2638"/>
    <w:rsid w:val="00AC2B08"/>
    <w:rsid w:val="00AC3F48"/>
    <w:rsid w:val="00AC4952"/>
    <w:rsid w:val="00AC7353"/>
    <w:rsid w:val="00AD0296"/>
    <w:rsid w:val="00AD0434"/>
    <w:rsid w:val="00AD0542"/>
    <w:rsid w:val="00AD125D"/>
    <w:rsid w:val="00AD16A1"/>
    <w:rsid w:val="00AD16F6"/>
    <w:rsid w:val="00AD17A1"/>
    <w:rsid w:val="00AD1BBA"/>
    <w:rsid w:val="00AD259D"/>
    <w:rsid w:val="00AD6266"/>
    <w:rsid w:val="00AD658B"/>
    <w:rsid w:val="00AD6C1B"/>
    <w:rsid w:val="00AD7908"/>
    <w:rsid w:val="00AD7AE8"/>
    <w:rsid w:val="00AE0223"/>
    <w:rsid w:val="00AE26B3"/>
    <w:rsid w:val="00AE2CC6"/>
    <w:rsid w:val="00AE2DC7"/>
    <w:rsid w:val="00AE2FE7"/>
    <w:rsid w:val="00AE485A"/>
    <w:rsid w:val="00AE4C33"/>
    <w:rsid w:val="00AE5D79"/>
    <w:rsid w:val="00AF030A"/>
    <w:rsid w:val="00AF0320"/>
    <w:rsid w:val="00AF15AC"/>
    <w:rsid w:val="00AF1C9E"/>
    <w:rsid w:val="00AF2131"/>
    <w:rsid w:val="00AF216A"/>
    <w:rsid w:val="00AF2290"/>
    <w:rsid w:val="00AF264B"/>
    <w:rsid w:val="00AF348D"/>
    <w:rsid w:val="00AF39A4"/>
    <w:rsid w:val="00AF52A1"/>
    <w:rsid w:val="00AF545C"/>
    <w:rsid w:val="00AF615D"/>
    <w:rsid w:val="00AF744B"/>
    <w:rsid w:val="00B006EE"/>
    <w:rsid w:val="00B011FA"/>
    <w:rsid w:val="00B01213"/>
    <w:rsid w:val="00B012F9"/>
    <w:rsid w:val="00B015EF"/>
    <w:rsid w:val="00B015F2"/>
    <w:rsid w:val="00B02543"/>
    <w:rsid w:val="00B0307A"/>
    <w:rsid w:val="00B04CC0"/>
    <w:rsid w:val="00B057E9"/>
    <w:rsid w:val="00B06710"/>
    <w:rsid w:val="00B069E4"/>
    <w:rsid w:val="00B06A2F"/>
    <w:rsid w:val="00B0759E"/>
    <w:rsid w:val="00B078E1"/>
    <w:rsid w:val="00B107AC"/>
    <w:rsid w:val="00B10911"/>
    <w:rsid w:val="00B11307"/>
    <w:rsid w:val="00B118AC"/>
    <w:rsid w:val="00B11B66"/>
    <w:rsid w:val="00B11E62"/>
    <w:rsid w:val="00B12F41"/>
    <w:rsid w:val="00B13577"/>
    <w:rsid w:val="00B14EF0"/>
    <w:rsid w:val="00B15AB4"/>
    <w:rsid w:val="00B16811"/>
    <w:rsid w:val="00B178A5"/>
    <w:rsid w:val="00B205D3"/>
    <w:rsid w:val="00B213B6"/>
    <w:rsid w:val="00B21B3A"/>
    <w:rsid w:val="00B21C2A"/>
    <w:rsid w:val="00B22249"/>
    <w:rsid w:val="00B2243B"/>
    <w:rsid w:val="00B22DA4"/>
    <w:rsid w:val="00B22E77"/>
    <w:rsid w:val="00B23466"/>
    <w:rsid w:val="00B2578D"/>
    <w:rsid w:val="00B2780E"/>
    <w:rsid w:val="00B30261"/>
    <w:rsid w:val="00B3030C"/>
    <w:rsid w:val="00B3137E"/>
    <w:rsid w:val="00B3422A"/>
    <w:rsid w:val="00B34510"/>
    <w:rsid w:val="00B35D60"/>
    <w:rsid w:val="00B36089"/>
    <w:rsid w:val="00B40300"/>
    <w:rsid w:val="00B405B1"/>
    <w:rsid w:val="00B406FD"/>
    <w:rsid w:val="00B40F2B"/>
    <w:rsid w:val="00B411DF"/>
    <w:rsid w:val="00B4160C"/>
    <w:rsid w:val="00B418F1"/>
    <w:rsid w:val="00B41ED8"/>
    <w:rsid w:val="00B4395C"/>
    <w:rsid w:val="00B4443B"/>
    <w:rsid w:val="00B44C6E"/>
    <w:rsid w:val="00B44E65"/>
    <w:rsid w:val="00B45CFB"/>
    <w:rsid w:val="00B47935"/>
    <w:rsid w:val="00B50818"/>
    <w:rsid w:val="00B50A9E"/>
    <w:rsid w:val="00B50D41"/>
    <w:rsid w:val="00B528C0"/>
    <w:rsid w:val="00B5322A"/>
    <w:rsid w:val="00B53E21"/>
    <w:rsid w:val="00B53F32"/>
    <w:rsid w:val="00B54A8E"/>
    <w:rsid w:val="00B5549B"/>
    <w:rsid w:val="00B557CD"/>
    <w:rsid w:val="00B55CFC"/>
    <w:rsid w:val="00B55D62"/>
    <w:rsid w:val="00B5639E"/>
    <w:rsid w:val="00B56A0D"/>
    <w:rsid w:val="00B57AFD"/>
    <w:rsid w:val="00B57E98"/>
    <w:rsid w:val="00B60653"/>
    <w:rsid w:val="00B6091B"/>
    <w:rsid w:val="00B61965"/>
    <w:rsid w:val="00B63650"/>
    <w:rsid w:val="00B65A9E"/>
    <w:rsid w:val="00B668FC"/>
    <w:rsid w:val="00B66A93"/>
    <w:rsid w:val="00B66D70"/>
    <w:rsid w:val="00B67E38"/>
    <w:rsid w:val="00B703C8"/>
    <w:rsid w:val="00B7058A"/>
    <w:rsid w:val="00B70BDF"/>
    <w:rsid w:val="00B70D53"/>
    <w:rsid w:val="00B7184F"/>
    <w:rsid w:val="00B723BD"/>
    <w:rsid w:val="00B74189"/>
    <w:rsid w:val="00B747A7"/>
    <w:rsid w:val="00B75FBA"/>
    <w:rsid w:val="00B761AB"/>
    <w:rsid w:val="00B7643B"/>
    <w:rsid w:val="00B76AFD"/>
    <w:rsid w:val="00B77C65"/>
    <w:rsid w:val="00B806C6"/>
    <w:rsid w:val="00B80EA9"/>
    <w:rsid w:val="00B85167"/>
    <w:rsid w:val="00B86529"/>
    <w:rsid w:val="00B86ACF"/>
    <w:rsid w:val="00B873A9"/>
    <w:rsid w:val="00B90852"/>
    <w:rsid w:val="00B90E22"/>
    <w:rsid w:val="00B941F3"/>
    <w:rsid w:val="00B9467A"/>
    <w:rsid w:val="00B94C41"/>
    <w:rsid w:val="00B95C12"/>
    <w:rsid w:val="00B95C8F"/>
    <w:rsid w:val="00B96C56"/>
    <w:rsid w:val="00B97783"/>
    <w:rsid w:val="00BA13A1"/>
    <w:rsid w:val="00BA296D"/>
    <w:rsid w:val="00BA2AC4"/>
    <w:rsid w:val="00BA340E"/>
    <w:rsid w:val="00BA3859"/>
    <w:rsid w:val="00BA3A0A"/>
    <w:rsid w:val="00BA3D00"/>
    <w:rsid w:val="00BA421F"/>
    <w:rsid w:val="00BA53A7"/>
    <w:rsid w:val="00BA6CB9"/>
    <w:rsid w:val="00BB001A"/>
    <w:rsid w:val="00BB018E"/>
    <w:rsid w:val="00BB080D"/>
    <w:rsid w:val="00BB08F5"/>
    <w:rsid w:val="00BB0923"/>
    <w:rsid w:val="00BB0B8A"/>
    <w:rsid w:val="00BB31A3"/>
    <w:rsid w:val="00BB3929"/>
    <w:rsid w:val="00BB3E31"/>
    <w:rsid w:val="00BB5284"/>
    <w:rsid w:val="00BB53BE"/>
    <w:rsid w:val="00BB5CAA"/>
    <w:rsid w:val="00BB6B5E"/>
    <w:rsid w:val="00BB7ADC"/>
    <w:rsid w:val="00BC0400"/>
    <w:rsid w:val="00BC1636"/>
    <w:rsid w:val="00BC2BC8"/>
    <w:rsid w:val="00BC2F58"/>
    <w:rsid w:val="00BC424F"/>
    <w:rsid w:val="00BC4D38"/>
    <w:rsid w:val="00BC4D46"/>
    <w:rsid w:val="00BC56A6"/>
    <w:rsid w:val="00BC5ED9"/>
    <w:rsid w:val="00BC7DEA"/>
    <w:rsid w:val="00BD0482"/>
    <w:rsid w:val="00BD0E38"/>
    <w:rsid w:val="00BD0F82"/>
    <w:rsid w:val="00BD15DB"/>
    <w:rsid w:val="00BD1E81"/>
    <w:rsid w:val="00BD2BD6"/>
    <w:rsid w:val="00BD3750"/>
    <w:rsid w:val="00BD4670"/>
    <w:rsid w:val="00BD534B"/>
    <w:rsid w:val="00BD673D"/>
    <w:rsid w:val="00BD6D5F"/>
    <w:rsid w:val="00BD6DB1"/>
    <w:rsid w:val="00BD76BA"/>
    <w:rsid w:val="00BE0049"/>
    <w:rsid w:val="00BE0A63"/>
    <w:rsid w:val="00BE13B1"/>
    <w:rsid w:val="00BE22FA"/>
    <w:rsid w:val="00BE414B"/>
    <w:rsid w:val="00BE427E"/>
    <w:rsid w:val="00BE451E"/>
    <w:rsid w:val="00BE483C"/>
    <w:rsid w:val="00BE4AAB"/>
    <w:rsid w:val="00BE5ACD"/>
    <w:rsid w:val="00BE5D7F"/>
    <w:rsid w:val="00BE6CBB"/>
    <w:rsid w:val="00BE7360"/>
    <w:rsid w:val="00BE76D6"/>
    <w:rsid w:val="00BE776D"/>
    <w:rsid w:val="00BE7CC3"/>
    <w:rsid w:val="00BE7D63"/>
    <w:rsid w:val="00BF1755"/>
    <w:rsid w:val="00BF233C"/>
    <w:rsid w:val="00BF2CA1"/>
    <w:rsid w:val="00BF521C"/>
    <w:rsid w:val="00BF67C0"/>
    <w:rsid w:val="00C00D33"/>
    <w:rsid w:val="00C00E11"/>
    <w:rsid w:val="00C0186F"/>
    <w:rsid w:val="00C01AB2"/>
    <w:rsid w:val="00C02C12"/>
    <w:rsid w:val="00C03924"/>
    <w:rsid w:val="00C03949"/>
    <w:rsid w:val="00C059CA"/>
    <w:rsid w:val="00C06593"/>
    <w:rsid w:val="00C06A59"/>
    <w:rsid w:val="00C06E4B"/>
    <w:rsid w:val="00C071DB"/>
    <w:rsid w:val="00C076BE"/>
    <w:rsid w:val="00C10C99"/>
    <w:rsid w:val="00C11D7F"/>
    <w:rsid w:val="00C12E2E"/>
    <w:rsid w:val="00C1404B"/>
    <w:rsid w:val="00C146AC"/>
    <w:rsid w:val="00C147F4"/>
    <w:rsid w:val="00C14B77"/>
    <w:rsid w:val="00C14D6C"/>
    <w:rsid w:val="00C14DB5"/>
    <w:rsid w:val="00C16D8B"/>
    <w:rsid w:val="00C16F07"/>
    <w:rsid w:val="00C17AE1"/>
    <w:rsid w:val="00C17D3B"/>
    <w:rsid w:val="00C17FE6"/>
    <w:rsid w:val="00C20987"/>
    <w:rsid w:val="00C20B0E"/>
    <w:rsid w:val="00C212E0"/>
    <w:rsid w:val="00C2283B"/>
    <w:rsid w:val="00C2358A"/>
    <w:rsid w:val="00C260CA"/>
    <w:rsid w:val="00C262C1"/>
    <w:rsid w:val="00C26618"/>
    <w:rsid w:val="00C3032C"/>
    <w:rsid w:val="00C30A9E"/>
    <w:rsid w:val="00C31970"/>
    <w:rsid w:val="00C3268A"/>
    <w:rsid w:val="00C32B22"/>
    <w:rsid w:val="00C32DE3"/>
    <w:rsid w:val="00C34137"/>
    <w:rsid w:val="00C341C1"/>
    <w:rsid w:val="00C34E2B"/>
    <w:rsid w:val="00C35A54"/>
    <w:rsid w:val="00C35EB7"/>
    <w:rsid w:val="00C371F6"/>
    <w:rsid w:val="00C37B76"/>
    <w:rsid w:val="00C37D1C"/>
    <w:rsid w:val="00C403B6"/>
    <w:rsid w:val="00C40AD5"/>
    <w:rsid w:val="00C42A8C"/>
    <w:rsid w:val="00C437CB"/>
    <w:rsid w:val="00C43D43"/>
    <w:rsid w:val="00C44644"/>
    <w:rsid w:val="00C4563E"/>
    <w:rsid w:val="00C45CB9"/>
    <w:rsid w:val="00C45DEC"/>
    <w:rsid w:val="00C45E61"/>
    <w:rsid w:val="00C4717C"/>
    <w:rsid w:val="00C5189B"/>
    <w:rsid w:val="00C52085"/>
    <w:rsid w:val="00C5244E"/>
    <w:rsid w:val="00C524F4"/>
    <w:rsid w:val="00C536CA"/>
    <w:rsid w:val="00C53AA8"/>
    <w:rsid w:val="00C54D5E"/>
    <w:rsid w:val="00C566D9"/>
    <w:rsid w:val="00C56AF6"/>
    <w:rsid w:val="00C576FA"/>
    <w:rsid w:val="00C60333"/>
    <w:rsid w:val="00C60977"/>
    <w:rsid w:val="00C60B8F"/>
    <w:rsid w:val="00C60BB5"/>
    <w:rsid w:val="00C628E7"/>
    <w:rsid w:val="00C642A3"/>
    <w:rsid w:val="00C65789"/>
    <w:rsid w:val="00C65F01"/>
    <w:rsid w:val="00C66309"/>
    <w:rsid w:val="00C6633A"/>
    <w:rsid w:val="00C66653"/>
    <w:rsid w:val="00C667C3"/>
    <w:rsid w:val="00C67256"/>
    <w:rsid w:val="00C676DA"/>
    <w:rsid w:val="00C70D42"/>
    <w:rsid w:val="00C70E9D"/>
    <w:rsid w:val="00C7138B"/>
    <w:rsid w:val="00C71EE8"/>
    <w:rsid w:val="00C72FF7"/>
    <w:rsid w:val="00C77130"/>
    <w:rsid w:val="00C77753"/>
    <w:rsid w:val="00C77F2C"/>
    <w:rsid w:val="00C809D8"/>
    <w:rsid w:val="00C80AD1"/>
    <w:rsid w:val="00C82D14"/>
    <w:rsid w:val="00C82D20"/>
    <w:rsid w:val="00C851C0"/>
    <w:rsid w:val="00C86F48"/>
    <w:rsid w:val="00C87244"/>
    <w:rsid w:val="00C87E63"/>
    <w:rsid w:val="00C87EA8"/>
    <w:rsid w:val="00C90463"/>
    <w:rsid w:val="00C90A7D"/>
    <w:rsid w:val="00C926CB"/>
    <w:rsid w:val="00C93120"/>
    <w:rsid w:val="00C9329D"/>
    <w:rsid w:val="00C93830"/>
    <w:rsid w:val="00C93B02"/>
    <w:rsid w:val="00C94E37"/>
    <w:rsid w:val="00C95F64"/>
    <w:rsid w:val="00C97319"/>
    <w:rsid w:val="00CA0DCF"/>
    <w:rsid w:val="00CA2AF0"/>
    <w:rsid w:val="00CA2B56"/>
    <w:rsid w:val="00CA3600"/>
    <w:rsid w:val="00CA3DD4"/>
    <w:rsid w:val="00CA3F0A"/>
    <w:rsid w:val="00CA4640"/>
    <w:rsid w:val="00CA694A"/>
    <w:rsid w:val="00CA6A7E"/>
    <w:rsid w:val="00CA6ECE"/>
    <w:rsid w:val="00CA769E"/>
    <w:rsid w:val="00CB074C"/>
    <w:rsid w:val="00CB1C19"/>
    <w:rsid w:val="00CB1D8A"/>
    <w:rsid w:val="00CB2453"/>
    <w:rsid w:val="00CB29DD"/>
    <w:rsid w:val="00CB33C5"/>
    <w:rsid w:val="00CB3886"/>
    <w:rsid w:val="00CB389D"/>
    <w:rsid w:val="00CB4CF5"/>
    <w:rsid w:val="00CB4E1E"/>
    <w:rsid w:val="00CB5741"/>
    <w:rsid w:val="00CB7034"/>
    <w:rsid w:val="00CB71AB"/>
    <w:rsid w:val="00CB7A5B"/>
    <w:rsid w:val="00CB7E6B"/>
    <w:rsid w:val="00CC0BA2"/>
    <w:rsid w:val="00CC1701"/>
    <w:rsid w:val="00CC2A60"/>
    <w:rsid w:val="00CC3CAD"/>
    <w:rsid w:val="00CC4FC4"/>
    <w:rsid w:val="00CC6495"/>
    <w:rsid w:val="00CC7473"/>
    <w:rsid w:val="00CC7654"/>
    <w:rsid w:val="00CC791D"/>
    <w:rsid w:val="00CD05A1"/>
    <w:rsid w:val="00CD0660"/>
    <w:rsid w:val="00CD0C1E"/>
    <w:rsid w:val="00CD0C2C"/>
    <w:rsid w:val="00CD162B"/>
    <w:rsid w:val="00CD1681"/>
    <w:rsid w:val="00CD2147"/>
    <w:rsid w:val="00CD2B24"/>
    <w:rsid w:val="00CD343A"/>
    <w:rsid w:val="00CD3CD2"/>
    <w:rsid w:val="00CD3E01"/>
    <w:rsid w:val="00CD6B17"/>
    <w:rsid w:val="00CD7F03"/>
    <w:rsid w:val="00CE100F"/>
    <w:rsid w:val="00CE127B"/>
    <w:rsid w:val="00CE27E8"/>
    <w:rsid w:val="00CE2C3E"/>
    <w:rsid w:val="00CE2F6D"/>
    <w:rsid w:val="00CE32DA"/>
    <w:rsid w:val="00CE3456"/>
    <w:rsid w:val="00CE481D"/>
    <w:rsid w:val="00CE6EC8"/>
    <w:rsid w:val="00CE71A9"/>
    <w:rsid w:val="00CE7314"/>
    <w:rsid w:val="00CF069E"/>
    <w:rsid w:val="00CF0F48"/>
    <w:rsid w:val="00CF1080"/>
    <w:rsid w:val="00CF132C"/>
    <w:rsid w:val="00CF14D1"/>
    <w:rsid w:val="00CF2660"/>
    <w:rsid w:val="00CF532B"/>
    <w:rsid w:val="00D003EF"/>
    <w:rsid w:val="00D00827"/>
    <w:rsid w:val="00D0082E"/>
    <w:rsid w:val="00D011D9"/>
    <w:rsid w:val="00D01498"/>
    <w:rsid w:val="00D020AB"/>
    <w:rsid w:val="00D03AB2"/>
    <w:rsid w:val="00D03BDA"/>
    <w:rsid w:val="00D0498A"/>
    <w:rsid w:val="00D04F45"/>
    <w:rsid w:val="00D05172"/>
    <w:rsid w:val="00D06532"/>
    <w:rsid w:val="00D071A2"/>
    <w:rsid w:val="00D07553"/>
    <w:rsid w:val="00D077A4"/>
    <w:rsid w:val="00D0797D"/>
    <w:rsid w:val="00D10380"/>
    <w:rsid w:val="00D11C75"/>
    <w:rsid w:val="00D128C0"/>
    <w:rsid w:val="00D12CDA"/>
    <w:rsid w:val="00D12FC8"/>
    <w:rsid w:val="00D14E15"/>
    <w:rsid w:val="00D159E8"/>
    <w:rsid w:val="00D160F1"/>
    <w:rsid w:val="00D1699B"/>
    <w:rsid w:val="00D16E3F"/>
    <w:rsid w:val="00D17557"/>
    <w:rsid w:val="00D17D2F"/>
    <w:rsid w:val="00D20006"/>
    <w:rsid w:val="00D20057"/>
    <w:rsid w:val="00D20A6A"/>
    <w:rsid w:val="00D20B30"/>
    <w:rsid w:val="00D21B9C"/>
    <w:rsid w:val="00D25FEF"/>
    <w:rsid w:val="00D267F8"/>
    <w:rsid w:val="00D30CC9"/>
    <w:rsid w:val="00D30FA7"/>
    <w:rsid w:val="00D31932"/>
    <w:rsid w:val="00D32102"/>
    <w:rsid w:val="00D32760"/>
    <w:rsid w:val="00D32853"/>
    <w:rsid w:val="00D32D3D"/>
    <w:rsid w:val="00D348A4"/>
    <w:rsid w:val="00D35092"/>
    <w:rsid w:val="00D351BF"/>
    <w:rsid w:val="00D376EA"/>
    <w:rsid w:val="00D37C56"/>
    <w:rsid w:val="00D37DA0"/>
    <w:rsid w:val="00D412C8"/>
    <w:rsid w:val="00D414A0"/>
    <w:rsid w:val="00D422D3"/>
    <w:rsid w:val="00D436DE"/>
    <w:rsid w:val="00D439E5"/>
    <w:rsid w:val="00D44632"/>
    <w:rsid w:val="00D45422"/>
    <w:rsid w:val="00D45BBA"/>
    <w:rsid w:val="00D45C1E"/>
    <w:rsid w:val="00D45EDD"/>
    <w:rsid w:val="00D460E4"/>
    <w:rsid w:val="00D46984"/>
    <w:rsid w:val="00D46E14"/>
    <w:rsid w:val="00D5051F"/>
    <w:rsid w:val="00D50BAD"/>
    <w:rsid w:val="00D51B47"/>
    <w:rsid w:val="00D51D52"/>
    <w:rsid w:val="00D53450"/>
    <w:rsid w:val="00D53635"/>
    <w:rsid w:val="00D53AFA"/>
    <w:rsid w:val="00D54D60"/>
    <w:rsid w:val="00D55EA8"/>
    <w:rsid w:val="00D5637B"/>
    <w:rsid w:val="00D56788"/>
    <w:rsid w:val="00D5782D"/>
    <w:rsid w:val="00D57C0E"/>
    <w:rsid w:val="00D60BA0"/>
    <w:rsid w:val="00D61DE8"/>
    <w:rsid w:val="00D639B4"/>
    <w:rsid w:val="00D64DAE"/>
    <w:rsid w:val="00D65551"/>
    <w:rsid w:val="00D65864"/>
    <w:rsid w:val="00D660BA"/>
    <w:rsid w:val="00D663EE"/>
    <w:rsid w:val="00D672F1"/>
    <w:rsid w:val="00D705F1"/>
    <w:rsid w:val="00D710A5"/>
    <w:rsid w:val="00D72558"/>
    <w:rsid w:val="00D730FB"/>
    <w:rsid w:val="00D7332F"/>
    <w:rsid w:val="00D73EB3"/>
    <w:rsid w:val="00D7428C"/>
    <w:rsid w:val="00D74310"/>
    <w:rsid w:val="00D74C9A"/>
    <w:rsid w:val="00D76040"/>
    <w:rsid w:val="00D7681A"/>
    <w:rsid w:val="00D8036B"/>
    <w:rsid w:val="00D803A1"/>
    <w:rsid w:val="00D81094"/>
    <w:rsid w:val="00D810B0"/>
    <w:rsid w:val="00D82137"/>
    <w:rsid w:val="00D82884"/>
    <w:rsid w:val="00D8337B"/>
    <w:rsid w:val="00D83B76"/>
    <w:rsid w:val="00D83F18"/>
    <w:rsid w:val="00D84B3D"/>
    <w:rsid w:val="00D84C9A"/>
    <w:rsid w:val="00D85BD1"/>
    <w:rsid w:val="00D85E78"/>
    <w:rsid w:val="00D86233"/>
    <w:rsid w:val="00D871F5"/>
    <w:rsid w:val="00D87EF2"/>
    <w:rsid w:val="00D9004A"/>
    <w:rsid w:val="00D914AA"/>
    <w:rsid w:val="00D91800"/>
    <w:rsid w:val="00D91AF5"/>
    <w:rsid w:val="00D91B63"/>
    <w:rsid w:val="00D9242B"/>
    <w:rsid w:val="00D934E8"/>
    <w:rsid w:val="00D946DB"/>
    <w:rsid w:val="00D94B15"/>
    <w:rsid w:val="00D957EC"/>
    <w:rsid w:val="00D97A79"/>
    <w:rsid w:val="00D97B93"/>
    <w:rsid w:val="00DA0243"/>
    <w:rsid w:val="00DA3B3B"/>
    <w:rsid w:val="00DA5581"/>
    <w:rsid w:val="00DA5C49"/>
    <w:rsid w:val="00DA6A20"/>
    <w:rsid w:val="00DA6D15"/>
    <w:rsid w:val="00DA7764"/>
    <w:rsid w:val="00DA776F"/>
    <w:rsid w:val="00DA7C0C"/>
    <w:rsid w:val="00DB049A"/>
    <w:rsid w:val="00DB0F29"/>
    <w:rsid w:val="00DB12AC"/>
    <w:rsid w:val="00DB3057"/>
    <w:rsid w:val="00DB32F3"/>
    <w:rsid w:val="00DB356C"/>
    <w:rsid w:val="00DB395E"/>
    <w:rsid w:val="00DB3984"/>
    <w:rsid w:val="00DB3A18"/>
    <w:rsid w:val="00DB56A6"/>
    <w:rsid w:val="00DB64FE"/>
    <w:rsid w:val="00DB6517"/>
    <w:rsid w:val="00DB6AD9"/>
    <w:rsid w:val="00DB7581"/>
    <w:rsid w:val="00DB7BB0"/>
    <w:rsid w:val="00DC0167"/>
    <w:rsid w:val="00DC0BE7"/>
    <w:rsid w:val="00DC17F6"/>
    <w:rsid w:val="00DC1801"/>
    <w:rsid w:val="00DC19FD"/>
    <w:rsid w:val="00DC1B88"/>
    <w:rsid w:val="00DC3037"/>
    <w:rsid w:val="00DC42C8"/>
    <w:rsid w:val="00DC44E5"/>
    <w:rsid w:val="00DC5B03"/>
    <w:rsid w:val="00DC6100"/>
    <w:rsid w:val="00DC692F"/>
    <w:rsid w:val="00DD067B"/>
    <w:rsid w:val="00DD0FF3"/>
    <w:rsid w:val="00DD1120"/>
    <w:rsid w:val="00DD19F5"/>
    <w:rsid w:val="00DD3235"/>
    <w:rsid w:val="00DD4D71"/>
    <w:rsid w:val="00DD530E"/>
    <w:rsid w:val="00DD60BC"/>
    <w:rsid w:val="00DD63F0"/>
    <w:rsid w:val="00DD6660"/>
    <w:rsid w:val="00DD6B95"/>
    <w:rsid w:val="00DD7A51"/>
    <w:rsid w:val="00DD7EB4"/>
    <w:rsid w:val="00DE0273"/>
    <w:rsid w:val="00DE03A5"/>
    <w:rsid w:val="00DE15F2"/>
    <w:rsid w:val="00DE1CFA"/>
    <w:rsid w:val="00DE1DCF"/>
    <w:rsid w:val="00DE1DFF"/>
    <w:rsid w:val="00DE210B"/>
    <w:rsid w:val="00DE2448"/>
    <w:rsid w:val="00DE25BA"/>
    <w:rsid w:val="00DE2738"/>
    <w:rsid w:val="00DE2E6D"/>
    <w:rsid w:val="00DE2EC1"/>
    <w:rsid w:val="00DE47EC"/>
    <w:rsid w:val="00DE4CF4"/>
    <w:rsid w:val="00DE59B5"/>
    <w:rsid w:val="00DE60F4"/>
    <w:rsid w:val="00DE6221"/>
    <w:rsid w:val="00DE67BA"/>
    <w:rsid w:val="00DE6B7B"/>
    <w:rsid w:val="00DE7D7F"/>
    <w:rsid w:val="00DF1CC5"/>
    <w:rsid w:val="00DF200C"/>
    <w:rsid w:val="00DF30D8"/>
    <w:rsid w:val="00DF36D0"/>
    <w:rsid w:val="00DF36FE"/>
    <w:rsid w:val="00DF3DA6"/>
    <w:rsid w:val="00DF43BB"/>
    <w:rsid w:val="00DF4BEB"/>
    <w:rsid w:val="00DF5E2E"/>
    <w:rsid w:val="00E00F79"/>
    <w:rsid w:val="00E01CEB"/>
    <w:rsid w:val="00E01FDC"/>
    <w:rsid w:val="00E02637"/>
    <w:rsid w:val="00E036EB"/>
    <w:rsid w:val="00E046F7"/>
    <w:rsid w:val="00E0537E"/>
    <w:rsid w:val="00E0573F"/>
    <w:rsid w:val="00E05B1B"/>
    <w:rsid w:val="00E06E22"/>
    <w:rsid w:val="00E070F0"/>
    <w:rsid w:val="00E07DDA"/>
    <w:rsid w:val="00E117A1"/>
    <w:rsid w:val="00E1325C"/>
    <w:rsid w:val="00E13A5A"/>
    <w:rsid w:val="00E1426C"/>
    <w:rsid w:val="00E157E3"/>
    <w:rsid w:val="00E1707C"/>
    <w:rsid w:val="00E17A43"/>
    <w:rsid w:val="00E209D8"/>
    <w:rsid w:val="00E20FDB"/>
    <w:rsid w:val="00E22278"/>
    <w:rsid w:val="00E22547"/>
    <w:rsid w:val="00E225A5"/>
    <w:rsid w:val="00E236D9"/>
    <w:rsid w:val="00E23CB2"/>
    <w:rsid w:val="00E23D73"/>
    <w:rsid w:val="00E25BDE"/>
    <w:rsid w:val="00E26930"/>
    <w:rsid w:val="00E26A0C"/>
    <w:rsid w:val="00E27629"/>
    <w:rsid w:val="00E2766B"/>
    <w:rsid w:val="00E2786A"/>
    <w:rsid w:val="00E279CA"/>
    <w:rsid w:val="00E30846"/>
    <w:rsid w:val="00E31ABC"/>
    <w:rsid w:val="00E31B23"/>
    <w:rsid w:val="00E32989"/>
    <w:rsid w:val="00E3316A"/>
    <w:rsid w:val="00E33C38"/>
    <w:rsid w:val="00E34A42"/>
    <w:rsid w:val="00E34CE7"/>
    <w:rsid w:val="00E354CF"/>
    <w:rsid w:val="00E35CED"/>
    <w:rsid w:val="00E37153"/>
    <w:rsid w:val="00E37650"/>
    <w:rsid w:val="00E379FF"/>
    <w:rsid w:val="00E37FC2"/>
    <w:rsid w:val="00E40FF9"/>
    <w:rsid w:val="00E415D5"/>
    <w:rsid w:val="00E4281E"/>
    <w:rsid w:val="00E439C1"/>
    <w:rsid w:val="00E441E0"/>
    <w:rsid w:val="00E4470B"/>
    <w:rsid w:val="00E44DF3"/>
    <w:rsid w:val="00E4634F"/>
    <w:rsid w:val="00E4640B"/>
    <w:rsid w:val="00E504B0"/>
    <w:rsid w:val="00E52734"/>
    <w:rsid w:val="00E52BE0"/>
    <w:rsid w:val="00E54286"/>
    <w:rsid w:val="00E54CA6"/>
    <w:rsid w:val="00E55B09"/>
    <w:rsid w:val="00E55E87"/>
    <w:rsid w:val="00E55FB1"/>
    <w:rsid w:val="00E57475"/>
    <w:rsid w:val="00E609FC"/>
    <w:rsid w:val="00E6111D"/>
    <w:rsid w:val="00E62420"/>
    <w:rsid w:val="00E6323D"/>
    <w:rsid w:val="00E657F4"/>
    <w:rsid w:val="00E65DB0"/>
    <w:rsid w:val="00E66A4A"/>
    <w:rsid w:val="00E66B62"/>
    <w:rsid w:val="00E675EE"/>
    <w:rsid w:val="00E704D4"/>
    <w:rsid w:val="00E71001"/>
    <w:rsid w:val="00E71818"/>
    <w:rsid w:val="00E7235E"/>
    <w:rsid w:val="00E72598"/>
    <w:rsid w:val="00E72ADC"/>
    <w:rsid w:val="00E73D8A"/>
    <w:rsid w:val="00E74C31"/>
    <w:rsid w:val="00E75BAF"/>
    <w:rsid w:val="00E76D02"/>
    <w:rsid w:val="00E80D68"/>
    <w:rsid w:val="00E87156"/>
    <w:rsid w:val="00E87207"/>
    <w:rsid w:val="00E87FE0"/>
    <w:rsid w:val="00E901C3"/>
    <w:rsid w:val="00E904C3"/>
    <w:rsid w:val="00E90DE7"/>
    <w:rsid w:val="00E90E92"/>
    <w:rsid w:val="00E91806"/>
    <w:rsid w:val="00E91F70"/>
    <w:rsid w:val="00E9212F"/>
    <w:rsid w:val="00E92249"/>
    <w:rsid w:val="00E9281C"/>
    <w:rsid w:val="00E932F3"/>
    <w:rsid w:val="00E93BD7"/>
    <w:rsid w:val="00E9400C"/>
    <w:rsid w:val="00E94D37"/>
    <w:rsid w:val="00E960F2"/>
    <w:rsid w:val="00E962FD"/>
    <w:rsid w:val="00E96E8A"/>
    <w:rsid w:val="00E975E9"/>
    <w:rsid w:val="00EA0716"/>
    <w:rsid w:val="00EA0D02"/>
    <w:rsid w:val="00EA2245"/>
    <w:rsid w:val="00EA2383"/>
    <w:rsid w:val="00EA24EC"/>
    <w:rsid w:val="00EA26EE"/>
    <w:rsid w:val="00EA2BF1"/>
    <w:rsid w:val="00EA2D71"/>
    <w:rsid w:val="00EA3A6E"/>
    <w:rsid w:val="00EA48D3"/>
    <w:rsid w:val="00EA557D"/>
    <w:rsid w:val="00EA5D68"/>
    <w:rsid w:val="00EA6357"/>
    <w:rsid w:val="00EA6BBC"/>
    <w:rsid w:val="00EA7FFC"/>
    <w:rsid w:val="00EB45A3"/>
    <w:rsid w:val="00EB4E6C"/>
    <w:rsid w:val="00EB5B62"/>
    <w:rsid w:val="00EB63D0"/>
    <w:rsid w:val="00EB6A39"/>
    <w:rsid w:val="00EB709C"/>
    <w:rsid w:val="00EC0C2F"/>
    <w:rsid w:val="00EC13D2"/>
    <w:rsid w:val="00EC1A29"/>
    <w:rsid w:val="00EC2A12"/>
    <w:rsid w:val="00EC38B2"/>
    <w:rsid w:val="00EC4701"/>
    <w:rsid w:val="00EC5FE0"/>
    <w:rsid w:val="00EC7556"/>
    <w:rsid w:val="00ED00B8"/>
    <w:rsid w:val="00ED0470"/>
    <w:rsid w:val="00ED0475"/>
    <w:rsid w:val="00ED084B"/>
    <w:rsid w:val="00ED0DC2"/>
    <w:rsid w:val="00ED0F1E"/>
    <w:rsid w:val="00ED1931"/>
    <w:rsid w:val="00ED1BA7"/>
    <w:rsid w:val="00ED1D3A"/>
    <w:rsid w:val="00ED1E70"/>
    <w:rsid w:val="00ED1F82"/>
    <w:rsid w:val="00ED233A"/>
    <w:rsid w:val="00ED39D3"/>
    <w:rsid w:val="00ED3D91"/>
    <w:rsid w:val="00ED43AF"/>
    <w:rsid w:val="00ED4D0D"/>
    <w:rsid w:val="00ED4D27"/>
    <w:rsid w:val="00ED5635"/>
    <w:rsid w:val="00ED6026"/>
    <w:rsid w:val="00ED6A7D"/>
    <w:rsid w:val="00ED7093"/>
    <w:rsid w:val="00ED7311"/>
    <w:rsid w:val="00ED75AB"/>
    <w:rsid w:val="00EE33E1"/>
    <w:rsid w:val="00EE3A9C"/>
    <w:rsid w:val="00EE4427"/>
    <w:rsid w:val="00EE452F"/>
    <w:rsid w:val="00EE4F69"/>
    <w:rsid w:val="00EE5761"/>
    <w:rsid w:val="00EE5F5E"/>
    <w:rsid w:val="00EE65EA"/>
    <w:rsid w:val="00EE76FD"/>
    <w:rsid w:val="00EE7F43"/>
    <w:rsid w:val="00EF0035"/>
    <w:rsid w:val="00EF2399"/>
    <w:rsid w:val="00EF67C6"/>
    <w:rsid w:val="00EF7104"/>
    <w:rsid w:val="00EF7123"/>
    <w:rsid w:val="00EF73C5"/>
    <w:rsid w:val="00EF764A"/>
    <w:rsid w:val="00EF7D17"/>
    <w:rsid w:val="00F00E7C"/>
    <w:rsid w:val="00F01740"/>
    <w:rsid w:val="00F01779"/>
    <w:rsid w:val="00F02359"/>
    <w:rsid w:val="00F032D8"/>
    <w:rsid w:val="00F03402"/>
    <w:rsid w:val="00F03517"/>
    <w:rsid w:val="00F03615"/>
    <w:rsid w:val="00F042F4"/>
    <w:rsid w:val="00F04F59"/>
    <w:rsid w:val="00F0629C"/>
    <w:rsid w:val="00F07558"/>
    <w:rsid w:val="00F07C0A"/>
    <w:rsid w:val="00F1141C"/>
    <w:rsid w:val="00F12E4C"/>
    <w:rsid w:val="00F14596"/>
    <w:rsid w:val="00F14957"/>
    <w:rsid w:val="00F15C3F"/>
    <w:rsid w:val="00F16185"/>
    <w:rsid w:val="00F1631B"/>
    <w:rsid w:val="00F17785"/>
    <w:rsid w:val="00F20185"/>
    <w:rsid w:val="00F210B8"/>
    <w:rsid w:val="00F21589"/>
    <w:rsid w:val="00F22578"/>
    <w:rsid w:val="00F23EFD"/>
    <w:rsid w:val="00F24BE9"/>
    <w:rsid w:val="00F25FE6"/>
    <w:rsid w:val="00F26513"/>
    <w:rsid w:val="00F272B5"/>
    <w:rsid w:val="00F303AF"/>
    <w:rsid w:val="00F305AE"/>
    <w:rsid w:val="00F31081"/>
    <w:rsid w:val="00F31F07"/>
    <w:rsid w:val="00F33E34"/>
    <w:rsid w:val="00F349AA"/>
    <w:rsid w:val="00F3674B"/>
    <w:rsid w:val="00F36ADD"/>
    <w:rsid w:val="00F40397"/>
    <w:rsid w:val="00F40F46"/>
    <w:rsid w:val="00F417CA"/>
    <w:rsid w:val="00F42350"/>
    <w:rsid w:val="00F42827"/>
    <w:rsid w:val="00F42882"/>
    <w:rsid w:val="00F42B16"/>
    <w:rsid w:val="00F42F4D"/>
    <w:rsid w:val="00F42F57"/>
    <w:rsid w:val="00F430E4"/>
    <w:rsid w:val="00F43174"/>
    <w:rsid w:val="00F43517"/>
    <w:rsid w:val="00F43743"/>
    <w:rsid w:val="00F44425"/>
    <w:rsid w:val="00F44432"/>
    <w:rsid w:val="00F45118"/>
    <w:rsid w:val="00F4537A"/>
    <w:rsid w:val="00F457CB"/>
    <w:rsid w:val="00F470C4"/>
    <w:rsid w:val="00F479EE"/>
    <w:rsid w:val="00F5012B"/>
    <w:rsid w:val="00F5047A"/>
    <w:rsid w:val="00F505A2"/>
    <w:rsid w:val="00F5162F"/>
    <w:rsid w:val="00F52B2A"/>
    <w:rsid w:val="00F53412"/>
    <w:rsid w:val="00F534B3"/>
    <w:rsid w:val="00F54C7F"/>
    <w:rsid w:val="00F54EB7"/>
    <w:rsid w:val="00F56E14"/>
    <w:rsid w:val="00F575EA"/>
    <w:rsid w:val="00F57EB7"/>
    <w:rsid w:val="00F57FEA"/>
    <w:rsid w:val="00F61F8D"/>
    <w:rsid w:val="00F6316E"/>
    <w:rsid w:val="00F643B1"/>
    <w:rsid w:val="00F64A2A"/>
    <w:rsid w:val="00F6556C"/>
    <w:rsid w:val="00F65611"/>
    <w:rsid w:val="00F65918"/>
    <w:rsid w:val="00F65BFD"/>
    <w:rsid w:val="00F65E16"/>
    <w:rsid w:val="00F66183"/>
    <w:rsid w:val="00F66D15"/>
    <w:rsid w:val="00F67016"/>
    <w:rsid w:val="00F67C7F"/>
    <w:rsid w:val="00F71AD2"/>
    <w:rsid w:val="00F72245"/>
    <w:rsid w:val="00F72C4A"/>
    <w:rsid w:val="00F738CE"/>
    <w:rsid w:val="00F73C27"/>
    <w:rsid w:val="00F745E8"/>
    <w:rsid w:val="00F76F8C"/>
    <w:rsid w:val="00F772AA"/>
    <w:rsid w:val="00F7788C"/>
    <w:rsid w:val="00F815FA"/>
    <w:rsid w:val="00F81ABE"/>
    <w:rsid w:val="00F81FD2"/>
    <w:rsid w:val="00F826AD"/>
    <w:rsid w:val="00F8374A"/>
    <w:rsid w:val="00F85830"/>
    <w:rsid w:val="00F9272E"/>
    <w:rsid w:val="00F94568"/>
    <w:rsid w:val="00F94617"/>
    <w:rsid w:val="00F94AF9"/>
    <w:rsid w:val="00F94FA5"/>
    <w:rsid w:val="00F9589D"/>
    <w:rsid w:val="00F971D3"/>
    <w:rsid w:val="00FA0550"/>
    <w:rsid w:val="00FA16DB"/>
    <w:rsid w:val="00FA1752"/>
    <w:rsid w:val="00FA27CD"/>
    <w:rsid w:val="00FA3F67"/>
    <w:rsid w:val="00FA4621"/>
    <w:rsid w:val="00FA62F2"/>
    <w:rsid w:val="00FA744C"/>
    <w:rsid w:val="00FB0292"/>
    <w:rsid w:val="00FB11CD"/>
    <w:rsid w:val="00FB3017"/>
    <w:rsid w:val="00FB37CD"/>
    <w:rsid w:val="00FB4546"/>
    <w:rsid w:val="00FB4FA2"/>
    <w:rsid w:val="00FB7796"/>
    <w:rsid w:val="00FB78A7"/>
    <w:rsid w:val="00FB7EC7"/>
    <w:rsid w:val="00FC0E96"/>
    <w:rsid w:val="00FC45C2"/>
    <w:rsid w:val="00FC4858"/>
    <w:rsid w:val="00FC4E99"/>
    <w:rsid w:val="00FC565E"/>
    <w:rsid w:val="00FC5717"/>
    <w:rsid w:val="00FC5EAB"/>
    <w:rsid w:val="00FC6AB7"/>
    <w:rsid w:val="00FC6DFD"/>
    <w:rsid w:val="00FC73A7"/>
    <w:rsid w:val="00FC7CCE"/>
    <w:rsid w:val="00FD04C5"/>
    <w:rsid w:val="00FD0C22"/>
    <w:rsid w:val="00FD1241"/>
    <w:rsid w:val="00FD1C2C"/>
    <w:rsid w:val="00FD1D6D"/>
    <w:rsid w:val="00FD1E07"/>
    <w:rsid w:val="00FD2BDA"/>
    <w:rsid w:val="00FD3032"/>
    <w:rsid w:val="00FD408B"/>
    <w:rsid w:val="00FD499F"/>
    <w:rsid w:val="00FD4FD6"/>
    <w:rsid w:val="00FD58EC"/>
    <w:rsid w:val="00FD7782"/>
    <w:rsid w:val="00FD7B6E"/>
    <w:rsid w:val="00FE1C60"/>
    <w:rsid w:val="00FE20F1"/>
    <w:rsid w:val="00FE2B0E"/>
    <w:rsid w:val="00FE2B60"/>
    <w:rsid w:val="00FE2CF9"/>
    <w:rsid w:val="00FE3E37"/>
    <w:rsid w:val="00FE4393"/>
    <w:rsid w:val="00FE4D86"/>
    <w:rsid w:val="00FE5C24"/>
    <w:rsid w:val="00FF0884"/>
    <w:rsid w:val="00FF1A60"/>
    <w:rsid w:val="00FF277D"/>
    <w:rsid w:val="00FF3535"/>
    <w:rsid w:val="00FF63D4"/>
    <w:rsid w:val="00FF65D0"/>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ABEBE9"/>
  <w15:chartTrackingRefBased/>
  <w15:docId w15:val="{4E6D92CD-0601-4ECC-9396-83B7CB6E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71"/>
    <w:pPr>
      <w:spacing w:after="200" w:line="276" w:lineRule="auto"/>
    </w:pPr>
    <w:rPr>
      <w:sz w:val="22"/>
      <w:szCs w:val="22"/>
      <w:lang w:eastAsia="en-US"/>
    </w:rPr>
  </w:style>
  <w:style w:type="paragraph" w:styleId="Ttulo1">
    <w:name w:val="heading 1"/>
    <w:basedOn w:val="Normal"/>
    <w:link w:val="Ttulo1Car"/>
    <w:uiPriority w:val="9"/>
    <w:qFormat/>
    <w:rsid w:val="005B6852"/>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5B6852"/>
    <w:pPr>
      <w:keepNext/>
      <w:keepLines/>
      <w:spacing w:before="40" w:after="0"/>
      <w:outlineLvl w:val="1"/>
    </w:pPr>
    <w:rPr>
      <w:rFonts w:ascii="Calibri Light" w:eastAsia="MS Gothic"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aliases w:val="Cita texto,TEXTO GENERAL SENTENCIAS,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3B7118"/>
    <w:pPr>
      <w:ind w:left="720"/>
      <w:contextualSpacing/>
    </w:pPr>
  </w:style>
  <w:style w:type="character" w:customStyle="1" w:styleId="PrrafodelistaCar">
    <w:name w:val="Párrafo de lista Car"/>
    <w:aliases w:val="Cita texto Car,TEXTO GENERAL SENTENCIAS Car,Footnote Car,4 Viñ 1nivel Car,Numeración 1 Car,Cuadrícula media 1 - Énfasis 21 Car,Bullet List Car,FooterText Car,numbered Car,List Paragraph1 Car,Paragraphe de liste1 Car,列出段落 Car"/>
    <w:link w:val="Prrafodelista"/>
    <w:uiPriority w:val="34"/>
    <w:rsid w:val="00B4443B"/>
    <w:rPr>
      <w:rFonts w:ascii="Calibri" w:eastAsia="Calibri" w:hAnsi="Calibri" w:cs="Times New Roman"/>
    </w:r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3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Ref. de nota al pie 2,Footnotes refss,Texto de nota al pie,Appel note de bas de page,Footnote number,referencia nota al pie,BVI fnr,f,ftref,4_G,16 Point,Superscript 6 Point,Footnote Reference Char3"/>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
    <w:rsid w:val="004E10E9"/>
    <w:rPr>
      <w:rFonts w:ascii="Arial" w:eastAsia="Times New Roman" w:hAnsi="Arial" w:cs="Times New Roman"/>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paragraph" w:styleId="Sinespaciado">
    <w:name w:val="No Spacing"/>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character" w:customStyle="1" w:styleId="EstiloCar">
    <w:name w:val="Estilo Car"/>
    <w:link w:val="Estilo"/>
    <w:locked/>
    <w:rsid w:val="00F303AF"/>
    <w:rPr>
      <w:rFonts w:ascii="Arial" w:hAnsi="Arial"/>
      <w:sz w:val="24"/>
    </w:rPr>
  </w:style>
  <w:style w:type="paragraph" w:customStyle="1" w:styleId="Estilo">
    <w:name w:val="Estilo"/>
    <w:basedOn w:val="Sinespaciado"/>
    <w:link w:val="EstiloCar"/>
    <w:qFormat/>
    <w:rsid w:val="00F303AF"/>
    <w:pPr>
      <w:jc w:val="both"/>
    </w:pPr>
    <w:rPr>
      <w:rFonts w:ascii="Arial" w:hAnsi="Arial"/>
      <w:sz w:val="24"/>
    </w:rPr>
  </w:style>
  <w:style w:type="character" w:styleId="Referenciaintensa">
    <w:name w:val="Intense Reference"/>
    <w:uiPriority w:val="32"/>
    <w:qFormat/>
    <w:rsid w:val="00825423"/>
    <w:rPr>
      <w:b/>
      <w:bCs/>
      <w:smallCaps/>
      <w:color w:val="5B9BD5"/>
      <w:spacing w:val="5"/>
    </w:rPr>
  </w:style>
  <w:style w:type="character" w:styleId="Hipervnculovisitado">
    <w:name w:val="FollowedHyperlink"/>
    <w:uiPriority w:val="99"/>
    <w:semiHidden/>
    <w:unhideWhenUsed/>
    <w:rsid w:val="00490DB7"/>
    <w:rPr>
      <w:color w:val="954F72"/>
      <w:u w:val="single"/>
    </w:rPr>
  </w:style>
  <w:style w:type="paragraph" w:customStyle="1" w:styleId="corte4fondo">
    <w:name w:val="corte4 fondo"/>
    <w:basedOn w:val="Normal"/>
    <w:link w:val="corte4fondoCar4"/>
    <w:qFormat/>
    <w:rsid w:val="00CB7034"/>
    <w:pPr>
      <w:spacing w:after="0" w:line="360" w:lineRule="auto"/>
      <w:ind w:firstLine="709"/>
      <w:jc w:val="both"/>
    </w:pPr>
    <w:rPr>
      <w:rFonts w:ascii="Arial" w:eastAsia="Times New Roman" w:hAnsi="Arial"/>
      <w:sz w:val="30"/>
      <w:szCs w:val="20"/>
      <w:lang w:val="es-ES_tradnl" w:eastAsia="es-MX"/>
    </w:rPr>
  </w:style>
  <w:style w:type="character" w:customStyle="1" w:styleId="TextonotapieCar1">
    <w:name w:val="Texto nota pie Car1"/>
    <w:aliases w:val="Footnote Text Char Char Char Char Char Car,Footnote Text Char Char Char Char Car,Footnote reference Car,FA Fu Car,Car Car2,Footnote Text Char Char Char Car1,Footnote Text Cha Car1,FA Fußnotentext Car1,FA Fuﬂnotentext Car1,Ca Car"/>
    <w:locked/>
    <w:rsid w:val="00CB7034"/>
    <w:rPr>
      <w:rFonts w:ascii="Times New Roman" w:eastAsia="Times New Roman" w:hAnsi="Times New Roman" w:cs="Times New Roman"/>
      <w:sz w:val="20"/>
      <w:szCs w:val="20"/>
      <w:lang w:eastAsia="es-MX"/>
    </w:rPr>
  </w:style>
  <w:style w:type="character" w:customStyle="1" w:styleId="corte4fondoCar4">
    <w:name w:val="corte4 fondo Car4"/>
    <w:link w:val="corte4fondo"/>
    <w:rsid w:val="00CB7034"/>
    <w:rPr>
      <w:rFonts w:ascii="Arial" w:eastAsia="Times New Roman" w:hAnsi="Arial"/>
      <w:sz w:val="30"/>
      <w:lang w:val="es-ES_tradnl"/>
    </w:rPr>
  </w:style>
  <w:style w:type="table" w:customStyle="1" w:styleId="Tablaconcuadrcula8">
    <w:name w:val="Tabla con cuadrícula8"/>
    <w:basedOn w:val="Tablanormal"/>
    <w:next w:val="Tablaconcuadrcula"/>
    <w:uiPriority w:val="59"/>
    <w:rsid w:val="00B44E6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6852"/>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5B6852"/>
    <w:rPr>
      <w:rFonts w:ascii="Calibri Light" w:eastAsia="MS Gothic" w:hAnsi="Calibri Light"/>
      <w:color w:val="2E74B5"/>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7009">
      <w:bodyDiv w:val="1"/>
      <w:marLeft w:val="0"/>
      <w:marRight w:val="0"/>
      <w:marTop w:val="0"/>
      <w:marBottom w:val="0"/>
      <w:divBdr>
        <w:top w:val="none" w:sz="0" w:space="0" w:color="auto"/>
        <w:left w:val="none" w:sz="0" w:space="0" w:color="auto"/>
        <w:bottom w:val="none" w:sz="0" w:space="0" w:color="auto"/>
        <w:right w:val="none" w:sz="0" w:space="0" w:color="auto"/>
      </w:divBdr>
    </w:div>
    <w:div w:id="270862116">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499851494">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794758025">
      <w:bodyDiv w:val="1"/>
      <w:marLeft w:val="0"/>
      <w:marRight w:val="0"/>
      <w:marTop w:val="0"/>
      <w:marBottom w:val="0"/>
      <w:divBdr>
        <w:top w:val="none" w:sz="0" w:space="0" w:color="auto"/>
        <w:left w:val="none" w:sz="0" w:space="0" w:color="auto"/>
        <w:bottom w:val="none" w:sz="0" w:space="0" w:color="auto"/>
        <w:right w:val="none" w:sz="0" w:space="0" w:color="auto"/>
      </w:divBdr>
    </w:div>
    <w:div w:id="832447709">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44852042">
      <w:bodyDiv w:val="1"/>
      <w:marLeft w:val="0"/>
      <w:marRight w:val="0"/>
      <w:marTop w:val="0"/>
      <w:marBottom w:val="0"/>
      <w:divBdr>
        <w:top w:val="none" w:sz="0" w:space="0" w:color="auto"/>
        <w:left w:val="none" w:sz="0" w:space="0" w:color="auto"/>
        <w:bottom w:val="none" w:sz="0" w:space="0" w:color="auto"/>
        <w:right w:val="none" w:sz="0" w:space="0" w:color="auto"/>
      </w:divBdr>
    </w:div>
    <w:div w:id="1150173355">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67887517">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370642876">
      <w:bodyDiv w:val="1"/>
      <w:marLeft w:val="0"/>
      <w:marRight w:val="0"/>
      <w:marTop w:val="0"/>
      <w:marBottom w:val="0"/>
      <w:divBdr>
        <w:top w:val="none" w:sz="0" w:space="0" w:color="auto"/>
        <w:left w:val="none" w:sz="0" w:space="0" w:color="auto"/>
        <w:bottom w:val="none" w:sz="0" w:space="0" w:color="auto"/>
        <w:right w:val="none" w:sz="0" w:space="0" w:color="auto"/>
      </w:divBdr>
    </w:div>
    <w:div w:id="1464614546">
      <w:bodyDiv w:val="1"/>
      <w:marLeft w:val="0"/>
      <w:marRight w:val="0"/>
      <w:marTop w:val="0"/>
      <w:marBottom w:val="0"/>
      <w:divBdr>
        <w:top w:val="none" w:sz="0" w:space="0" w:color="auto"/>
        <w:left w:val="none" w:sz="0" w:space="0" w:color="auto"/>
        <w:bottom w:val="none" w:sz="0" w:space="0" w:color="auto"/>
        <w:right w:val="none" w:sz="0" w:space="0" w:color="auto"/>
      </w:divBdr>
    </w:div>
    <w:div w:id="1489664087">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861309369">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905027647">
      <w:bodyDiv w:val="1"/>
      <w:marLeft w:val="0"/>
      <w:marRight w:val="0"/>
      <w:marTop w:val="0"/>
      <w:marBottom w:val="0"/>
      <w:divBdr>
        <w:top w:val="none" w:sz="0" w:space="0" w:color="auto"/>
        <w:left w:val="none" w:sz="0" w:space="0" w:color="auto"/>
        <w:bottom w:val="none" w:sz="0" w:space="0" w:color="auto"/>
        <w:right w:val="none" w:sz="0" w:space="0" w:color="auto"/>
      </w:divBdr>
    </w:div>
    <w:div w:id="2116439422">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93AE0-B177-489F-B00E-EF24D627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7325</Words>
  <Characters>40292</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Idhalia Estrada Cervantes</dc:creator>
  <cp:keywords/>
  <dc:description/>
  <cp:lastModifiedBy>Maria del Consuelo Gonzalez Moreno</cp:lastModifiedBy>
  <cp:revision>8</cp:revision>
  <cp:lastPrinted>2017-12-12T20:43:00Z</cp:lastPrinted>
  <dcterms:created xsi:type="dcterms:W3CDTF">2018-01-19T18:35:00Z</dcterms:created>
  <dcterms:modified xsi:type="dcterms:W3CDTF">2018-11-07T19:19:00Z</dcterms:modified>
</cp:coreProperties>
</file>