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12DE" w:rsidRPr="00600AC8" w:rsidRDefault="005712DE" w:rsidP="00600AC8">
      <w:pPr>
        <w:pStyle w:val="Ttulo1"/>
        <w:spacing w:after="240"/>
        <w:jc w:val="center"/>
        <w:rPr>
          <w:rFonts w:ascii="ITC Avant Garde" w:eastAsia="Times New Roman" w:hAnsi="ITC Avant Garde"/>
          <w:b/>
          <w:color w:val="000000" w:themeColor="text1"/>
          <w:sz w:val="24"/>
          <w:szCs w:val="24"/>
          <w:lang w:val="es-ES_tradnl" w:eastAsia="es-ES"/>
        </w:rPr>
      </w:pPr>
      <w:bookmarkStart w:id="0" w:name="_GoBack"/>
      <w:bookmarkEnd w:id="0"/>
      <w:r w:rsidRPr="00600AC8">
        <w:rPr>
          <w:rFonts w:ascii="ITC Avant Garde" w:eastAsia="Times New Roman" w:hAnsi="ITC Avant Garde"/>
          <w:b/>
          <w:color w:val="000000" w:themeColor="text1"/>
          <w:sz w:val="24"/>
          <w:szCs w:val="24"/>
          <w:lang w:val="es-ES_tradnl" w:eastAsia="es-ES"/>
        </w:rPr>
        <w:t>VERSIÓN PÚBLICA DEL ANEXO V</w:t>
      </w:r>
    </w:p>
    <w:p w:rsidR="005712DE" w:rsidRPr="005712DE" w:rsidRDefault="005712DE" w:rsidP="00600AC8">
      <w:pPr>
        <w:spacing w:line="240" w:lineRule="auto"/>
        <w:jc w:val="center"/>
        <w:rPr>
          <w:rFonts w:ascii="ITC Avant Garde" w:eastAsia="Calibri" w:hAnsi="ITC Avant Garde" w:cs="Times New Roman"/>
          <w:b/>
          <w:sz w:val="20"/>
          <w:szCs w:val="20"/>
        </w:rPr>
      </w:pPr>
      <w:r w:rsidRPr="00600AC8">
        <w:rPr>
          <w:rFonts w:ascii="ITC Avant Garde" w:eastAsia="Calibri" w:hAnsi="ITC Avant Garde" w:cs="Tahoma"/>
          <w:b/>
          <w:color w:val="000000"/>
          <w:sz w:val="20"/>
          <w:szCs w:val="20"/>
          <w:lang w:eastAsia="es-MX"/>
        </w:rPr>
        <w:t>CORRESPONDIENTE AL ACUERDO P/IFT/240217/104, APROBADO EN LA VIII SESIÓN ORDINARIA DEL PLENO DEL INSTITUTO FEDERAL DE TELECOMUNICACIONES, CELEBRADA EL</w:t>
      </w:r>
      <w:r w:rsidRPr="005712DE">
        <w:rPr>
          <w:rFonts w:ascii="ITC Avant Garde" w:eastAsia="Calibri" w:hAnsi="ITC Avant Garde" w:cs="Times New Roman"/>
          <w:b/>
          <w:sz w:val="20"/>
          <w:szCs w:val="20"/>
        </w:rPr>
        <w:t xml:space="preserve"> 24 DE FEBRERO DE 2017.</w:t>
      </w:r>
    </w:p>
    <w:p w:rsidR="005712DE" w:rsidRPr="005712DE" w:rsidRDefault="005712DE" w:rsidP="00600AC8">
      <w:pPr>
        <w:keepNext/>
        <w:keepLines/>
        <w:spacing w:before="240" w:after="240" w:line="360" w:lineRule="auto"/>
        <w:contextualSpacing/>
        <w:jc w:val="center"/>
        <w:outlineLvl w:val="1"/>
        <w:rPr>
          <w:rFonts w:ascii="ITC Avant Garde" w:eastAsia="Arial" w:hAnsi="ITC Avant Garde" w:cs="Arial"/>
          <w:b/>
          <w:color w:val="000000"/>
          <w:sz w:val="21"/>
          <w:szCs w:val="21"/>
          <w:lang w:eastAsia="es-MX"/>
        </w:rPr>
      </w:pPr>
      <w:r w:rsidRPr="005712DE">
        <w:rPr>
          <w:rFonts w:ascii="ITC Avant Garde" w:eastAsia="Arial" w:hAnsi="ITC Avant Garde" w:cs="Arial"/>
          <w:b/>
          <w:color w:val="000000"/>
          <w:sz w:val="21"/>
          <w:szCs w:val="21"/>
          <w:lang w:eastAsia="es-MX"/>
        </w:rPr>
        <w:t>LEYENDA DE LA CLASIFICACIÓN</w:t>
      </w:r>
    </w:p>
    <w:p w:rsidR="005712DE" w:rsidRPr="005712DE" w:rsidRDefault="005712DE" w:rsidP="005712DE">
      <w:pPr>
        <w:spacing w:after="0" w:line="360" w:lineRule="auto"/>
        <w:jc w:val="both"/>
        <w:rPr>
          <w:rFonts w:ascii="ITC Avant Garde" w:eastAsia="Times New Roman" w:hAnsi="ITC Avant Garde" w:cs="Times New Roman"/>
          <w:bCs/>
          <w:color w:val="000000"/>
          <w:sz w:val="19"/>
          <w:szCs w:val="19"/>
          <w:lang w:eastAsia="es-MX"/>
        </w:rPr>
      </w:pPr>
      <w:r w:rsidRPr="005712DE">
        <w:rPr>
          <w:rFonts w:ascii="ITC Avant Garde" w:eastAsia="Times New Roman" w:hAnsi="ITC Avant Garde" w:cs="Times New Roman"/>
          <w:b/>
          <w:bCs/>
          <w:color w:val="000000"/>
          <w:sz w:val="19"/>
          <w:szCs w:val="19"/>
          <w:lang w:eastAsia="es-MX"/>
        </w:rPr>
        <w:t>Fecha de Clasificación:</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imes New Roman"/>
          <w:sz w:val="20"/>
          <w:szCs w:val="20"/>
        </w:rPr>
        <w:t>24 de febrero de 2017.</w:t>
      </w:r>
    </w:p>
    <w:p w:rsidR="005712DE" w:rsidRPr="005712DE" w:rsidRDefault="005712DE" w:rsidP="005712DE">
      <w:pPr>
        <w:spacing w:after="0" w:line="360" w:lineRule="auto"/>
        <w:jc w:val="both"/>
        <w:rPr>
          <w:rFonts w:ascii="ITC Avant Garde" w:eastAsia="Calibri" w:hAnsi="ITC Avant Garde" w:cs="Times New Roman"/>
          <w:sz w:val="19"/>
          <w:szCs w:val="19"/>
        </w:rPr>
      </w:pPr>
      <w:r w:rsidRPr="005712DE">
        <w:rPr>
          <w:rFonts w:ascii="ITC Avant Garde" w:eastAsia="Times New Roman" w:hAnsi="ITC Avant Garde" w:cs="Times New Roman"/>
          <w:b/>
          <w:bCs/>
          <w:color w:val="000000"/>
          <w:sz w:val="19"/>
          <w:szCs w:val="19"/>
          <w:lang w:eastAsia="es-MX"/>
        </w:rPr>
        <w:t>Unidad Administrativa:</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ahoma"/>
          <w:color w:val="000000"/>
          <w:sz w:val="20"/>
          <w:szCs w:val="20"/>
          <w:lang w:eastAsia="es-MX"/>
        </w:rPr>
        <w:t xml:space="preserve">Secretaría Técnica del Pleno, de conformidad con los artículos 72, fracción V, inciso c), 98, fracción III y 104 de la Ley Federal de Transparencia y Acceso a la Información Pública (“LFTAIP”); 106, 107 y 110 de la Ley General de Transparencia y Acceso a la Información Pública ("LGTAIP”); así como el Lineamiento Séptimo, fracción III, Quincuagésimo Primero al Cuarto, Sexagésimo y Sexagésimo Primero de los Lineamientos Generales en materia de Clasificación y Desclasificación de la Información, así como para la Elaboración de Versiones Públicas (“LGCDIEVP”) y finalmente, conforme a la versión pública elaborada por la Dirección General de Procedimiento de Competencia, remitida mediante oficio IFT/226/UCE/DGPC/041/2017 de fecha 14 de marzo de 2017, por contener información </w:t>
      </w:r>
      <w:r w:rsidRPr="005712DE">
        <w:rPr>
          <w:rFonts w:ascii="ITC Avant Garde" w:eastAsia="Calibri" w:hAnsi="ITC Avant Garde" w:cs="Tahoma"/>
          <w:b/>
          <w:color w:val="000000"/>
          <w:sz w:val="20"/>
          <w:szCs w:val="20"/>
          <w:lang w:eastAsia="es-MX"/>
        </w:rPr>
        <w:t>Confidencial</w:t>
      </w:r>
      <w:r w:rsidRPr="005712DE">
        <w:rPr>
          <w:rFonts w:ascii="ITC Avant Garde" w:eastAsia="Calibri" w:hAnsi="ITC Avant Garde" w:cs="Tahoma"/>
          <w:color w:val="000000"/>
          <w:sz w:val="20"/>
          <w:szCs w:val="20"/>
          <w:lang w:eastAsia="es-MX"/>
        </w:rPr>
        <w:t>.</w:t>
      </w:r>
    </w:p>
    <w:p w:rsidR="005712DE" w:rsidRPr="005712DE" w:rsidRDefault="005712DE" w:rsidP="005712DE">
      <w:pPr>
        <w:spacing w:after="0" w:line="360" w:lineRule="auto"/>
        <w:jc w:val="both"/>
        <w:rPr>
          <w:rFonts w:ascii="ITC Avant Garde" w:eastAsia="Times New Roman" w:hAnsi="ITC Avant Garde" w:cs="Times New Roman"/>
          <w:bCs/>
          <w:color w:val="000000"/>
          <w:sz w:val="19"/>
          <w:szCs w:val="19"/>
          <w:lang w:eastAsia="es-MX"/>
        </w:rPr>
      </w:pPr>
      <w:r w:rsidRPr="005712DE">
        <w:rPr>
          <w:rFonts w:ascii="ITC Avant Garde" w:eastAsia="Times New Roman" w:hAnsi="ITC Avant Garde" w:cs="Times New Roman"/>
          <w:b/>
          <w:bCs/>
          <w:color w:val="000000"/>
          <w:sz w:val="19"/>
          <w:szCs w:val="19"/>
          <w:lang w:eastAsia="es-MX"/>
        </w:rPr>
        <w:t>Núm. de Resolución:</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imes New Roman"/>
          <w:sz w:val="18"/>
          <w:szCs w:val="18"/>
        </w:rPr>
        <w:t>Anexo V del Acuerdo P/IFT/240217/104.</w:t>
      </w:r>
    </w:p>
    <w:p w:rsidR="005712DE" w:rsidRPr="005712DE" w:rsidRDefault="005712DE" w:rsidP="005712DE">
      <w:pPr>
        <w:spacing w:after="0" w:line="360" w:lineRule="auto"/>
        <w:jc w:val="both"/>
        <w:rPr>
          <w:rFonts w:ascii="ITC Avant Garde" w:eastAsia="Calibri" w:hAnsi="ITC Avant Garde" w:cs="Times New Roman"/>
          <w:sz w:val="19"/>
          <w:szCs w:val="19"/>
        </w:rPr>
      </w:pPr>
      <w:r w:rsidRPr="005712DE">
        <w:rPr>
          <w:rFonts w:ascii="ITC Avant Garde" w:eastAsia="Times New Roman" w:hAnsi="ITC Avant Garde" w:cs="Times New Roman"/>
          <w:b/>
          <w:bCs/>
          <w:color w:val="000000"/>
          <w:sz w:val="19"/>
          <w:szCs w:val="19"/>
          <w:lang w:eastAsia="es-MX"/>
        </w:rPr>
        <w:t>Descripción del asunto:</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imes New Roman"/>
          <w:sz w:val="18"/>
          <w:szCs w:val="18"/>
        </w:rPr>
        <w:t>Resolución del Pleno del Instituto Federal de Telecomunicaciones en el expediente R.A.141/2016, en relación con lo ordenado en la Ejecutoria dictada en el amparo 1675/2015 por el Primer Tribunal Colegiado de Circuito en materia Administrativa especializado en Competencia Económica, Radiodifusión y Telecomunicaciones, con residencia en la Ciudad de México y jurisdicción en toda la República.</w:t>
      </w:r>
    </w:p>
    <w:p w:rsidR="005712DE" w:rsidRPr="005712DE" w:rsidRDefault="005712DE" w:rsidP="005712DE">
      <w:pPr>
        <w:spacing w:after="0" w:line="360" w:lineRule="auto"/>
        <w:jc w:val="both"/>
        <w:rPr>
          <w:rFonts w:ascii="ITC Avant Garde" w:eastAsia="Calibri" w:hAnsi="ITC Avant Garde" w:cs="Times New Roman"/>
          <w:sz w:val="19"/>
          <w:szCs w:val="19"/>
        </w:rPr>
      </w:pPr>
      <w:r w:rsidRPr="005712DE">
        <w:rPr>
          <w:rFonts w:ascii="ITC Avant Garde" w:eastAsia="Times New Roman" w:hAnsi="ITC Avant Garde" w:cs="Times New Roman"/>
          <w:b/>
          <w:bCs/>
          <w:color w:val="000000"/>
          <w:sz w:val="19"/>
          <w:szCs w:val="19"/>
          <w:lang w:eastAsia="es-MX"/>
        </w:rPr>
        <w:t>Fundamento legal:</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imes New Roman"/>
          <w:sz w:val="18"/>
          <w:szCs w:val="18"/>
        </w:rPr>
        <w:t>Confidencial con fundamento el artículo 3, fracción IX, 124 y 125 de la Ley Federal de Competencia Económica; en relación con los artículos 113, fracción II de la “LFTAIP” publicada en el DOF el 9 de mayo de 2016; el artículo 116 de la “LGTAIP”, publicada en el DOF el 4 de mayo de 2015; así como el Lineamiento Trigésimo Octavo, fracción II y Cuadragésimo de los “LCCDIEVP”, publicado en el DOF el 15 de abril de 2016.</w:t>
      </w:r>
    </w:p>
    <w:p w:rsidR="005712DE" w:rsidRPr="005712DE" w:rsidRDefault="005712DE" w:rsidP="005712DE">
      <w:pPr>
        <w:spacing w:after="0" w:line="360" w:lineRule="auto"/>
        <w:jc w:val="both"/>
        <w:rPr>
          <w:rFonts w:ascii="ITC Avant Garde" w:eastAsia="Times New Roman" w:hAnsi="ITC Avant Garde" w:cs="Times New Roman"/>
          <w:bCs/>
          <w:color w:val="000000"/>
          <w:sz w:val="19"/>
          <w:szCs w:val="19"/>
          <w:lang w:eastAsia="es-MX"/>
        </w:rPr>
      </w:pPr>
      <w:r w:rsidRPr="005712DE">
        <w:rPr>
          <w:rFonts w:ascii="ITC Avant Garde" w:eastAsia="Times New Roman" w:hAnsi="ITC Avant Garde" w:cs="Times New Roman"/>
          <w:b/>
          <w:bCs/>
          <w:color w:val="000000"/>
          <w:sz w:val="19"/>
          <w:szCs w:val="19"/>
          <w:lang w:eastAsia="es-MX"/>
        </w:rPr>
        <w:t>Motivación:</w:t>
      </w:r>
      <w:r w:rsidRPr="005712DE">
        <w:rPr>
          <w:rFonts w:ascii="ITC Avant Garde" w:eastAsia="Times New Roman" w:hAnsi="ITC Avant Garde" w:cs="Times New Roman"/>
          <w:bCs/>
          <w:color w:val="000000"/>
          <w:sz w:val="19"/>
          <w:szCs w:val="19"/>
          <w:lang w:eastAsia="es-MX"/>
        </w:rPr>
        <w:t xml:space="preserve"> </w:t>
      </w:r>
      <w:r w:rsidRPr="005712DE">
        <w:rPr>
          <w:rFonts w:ascii="ITC Avant Garde" w:eastAsia="Calibri" w:hAnsi="ITC Avant Garde" w:cs="Times New Roman"/>
          <w:sz w:val="18"/>
          <w:szCs w:val="18"/>
        </w:rPr>
        <w:t>Contiene información entregada con carácter Confidencial por el Agente Económico; relacionada con secretos industriales y comerciales que corresponde a los particulares; información relacionada con hechos y actos de carácter económico y contable que pudieran ser útiles a cualquier competidor; información del manejo del negocio y su proceso de toma de decisiones; así como datos personales.</w:t>
      </w:r>
    </w:p>
    <w:p w:rsidR="005712DE" w:rsidRPr="005712DE" w:rsidRDefault="005712DE" w:rsidP="005712DE">
      <w:pPr>
        <w:spacing w:after="0" w:line="360" w:lineRule="auto"/>
        <w:jc w:val="both"/>
        <w:rPr>
          <w:rFonts w:ascii="ITC Avant Garde" w:eastAsia="Times New Roman" w:hAnsi="ITC Avant Garde" w:cs="Times New Roman"/>
          <w:bCs/>
          <w:color w:val="000000"/>
          <w:sz w:val="19"/>
          <w:szCs w:val="19"/>
          <w:lang w:eastAsia="es-MX"/>
        </w:rPr>
      </w:pPr>
      <w:r w:rsidRPr="005712DE">
        <w:rPr>
          <w:rFonts w:ascii="ITC Avant Garde" w:eastAsia="Times New Roman" w:hAnsi="ITC Avant Garde" w:cs="Times New Roman"/>
          <w:b/>
          <w:bCs/>
          <w:color w:val="000000"/>
          <w:sz w:val="19"/>
          <w:szCs w:val="19"/>
          <w:lang w:eastAsia="es-MX"/>
        </w:rPr>
        <w:t>Secciones Confidenciales:</w:t>
      </w:r>
      <w:r w:rsidRPr="005712DE">
        <w:rPr>
          <w:rFonts w:ascii="ITC Avant Garde" w:eastAsia="Times New Roman" w:hAnsi="ITC Avant Garde" w:cs="Times New Roman"/>
          <w:bCs/>
          <w:color w:val="000000"/>
          <w:sz w:val="19"/>
          <w:szCs w:val="19"/>
          <w:lang w:eastAsia="es-MX"/>
        </w:rPr>
        <w:t xml:space="preserve"> Las secciones marcadas en color azul con la inscripción que dice </w:t>
      </w:r>
      <w:r w:rsidRPr="005712DE">
        <w:rPr>
          <w:rFonts w:ascii="ITC Avant Garde" w:eastAsia="Times New Roman" w:hAnsi="ITC Avant Garde" w:cs="Times New Roman"/>
          <w:b/>
          <w:bCs/>
          <w:color w:val="0000CC"/>
          <w:sz w:val="19"/>
          <w:szCs w:val="19"/>
          <w:lang w:eastAsia="es-MX"/>
        </w:rPr>
        <w:t>“CONFIDENCIAL POR LEY”</w:t>
      </w:r>
      <w:r w:rsidRPr="005712DE">
        <w:rPr>
          <w:rFonts w:ascii="ITC Avant Garde" w:eastAsia="Times New Roman" w:hAnsi="ITC Avant Garde" w:cs="Times New Roman"/>
          <w:bCs/>
          <w:color w:val="000000"/>
          <w:sz w:val="19"/>
          <w:szCs w:val="19"/>
          <w:lang w:eastAsia="es-MX"/>
        </w:rPr>
        <w:t>.</w:t>
      </w:r>
    </w:p>
    <w:p w:rsidR="005712DE" w:rsidRPr="005712DE" w:rsidRDefault="005712DE" w:rsidP="005712DE">
      <w:pPr>
        <w:spacing w:before="240" w:after="120" w:line="360" w:lineRule="auto"/>
        <w:rPr>
          <w:rFonts w:ascii="ITC Avant Garde" w:eastAsia="Times New Roman" w:hAnsi="ITC Avant Garde" w:cs="Times New Roman"/>
          <w:bCs/>
          <w:color w:val="000000"/>
          <w:sz w:val="20"/>
          <w:szCs w:val="20"/>
          <w:lang w:eastAsia="es-MX"/>
        </w:rPr>
        <w:sectPr w:rsidR="005712DE" w:rsidRPr="005712DE" w:rsidSect="002B6985">
          <w:pgSz w:w="12240" w:h="15840"/>
          <w:pgMar w:top="1276" w:right="1750" w:bottom="1418" w:left="1701" w:header="709" w:footer="992" w:gutter="0"/>
          <w:cols w:space="720"/>
        </w:sectPr>
      </w:pPr>
    </w:p>
    <w:p w:rsidR="00973AD5" w:rsidRPr="00166B7F" w:rsidRDefault="00600AC8" w:rsidP="00C37B2F">
      <w:pPr>
        <w:pStyle w:val="Ttulo1"/>
        <w:spacing w:before="6000" w:after="160" w:line="240" w:lineRule="auto"/>
        <w:jc w:val="center"/>
        <w:rPr>
          <w:rFonts w:ascii="ITC Avant Garde" w:hAnsi="ITC Avant Garde"/>
          <w:b/>
          <w:color w:val="auto"/>
          <w:sz w:val="22"/>
          <w:szCs w:val="22"/>
        </w:rPr>
      </w:pPr>
      <w:r>
        <w:rPr>
          <w:rFonts w:ascii="ITC Avant Garde" w:hAnsi="ITC Avant Garde"/>
          <w:b/>
          <w:color w:val="auto"/>
          <w:sz w:val="22"/>
          <w:szCs w:val="22"/>
        </w:rPr>
        <w:lastRenderedPageBreak/>
        <w:t>ANEXO V</w:t>
      </w:r>
    </w:p>
    <w:p w:rsidR="00166B7F" w:rsidRDefault="00166B7F" w:rsidP="00166B7F">
      <w:pPr>
        <w:jc w:val="center"/>
        <w:rPr>
          <w:rFonts w:ascii="ITC Avant Garde" w:hAnsi="ITC Avant Garde"/>
        </w:rPr>
      </w:pPr>
      <w:r>
        <w:rPr>
          <w:rFonts w:ascii="ITC Avant Garde" w:hAnsi="ITC Avant Garde"/>
        </w:rPr>
        <w:t>DICTAMEN P</w:t>
      </w:r>
      <w:r w:rsidRPr="001F7442">
        <w:rPr>
          <w:rFonts w:ascii="ITC Avant Garde" w:hAnsi="ITC Avant Garde"/>
        </w:rPr>
        <w:t xml:space="preserve">ERICIAL </w:t>
      </w:r>
      <w:r>
        <w:rPr>
          <w:rFonts w:ascii="ITC Avant Garde" w:hAnsi="ITC Avant Garde"/>
        </w:rPr>
        <w:t xml:space="preserve">EN MATERIA DE CONTABILIDAD </w:t>
      </w:r>
      <w:r w:rsidRPr="001F7442">
        <w:rPr>
          <w:rFonts w:ascii="ITC Avant Garde" w:hAnsi="ITC Avant Garde"/>
        </w:rPr>
        <w:t>A CARGO DE</w:t>
      </w:r>
      <w:r w:rsidR="002F011C" w:rsidRPr="00A41F9E">
        <w:rPr>
          <w:rFonts w:ascii="ITC Avant Garde" w:hAnsi="ITC Avant Garde"/>
          <w:b/>
          <w:color w:val="0000FF"/>
        </w:rPr>
        <w:t xml:space="preserve"> </w:t>
      </w:r>
      <w:r w:rsidR="00A41F9E" w:rsidRPr="00A41F9E">
        <w:rPr>
          <w:rFonts w:ascii="ITC Avant Garde" w:hAnsi="ITC Avant Garde"/>
          <w:b/>
          <w:color w:val="0000FF"/>
        </w:rPr>
        <w:t>“CONFIDENCIAL POR LEY”</w:t>
      </w:r>
    </w:p>
    <w:p w:rsidR="00166B7F" w:rsidRDefault="00166B7F">
      <w:pPr>
        <w:rPr>
          <w:rFonts w:ascii="ITC Avant Garde" w:hAnsi="ITC Avant Garde"/>
        </w:rPr>
      </w:pPr>
      <w:r>
        <w:rPr>
          <w:rFonts w:ascii="ITC Avant Garde" w:hAnsi="ITC Avant Garde"/>
        </w:rPr>
        <w:br w:type="page"/>
      </w:r>
    </w:p>
    <w:p w:rsidR="00973AD5" w:rsidRPr="002B6985" w:rsidRDefault="00166B7F" w:rsidP="002B6985">
      <w:pPr>
        <w:keepNext/>
        <w:keepLines/>
        <w:spacing w:after="0" w:line="360" w:lineRule="auto"/>
        <w:contextualSpacing/>
        <w:jc w:val="both"/>
        <w:outlineLvl w:val="1"/>
        <w:rPr>
          <w:rFonts w:ascii="ITC Avant Garde" w:hAnsi="ITC Avant Garde"/>
          <w:b/>
        </w:rPr>
      </w:pPr>
      <w:r w:rsidRPr="002B6985">
        <w:rPr>
          <w:rFonts w:ascii="ITC Avant Garde" w:hAnsi="ITC Avant Garde"/>
          <w:b/>
        </w:rPr>
        <w:lastRenderedPageBreak/>
        <w:t xml:space="preserve">DICTAMEN PERICIAL EN MATERIA DE </w:t>
      </w:r>
      <w:r w:rsidRPr="002B6985">
        <w:rPr>
          <w:rFonts w:ascii="ITC Avant Garde" w:eastAsia="Arial" w:hAnsi="ITC Avant Garde" w:cs="Arial"/>
          <w:b/>
          <w:color w:val="000000"/>
          <w:sz w:val="21"/>
          <w:szCs w:val="21"/>
          <w:lang w:eastAsia="es-MX"/>
        </w:rPr>
        <w:t>CONTABILIDAD</w:t>
      </w:r>
      <w:r w:rsidRPr="002B6985">
        <w:rPr>
          <w:rFonts w:ascii="ITC Avant Garde" w:hAnsi="ITC Avant Garde"/>
          <w:b/>
        </w:rPr>
        <w:t xml:space="preserve"> A CARGO DEL CONTADOR PÚBLICO </w:t>
      </w:r>
      <w:r w:rsidR="00A41F9E" w:rsidRPr="002B6985">
        <w:rPr>
          <w:rFonts w:ascii="ITC Avant Garde" w:hAnsi="ITC Avant Garde"/>
          <w:b/>
          <w:color w:val="0000FF"/>
        </w:rPr>
        <w:t>“CONFIDENCIAL POR LEY”</w:t>
      </w:r>
      <w:r w:rsidRPr="002B6985">
        <w:rPr>
          <w:rFonts w:ascii="ITC Avant Garde" w:hAnsi="ITC Avant Garde"/>
          <w:b/>
        </w:rPr>
        <w:t>, DESIGNADO COMO PERITO DE GTV</w:t>
      </w:r>
    </w:p>
    <w:p w:rsidR="002E0137" w:rsidRPr="00186101" w:rsidRDefault="002E0137" w:rsidP="00973AD5">
      <w:pPr>
        <w:autoSpaceDE w:val="0"/>
        <w:autoSpaceDN w:val="0"/>
        <w:adjustRightInd w:val="0"/>
        <w:spacing w:line="240" w:lineRule="auto"/>
        <w:jc w:val="both"/>
        <w:rPr>
          <w:rFonts w:ascii="ITC Avant Garde" w:hAnsi="ITC Avant Garde" w:cs="Helvetica"/>
          <w:szCs w:val="24"/>
        </w:rPr>
      </w:pPr>
      <w:r w:rsidRPr="00186101">
        <w:rPr>
          <w:rFonts w:ascii="ITC Avant Garde" w:hAnsi="ITC Avant Garde" w:cs="Helvetica"/>
          <w:szCs w:val="24"/>
        </w:rPr>
        <w:t>1.- El Perito dirá q</w:t>
      </w:r>
      <w:r w:rsidR="00E361EE" w:rsidRPr="00186101">
        <w:rPr>
          <w:rFonts w:ascii="ITC Avant Garde" w:hAnsi="ITC Avant Garde" w:cs="Helvetica"/>
          <w:szCs w:val="24"/>
        </w:rPr>
        <w:t>ué se debe entender por Utilida</w:t>
      </w:r>
      <w:r w:rsidRPr="00186101">
        <w:rPr>
          <w:rFonts w:ascii="ITC Avant Garde" w:hAnsi="ITC Avant Garde" w:cs="Helvetica"/>
          <w:szCs w:val="24"/>
        </w:rPr>
        <w:t>d</w:t>
      </w:r>
      <w:r w:rsidR="00E361EE" w:rsidRPr="00186101">
        <w:rPr>
          <w:rFonts w:ascii="ITC Avant Garde" w:hAnsi="ITC Avant Garde" w:cs="Helvetica"/>
          <w:szCs w:val="24"/>
        </w:rPr>
        <w:t xml:space="preserve"> antes de Costos</w:t>
      </w:r>
      <w:r w:rsidRPr="00186101">
        <w:rPr>
          <w:rFonts w:ascii="ITC Avant Garde" w:eastAsia="HiddenHorzOCR" w:hAnsi="ITC Avant Garde" w:cs="HiddenHorzOCR"/>
          <w:szCs w:val="24"/>
        </w:rPr>
        <w:t xml:space="preserve"> </w:t>
      </w:r>
      <w:r w:rsidRPr="00186101">
        <w:rPr>
          <w:rFonts w:ascii="ITC Avant Garde" w:hAnsi="ITC Avant Garde" w:cs="Helvetica"/>
          <w:szCs w:val="24"/>
        </w:rPr>
        <w:t xml:space="preserve">de Financiamiento, Impuestos Depreciación </w:t>
      </w:r>
      <w:r w:rsidRPr="00186101">
        <w:rPr>
          <w:rFonts w:ascii="ITC Avant Garde" w:hAnsi="ITC Avant Garde" w:cs="Times New Roman"/>
          <w:szCs w:val="24"/>
        </w:rPr>
        <w:t xml:space="preserve">y </w:t>
      </w:r>
      <w:r w:rsidRPr="00186101">
        <w:rPr>
          <w:rFonts w:ascii="ITC Avant Garde" w:hAnsi="ITC Avant Garde" w:cs="Helvetica"/>
          <w:szCs w:val="24"/>
        </w:rPr>
        <w:t>Amortización, para un periodo</w:t>
      </w:r>
      <w:r w:rsidRPr="00186101">
        <w:rPr>
          <w:rFonts w:ascii="ITC Avant Garde" w:eastAsia="HiddenHorzOCR" w:hAnsi="ITC Avant Garde" w:cs="HiddenHorzOCR"/>
          <w:szCs w:val="24"/>
        </w:rPr>
        <w:t xml:space="preserve"> </w:t>
      </w:r>
      <w:r w:rsidRPr="00186101">
        <w:rPr>
          <w:rFonts w:ascii="ITC Avant Garde" w:hAnsi="ITC Avant Garde" w:cs="Helvetica"/>
          <w:szCs w:val="24"/>
        </w:rPr>
        <w:t>d</w:t>
      </w:r>
      <w:r w:rsidR="00BC0A93" w:rsidRPr="00186101">
        <w:rPr>
          <w:rFonts w:ascii="ITC Avant Garde" w:hAnsi="ITC Avant Garde" w:cs="Helvetica"/>
          <w:szCs w:val="24"/>
        </w:rPr>
        <w:t>eterminado (en adelante “</w:t>
      </w:r>
      <w:r w:rsidR="00BC0A93" w:rsidRPr="00166B7F">
        <w:rPr>
          <w:rFonts w:ascii="ITC Avant Garde" w:hAnsi="ITC Avant Garde" w:cs="Helvetica"/>
          <w:i/>
          <w:sz w:val="20"/>
          <w:szCs w:val="24"/>
        </w:rPr>
        <w:t>UAFIDA</w:t>
      </w:r>
      <w:r w:rsidR="00BC0A93" w:rsidRPr="00186101">
        <w:rPr>
          <w:rFonts w:ascii="ITC Avant Garde" w:hAnsi="ITC Avant Garde" w:cs="Helvetica"/>
          <w:szCs w:val="24"/>
        </w:rPr>
        <w:t>”</w:t>
      </w:r>
      <w:r w:rsidRPr="00186101">
        <w:rPr>
          <w:rFonts w:ascii="ITC Avant Garde" w:hAnsi="ITC Avant Garde" w:cs="Helvetica"/>
          <w:szCs w:val="24"/>
        </w:rPr>
        <w:t>) y el margen UAFIDA, cuál es su propósito u</w:t>
      </w:r>
      <w:r w:rsidRPr="00186101">
        <w:rPr>
          <w:rFonts w:ascii="ITC Avant Garde" w:eastAsia="HiddenHorzOCR" w:hAnsi="ITC Avant Garde" w:cs="HiddenHorzOCR"/>
          <w:szCs w:val="24"/>
        </w:rPr>
        <w:t xml:space="preserve"> </w:t>
      </w:r>
      <w:r w:rsidRPr="00186101">
        <w:rPr>
          <w:rFonts w:ascii="ITC Avant Garde" w:hAnsi="ITC Avant Garde" w:cs="Helvetica"/>
          <w:szCs w:val="24"/>
        </w:rPr>
        <w:t xml:space="preserve">objetivo </w:t>
      </w:r>
      <w:r w:rsidRPr="00186101">
        <w:rPr>
          <w:rFonts w:ascii="ITC Avant Garde" w:hAnsi="ITC Avant Garde" w:cs="Times New Roman"/>
          <w:szCs w:val="24"/>
        </w:rPr>
        <w:t xml:space="preserve">y </w:t>
      </w:r>
      <w:r w:rsidRPr="00186101">
        <w:rPr>
          <w:rFonts w:ascii="ITC Avant Garde" w:hAnsi="ITC Avant Garde" w:cs="Helvetica"/>
          <w:szCs w:val="24"/>
        </w:rPr>
        <w:t>cómo se calcula.</w:t>
      </w:r>
    </w:p>
    <w:p w:rsidR="00E361EE" w:rsidRPr="00A50B5B" w:rsidRDefault="00E361EE"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La UAFIDA es un indicador financiero que muestra de manera aproximada la capacidad de una empresa para generar efectivo considerando únicamente su actividad productiva, eliminando de esta manera el efecto del endeudamiento, las amortizaciones productivas (depreciación y amortización) y la variabilidad de las disposiciones fiscales a las que se encuentra sujeta una entidad. La UAFIDA, sin embargo, es limitada e ignora, por ejemplo, las inversiones adicionales necesarias en capital de trabajo de una empresa para mantener un ritmo de crecimiento.</w:t>
      </w:r>
    </w:p>
    <w:p w:rsidR="00E361EE" w:rsidRPr="00A50B5B" w:rsidRDefault="00E361EE"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El hecho de que la UAFIDA excluya el gasto financiero de las entidades convierte a este indicador financiero en una medida de las ganancias que genera una entidad, independientemente de los costos de financiamiento requeridos para obtener tales ganancias. Consecuentemente, la UAFIDA es utilizada por analistas financieros para determinar, de una forma burda, si una entidad tiene la capacidad para cubrir, con el flujo de efectivo generado por la utilidad de su operación, la deuda en que hubiera incurrido.</w:t>
      </w:r>
    </w:p>
    <w:p w:rsidR="00F26A64" w:rsidRPr="00A50B5B" w:rsidRDefault="00E361EE"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La UAFIDA por un periodo determinado se calcula considerando la utilidad operativa de la entidad sin considerar las depreciaciones, amortizaciones, el costo del financiamiento y los impuestos. Sin embargo, no existe una reglamentación o marco conceptual para determinar la UAFIDA en la</w:t>
      </w:r>
      <w:r w:rsidR="00CC021C" w:rsidRPr="00A50B5B">
        <w:rPr>
          <w:rFonts w:ascii="ITC Avant Garde" w:eastAsia="HiddenHorzOCR" w:hAnsi="ITC Avant Garde" w:cs="HiddenHorzOCR"/>
          <w:b/>
          <w:szCs w:val="20"/>
        </w:rPr>
        <w:t>s</w:t>
      </w:r>
      <w:r w:rsidRPr="00A50B5B">
        <w:rPr>
          <w:rFonts w:ascii="ITC Avant Garde" w:eastAsia="HiddenHorzOCR" w:hAnsi="ITC Avant Garde" w:cs="HiddenHorzOCR"/>
          <w:b/>
          <w:szCs w:val="20"/>
        </w:rPr>
        <w:t xml:space="preserve"> Normas de Información Financiera (en adelante "</w:t>
      </w:r>
      <w:r w:rsidRPr="00A50B5B">
        <w:rPr>
          <w:rFonts w:ascii="ITC Avant Garde" w:eastAsia="HiddenHorzOCR" w:hAnsi="ITC Avant Garde" w:cs="HiddenHorzOCR"/>
          <w:b/>
          <w:i/>
          <w:sz w:val="20"/>
          <w:szCs w:val="20"/>
        </w:rPr>
        <w:t>NIF</w:t>
      </w:r>
      <w:r w:rsidRPr="00A50B5B">
        <w:rPr>
          <w:rFonts w:ascii="ITC Avant Garde" w:eastAsia="HiddenHorzOCR" w:hAnsi="ITC Avant Garde" w:cs="HiddenHorzOCR"/>
          <w:b/>
          <w:szCs w:val="20"/>
        </w:rPr>
        <w:t>"), o en los Principios de Contabilidad Generalmente Aceptados en los Estados Unidos de América (en adelante "</w:t>
      </w:r>
      <w:r w:rsidRPr="00A50B5B">
        <w:rPr>
          <w:rFonts w:ascii="ITC Avant Garde" w:eastAsia="HiddenHorzOCR" w:hAnsi="ITC Avant Garde" w:cs="HiddenHorzOCR"/>
          <w:b/>
          <w:i/>
          <w:sz w:val="20"/>
          <w:szCs w:val="20"/>
        </w:rPr>
        <w:t>U.S. GAAP</w:t>
      </w:r>
      <w:r w:rsidRPr="00A50B5B">
        <w:rPr>
          <w:rFonts w:ascii="ITC Avant Garde" w:eastAsia="HiddenHorzOCR" w:hAnsi="ITC Avant Garde" w:cs="HiddenHorzOCR"/>
          <w:b/>
          <w:szCs w:val="20"/>
        </w:rPr>
        <w:t>" conforme a sus iniciales en el idioma inglés). La fórmula que usualmente es aceptada para la determinación de la UAFIDA en los análisis financieros es la siguiente:</w:t>
      </w:r>
    </w:p>
    <w:p w:rsidR="00F26A64" w:rsidRPr="00A50B5B" w:rsidRDefault="00F26A64" w:rsidP="00973AD5">
      <w:pPr>
        <w:autoSpaceDE w:val="0"/>
        <w:autoSpaceDN w:val="0"/>
        <w:adjustRightInd w:val="0"/>
        <w:spacing w:line="240" w:lineRule="auto"/>
        <w:ind w:left="284"/>
        <w:rPr>
          <w:rFonts w:ascii="ITC Avant Garde" w:eastAsia="HiddenHorzOCR" w:hAnsi="ITC Avant Garde" w:cs="HiddenHorzOCR"/>
          <w:b/>
          <w:szCs w:val="20"/>
        </w:rPr>
      </w:pPr>
      <w:r w:rsidRPr="00A50B5B">
        <w:rPr>
          <w:rFonts w:ascii="ITC Avant Garde" w:eastAsia="HiddenHorzOCR" w:hAnsi="ITC Avant Garde" w:cs="HiddenHorzOCR"/>
          <w:b/>
          <w:szCs w:val="20"/>
        </w:rPr>
        <w:t>(+) Ingresos por ventas o servicios</w:t>
      </w:r>
    </w:p>
    <w:p w:rsidR="00F26A64" w:rsidRPr="00A50B5B" w:rsidRDefault="00F26A64" w:rsidP="00973AD5">
      <w:pPr>
        <w:autoSpaceDE w:val="0"/>
        <w:autoSpaceDN w:val="0"/>
        <w:adjustRightInd w:val="0"/>
        <w:spacing w:line="240" w:lineRule="auto"/>
        <w:ind w:left="284"/>
        <w:rPr>
          <w:rFonts w:ascii="ITC Avant Garde" w:eastAsia="HiddenHorzOCR" w:hAnsi="ITC Avant Garde" w:cs="HiddenHorzOCR"/>
          <w:b/>
          <w:szCs w:val="20"/>
        </w:rPr>
      </w:pPr>
      <w:r w:rsidRPr="00A50B5B">
        <w:rPr>
          <w:rFonts w:ascii="ITC Avant Garde" w:eastAsia="HiddenHorzOCR" w:hAnsi="ITC Avant Garde" w:cs="HiddenHorzOCR"/>
          <w:b/>
          <w:szCs w:val="20"/>
        </w:rPr>
        <w:t>(-) Costo de venta o de servicios</w:t>
      </w:r>
      <w:r w:rsidRPr="00A50B5B">
        <w:rPr>
          <w:rStyle w:val="Refdenotaalpie"/>
          <w:rFonts w:ascii="ITC Avant Garde" w:eastAsia="HiddenHorzOCR" w:hAnsi="ITC Avant Garde" w:cs="HiddenHorzOCR"/>
          <w:b/>
          <w:szCs w:val="20"/>
        </w:rPr>
        <w:footnoteReference w:id="1"/>
      </w:r>
    </w:p>
    <w:p w:rsidR="00F26A64" w:rsidRPr="00A50B5B" w:rsidRDefault="00F26A64" w:rsidP="00973AD5">
      <w:pPr>
        <w:autoSpaceDE w:val="0"/>
        <w:autoSpaceDN w:val="0"/>
        <w:adjustRightInd w:val="0"/>
        <w:spacing w:line="240" w:lineRule="auto"/>
        <w:ind w:left="284"/>
        <w:rPr>
          <w:rFonts w:ascii="ITC Avant Garde" w:eastAsia="HiddenHorzOCR" w:hAnsi="ITC Avant Garde" w:cs="HiddenHorzOCR"/>
          <w:b/>
          <w:szCs w:val="20"/>
        </w:rPr>
      </w:pPr>
      <w:r w:rsidRPr="00A50B5B">
        <w:rPr>
          <w:rFonts w:ascii="ITC Avant Garde" w:eastAsia="HiddenHorzOCR" w:hAnsi="ITC Avant Garde" w:cs="HiddenHorzOCR"/>
          <w:b/>
          <w:szCs w:val="20"/>
        </w:rPr>
        <w:t>(-) Gastos de venta</w:t>
      </w:r>
      <w:r w:rsidRPr="00A50B5B">
        <w:rPr>
          <w:rStyle w:val="Refdenotaalpie"/>
          <w:rFonts w:ascii="ITC Avant Garde" w:eastAsia="HiddenHorzOCR" w:hAnsi="ITC Avant Garde" w:cs="HiddenHorzOCR"/>
          <w:b/>
          <w:szCs w:val="20"/>
        </w:rPr>
        <w:footnoteReference w:id="2"/>
      </w:r>
    </w:p>
    <w:p w:rsidR="00F26A64" w:rsidRPr="00A50B5B" w:rsidRDefault="00F26A64" w:rsidP="00973AD5">
      <w:pPr>
        <w:autoSpaceDE w:val="0"/>
        <w:autoSpaceDN w:val="0"/>
        <w:adjustRightInd w:val="0"/>
        <w:spacing w:line="240" w:lineRule="auto"/>
        <w:ind w:left="284"/>
        <w:rPr>
          <w:rFonts w:ascii="ITC Avant Garde" w:eastAsia="HiddenHorzOCR" w:hAnsi="ITC Avant Garde" w:cs="HiddenHorzOCR"/>
          <w:b/>
          <w:szCs w:val="20"/>
          <w:u w:val="single"/>
        </w:rPr>
      </w:pPr>
      <w:r w:rsidRPr="00A50B5B">
        <w:rPr>
          <w:rFonts w:ascii="ITC Avant Garde" w:eastAsia="HiddenHorzOCR" w:hAnsi="ITC Avant Garde" w:cs="HiddenHorzOCR"/>
          <w:b/>
          <w:szCs w:val="20"/>
          <w:u w:val="single"/>
        </w:rPr>
        <w:t>(-) Gastos de administración</w:t>
      </w:r>
      <w:r w:rsidRPr="00A50B5B">
        <w:rPr>
          <w:rStyle w:val="Refdenotaalpie"/>
          <w:rFonts w:ascii="ITC Avant Garde" w:eastAsia="HiddenHorzOCR" w:hAnsi="ITC Avant Garde" w:cs="HiddenHorzOCR"/>
          <w:b/>
          <w:szCs w:val="20"/>
          <w:u w:val="single"/>
        </w:rPr>
        <w:footnoteReference w:id="3"/>
      </w:r>
    </w:p>
    <w:p w:rsidR="00F26A64" w:rsidRPr="00A50B5B" w:rsidRDefault="00F26A64" w:rsidP="00973AD5">
      <w:pPr>
        <w:autoSpaceDE w:val="0"/>
        <w:autoSpaceDN w:val="0"/>
        <w:adjustRightInd w:val="0"/>
        <w:spacing w:line="240" w:lineRule="auto"/>
        <w:ind w:left="284"/>
        <w:rPr>
          <w:rFonts w:ascii="ITC Avant Garde" w:eastAsia="HiddenHorzOCR" w:hAnsi="ITC Avant Garde" w:cs="HiddenHorzOCR"/>
          <w:b/>
          <w:szCs w:val="20"/>
        </w:rPr>
      </w:pPr>
      <w:r w:rsidRPr="00A50B5B">
        <w:rPr>
          <w:rFonts w:ascii="ITC Avant Garde" w:eastAsia="HiddenHorzOCR" w:hAnsi="ITC Avant Garde" w:cs="HiddenHorzOCR"/>
          <w:b/>
          <w:szCs w:val="20"/>
        </w:rPr>
        <w:t>(=) UAFIDA</w:t>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lastRenderedPageBreak/>
        <w:t>La facilidad en la determinación de la UAFIDA la hace un indicador popular en el análisis de los estados financieros de una entidad, pues un analista puede calcular su monto rápida y fácilmente utilizando la información del Estado de Resultados.</w:t>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La UAFIDA no es un indicador por medio del cual se puedan medir de manera objetiva y completa las utilidades de una entidad, ya que al no considerar los rubros de intereses y depreciación principalmente, conceptos que en algunos casos pueden ser muy significativos para las entidades, no se refleja en la UAFIDA las necesidades de inversión o financiamiento de un negocio, por lo que aisladamente tal indicador no tiene mucho valor en un análisis financiero</w:t>
      </w:r>
      <w:r w:rsidR="00904664" w:rsidRPr="00A50B5B">
        <w:rPr>
          <w:rFonts w:ascii="ITC Avant Garde" w:eastAsia="HiddenHorzOCR" w:hAnsi="ITC Avant Garde" w:cs="HiddenHorzOCR"/>
          <w:b/>
          <w:szCs w:val="20"/>
        </w:rPr>
        <w:t>.</w:t>
      </w:r>
      <w:r w:rsidRPr="00A50B5B">
        <w:rPr>
          <w:rStyle w:val="Refdenotaalpie"/>
          <w:rFonts w:ascii="ITC Avant Garde" w:eastAsia="HiddenHorzOCR" w:hAnsi="ITC Avant Garde" w:cs="HiddenHorzOCR"/>
          <w:b/>
          <w:szCs w:val="20"/>
        </w:rPr>
        <w:footnoteReference w:id="4"/>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Por otra parte, el margen UAFIDA es un indicador financiero de desempeño que permite ver la eficiencia de los ingresos por ventas o por servicios generados; es decir, que tan eficiente operativamente es una entidad. Dicho de otra forma, el margen UAFIDA indica cuánto de cada peso de ingreso generado es utilidad operativa, disponible para cubrir depreciación, amortización, costo financiero e impuestos.</w:t>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El margen UAFIDA se determina de la siguiente manera:</w:t>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rPr>
      </w:pPr>
      <w:r w:rsidRPr="00A50B5B">
        <w:rPr>
          <w:rFonts w:ascii="ITC Avant Garde" w:eastAsia="HiddenHorzOCR" w:hAnsi="ITC Avant Garde" w:cs="HiddenHorzOCR"/>
          <w:b/>
          <w:szCs w:val="20"/>
        </w:rPr>
        <w:t>(+) UAFIDA</w:t>
      </w:r>
    </w:p>
    <w:p w:rsidR="00F26A64" w:rsidRPr="00A50B5B" w:rsidRDefault="00F26A64" w:rsidP="00973AD5">
      <w:pPr>
        <w:autoSpaceDE w:val="0"/>
        <w:autoSpaceDN w:val="0"/>
        <w:adjustRightInd w:val="0"/>
        <w:spacing w:line="240" w:lineRule="auto"/>
        <w:ind w:left="284"/>
        <w:jc w:val="both"/>
        <w:rPr>
          <w:rFonts w:ascii="ITC Avant Garde" w:eastAsia="HiddenHorzOCR" w:hAnsi="ITC Avant Garde" w:cs="HiddenHorzOCR"/>
          <w:b/>
          <w:szCs w:val="20"/>
          <w:u w:val="single"/>
        </w:rPr>
      </w:pPr>
      <w:r w:rsidRPr="00A50B5B">
        <w:rPr>
          <w:rFonts w:ascii="ITC Avant Garde" w:eastAsia="HiddenHorzOCR" w:hAnsi="ITC Avant Garde" w:cs="HiddenHorzOCR"/>
          <w:b/>
          <w:szCs w:val="20"/>
          <w:u w:val="single"/>
        </w:rPr>
        <w:t>(/) Ingresos por ventas o servicios</w:t>
      </w:r>
    </w:p>
    <w:p w:rsidR="00F26A64" w:rsidRPr="00A50B5B" w:rsidRDefault="00F26A64" w:rsidP="00322574">
      <w:pPr>
        <w:autoSpaceDE w:val="0"/>
        <w:autoSpaceDN w:val="0"/>
        <w:adjustRightInd w:val="0"/>
        <w:spacing w:line="240" w:lineRule="auto"/>
        <w:ind w:left="284"/>
        <w:jc w:val="both"/>
        <w:rPr>
          <w:rFonts w:ascii="ITC Avant Garde" w:eastAsia="HiddenHorzOCR" w:hAnsi="ITC Avant Garde" w:cs="HiddenHorzOCR"/>
          <w:sz w:val="28"/>
          <w:szCs w:val="24"/>
        </w:rPr>
      </w:pPr>
      <w:r w:rsidRPr="00A50B5B">
        <w:rPr>
          <w:rFonts w:ascii="ITC Avant Garde" w:eastAsia="HiddenHorzOCR" w:hAnsi="ITC Avant Garde" w:cs="HiddenHorzOCR"/>
          <w:b/>
          <w:i/>
          <w:szCs w:val="20"/>
        </w:rPr>
        <w:t>Margen UAFIDA</w:t>
      </w:r>
      <w:r w:rsidR="00322574" w:rsidRPr="00A50B5B">
        <w:rPr>
          <w:rFonts w:ascii="ITC Avant Garde" w:eastAsia="HiddenHorzOCR" w:hAnsi="ITC Avant Garde" w:cs="HiddenHorzOCR"/>
          <w:sz w:val="28"/>
          <w:szCs w:val="24"/>
        </w:rPr>
        <w:t>.</w:t>
      </w:r>
    </w:p>
    <w:p w:rsidR="00F118C2" w:rsidRPr="00401D8B" w:rsidRDefault="00F118C2"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2.- Teniendo a la vista: (i) los Estados Financieros Consolidados Dictaminados d</w:t>
      </w:r>
      <w:r w:rsidR="00BC0A93" w:rsidRPr="00401D8B">
        <w:rPr>
          <w:rFonts w:ascii="ITC Avant Garde" w:eastAsia="HiddenHorzOCR" w:hAnsi="ITC Avant Garde" w:cs="HiddenHorzOCR"/>
          <w:szCs w:val="24"/>
        </w:rPr>
        <w:t>e Innova, S. de R. L. de C.V. (“</w:t>
      </w:r>
      <w:r w:rsidR="00BC0A93" w:rsidRPr="00322574">
        <w:rPr>
          <w:rFonts w:ascii="ITC Avant Garde" w:eastAsia="HiddenHorzOCR" w:hAnsi="ITC Avant Garde" w:cs="HiddenHorzOCR"/>
          <w:i/>
          <w:sz w:val="20"/>
          <w:szCs w:val="24"/>
        </w:rPr>
        <w:t>Innova</w:t>
      </w:r>
      <w:r w:rsidR="00BC0A93" w:rsidRPr="00401D8B">
        <w:rPr>
          <w:rFonts w:ascii="ITC Avant Garde" w:eastAsia="HiddenHorzOCR" w:hAnsi="ITC Avant Garde" w:cs="HiddenHorzOCR"/>
          <w:szCs w:val="24"/>
        </w:rPr>
        <w:t>”</w:t>
      </w:r>
      <w:r w:rsidRPr="00401D8B">
        <w:rPr>
          <w:rFonts w:ascii="ITC Avant Garde" w:eastAsia="HiddenHorzOCR" w:hAnsi="ITC Avant Garde" w:cs="HiddenHorzOCR"/>
          <w:szCs w:val="24"/>
        </w:rPr>
        <w:t>) y Subsidiarias, cor</w:t>
      </w:r>
      <w:r w:rsidR="00322574">
        <w:rPr>
          <w:rFonts w:ascii="ITC Avant Garde" w:eastAsia="HiddenHorzOCR" w:hAnsi="ITC Avant Garde" w:cs="HiddenHorzOCR"/>
          <w:szCs w:val="24"/>
        </w:rPr>
        <w:t>respondientes a los años de dos mil doce y dos mil trece</w:t>
      </w:r>
      <w:r w:rsidRPr="00401D8B">
        <w:rPr>
          <w:rFonts w:ascii="ITC Avant Garde" w:eastAsia="HiddenHorzOCR" w:hAnsi="ITC Avant Garde" w:cs="HiddenHorzOCR"/>
          <w:szCs w:val="24"/>
        </w:rPr>
        <w:t>; (ii) estados financieros (Estado de Resultados y Balance de Situación Financie</w:t>
      </w:r>
      <w:r w:rsidR="00322574">
        <w:rPr>
          <w:rFonts w:ascii="ITC Avant Garde" w:eastAsia="HiddenHorzOCR" w:hAnsi="ITC Avant Garde" w:cs="HiddenHorzOCR"/>
          <w:szCs w:val="24"/>
        </w:rPr>
        <w:t>ra) correspondientes al año dos mil catorce</w:t>
      </w:r>
      <w:r w:rsidRPr="00401D8B">
        <w:rPr>
          <w:rFonts w:ascii="ITC Avant Garde" w:eastAsia="HiddenHorzOCR" w:hAnsi="ITC Avant Garde" w:cs="HiddenHorzOCR"/>
          <w:szCs w:val="24"/>
        </w:rPr>
        <w:t>, asimismo la integración de propiedades, planta y equipo; el perito calculará la UAFIDA y margen UAFIDA de I</w:t>
      </w:r>
      <w:r w:rsidR="00322574">
        <w:rPr>
          <w:rFonts w:ascii="ITC Avant Garde" w:eastAsia="HiddenHorzOCR" w:hAnsi="ITC Avant Garde" w:cs="HiddenHorzOCR"/>
          <w:szCs w:val="24"/>
        </w:rPr>
        <w:t>nnova para los años dos mil doce, dos mil trece y dos mil catorce</w:t>
      </w:r>
      <w:r w:rsidRPr="00401D8B">
        <w:rPr>
          <w:rFonts w:ascii="ITC Avant Garde" w:eastAsia="HiddenHorzOCR" w:hAnsi="ITC Avant Garde" w:cs="HiddenHorzOCR"/>
          <w:szCs w:val="24"/>
        </w:rPr>
        <w:t>.</w:t>
      </w:r>
    </w:p>
    <w:p w:rsidR="00F26A64" w:rsidRDefault="00F118C2" w:rsidP="00E73414">
      <w:pPr>
        <w:autoSpaceDE w:val="0"/>
        <w:autoSpaceDN w:val="0"/>
        <w:adjustRightInd w:val="0"/>
        <w:spacing w:line="240" w:lineRule="auto"/>
        <w:ind w:left="284"/>
        <w:jc w:val="both"/>
        <w:rPr>
          <w:rFonts w:ascii="ITC Avant Garde" w:eastAsia="HiddenHorzOCR" w:hAnsi="ITC Avant Garde" w:cs="HiddenHorzOCR"/>
          <w:b/>
          <w:sz w:val="20"/>
          <w:szCs w:val="20"/>
        </w:rPr>
      </w:pPr>
      <w:r w:rsidRPr="00322574">
        <w:rPr>
          <w:rFonts w:ascii="ITC Avant Garde" w:eastAsia="HiddenHorzOCR" w:hAnsi="ITC Avant Garde" w:cs="HiddenHorzOCR"/>
          <w:b/>
          <w:sz w:val="20"/>
          <w:szCs w:val="20"/>
        </w:rPr>
        <w:t xml:space="preserve">Considerando la información que tuve al alcance de Innova, la UAFIDA calculada por el suscrito por los años de </w:t>
      </w:r>
      <w:r w:rsidR="00A50B5B" w:rsidRPr="00A50B5B">
        <w:rPr>
          <w:rFonts w:ascii="ITC Avant Garde" w:eastAsia="HiddenHorzOCR" w:hAnsi="ITC Avant Garde" w:cs="HiddenHorzOCR"/>
          <w:b/>
          <w:sz w:val="20"/>
          <w:szCs w:val="20"/>
        </w:rPr>
        <w:t xml:space="preserve">dos mil doce, dos mil trece y dos mil catorce </w:t>
      </w:r>
      <w:r w:rsidRPr="00322574">
        <w:rPr>
          <w:rFonts w:ascii="ITC Avant Garde" w:eastAsia="HiddenHorzOCR" w:hAnsi="ITC Avant Garde" w:cs="HiddenHorzOCR"/>
          <w:b/>
          <w:sz w:val="20"/>
          <w:szCs w:val="20"/>
        </w:rPr>
        <w:t>es:</w:t>
      </w:r>
    </w:p>
    <w:p w:rsidR="00A771C2"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593A4A" w:rsidRDefault="00593A4A" w:rsidP="00AA183F">
      <w:pPr>
        <w:autoSpaceDE w:val="0"/>
        <w:autoSpaceDN w:val="0"/>
        <w:adjustRightInd w:val="0"/>
        <w:spacing w:line="240" w:lineRule="auto"/>
        <w:ind w:left="284"/>
        <w:jc w:val="both"/>
        <w:rPr>
          <w:rFonts w:ascii="ITC Avant Garde" w:eastAsia="HiddenHorzOCR" w:hAnsi="ITC Avant Garde" w:cs="HiddenHorzOCR"/>
          <w:b/>
          <w:szCs w:val="24"/>
        </w:rPr>
      </w:pPr>
      <w:r w:rsidRPr="00AA183F">
        <w:rPr>
          <w:rFonts w:ascii="ITC Avant Garde" w:eastAsia="HiddenHorzOCR" w:hAnsi="ITC Avant Garde" w:cs="HiddenHorzOCR"/>
          <w:b/>
          <w:szCs w:val="24"/>
        </w:rPr>
        <w:t>* Cifras en miles de pesos</w:t>
      </w:r>
    </w:p>
    <w:p w:rsidR="00593A4A" w:rsidRPr="00AA183F" w:rsidRDefault="00593A4A" w:rsidP="00AA183F">
      <w:pPr>
        <w:autoSpaceDE w:val="0"/>
        <w:autoSpaceDN w:val="0"/>
        <w:adjustRightInd w:val="0"/>
        <w:spacing w:line="240" w:lineRule="auto"/>
        <w:ind w:left="284"/>
        <w:jc w:val="both"/>
        <w:rPr>
          <w:rFonts w:ascii="ITC Avant Garde" w:eastAsia="HiddenHorzOCR" w:hAnsi="ITC Avant Garde" w:cs="HiddenHorzOCR"/>
          <w:b/>
          <w:sz w:val="20"/>
          <w:szCs w:val="20"/>
        </w:rPr>
      </w:pPr>
      <w:r w:rsidRPr="00AA183F">
        <w:rPr>
          <w:rFonts w:ascii="ITC Avant Garde" w:eastAsia="HiddenHorzOCR" w:hAnsi="ITC Avant Garde" w:cs="HiddenHorzOCR"/>
          <w:b/>
          <w:sz w:val="20"/>
          <w:szCs w:val="20"/>
        </w:rPr>
        <w:t>El margen UAFIDA en esos mismos periodos se calcula de la siguiente manera:</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195DED" w:rsidRPr="00AA183F" w:rsidRDefault="00195DED" w:rsidP="00A41F9E">
      <w:pPr>
        <w:autoSpaceDE w:val="0"/>
        <w:autoSpaceDN w:val="0"/>
        <w:adjustRightInd w:val="0"/>
        <w:spacing w:line="240" w:lineRule="auto"/>
        <w:ind w:left="284"/>
        <w:jc w:val="both"/>
        <w:rPr>
          <w:rFonts w:ascii="ITC Avant Garde" w:eastAsia="HiddenHorzOCR" w:hAnsi="ITC Avant Garde" w:cs="HiddenHorzOCR"/>
        </w:rPr>
      </w:pPr>
      <w:r w:rsidRPr="00AA183F">
        <w:rPr>
          <w:rFonts w:ascii="ITC Avant Garde" w:eastAsia="HiddenHorzOCR" w:hAnsi="ITC Avant Garde" w:cs="HiddenHorzOCR"/>
        </w:rPr>
        <w:t>*</w:t>
      </w:r>
      <w:r w:rsidRPr="00AA183F">
        <w:rPr>
          <w:rFonts w:ascii="ITC Avant Garde" w:eastAsia="HiddenHorzOCR" w:hAnsi="ITC Avant Garde" w:cs="HiddenHorzOCR"/>
          <w:b/>
        </w:rPr>
        <w:t>Cifras en miles de pesos</w:t>
      </w:r>
      <w:r w:rsidR="00BC0A93" w:rsidRPr="00AA183F">
        <w:rPr>
          <w:rFonts w:ascii="ITC Avant Garde" w:eastAsia="HiddenHorzOCR" w:hAnsi="ITC Avant Garde" w:cs="HiddenHorzOCR"/>
        </w:rPr>
        <w:t>.</w:t>
      </w:r>
    </w:p>
    <w:p w:rsidR="00195DED" w:rsidRPr="00401D8B" w:rsidRDefault="00195DED"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lastRenderedPageBreak/>
        <w:t xml:space="preserve">3.- Que indique el perito qué conceptos en los rubros de Gastos, Costos e Inversiones incluyó Innova en el cálculo de su UAFIDA en los años de </w:t>
      </w:r>
      <w:r w:rsidR="00A50B5B">
        <w:rPr>
          <w:rFonts w:ascii="ITC Avant Garde" w:eastAsia="HiddenHorzOCR" w:hAnsi="ITC Avant Garde" w:cs="HiddenHorzOCR"/>
          <w:szCs w:val="24"/>
        </w:rPr>
        <w:t>dos mil doce, dos mil trece y dos mil catorce</w:t>
      </w:r>
      <w:r w:rsidR="00D62EE9" w:rsidRPr="00401D8B">
        <w:rPr>
          <w:rFonts w:ascii="ITC Avant Garde" w:eastAsia="HiddenHorzOCR" w:hAnsi="ITC Avant Garde" w:cs="HiddenHorzOCR"/>
          <w:szCs w:val="24"/>
        </w:rPr>
        <w:t xml:space="preserve"> y</w:t>
      </w:r>
      <w:r w:rsidRPr="00401D8B">
        <w:rPr>
          <w:rFonts w:ascii="ITC Avant Garde" w:eastAsia="HiddenHorzOCR" w:hAnsi="ITC Avant Garde" w:cs="HiddenHorzOCR"/>
          <w:szCs w:val="24"/>
        </w:rPr>
        <w:t xml:space="preserve"> a qué obedeció dicha determinación.</w:t>
      </w:r>
    </w:p>
    <w:p w:rsidR="00195DED" w:rsidRPr="00A50B5B" w:rsidRDefault="00195DED" w:rsidP="00E73414">
      <w:pPr>
        <w:autoSpaceDE w:val="0"/>
        <w:autoSpaceDN w:val="0"/>
        <w:adjustRightInd w:val="0"/>
        <w:spacing w:line="240" w:lineRule="auto"/>
        <w:ind w:left="284"/>
        <w:jc w:val="both"/>
        <w:rPr>
          <w:rFonts w:ascii="ITC Avant Garde" w:eastAsia="HiddenHorzOCR" w:hAnsi="ITC Avant Garde" w:cs="HiddenHorzOCR"/>
          <w:b/>
        </w:rPr>
      </w:pPr>
      <w:r w:rsidRPr="00A50B5B">
        <w:rPr>
          <w:rFonts w:ascii="ITC Avant Garde" w:eastAsia="HiddenHorzOCR" w:hAnsi="ITC Avant Garde" w:cs="HiddenHorzOCR"/>
          <w:b/>
        </w:rPr>
        <w:t>Los rubros de Gastos, Costos e Inversiones que se incluyeron en la determinación de la UAFIDA de Innova fueron los siguientes:</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D62EE9" w:rsidRPr="00A50B5B" w:rsidRDefault="00D62EE9" w:rsidP="00AA183F">
      <w:pPr>
        <w:autoSpaceDE w:val="0"/>
        <w:autoSpaceDN w:val="0"/>
        <w:adjustRightInd w:val="0"/>
        <w:spacing w:before="160" w:line="240" w:lineRule="auto"/>
        <w:ind w:left="284"/>
        <w:jc w:val="both"/>
        <w:rPr>
          <w:rFonts w:ascii="ITC Avant Garde" w:eastAsia="HiddenHorzOCR" w:hAnsi="ITC Avant Garde" w:cs="HiddenHorzOCR"/>
          <w:b/>
        </w:rPr>
      </w:pPr>
      <w:r w:rsidRPr="00A50B5B">
        <w:rPr>
          <w:rFonts w:ascii="ITC Avant Garde" w:eastAsia="HiddenHorzOCR" w:hAnsi="ITC Avant Garde" w:cs="HiddenHorzOCR"/>
          <w:b/>
        </w:rPr>
        <w:t xml:space="preserve">Cómo se puede observar, no se consideró en los costos, gastos e inversiones la depreciación ni la amortización de las inversiones (activos fijos) para la determinación de la UAFIDA. Las inversiones, al ser capitalizadas, son depreciadas a lo largo de su vida útil y el impacto en el estado de resultados se puede observar en el renglón de las depreciaciones. Ese es el tratamiento que Innova dio a los </w:t>
      </w:r>
      <w:proofErr w:type="spellStart"/>
      <w:r w:rsidRPr="000448BB">
        <w:rPr>
          <w:rFonts w:ascii="ITC Avant Garde" w:eastAsia="HiddenHorzOCR" w:hAnsi="ITC Avant Garde" w:cs="HiddenHorzOCR"/>
          <w:b/>
          <w:i/>
        </w:rPr>
        <w:t>Low</w:t>
      </w:r>
      <w:proofErr w:type="spellEnd"/>
      <w:r w:rsidRPr="000448BB">
        <w:rPr>
          <w:rFonts w:ascii="ITC Avant Garde" w:eastAsia="HiddenHorzOCR" w:hAnsi="ITC Avant Garde" w:cs="HiddenHorzOCR"/>
          <w:b/>
          <w:i/>
        </w:rPr>
        <w:t xml:space="preserve"> </w:t>
      </w:r>
      <w:proofErr w:type="spellStart"/>
      <w:r w:rsidRPr="000448BB">
        <w:rPr>
          <w:rFonts w:ascii="ITC Avant Garde" w:eastAsia="HiddenHorzOCR" w:hAnsi="ITC Avant Garde" w:cs="HiddenHorzOCR"/>
          <w:b/>
          <w:i/>
        </w:rPr>
        <w:t>Noise</w:t>
      </w:r>
      <w:proofErr w:type="spellEnd"/>
      <w:r w:rsidRPr="000448BB">
        <w:rPr>
          <w:rFonts w:ascii="ITC Avant Garde" w:eastAsia="HiddenHorzOCR" w:hAnsi="ITC Avant Garde" w:cs="HiddenHorzOCR"/>
          <w:b/>
          <w:i/>
        </w:rPr>
        <w:t xml:space="preserve"> Block</w:t>
      </w:r>
      <w:r w:rsidRPr="00A50B5B">
        <w:rPr>
          <w:rFonts w:ascii="ITC Avant Garde" w:eastAsia="HiddenHorzOCR" w:hAnsi="ITC Avant Garde" w:cs="HiddenHorzOCR"/>
          <w:b/>
        </w:rPr>
        <w:t xml:space="preserve"> (en adelante "</w:t>
      </w:r>
      <w:r w:rsidRPr="00A50B5B">
        <w:rPr>
          <w:rFonts w:ascii="ITC Avant Garde" w:eastAsia="HiddenHorzOCR" w:hAnsi="ITC Avant Garde" w:cs="HiddenHorzOCR"/>
          <w:b/>
          <w:i/>
          <w:sz w:val="20"/>
        </w:rPr>
        <w:t>LNB</w:t>
      </w:r>
      <w:r w:rsidRPr="00A50B5B">
        <w:rPr>
          <w:rFonts w:ascii="ITC Avant Garde" w:eastAsia="HiddenHorzOCR" w:hAnsi="ITC Avant Garde" w:cs="HiddenHorzOCR"/>
          <w:b/>
        </w:rPr>
        <w:t>"), a los costos de instalación y accesorios. Es decir, el costo de los LNB, los costos de instalación y accesorios no se incluyen como gasto del ejercicio sino que se deprecian a lo largo del tiempo. Este tratamiento obedeció a que conforme a las NIIF los LNB, los costos de instalación y accesorios se pueden clasificar dentro de la categoría de "</w:t>
      </w:r>
      <w:r w:rsidRPr="00A50B5B">
        <w:rPr>
          <w:rFonts w:ascii="ITC Avant Garde" w:eastAsia="HiddenHorzOCR" w:hAnsi="ITC Avant Garde" w:cs="HiddenHorzOCR"/>
          <w:b/>
          <w:i/>
          <w:sz w:val="20"/>
        </w:rPr>
        <w:t>Propiedades, planta y equipo</w:t>
      </w:r>
      <w:r w:rsidRPr="00A50B5B">
        <w:rPr>
          <w:rFonts w:ascii="ITC Avant Garde" w:eastAsia="HiddenHorzOCR" w:hAnsi="ITC Avant Garde" w:cs="HiddenHorzOCR"/>
          <w:b/>
        </w:rPr>
        <w:t>" y, en consecuencia, estarían sujetos a depreciación a través del tiempo ya que (i) es probable que Innova obtenga beneficios económicos futuros derivados de los LNB, de los costos de instalación y accesorios; y (ii) el costo del LNB, los costos de instalación y accesorios se puede medir con fiabilidad. Ambas condiciones están contenidas en la Norma Internacional de Contabilidad ("</w:t>
      </w:r>
      <w:r w:rsidRPr="00A50B5B">
        <w:rPr>
          <w:rFonts w:ascii="ITC Avant Garde" w:eastAsia="HiddenHorzOCR" w:hAnsi="ITC Avant Garde" w:cs="HiddenHorzOCR"/>
          <w:b/>
          <w:i/>
          <w:sz w:val="20"/>
        </w:rPr>
        <w:t>NIC</w:t>
      </w:r>
      <w:r w:rsidRPr="00A50B5B">
        <w:rPr>
          <w:rFonts w:ascii="ITC Avant Garde" w:eastAsia="HiddenHorzOCR" w:hAnsi="ITC Avant Garde" w:cs="HiddenHorzOCR"/>
          <w:b/>
        </w:rPr>
        <w:t>") 16 (Propiedades, Planta y Equipo).</w:t>
      </w:r>
    </w:p>
    <w:p w:rsidR="00D62EE9" w:rsidRPr="00401D8B" w:rsidRDefault="00D62EE9"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 xml:space="preserve">4.- Que indique el perito conforme a su leal saber y entender si el cálculo que hizo Innova de su UAFIDA y margen UAFIDA por los años </w:t>
      </w:r>
      <w:r w:rsidR="00A50B5B">
        <w:rPr>
          <w:rFonts w:ascii="ITC Avant Garde" w:eastAsia="HiddenHorzOCR" w:hAnsi="ITC Avant Garde" w:cs="HiddenHorzOCR"/>
          <w:szCs w:val="24"/>
        </w:rPr>
        <w:t xml:space="preserve">dos mil doce, dos mil trece y dos mil catorce </w:t>
      </w:r>
      <w:r w:rsidRPr="00401D8B">
        <w:rPr>
          <w:rFonts w:ascii="ITC Avant Garde" w:eastAsia="HiddenHorzOCR" w:hAnsi="ITC Avant Garde" w:cs="HiddenHorzOCR"/>
          <w:szCs w:val="24"/>
        </w:rPr>
        <w:t>fue correcto y que explique la razón de su dicho.</w:t>
      </w:r>
    </w:p>
    <w:p w:rsidR="00E27B6E" w:rsidRPr="00A50B5B" w:rsidRDefault="00D62EE9" w:rsidP="00E73414">
      <w:pPr>
        <w:autoSpaceDE w:val="0"/>
        <w:autoSpaceDN w:val="0"/>
        <w:adjustRightInd w:val="0"/>
        <w:spacing w:line="240" w:lineRule="auto"/>
        <w:ind w:left="284"/>
        <w:jc w:val="both"/>
        <w:rPr>
          <w:rFonts w:ascii="ITC Avant Garde" w:eastAsia="HiddenHorzOCR" w:hAnsi="ITC Avant Garde" w:cs="HiddenHorzOCR"/>
          <w:b/>
        </w:rPr>
      </w:pPr>
      <w:r w:rsidRPr="00A50B5B">
        <w:rPr>
          <w:rFonts w:ascii="ITC Avant Garde" w:eastAsia="HiddenHorzOCR" w:hAnsi="ITC Avant Garde" w:cs="HiddenHorzOCR"/>
          <w:b/>
        </w:rPr>
        <w:t>La determinación de la UAFIDA y margen UAFIDA fue correcta, ya que se consideraron los rubros del Estado de Resultados que en la práctica son utilizados para su determinación. Asimismo, la UAFIDA se determinó ajustándose a las prácticas generalmente aceptadas para el cálculo de este indicador financiero, conforme a lo mencionado en la respuesta a la pregunta 1 anterior.</w:t>
      </w:r>
    </w:p>
    <w:p w:rsidR="00E27B6E" w:rsidRPr="00332024" w:rsidRDefault="00E27B6E" w:rsidP="00332024">
      <w:pPr>
        <w:autoSpaceDE w:val="0"/>
        <w:autoSpaceDN w:val="0"/>
        <w:adjustRightInd w:val="0"/>
        <w:spacing w:line="240" w:lineRule="auto"/>
        <w:ind w:left="284"/>
        <w:jc w:val="both"/>
        <w:rPr>
          <w:rFonts w:ascii="ITC Avant Garde" w:eastAsia="HiddenHorzOCR" w:hAnsi="ITC Avant Garde" w:cs="HiddenHorzOCR"/>
          <w:b/>
        </w:rPr>
      </w:pPr>
      <w:r w:rsidRPr="00332024">
        <w:rPr>
          <w:rFonts w:ascii="ITC Avant Garde" w:eastAsia="HiddenHorzOCR" w:hAnsi="ITC Avant Garde" w:cs="HiddenHorzOCR"/>
          <w:b/>
        </w:rPr>
        <w:t xml:space="preserve">La UAFIDA y margen UAFIDA que Innova determinó para </w:t>
      </w:r>
      <w:r w:rsidR="00A50B5B" w:rsidRPr="00332024">
        <w:rPr>
          <w:rFonts w:ascii="ITC Avant Garde" w:eastAsia="HiddenHorzOCR" w:hAnsi="ITC Avant Garde" w:cs="HiddenHorzOCR"/>
          <w:b/>
        </w:rPr>
        <w:t>dos mil trece y dos mil catorce</w:t>
      </w:r>
      <w:r w:rsidRPr="00332024">
        <w:rPr>
          <w:rFonts w:ascii="ITC Avant Garde" w:eastAsia="HiddenHorzOCR" w:hAnsi="ITC Avant Garde" w:cs="HiddenHorzOCR"/>
          <w:b/>
        </w:rPr>
        <w:t xml:space="preserve"> son los siguientes:</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AF330B" w:rsidRPr="00A50B5B" w:rsidRDefault="00AF330B" w:rsidP="00DC0EB2">
      <w:pPr>
        <w:autoSpaceDE w:val="0"/>
        <w:autoSpaceDN w:val="0"/>
        <w:adjustRightInd w:val="0"/>
        <w:spacing w:line="240" w:lineRule="auto"/>
        <w:ind w:left="284"/>
        <w:jc w:val="both"/>
        <w:rPr>
          <w:rFonts w:ascii="ITC Avant Garde" w:eastAsia="HiddenHorzOCR" w:hAnsi="ITC Avant Garde" w:cs="HiddenHorzOCR"/>
          <w:b/>
          <w:sz w:val="20"/>
          <w:szCs w:val="20"/>
        </w:rPr>
      </w:pPr>
      <w:r w:rsidRPr="00A50B5B">
        <w:rPr>
          <w:rFonts w:ascii="ITC Avant Garde" w:eastAsia="HiddenHorzOCR" w:hAnsi="ITC Avant Garde" w:cs="HiddenHorzOCR"/>
          <w:b/>
          <w:sz w:val="20"/>
          <w:szCs w:val="20"/>
        </w:rPr>
        <w:t>* Cifras</w:t>
      </w:r>
      <w:r w:rsidR="00BB5D13" w:rsidRPr="00A50B5B">
        <w:rPr>
          <w:rFonts w:ascii="ITC Avant Garde" w:eastAsia="HiddenHorzOCR" w:hAnsi="ITC Avant Garde" w:cs="HiddenHorzOCR"/>
          <w:b/>
          <w:sz w:val="20"/>
          <w:szCs w:val="20"/>
        </w:rPr>
        <w:t xml:space="preserve"> en miles de pesos</w:t>
      </w:r>
    </w:p>
    <w:p w:rsidR="00352C05" w:rsidRPr="00A50B5B" w:rsidRDefault="00352C05" w:rsidP="00DC0EB2">
      <w:pPr>
        <w:autoSpaceDE w:val="0"/>
        <w:autoSpaceDN w:val="0"/>
        <w:adjustRightInd w:val="0"/>
        <w:spacing w:line="240" w:lineRule="auto"/>
        <w:ind w:left="284"/>
        <w:jc w:val="both"/>
        <w:rPr>
          <w:rFonts w:ascii="ITC Avant Garde" w:eastAsia="HiddenHorzOCR" w:hAnsi="ITC Avant Garde" w:cs="HiddenHorzOCR"/>
          <w:b/>
        </w:rPr>
      </w:pPr>
      <w:r w:rsidRPr="00A50B5B">
        <w:rPr>
          <w:rFonts w:ascii="ITC Avant Garde" w:eastAsia="HiddenHorzOCR" w:hAnsi="ITC Avant Garde" w:cs="HiddenHorzOCR"/>
          <w:b/>
        </w:rPr>
        <w:t>Los montos reflejados en la tabla anterior coinciden substancialmente con los determinados por este perito en la pregunta 2 anterior</w:t>
      </w:r>
      <w:r w:rsidR="00A50B5B">
        <w:rPr>
          <w:rFonts w:ascii="ITC Avant Garde" w:eastAsia="HiddenHorzOCR" w:hAnsi="ITC Avant Garde" w:cs="HiddenHorzOCR"/>
          <w:b/>
        </w:rPr>
        <w:t>.</w:t>
      </w:r>
    </w:p>
    <w:p w:rsidR="00352C05" w:rsidRPr="00401D8B" w:rsidRDefault="00352C05"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5.- Que indique el perito si acorde a las Normas Internacionales de Información Financiera y Principios de Contabilidad Generalmente Aceptados en los Estados Unidos de América es factible dar diversos tratamientos a los costos de instalació</w:t>
      </w:r>
      <w:r w:rsidR="004A4171" w:rsidRPr="00401D8B">
        <w:rPr>
          <w:rFonts w:ascii="ITC Avant Garde" w:eastAsia="HiddenHorzOCR" w:hAnsi="ITC Avant Garde" w:cs="HiddenHorzOCR"/>
          <w:szCs w:val="24"/>
        </w:rPr>
        <w:t xml:space="preserve">n </w:t>
      </w:r>
      <w:r w:rsidR="004A4171" w:rsidRPr="00401D8B">
        <w:rPr>
          <w:rFonts w:ascii="ITC Avant Garde" w:eastAsia="HiddenHorzOCR" w:hAnsi="ITC Avant Garde" w:cs="HiddenHorzOCR"/>
          <w:szCs w:val="24"/>
        </w:rPr>
        <w:lastRenderedPageBreak/>
        <w:t xml:space="preserve">de antenas, </w:t>
      </w:r>
      <w:proofErr w:type="spellStart"/>
      <w:r w:rsidR="004A4171" w:rsidRPr="009343A2">
        <w:rPr>
          <w:rFonts w:ascii="ITC Avant Garde" w:eastAsia="HiddenHorzOCR" w:hAnsi="ITC Avant Garde" w:cs="HiddenHorzOCR"/>
          <w:i/>
          <w:szCs w:val="24"/>
        </w:rPr>
        <w:t>Low</w:t>
      </w:r>
      <w:proofErr w:type="spellEnd"/>
      <w:r w:rsidR="004A4171" w:rsidRPr="009343A2">
        <w:rPr>
          <w:rFonts w:ascii="ITC Avant Garde" w:eastAsia="HiddenHorzOCR" w:hAnsi="ITC Avant Garde" w:cs="HiddenHorzOCR"/>
          <w:i/>
          <w:szCs w:val="24"/>
        </w:rPr>
        <w:t xml:space="preserve"> </w:t>
      </w:r>
      <w:proofErr w:type="spellStart"/>
      <w:r w:rsidR="004A4171" w:rsidRPr="009343A2">
        <w:rPr>
          <w:rFonts w:ascii="ITC Avant Garde" w:eastAsia="HiddenHorzOCR" w:hAnsi="ITC Avant Garde" w:cs="HiddenHorzOCR"/>
          <w:i/>
          <w:szCs w:val="24"/>
        </w:rPr>
        <w:t>Noise</w:t>
      </w:r>
      <w:proofErr w:type="spellEnd"/>
      <w:r w:rsidR="004A4171" w:rsidRPr="009343A2">
        <w:rPr>
          <w:rFonts w:ascii="ITC Avant Garde" w:eastAsia="HiddenHorzOCR" w:hAnsi="ITC Avant Garde" w:cs="HiddenHorzOCR"/>
          <w:i/>
          <w:szCs w:val="24"/>
        </w:rPr>
        <w:t xml:space="preserve"> Block</w:t>
      </w:r>
      <w:r w:rsidR="004A4171" w:rsidRPr="00401D8B">
        <w:rPr>
          <w:rFonts w:ascii="ITC Avant Garde" w:eastAsia="HiddenHorzOCR" w:hAnsi="ITC Avant Garde" w:cs="HiddenHorzOCR"/>
          <w:szCs w:val="24"/>
        </w:rPr>
        <w:t xml:space="preserve"> (“</w:t>
      </w:r>
      <w:r w:rsidR="004A4171" w:rsidRPr="009343A2">
        <w:rPr>
          <w:rFonts w:ascii="ITC Avant Garde" w:eastAsia="HiddenHorzOCR" w:hAnsi="ITC Avant Garde" w:cs="HiddenHorzOCR"/>
          <w:i/>
          <w:sz w:val="20"/>
          <w:szCs w:val="24"/>
        </w:rPr>
        <w:t>LNB</w:t>
      </w:r>
      <w:r w:rsidR="004A4171" w:rsidRPr="00401D8B">
        <w:rPr>
          <w:rFonts w:ascii="ITC Avant Garde" w:eastAsia="HiddenHorzOCR" w:hAnsi="ITC Avant Garde" w:cs="HiddenHorzOCR"/>
          <w:szCs w:val="24"/>
        </w:rPr>
        <w:t>”</w:t>
      </w:r>
      <w:r w:rsidRPr="00401D8B">
        <w:rPr>
          <w:rFonts w:ascii="ITC Avant Garde" w:eastAsia="HiddenHorzOCR" w:hAnsi="ITC Avant Garde" w:cs="HiddenHorzOCR"/>
          <w:szCs w:val="24"/>
        </w:rPr>
        <w:t>) y accesorios por parte de alguna empresa que aplique dichas normas.</w:t>
      </w:r>
    </w:p>
    <w:p w:rsidR="00352C05" w:rsidRPr="00DA45A5" w:rsidRDefault="00352C05" w:rsidP="00DC0EB2">
      <w:pPr>
        <w:autoSpaceDE w:val="0"/>
        <w:autoSpaceDN w:val="0"/>
        <w:adjustRightInd w:val="0"/>
        <w:spacing w:line="240" w:lineRule="auto"/>
        <w:ind w:left="284"/>
        <w:jc w:val="both"/>
        <w:rPr>
          <w:rFonts w:ascii="ITC Avant Garde" w:eastAsia="HiddenHorzOCR" w:hAnsi="ITC Avant Garde" w:cs="HiddenHorzOCR"/>
          <w:b/>
          <w:szCs w:val="20"/>
        </w:rPr>
      </w:pPr>
      <w:r w:rsidRPr="00DA45A5">
        <w:rPr>
          <w:rFonts w:ascii="ITC Avant Garde" w:eastAsia="HiddenHorzOCR" w:hAnsi="ITC Avant Garde" w:cs="HiddenHorzOCR"/>
          <w:b/>
          <w:szCs w:val="20"/>
        </w:rPr>
        <w:t>Las NIIF y los U.S. GAAP establecen los principios conforme a los cuales las entidades deben llevar su contabilidad; sin embargo, existen diferencias entre dichas normas contables que son relevantes para el registro de diversas partidas. Es decir, aunque la normativa contable en algunos aspectos es similar ya que se regulan los mismos conceptos, en algunos casos pueden existir diversos criterios o enfoques, tal y como se menciona a continuación.</w:t>
      </w:r>
    </w:p>
    <w:p w:rsidR="00352C05" w:rsidRPr="00DA45A5" w:rsidRDefault="00352C05" w:rsidP="00DC0EB2">
      <w:pPr>
        <w:autoSpaceDE w:val="0"/>
        <w:autoSpaceDN w:val="0"/>
        <w:adjustRightInd w:val="0"/>
        <w:spacing w:line="240" w:lineRule="auto"/>
        <w:ind w:left="284"/>
        <w:jc w:val="both"/>
        <w:rPr>
          <w:rFonts w:ascii="ITC Avant Garde" w:eastAsia="HiddenHorzOCR" w:hAnsi="ITC Avant Garde" w:cs="HiddenHorzOCR"/>
          <w:b/>
          <w:szCs w:val="20"/>
        </w:rPr>
      </w:pPr>
      <w:r w:rsidRPr="00DA45A5">
        <w:rPr>
          <w:rFonts w:ascii="ITC Avant Garde" w:eastAsia="HiddenHorzOCR" w:hAnsi="ITC Avant Garde" w:cs="HiddenHorzOCR"/>
          <w:b/>
          <w:szCs w:val="20"/>
        </w:rPr>
        <w:t>En el caso de las NIIF, los LNB y los costos de instalación se pueden registrar como un activo fijo y se pueden depreciar a lo largo de su vida útil; es decir, se capitalizan con base en lo señalado en la NIC 16 al tratarse de activos que se pueden clasificar como "</w:t>
      </w:r>
      <w:r w:rsidRPr="00701713">
        <w:rPr>
          <w:rFonts w:ascii="ITC Avant Garde" w:eastAsia="HiddenHorzOCR" w:hAnsi="ITC Avant Garde" w:cs="HiddenHorzOCR"/>
          <w:b/>
          <w:i/>
          <w:sz w:val="20"/>
          <w:szCs w:val="20"/>
        </w:rPr>
        <w:t>Propiedades, planta y equipo</w:t>
      </w:r>
      <w:r w:rsidRPr="00DA45A5">
        <w:rPr>
          <w:rFonts w:ascii="ITC Avant Garde" w:eastAsia="HiddenHorzOCR" w:hAnsi="ITC Avant Garde" w:cs="HiddenHorzOCR"/>
          <w:b/>
          <w:szCs w:val="20"/>
        </w:rPr>
        <w:t>". Por lo tanto, el efecto de dicha inversión en el estado de resultados no es inmediato sino que se da de manera diferida y</w:t>
      </w:r>
      <w:r w:rsidR="00BB5D88" w:rsidRPr="00DA45A5">
        <w:rPr>
          <w:rFonts w:ascii="ITC Avant Garde" w:eastAsia="HiddenHorzOCR" w:hAnsi="ITC Avant Garde" w:cs="HiddenHorzOCR"/>
          <w:b/>
          <w:szCs w:val="20"/>
        </w:rPr>
        <w:t xml:space="preserve"> </w:t>
      </w:r>
      <w:r w:rsidRPr="00DA45A5">
        <w:rPr>
          <w:rFonts w:ascii="ITC Avant Garde" w:eastAsia="HiddenHorzOCR" w:hAnsi="ITC Avant Garde" w:cs="HiddenHorzOCR"/>
          <w:b/>
          <w:szCs w:val="20"/>
        </w:rPr>
        <w:t>en forma de depreciación.</w:t>
      </w:r>
    </w:p>
    <w:p w:rsidR="00352C05" w:rsidRPr="00DC0EB2" w:rsidRDefault="00352C05" w:rsidP="00DC0EB2">
      <w:pPr>
        <w:autoSpaceDE w:val="0"/>
        <w:autoSpaceDN w:val="0"/>
        <w:adjustRightInd w:val="0"/>
        <w:spacing w:line="240" w:lineRule="auto"/>
        <w:ind w:left="284"/>
        <w:jc w:val="both"/>
        <w:rPr>
          <w:rFonts w:ascii="ITC Avant Garde" w:eastAsia="HiddenHorzOCR" w:hAnsi="ITC Avant Garde" w:cs="HiddenHorzOCR"/>
          <w:b/>
          <w:i/>
          <w:sz w:val="20"/>
          <w:szCs w:val="20"/>
        </w:rPr>
      </w:pPr>
      <w:r w:rsidRPr="00DA45A5">
        <w:rPr>
          <w:rFonts w:ascii="ITC Avant Garde" w:eastAsia="HiddenHorzOCR" w:hAnsi="ITC Avant Garde" w:cs="HiddenHorzOCR"/>
          <w:b/>
          <w:szCs w:val="20"/>
        </w:rPr>
        <w:t>Por otra parte, los U.S. GAAP permiten que los LNB y los costos de instalación sean registrados como un costo del periodo, por lo que el tratamiento de una empresa a otra puede variar. Si la inversión en los LNB y los costos de instalación se registra como un gasto del periodo, el efecto total de la inversión en el estado de resultados es inmediato</w:t>
      </w:r>
      <w:r w:rsidR="00DA45A5">
        <w:rPr>
          <w:rFonts w:ascii="ITC Avant Garde" w:eastAsia="HiddenHorzOCR" w:hAnsi="ITC Avant Garde" w:cs="HiddenHorzOCR"/>
          <w:b/>
          <w:szCs w:val="20"/>
        </w:rPr>
        <w:t>.</w:t>
      </w:r>
    </w:p>
    <w:p w:rsidR="00D91D54" w:rsidRPr="00401D8B" w:rsidRDefault="00D91D54"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 xml:space="preserve">6.- Teniendo a la vista los informes anuales de la empresa </w:t>
      </w:r>
      <w:proofErr w:type="spellStart"/>
      <w:r w:rsidRPr="00401D8B">
        <w:rPr>
          <w:rFonts w:ascii="ITC Avant Garde" w:eastAsia="HiddenHorzOCR" w:hAnsi="ITC Avant Garde" w:cs="HiddenHorzOCR"/>
          <w:szCs w:val="24"/>
        </w:rPr>
        <w:t>DirecTV</w:t>
      </w:r>
      <w:proofErr w:type="spellEnd"/>
      <w:r w:rsidRPr="00401D8B">
        <w:rPr>
          <w:rFonts w:ascii="ITC Avant Garde" w:eastAsia="HiddenHorzOCR" w:hAnsi="ITC Avant Garde" w:cs="HiddenHorzOCR"/>
          <w:szCs w:val="24"/>
        </w:rPr>
        <w:t xml:space="preserve"> Holdings LLC, el perito calculará la UAFIDA para los años </w:t>
      </w:r>
      <w:r w:rsidR="00701713">
        <w:rPr>
          <w:rFonts w:ascii="ITC Avant Garde" w:eastAsia="HiddenHorzOCR" w:hAnsi="ITC Avant Garde" w:cs="HiddenHorzOCR"/>
          <w:szCs w:val="24"/>
        </w:rPr>
        <w:t xml:space="preserve">dos mil doce, dos mil trece y dos mil catorce </w:t>
      </w:r>
      <w:r w:rsidRPr="00401D8B">
        <w:rPr>
          <w:rFonts w:ascii="ITC Avant Garde" w:eastAsia="HiddenHorzOCR" w:hAnsi="ITC Avant Garde" w:cs="HiddenHorzOCR"/>
          <w:szCs w:val="24"/>
        </w:rPr>
        <w:t>de dicha empres</w:t>
      </w:r>
      <w:r w:rsidR="004A4171" w:rsidRPr="00401D8B">
        <w:rPr>
          <w:rFonts w:ascii="ITC Avant Garde" w:eastAsia="HiddenHorzOCR" w:hAnsi="ITC Avant Garde" w:cs="HiddenHorzOCR"/>
          <w:szCs w:val="24"/>
        </w:rPr>
        <w:t>a y las divisiones mencionadas.</w:t>
      </w:r>
    </w:p>
    <w:p w:rsidR="00D91D54" w:rsidRPr="00701713" w:rsidRDefault="00D91D54"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 xml:space="preserve">Considerando la información disponible en el sitio web de </w:t>
      </w:r>
      <w:proofErr w:type="spellStart"/>
      <w:r w:rsidRPr="00701713">
        <w:rPr>
          <w:rFonts w:ascii="ITC Avant Garde" w:eastAsia="HiddenHorzOCR" w:hAnsi="ITC Avant Garde" w:cs="HiddenHorzOCR"/>
          <w:b/>
          <w:szCs w:val="20"/>
        </w:rPr>
        <w:t>DirecTV</w:t>
      </w:r>
      <w:proofErr w:type="spellEnd"/>
      <w:r w:rsidRPr="00701713">
        <w:rPr>
          <w:rFonts w:ascii="ITC Avant Garde" w:eastAsia="HiddenHorzOCR" w:hAnsi="ITC Avant Garde" w:cs="HiddenHorzOCR"/>
          <w:b/>
          <w:szCs w:val="20"/>
        </w:rPr>
        <w:t xml:space="preserve"> Holdings LLC (en adelante "</w:t>
      </w:r>
      <w:proofErr w:type="spellStart"/>
      <w:r w:rsidRPr="00701713">
        <w:rPr>
          <w:rFonts w:ascii="ITC Avant Garde" w:eastAsia="HiddenHorzOCR" w:hAnsi="ITC Avant Garde" w:cs="HiddenHorzOCR"/>
          <w:b/>
          <w:i/>
          <w:sz w:val="20"/>
          <w:szCs w:val="20"/>
        </w:rPr>
        <w:t>DirecTV</w:t>
      </w:r>
      <w:proofErr w:type="spellEnd"/>
      <w:r w:rsidRPr="00701713">
        <w:rPr>
          <w:rFonts w:ascii="ITC Avant Garde" w:eastAsia="HiddenHorzOCR" w:hAnsi="ITC Avant Garde" w:cs="HiddenHorzOCR"/>
          <w:b/>
          <w:szCs w:val="20"/>
        </w:rPr>
        <w:t>") (http://investor.directv.com/), la UAFIDA calculada por los años de 2012, 2013 Y 2014 es de:</w:t>
      </w:r>
    </w:p>
    <w:tbl>
      <w:tblPr>
        <w:tblStyle w:val="Tablaconcuadrcula"/>
        <w:tblW w:w="0" w:type="auto"/>
        <w:jc w:val="center"/>
        <w:tblLook w:val="04A0" w:firstRow="1" w:lastRow="0" w:firstColumn="1" w:lastColumn="0" w:noHBand="0" w:noVBand="1"/>
        <w:tblCaption w:val="UAFIDA calculada"/>
        <w:tblDescription w:val="En una tabla de 4 columnas, se proporciona cálculo de la UAFIDA para los años 2012 a 2014."/>
      </w:tblPr>
      <w:tblGrid>
        <w:gridCol w:w="2687"/>
        <w:gridCol w:w="974"/>
        <w:gridCol w:w="974"/>
        <w:gridCol w:w="974"/>
      </w:tblGrid>
      <w:tr w:rsidR="0011139D" w:rsidRPr="002B6985" w:rsidTr="002B6985">
        <w:trPr>
          <w:tblHeader/>
          <w:jc w:val="center"/>
        </w:trPr>
        <w:tc>
          <w:tcPr>
            <w:tcW w:w="0" w:type="auto"/>
            <w:shd w:val="clear" w:color="auto" w:fill="A6A6A6" w:themeFill="background1" w:themeFillShade="A6"/>
            <w:vAlign w:val="center"/>
          </w:tcPr>
          <w:p w:rsidR="0011139D" w:rsidRPr="002B6985" w:rsidRDefault="0011139D" w:rsidP="00973AD5">
            <w:pPr>
              <w:autoSpaceDE w:val="0"/>
              <w:autoSpaceDN w:val="0"/>
              <w:adjustRightInd w:val="0"/>
              <w:spacing w:after="160"/>
              <w:rPr>
                <w:rFonts w:ascii="ITC Avant Garde" w:eastAsia="HiddenHorzOCR" w:hAnsi="ITC Avant Garde" w:cs="HiddenHorzOCR"/>
                <w:b/>
                <w:sz w:val="20"/>
                <w:szCs w:val="20"/>
              </w:rPr>
            </w:pPr>
          </w:p>
        </w:tc>
        <w:tc>
          <w:tcPr>
            <w:tcW w:w="0" w:type="auto"/>
            <w:shd w:val="clear" w:color="auto" w:fill="A6A6A6" w:themeFill="background1" w:themeFillShade="A6"/>
            <w:vAlign w:val="center"/>
          </w:tcPr>
          <w:p w:rsidR="0011139D" w:rsidRPr="002B6985" w:rsidRDefault="0011139D"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2012</w:t>
            </w:r>
          </w:p>
        </w:tc>
        <w:tc>
          <w:tcPr>
            <w:tcW w:w="0" w:type="auto"/>
            <w:shd w:val="clear" w:color="auto" w:fill="A6A6A6" w:themeFill="background1" w:themeFillShade="A6"/>
            <w:vAlign w:val="center"/>
          </w:tcPr>
          <w:p w:rsidR="0011139D" w:rsidRPr="002B6985" w:rsidRDefault="0011139D"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2013</w:t>
            </w:r>
          </w:p>
        </w:tc>
        <w:tc>
          <w:tcPr>
            <w:tcW w:w="0" w:type="auto"/>
            <w:shd w:val="clear" w:color="auto" w:fill="A6A6A6" w:themeFill="background1" w:themeFillShade="A6"/>
            <w:vAlign w:val="center"/>
          </w:tcPr>
          <w:p w:rsidR="0011139D" w:rsidRPr="002B6985" w:rsidRDefault="0011139D"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2014</w:t>
            </w:r>
          </w:p>
        </w:tc>
      </w:tr>
      <w:tr w:rsidR="0011139D" w:rsidRPr="00701713" w:rsidTr="00E639AC">
        <w:trPr>
          <w:jc w:val="center"/>
        </w:trPr>
        <w:tc>
          <w:tcPr>
            <w:tcW w:w="0" w:type="auto"/>
            <w:vAlign w:val="center"/>
          </w:tcPr>
          <w:p w:rsidR="0011139D" w:rsidRPr="00701713" w:rsidRDefault="0011139D"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Venta por servicios</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23,235</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24,676</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26,001</w:t>
            </w:r>
          </w:p>
        </w:tc>
      </w:tr>
      <w:tr w:rsidR="0011139D" w:rsidRPr="00701713" w:rsidTr="00E639AC">
        <w:trPr>
          <w:jc w:val="center"/>
        </w:trPr>
        <w:tc>
          <w:tcPr>
            <w:tcW w:w="0" w:type="auto"/>
            <w:vAlign w:val="center"/>
          </w:tcPr>
          <w:p w:rsidR="0011139D" w:rsidRPr="00701713" w:rsidRDefault="0011139D"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Costo de servicios</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(12,513)</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(13,383)</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(14,165)</w:t>
            </w:r>
          </w:p>
        </w:tc>
      </w:tr>
      <w:tr w:rsidR="0011139D" w:rsidRPr="00701713" w:rsidTr="00E639AC">
        <w:trPr>
          <w:jc w:val="center"/>
        </w:trPr>
        <w:tc>
          <w:tcPr>
            <w:tcW w:w="0" w:type="auto"/>
            <w:vAlign w:val="center"/>
          </w:tcPr>
          <w:p w:rsidR="0011139D" w:rsidRPr="00701713" w:rsidRDefault="0011139D"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Gastos de venta</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(3,926)</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(3,992)</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(4,129)</w:t>
            </w:r>
          </w:p>
        </w:tc>
      </w:tr>
      <w:tr w:rsidR="0011139D" w:rsidRPr="00701713" w:rsidTr="00E639AC">
        <w:trPr>
          <w:jc w:val="center"/>
        </w:trPr>
        <w:tc>
          <w:tcPr>
            <w:tcW w:w="0" w:type="auto"/>
            <w:vAlign w:val="center"/>
          </w:tcPr>
          <w:p w:rsidR="0011139D" w:rsidRPr="00701713" w:rsidRDefault="0011139D"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Gastos de administración</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(1,142)</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(1,217)</w:t>
            </w:r>
          </w:p>
        </w:tc>
        <w:tc>
          <w:tcPr>
            <w:tcW w:w="0" w:type="auto"/>
            <w:vAlign w:val="center"/>
          </w:tcPr>
          <w:p w:rsidR="0011139D" w:rsidRPr="00701713" w:rsidRDefault="0011139D" w:rsidP="00973AD5">
            <w:pPr>
              <w:spacing w:after="160"/>
              <w:jc w:val="center"/>
              <w:rPr>
                <w:rFonts w:ascii="ITC Avant Garde" w:hAnsi="ITC Avant Garde"/>
                <w:sz w:val="20"/>
                <w:szCs w:val="20"/>
              </w:rPr>
            </w:pPr>
            <w:r w:rsidRPr="00701713">
              <w:rPr>
                <w:rFonts w:ascii="ITC Avant Garde" w:eastAsia="HiddenHorzOCR" w:hAnsi="ITC Avant Garde" w:cs="HiddenHorzOCR"/>
                <w:sz w:val="20"/>
                <w:szCs w:val="20"/>
              </w:rPr>
              <w:t>(1,236)</w:t>
            </w:r>
          </w:p>
        </w:tc>
      </w:tr>
      <w:tr w:rsidR="0011139D" w:rsidRPr="00701713" w:rsidTr="00E639AC">
        <w:trPr>
          <w:jc w:val="center"/>
        </w:trPr>
        <w:tc>
          <w:tcPr>
            <w:tcW w:w="0" w:type="auto"/>
            <w:vAlign w:val="center"/>
          </w:tcPr>
          <w:p w:rsidR="0011139D" w:rsidRPr="00701713" w:rsidRDefault="0011139D"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UAFIDA</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5,654</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6,084</w:t>
            </w:r>
          </w:p>
        </w:tc>
        <w:tc>
          <w:tcPr>
            <w:tcW w:w="0" w:type="auto"/>
            <w:vAlign w:val="center"/>
          </w:tcPr>
          <w:p w:rsidR="0011139D" w:rsidRPr="00701713" w:rsidRDefault="0011139D"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6,471</w:t>
            </w:r>
          </w:p>
        </w:tc>
      </w:tr>
    </w:tbl>
    <w:p w:rsidR="00DE3B69" w:rsidRPr="00701713" w:rsidRDefault="00DE3B69"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*Cifras en millones de dólares</w:t>
      </w:r>
    </w:p>
    <w:p w:rsidR="00DE3B69" w:rsidRDefault="006F4B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El margen UAFIDA por esos mismos periodos se calcula de la siguiente manera:</w:t>
      </w:r>
    </w:p>
    <w:tbl>
      <w:tblPr>
        <w:tblStyle w:val="Tablaconcuadrcula"/>
        <w:tblW w:w="0" w:type="auto"/>
        <w:jc w:val="center"/>
        <w:tblLook w:val="04A0" w:firstRow="1" w:lastRow="0" w:firstColumn="1" w:lastColumn="0" w:noHBand="0" w:noVBand="1"/>
        <w:tblCaption w:val="Margen UAFIDA "/>
        <w:tblDescription w:val="En una tabla de 4 columnas, se proporciona cálculo del margen de la UAFIDA para los años 2012 a 2014."/>
      </w:tblPr>
      <w:tblGrid>
        <w:gridCol w:w="2636"/>
        <w:gridCol w:w="870"/>
        <w:gridCol w:w="870"/>
        <w:gridCol w:w="870"/>
      </w:tblGrid>
      <w:tr w:rsidR="006F4B45" w:rsidRPr="002B6985" w:rsidTr="002B6985">
        <w:trPr>
          <w:tblHeader/>
          <w:jc w:val="center"/>
        </w:trPr>
        <w:tc>
          <w:tcPr>
            <w:tcW w:w="0" w:type="auto"/>
            <w:shd w:val="clear" w:color="auto" w:fill="A6A6A6" w:themeFill="background1" w:themeFillShade="A6"/>
          </w:tcPr>
          <w:p w:rsidR="006F4B45" w:rsidRPr="002B6985" w:rsidRDefault="006F4B45" w:rsidP="00973AD5">
            <w:pPr>
              <w:autoSpaceDE w:val="0"/>
              <w:autoSpaceDN w:val="0"/>
              <w:adjustRightInd w:val="0"/>
              <w:spacing w:after="160"/>
              <w:rPr>
                <w:rFonts w:ascii="ITC Avant Garde" w:eastAsia="HiddenHorzOCR" w:hAnsi="ITC Avant Garde" w:cs="HiddenHorzOCR"/>
                <w:b/>
                <w:sz w:val="20"/>
                <w:szCs w:val="20"/>
              </w:rPr>
            </w:pPr>
          </w:p>
        </w:tc>
        <w:tc>
          <w:tcPr>
            <w:tcW w:w="0" w:type="auto"/>
            <w:shd w:val="clear" w:color="auto" w:fill="A6A6A6" w:themeFill="background1" w:themeFillShade="A6"/>
            <w:vAlign w:val="center"/>
          </w:tcPr>
          <w:p w:rsidR="006F4B45" w:rsidRPr="002B6985" w:rsidRDefault="00AD0531"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2012</w:t>
            </w:r>
          </w:p>
        </w:tc>
        <w:tc>
          <w:tcPr>
            <w:tcW w:w="0" w:type="auto"/>
            <w:shd w:val="clear" w:color="auto" w:fill="A6A6A6" w:themeFill="background1" w:themeFillShade="A6"/>
            <w:vAlign w:val="center"/>
          </w:tcPr>
          <w:p w:rsidR="006F4B45" w:rsidRPr="002B6985" w:rsidRDefault="00AD0531"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2013</w:t>
            </w:r>
          </w:p>
        </w:tc>
        <w:tc>
          <w:tcPr>
            <w:tcW w:w="0" w:type="auto"/>
            <w:shd w:val="clear" w:color="auto" w:fill="A6A6A6" w:themeFill="background1" w:themeFillShade="A6"/>
            <w:vAlign w:val="center"/>
          </w:tcPr>
          <w:p w:rsidR="006F4B45" w:rsidRPr="002B6985" w:rsidRDefault="00AD0531" w:rsidP="00973AD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2014</w:t>
            </w:r>
          </w:p>
        </w:tc>
      </w:tr>
      <w:tr w:rsidR="006F4B45" w:rsidRPr="00701713" w:rsidTr="00AD0531">
        <w:trPr>
          <w:jc w:val="center"/>
        </w:trPr>
        <w:tc>
          <w:tcPr>
            <w:tcW w:w="0" w:type="auto"/>
          </w:tcPr>
          <w:p w:rsidR="006F4B45" w:rsidRPr="00701713" w:rsidRDefault="00AD0531"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 UAFIDA</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5,654</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6,084</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6,471</w:t>
            </w:r>
          </w:p>
        </w:tc>
      </w:tr>
      <w:tr w:rsidR="006F4B45" w:rsidRPr="00701713" w:rsidTr="00AD0531">
        <w:trPr>
          <w:jc w:val="center"/>
        </w:trPr>
        <w:tc>
          <w:tcPr>
            <w:tcW w:w="0" w:type="auto"/>
          </w:tcPr>
          <w:p w:rsidR="006F4B45" w:rsidRPr="00701713" w:rsidRDefault="00AD0531"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 Ventas por servicios</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23,235</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24,676</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26,001</w:t>
            </w:r>
          </w:p>
        </w:tc>
      </w:tr>
      <w:tr w:rsidR="006F4B45" w:rsidRPr="00701713" w:rsidTr="00AD0531">
        <w:trPr>
          <w:jc w:val="center"/>
        </w:trPr>
        <w:tc>
          <w:tcPr>
            <w:tcW w:w="0" w:type="auto"/>
          </w:tcPr>
          <w:p w:rsidR="006F4B45" w:rsidRPr="00701713" w:rsidRDefault="00AD0531" w:rsidP="00973AD5">
            <w:pPr>
              <w:tabs>
                <w:tab w:val="right" w:pos="2420"/>
              </w:tabs>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lastRenderedPageBreak/>
              <w:t>Margen UAFIDA</w:t>
            </w:r>
            <w:r w:rsidR="00401D8B" w:rsidRPr="00701713">
              <w:rPr>
                <w:rFonts w:ascii="ITC Avant Garde" w:eastAsia="HiddenHorzOCR" w:hAnsi="ITC Avant Garde" w:cs="HiddenHorzOCR"/>
                <w:sz w:val="20"/>
                <w:szCs w:val="20"/>
              </w:rPr>
              <w:tab/>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24.33%</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24.66%</w:t>
            </w:r>
          </w:p>
        </w:tc>
        <w:tc>
          <w:tcPr>
            <w:tcW w:w="0" w:type="auto"/>
            <w:vAlign w:val="center"/>
          </w:tcPr>
          <w:p w:rsidR="006F4B45" w:rsidRPr="00701713" w:rsidRDefault="00AD0531" w:rsidP="00973AD5">
            <w:pPr>
              <w:autoSpaceDE w:val="0"/>
              <w:autoSpaceDN w:val="0"/>
              <w:adjustRightInd w:val="0"/>
              <w:spacing w:after="160"/>
              <w:jc w:val="center"/>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24.89%</w:t>
            </w:r>
          </w:p>
        </w:tc>
      </w:tr>
    </w:tbl>
    <w:p w:rsidR="00AD0531" w:rsidRPr="00701713" w:rsidRDefault="00AD0531" w:rsidP="00701713">
      <w:pPr>
        <w:autoSpaceDE w:val="0"/>
        <w:autoSpaceDN w:val="0"/>
        <w:adjustRightInd w:val="0"/>
        <w:spacing w:line="240" w:lineRule="auto"/>
        <w:ind w:left="284"/>
        <w:rPr>
          <w:rFonts w:ascii="ITC Avant Garde" w:eastAsia="HiddenHorzOCR" w:hAnsi="ITC Avant Garde" w:cs="HiddenHorzOCR"/>
          <w:b/>
          <w:sz w:val="28"/>
          <w:szCs w:val="24"/>
        </w:rPr>
      </w:pPr>
      <w:r w:rsidRPr="00701713">
        <w:rPr>
          <w:rFonts w:ascii="ITC Avant Garde" w:eastAsia="HiddenHorzOCR" w:hAnsi="ITC Avant Garde" w:cs="HiddenHorzOCR"/>
          <w:b/>
          <w:sz w:val="24"/>
          <w:szCs w:val="24"/>
        </w:rPr>
        <w:t>* Cifras en millones de dólares</w:t>
      </w:r>
      <w:r w:rsidR="00146DA4" w:rsidRPr="00701713">
        <w:rPr>
          <w:rFonts w:ascii="ITC Avant Garde" w:eastAsia="HiddenHorzOCR" w:hAnsi="ITC Avant Garde" w:cs="HiddenHorzOCR"/>
          <w:b/>
          <w:sz w:val="28"/>
          <w:szCs w:val="24"/>
        </w:rPr>
        <w:t>.</w:t>
      </w:r>
    </w:p>
    <w:p w:rsidR="001616D0" w:rsidRPr="00401D8B" w:rsidRDefault="001616D0"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 xml:space="preserve">7.- Que indique el perito qué conceptos en los rubros de Gastos, Costos e Inversiones incluye la empresa </w:t>
      </w:r>
      <w:proofErr w:type="spellStart"/>
      <w:r w:rsidRPr="00401D8B">
        <w:rPr>
          <w:rFonts w:ascii="ITC Avant Garde" w:eastAsia="HiddenHorzOCR" w:hAnsi="ITC Avant Garde" w:cs="HiddenHorzOCR"/>
          <w:szCs w:val="24"/>
        </w:rPr>
        <w:t>DirecTV</w:t>
      </w:r>
      <w:proofErr w:type="spellEnd"/>
      <w:r w:rsidRPr="00401D8B">
        <w:rPr>
          <w:rFonts w:ascii="ITC Avant Garde" w:eastAsia="HiddenHorzOCR" w:hAnsi="ITC Avant Garde" w:cs="HiddenHorzOCR"/>
          <w:szCs w:val="24"/>
        </w:rPr>
        <w:t xml:space="preserve"> Holdings LLC para determinar su UAFIDA.</w:t>
      </w:r>
    </w:p>
    <w:p w:rsidR="00AD0531" w:rsidRPr="00701713" w:rsidRDefault="001616D0" w:rsidP="00701713">
      <w:pPr>
        <w:autoSpaceDE w:val="0"/>
        <w:autoSpaceDN w:val="0"/>
        <w:adjustRightInd w:val="0"/>
        <w:spacing w:line="240" w:lineRule="auto"/>
        <w:ind w:left="284"/>
        <w:jc w:val="both"/>
        <w:rPr>
          <w:rFonts w:ascii="ITC Avant Garde" w:eastAsia="HiddenHorzOCR" w:hAnsi="ITC Avant Garde" w:cs="HiddenHorzOCR"/>
          <w:b/>
          <w:sz w:val="24"/>
          <w:szCs w:val="24"/>
        </w:rPr>
      </w:pPr>
      <w:r w:rsidRPr="00701713">
        <w:rPr>
          <w:rFonts w:ascii="ITC Avant Garde" w:eastAsia="HiddenHorzOCR" w:hAnsi="ITC Avant Garde" w:cs="HiddenHorzOCR"/>
          <w:b/>
          <w:szCs w:val="24"/>
        </w:rPr>
        <w:t xml:space="preserve">Los rubros de Gastos, Costos e Inversiones que se incluyeron en la determinación de la UAFIDA de </w:t>
      </w:r>
      <w:proofErr w:type="spellStart"/>
      <w:r w:rsidRPr="00701713">
        <w:rPr>
          <w:rFonts w:ascii="ITC Avant Garde" w:eastAsia="HiddenHorzOCR" w:hAnsi="ITC Avant Garde" w:cs="HiddenHorzOCR"/>
          <w:b/>
          <w:szCs w:val="24"/>
        </w:rPr>
        <w:t>DirecTV</w:t>
      </w:r>
      <w:proofErr w:type="spellEnd"/>
      <w:r w:rsidRPr="00701713">
        <w:rPr>
          <w:rFonts w:ascii="ITC Avant Garde" w:eastAsia="HiddenHorzOCR" w:hAnsi="ITC Avant Garde" w:cs="HiddenHorzOCR"/>
          <w:b/>
          <w:szCs w:val="24"/>
        </w:rPr>
        <w:t xml:space="preserve"> fueron los siguientes:</w:t>
      </w:r>
    </w:p>
    <w:tbl>
      <w:tblPr>
        <w:tblStyle w:val="Tablaconcuadrcula"/>
        <w:tblW w:w="0" w:type="auto"/>
        <w:tblLook w:val="04A0" w:firstRow="1" w:lastRow="0" w:firstColumn="1" w:lastColumn="0" w:noHBand="0" w:noVBand="1"/>
        <w:tblCaption w:val="rubros de Gastos, Costos e Inversiones que se incluyeron en la determinación de la UAFIDA de DirecTV "/>
      </w:tblPr>
      <w:tblGrid>
        <w:gridCol w:w="2956"/>
        <w:gridCol w:w="3271"/>
        <w:gridCol w:w="949"/>
        <w:gridCol w:w="826"/>
        <w:gridCol w:w="826"/>
      </w:tblGrid>
      <w:tr w:rsidR="0093081C" w:rsidRPr="002B6985" w:rsidTr="002B6985">
        <w:trPr>
          <w:tblHeader/>
        </w:trPr>
        <w:tc>
          <w:tcPr>
            <w:tcW w:w="0" w:type="auto"/>
            <w:shd w:val="clear" w:color="auto" w:fill="A6A6A6" w:themeFill="background1" w:themeFillShade="A6"/>
            <w:vAlign w:val="center"/>
          </w:tcPr>
          <w:p w:rsidR="0093081C" w:rsidRPr="002B6985" w:rsidRDefault="0093081C" w:rsidP="002B698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Costos por servicios</w:t>
            </w:r>
          </w:p>
        </w:tc>
        <w:tc>
          <w:tcPr>
            <w:tcW w:w="3271" w:type="dxa"/>
            <w:shd w:val="clear" w:color="auto" w:fill="A6A6A6" w:themeFill="background1" w:themeFillShade="A6"/>
            <w:vAlign w:val="center"/>
          </w:tcPr>
          <w:p w:rsidR="0093081C" w:rsidRPr="002B6985" w:rsidRDefault="0093081C" w:rsidP="002B698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[LA TRADUCCIÓN ES DEL PERITO]</w:t>
            </w:r>
          </w:p>
        </w:tc>
        <w:tc>
          <w:tcPr>
            <w:tcW w:w="949" w:type="dxa"/>
            <w:shd w:val="clear" w:color="auto" w:fill="A6A6A6" w:themeFill="background1" w:themeFillShade="A6"/>
            <w:vAlign w:val="center"/>
          </w:tcPr>
          <w:p w:rsidR="0093081C" w:rsidRPr="002B6985" w:rsidRDefault="0093081C" w:rsidP="002B698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2012</w:t>
            </w:r>
          </w:p>
        </w:tc>
        <w:tc>
          <w:tcPr>
            <w:tcW w:w="0" w:type="auto"/>
            <w:shd w:val="clear" w:color="auto" w:fill="A6A6A6" w:themeFill="background1" w:themeFillShade="A6"/>
            <w:vAlign w:val="center"/>
          </w:tcPr>
          <w:p w:rsidR="0093081C" w:rsidRPr="002B6985" w:rsidRDefault="0093081C" w:rsidP="002B698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2013</w:t>
            </w:r>
          </w:p>
        </w:tc>
        <w:tc>
          <w:tcPr>
            <w:tcW w:w="0" w:type="auto"/>
            <w:shd w:val="clear" w:color="auto" w:fill="A6A6A6" w:themeFill="background1" w:themeFillShade="A6"/>
            <w:vAlign w:val="center"/>
          </w:tcPr>
          <w:p w:rsidR="0093081C" w:rsidRPr="002B6985" w:rsidRDefault="0093081C" w:rsidP="002B6985">
            <w:pPr>
              <w:autoSpaceDE w:val="0"/>
              <w:autoSpaceDN w:val="0"/>
              <w:adjustRightInd w:val="0"/>
              <w:spacing w:after="160"/>
              <w:jc w:val="center"/>
              <w:rPr>
                <w:rFonts w:ascii="ITC Avant Garde" w:eastAsia="HiddenHorzOCR" w:hAnsi="ITC Avant Garde" w:cs="HiddenHorzOCR"/>
                <w:b/>
                <w:sz w:val="20"/>
                <w:szCs w:val="20"/>
              </w:rPr>
            </w:pPr>
            <w:r w:rsidRPr="002B6985">
              <w:rPr>
                <w:rFonts w:ascii="ITC Avant Garde" w:eastAsia="HiddenHorzOCR" w:hAnsi="ITC Avant Garde" w:cs="HiddenHorzOCR"/>
                <w:b/>
                <w:sz w:val="20"/>
                <w:szCs w:val="20"/>
              </w:rPr>
              <w:t>2014</w:t>
            </w:r>
          </w:p>
        </w:tc>
      </w:tr>
      <w:tr w:rsidR="0093081C" w:rsidRPr="00701713" w:rsidTr="00E639AC">
        <w:tc>
          <w:tcPr>
            <w:tcW w:w="0" w:type="auto"/>
          </w:tcPr>
          <w:p w:rsidR="0093081C" w:rsidRPr="000448BB" w:rsidRDefault="0093081C" w:rsidP="00973AD5">
            <w:pPr>
              <w:autoSpaceDE w:val="0"/>
              <w:autoSpaceDN w:val="0"/>
              <w:adjustRightInd w:val="0"/>
              <w:spacing w:after="160"/>
              <w:rPr>
                <w:rFonts w:ascii="ITC Avant Garde" w:eastAsia="HiddenHorzOCR" w:hAnsi="ITC Avant Garde" w:cs="HiddenHorzOCR"/>
                <w:i/>
                <w:sz w:val="20"/>
                <w:szCs w:val="20"/>
              </w:rPr>
            </w:pPr>
            <w:proofErr w:type="spellStart"/>
            <w:r w:rsidRPr="000448BB">
              <w:rPr>
                <w:rFonts w:ascii="ITC Avant Garde" w:eastAsia="HiddenHorzOCR" w:hAnsi="ITC Avant Garde" w:cs="HiddenHorzOCR"/>
                <w:i/>
                <w:sz w:val="20"/>
                <w:szCs w:val="20"/>
              </w:rPr>
              <w:t>Broadcast</w:t>
            </w:r>
            <w:proofErr w:type="spellEnd"/>
            <w:r w:rsidR="00956BE8" w:rsidRPr="000448BB">
              <w:rPr>
                <w:rFonts w:ascii="ITC Avant Garde" w:eastAsia="HiddenHorzOCR" w:hAnsi="ITC Avant Garde" w:cs="HiddenHorzOCR"/>
                <w:i/>
                <w:sz w:val="20"/>
                <w:szCs w:val="20"/>
              </w:rPr>
              <w:t xml:space="preserve"> </w:t>
            </w:r>
            <w:proofErr w:type="spellStart"/>
            <w:r w:rsidR="00956BE8" w:rsidRPr="000448BB">
              <w:rPr>
                <w:rFonts w:ascii="ITC Avant Garde" w:eastAsia="HiddenHorzOCR" w:hAnsi="ITC Avant Garde" w:cs="HiddenHorzOCR"/>
                <w:i/>
                <w:sz w:val="20"/>
                <w:szCs w:val="20"/>
              </w:rPr>
              <w:t>programming</w:t>
            </w:r>
            <w:proofErr w:type="spellEnd"/>
            <w:r w:rsidR="00956BE8" w:rsidRPr="000448BB">
              <w:rPr>
                <w:rFonts w:ascii="ITC Avant Garde" w:eastAsia="HiddenHorzOCR" w:hAnsi="ITC Avant Garde" w:cs="HiddenHorzOCR"/>
                <w:i/>
                <w:sz w:val="20"/>
                <w:szCs w:val="20"/>
              </w:rPr>
              <w:t xml:space="preserve"> and </w:t>
            </w:r>
            <w:proofErr w:type="spellStart"/>
            <w:r w:rsidR="00956BE8" w:rsidRPr="000448BB">
              <w:rPr>
                <w:rFonts w:ascii="ITC Avant Garde" w:eastAsia="HiddenHorzOCR" w:hAnsi="ITC Avant Garde" w:cs="HiddenHorzOCR"/>
                <w:i/>
                <w:sz w:val="20"/>
                <w:szCs w:val="20"/>
              </w:rPr>
              <w:t>other</w:t>
            </w:r>
            <w:proofErr w:type="spellEnd"/>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Costo de programación y otros</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10,743</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11,616</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12,343</w:t>
            </w:r>
          </w:p>
        </w:tc>
      </w:tr>
      <w:tr w:rsidR="0093081C" w:rsidRPr="00701713" w:rsidTr="00E639AC">
        <w:tc>
          <w:tcPr>
            <w:tcW w:w="0" w:type="auto"/>
          </w:tcPr>
          <w:p w:rsidR="0093081C" w:rsidRPr="000448BB" w:rsidRDefault="00956BE8" w:rsidP="00973AD5">
            <w:pPr>
              <w:autoSpaceDE w:val="0"/>
              <w:autoSpaceDN w:val="0"/>
              <w:adjustRightInd w:val="0"/>
              <w:spacing w:after="160"/>
              <w:rPr>
                <w:rFonts w:ascii="ITC Avant Garde" w:eastAsia="HiddenHorzOCR" w:hAnsi="ITC Avant Garde" w:cs="HiddenHorzOCR"/>
                <w:i/>
                <w:sz w:val="20"/>
                <w:szCs w:val="20"/>
              </w:rPr>
            </w:pPr>
            <w:proofErr w:type="spellStart"/>
            <w:r w:rsidRPr="000448BB">
              <w:rPr>
                <w:rFonts w:ascii="ITC Avant Garde" w:eastAsia="HiddenHorzOCR" w:hAnsi="ITC Avant Garde" w:cs="HiddenHorzOCR"/>
                <w:i/>
                <w:sz w:val="20"/>
                <w:szCs w:val="20"/>
              </w:rPr>
              <w:t>Subscriber</w:t>
            </w:r>
            <w:proofErr w:type="spellEnd"/>
            <w:r w:rsidRPr="000448BB">
              <w:rPr>
                <w:rFonts w:ascii="ITC Avant Garde" w:eastAsia="HiddenHorzOCR" w:hAnsi="ITC Avant Garde" w:cs="HiddenHorzOCR"/>
                <w:i/>
                <w:sz w:val="20"/>
                <w:szCs w:val="20"/>
              </w:rPr>
              <w:t xml:space="preserve"> </w:t>
            </w:r>
            <w:proofErr w:type="spellStart"/>
            <w:r w:rsidRPr="000448BB">
              <w:rPr>
                <w:rFonts w:ascii="ITC Avant Garde" w:eastAsia="HiddenHorzOCR" w:hAnsi="ITC Avant Garde" w:cs="HiddenHorzOCR"/>
                <w:i/>
                <w:sz w:val="20"/>
                <w:szCs w:val="20"/>
              </w:rPr>
              <w:t>services</w:t>
            </w:r>
            <w:proofErr w:type="spellEnd"/>
            <w:r w:rsidRPr="000448BB">
              <w:rPr>
                <w:rFonts w:ascii="ITC Avant Garde" w:eastAsia="HiddenHorzOCR" w:hAnsi="ITC Avant Garde" w:cs="HiddenHorzOCR"/>
                <w:i/>
                <w:sz w:val="20"/>
                <w:szCs w:val="20"/>
              </w:rPr>
              <w:t xml:space="preserve"> expenses</w:t>
            </w:r>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Gastos por servicios al suscriptor</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1,464</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1,474</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1,519</w:t>
            </w:r>
          </w:p>
        </w:tc>
      </w:tr>
      <w:tr w:rsidR="0093081C" w:rsidRPr="00701713" w:rsidTr="00E639AC">
        <w:tc>
          <w:tcPr>
            <w:tcW w:w="0" w:type="auto"/>
          </w:tcPr>
          <w:p w:rsidR="0093081C" w:rsidRPr="000448BB" w:rsidRDefault="00956BE8" w:rsidP="00973AD5">
            <w:pPr>
              <w:autoSpaceDE w:val="0"/>
              <w:autoSpaceDN w:val="0"/>
              <w:adjustRightInd w:val="0"/>
              <w:spacing w:after="160"/>
              <w:rPr>
                <w:rFonts w:ascii="ITC Avant Garde" w:eastAsia="HiddenHorzOCR" w:hAnsi="ITC Avant Garde" w:cs="HiddenHorzOCR"/>
                <w:i/>
                <w:sz w:val="20"/>
                <w:szCs w:val="20"/>
              </w:rPr>
            </w:pPr>
            <w:proofErr w:type="spellStart"/>
            <w:r w:rsidRPr="000448BB">
              <w:rPr>
                <w:rFonts w:ascii="ITC Avant Garde" w:eastAsia="HiddenHorzOCR" w:hAnsi="ITC Avant Garde" w:cs="HiddenHorzOCR"/>
                <w:i/>
                <w:sz w:val="20"/>
                <w:szCs w:val="20"/>
              </w:rPr>
              <w:t>Broadcast</w:t>
            </w:r>
            <w:proofErr w:type="spellEnd"/>
            <w:r w:rsidRPr="000448BB">
              <w:rPr>
                <w:rFonts w:ascii="ITC Avant Garde" w:eastAsia="HiddenHorzOCR" w:hAnsi="ITC Avant Garde" w:cs="HiddenHorzOCR"/>
                <w:i/>
                <w:sz w:val="20"/>
                <w:szCs w:val="20"/>
              </w:rPr>
              <w:t xml:space="preserve"> </w:t>
            </w:r>
            <w:proofErr w:type="spellStart"/>
            <w:r w:rsidRPr="000448BB">
              <w:rPr>
                <w:rFonts w:ascii="ITC Avant Garde" w:eastAsia="HiddenHorzOCR" w:hAnsi="ITC Avant Garde" w:cs="HiddenHorzOCR"/>
                <w:i/>
                <w:sz w:val="20"/>
                <w:szCs w:val="20"/>
              </w:rPr>
              <w:t>Operations</w:t>
            </w:r>
            <w:proofErr w:type="spellEnd"/>
            <w:r w:rsidRPr="000448BB">
              <w:rPr>
                <w:rFonts w:ascii="ITC Avant Garde" w:eastAsia="HiddenHorzOCR" w:hAnsi="ITC Avant Garde" w:cs="HiddenHorzOCR"/>
                <w:i/>
                <w:sz w:val="20"/>
                <w:szCs w:val="20"/>
              </w:rPr>
              <w:t xml:space="preserve"> expense</w:t>
            </w:r>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Gastos relacionados con la transmisión</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306</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293</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303</w:t>
            </w:r>
          </w:p>
        </w:tc>
      </w:tr>
      <w:tr w:rsidR="00956BE8" w:rsidRPr="00701713" w:rsidTr="00E639AC">
        <w:tc>
          <w:tcPr>
            <w:tcW w:w="0" w:type="auto"/>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p>
        </w:tc>
        <w:tc>
          <w:tcPr>
            <w:tcW w:w="3271" w:type="dxa"/>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Total costos por servicios</w:t>
            </w:r>
          </w:p>
        </w:tc>
        <w:tc>
          <w:tcPr>
            <w:tcW w:w="949" w:type="dxa"/>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12,513</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13,383</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14,165</w:t>
            </w:r>
          </w:p>
        </w:tc>
      </w:tr>
      <w:tr w:rsidR="0093081C" w:rsidRPr="00701713" w:rsidTr="00E639AC">
        <w:tc>
          <w:tcPr>
            <w:tcW w:w="0" w:type="auto"/>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u w:val="single"/>
              </w:rPr>
            </w:pPr>
            <w:r w:rsidRPr="00701713">
              <w:rPr>
                <w:rFonts w:ascii="ITC Avant Garde" w:eastAsia="HiddenHorzOCR" w:hAnsi="ITC Avant Garde" w:cs="HiddenHorzOCR"/>
                <w:sz w:val="20"/>
                <w:szCs w:val="20"/>
                <w:u w:val="single"/>
              </w:rPr>
              <w:t>Gastos de venta</w:t>
            </w:r>
          </w:p>
        </w:tc>
        <w:tc>
          <w:tcPr>
            <w:tcW w:w="3271" w:type="dxa"/>
          </w:tcPr>
          <w:p w:rsidR="0093081C" w:rsidRPr="00701713" w:rsidRDefault="0093081C" w:rsidP="00973AD5">
            <w:pPr>
              <w:autoSpaceDE w:val="0"/>
              <w:autoSpaceDN w:val="0"/>
              <w:adjustRightInd w:val="0"/>
              <w:spacing w:after="160"/>
              <w:rPr>
                <w:rFonts w:ascii="ITC Avant Garde" w:eastAsia="HiddenHorzOCR" w:hAnsi="ITC Avant Garde" w:cs="HiddenHorzOCR"/>
                <w:sz w:val="20"/>
                <w:szCs w:val="20"/>
              </w:rPr>
            </w:pPr>
          </w:p>
        </w:tc>
        <w:tc>
          <w:tcPr>
            <w:tcW w:w="949" w:type="dxa"/>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c>
          <w:tcPr>
            <w:tcW w:w="0" w:type="auto"/>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c>
          <w:tcPr>
            <w:tcW w:w="0" w:type="auto"/>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r>
      <w:tr w:rsidR="0093081C" w:rsidRPr="00701713" w:rsidTr="00E639AC">
        <w:tc>
          <w:tcPr>
            <w:tcW w:w="0" w:type="auto"/>
          </w:tcPr>
          <w:p w:rsidR="0093081C" w:rsidRPr="000448BB" w:rsidRDefault="00956BE8" w:rsidP="00973AD5">
            <w:pPr>
              <w:autoSpaceDE w:val="0"/>
              <w:autoSpaceDN w:val="0"/>
              <w:adjustRightInd w:val="0"/>
              <w:spacing w:after="160"/>
              <w:rPr>
                <w:rFonts w:ascii="ITC Avant Garde" w:eastAsia="HiddenHorzOCR" w:hAnsi="ITC Avant Garde" w:cs="HiddenHorzOCR"/>
                <w:i/>
                <w:sz w:val="20"/>
                <w:szCs w:val="20"/>
              </w:rPr>
            </w:pPr>
            <w:proofErr w:type="spellStart"/>
            <w:r w:rsidRPr="000448BB">
              <w:rPr>
                <w:rFonts w:ascii="ITC Avant Garde" w:eastAsia="HiddenHorzOCR" w:hAnsi="ITC Avant Garde" w:cs="HiddenHorzOCR"/>
                <w:i/>
                <w:sz w:val="20"/>
                <w:szCs w:val="20"/>
              </w:rPr>
              <w:t>Suscriber</w:t>
            </w:r>
            <w:proofErr w:type="spellEnd"/>
            <w:r w:rsidRPr="000448BB">
              <w:rPr>
                <w:rFonts w:ascii="ITC Avant Garde" w:eastAsia="HiddenHorzOCR" w:hAnsi="ITC Avant Garde" w:cs="HiddenHorzOCR"/>
                <w:i/>
                <w:sz w:val="20"/>
                <w:szCs w:val="20"/>
              </w:rPr>
              <w:t xml:space="preserve"> </w:t>
            </w:r>
            <w:proofErr w:type="spellStart"/>
            <w:r w:rsidRPr="000448BB">
              <w:rPr>
                <w:rFonts w:ascii="ITC Avant Garde" w:eastAsia="HiddenHorzOCR" w:hAnsi="ITC Avant Garde" w:cs="HiddenHorzOCR"/>
                <w:i/>
                <w:sz w:val="20"/>
                <w:szCs w:val="20"/>
              </w:rPr>
              <w:t>acquisition</w:t>
            </w:r>
            <w:proofErr w:type="spellEnd"/>
            <w:r w:rsidRPr="000448BB">
              <w:rPr>
                <w:rFonts w:ascii="ITC Avant Garde" w:eastAsia="HiddenHorzOCR" w:hAnsi="ITC Avant Garde" w:cs="HiddenHorzOCR"/>
                <w:i/>
                <w:sz w:val="20"/>
                <w:szCs w:val="20"/>
              </w:rPr>
              <w:t xml:space="preserve"> </w:t>
            </w:r>
            <w:proofErr w:type="spellStart"/>
            <w:r w:rsidRPr="000448BB">
              <w:rPr>
                <w:rFonts w:ascii="ITC Avant Garde" w:eastAsia="HiddenHorzOCR" w:hAnsi="ITC Avant Garde" w:cs="HiddenHorzOCR"/>
                <w:i/>
                <w:sz w:val="20"/>
                <w:szCs w:val="20"/>
              </w:rPr>
              <w:t>costs</w:t>
            </w:r>
            <w:proofErr w:type="spellEnd"/>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Costo por la adquisición de suscriptores</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2,673</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2,642</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2,853</w:t>
            </w:r>
          </w:p>
        </w:tc>
      </w:tr>
      <w:tr w:rsidR="0093081C" w:rsidRPr="00701713" w:rsidTr="00E639AC">
        <w:tc>
          <w:tcPr>
            <w:tcW w:w="0" w:type="auto"/>
          </w:tcPr>
          <w:p w:rsidR="0093081C" w:rsidRPr="000448BB" w:rsidRDefault="00956BE8" w:rsidP="00973AD5">
            <w:pPr>
              <w:autoSpaceDE w:val="0"/>
              <w:autoSpaceDN w:val="0"/>
              <w:adjustRightInd w:val="0"/>
              <w:spacing w:after="160"/>
              <w:rPr>
                <w:rFonts w:ascii="ITC Avant Garde" w:eastAsia="HiddenHorzOCR" w:hAnsi="ITC Avant Garde" w:cs="HiddenHorzOCR"/>
                <w:i/>
                <w:sz w:val="20"/>
                <w:szCs w:val="20"/>
              </w:rPr>
            </w:pPr>
            <w:proofErr w:type="spellStart"/>
            <w:r w:rsidRPr="000448BB">
              <w:rPr>
                <w:rFonts w:ascii="ITC Avant Garde" w:eastAsia="HiddenHorzOCR" w:hAnsi="ITC Avant Garde" w:cs="HiddenHorzOCR"/>
                <w:i/>
                <w:sz w:val="20"/>
                <w:szCs w:val="20"/>
              </w:rPr>
              <w:t>Upgrade</w:t>
            </w:r>
            <w:proofErr w:type="spellEnd"/>
            <w:r w:rsidRPr="000448BB">
              <w:rPr>
                <w:rFonts w:ascii="ITC Avant Garde" w:eastAsia="HiddenHorzOCR" w:hAnsi="ITC Avant Garde" w:cs="HiddenHorzOCR"/>
                <w:i/>
                <w:sz w:val="20"/>
                <w:szCs w:val="20"/>
              </w:rPr>
              <w:t xml:space="preserve"> and </w:t>
            </w:r>
            <w:proofErr w:type="spellStart"/>
            <w:r w:rsidRPr="000448BB">
              <w:rPr>
                <w:rFonts w:ascii="ITC Avant Garde" w:eastAsia="HiddenHorzOCR" w:hAnsi="ITC Avant Garde" w:cs="HiddenHorzOCR"/>
                <w:i/>
                <w:sz w:val="20"/>
                <w:szCs w:val="20"/>
              </w:rPr>
              <w:t>retetion</w:t>
            </w:r>
            <w:proofErr w:type="spellEnd"/>
            <w:r w:rsidRPr="000448BB">
              <w:rPr>
                <w:rFonts w:ascii="ITC Avant Garde" w:eastAsia="HiddenHorzOCR" w:hAnsi="ITC Avant Garde" w:cs="HiddenHorzOCR"/>
                <w:i/>
                <w:sz w:val="20"/>
                <w:szCs w:val="20"/>
              </w:rPr>
              <w:t xml:space="preserve"> </w:t>
            </w:r>
            <w:proofErr w:type="spellStart"/>
            <w:r w:rsidRPr="000448BB">
              <w:rPr>
                <w:rFonts w:ascii="ITC Avant Garde" w:eastAsia="HiddenHorzOCR" w:hAnsi="ITC Avant Garde" w:cs="HiddenHorzOCR"/>
                <w:i/>
                <w:sz w:val="20"/>
                <w:szCs w:val="20"/>
              </w:rPr>
              <w:t>costs</w:t>
            </w:r>
            <w:proofErr w:type="spellEnd"/>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Costos de mejora y retención</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1,253</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1,350</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1,276</w:t>
            </w:r>
          </w:p>
        </w:tc>
      </w:tr>
      <w:tr w:rsidR="00956BE8" w:rsidRPr="00701713" w:rsidTr="00E639AC">
        <w:tc>
          <w:tcPr>
            <w:tcW w:w="0" w:type="auto"/>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p>
        </w:tc>
        <w:tc>
          <w:tcPr>
            <w:tcW w:w="3271" w:type="dxa"/>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Total gastos de venta</w:t>
            </w:r>
          </w:p>
        </w:tc>
        <w:tc>
          <w:tcPr>
            <w:tcW w:w="949" w:type="dxa"/>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3,926</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3,992</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4,129</w:t>
            </w:r>
          </w:p>
        </w:tc>
      </w:tr>
      <w:tr w:rsidR="0093081C" w:rsidRPr="00701713" w:rsidTr="00E639AC">
        <w:tc>
          <w:tcPr>
            <w:tcW w:w="0" w:type="auto"/>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u w:val="single"/>
              </w:rPr>
            </w:pPr>
            <w:r w:rsidRPr="00701713">
              <w:rPr>
                <w:rFonts w:ascii="ITC Avant Garde" w:eastAsia="HiddenHorzOCR" w:hAnsi="ITC Avant Garde" w:cs="HiddenHorzOCR"/>
                <w:sz w:val="20"/>
                <w:szCs w:val="20"/>
                <w:u w:val="single"/>
              </w:rPr>
              <w:t>Gastos de administración</w:t>
            </w:r>
          </w:p>
        </w:tc>
        <w:tc>
          <w:tcPr>
            <w:tcW w:w="3271" w:type="dxa"/>
          </w:tcPr>
          <w:p w:rsidR="0093081C" w:rsidRPr="00701713" w:rsidRDefault="0093081C" w:rsidP="00973AD5">
            <w:pPr>
              <w:autoSpaceDE w:val="0"/>
              <w:autoSpaceDN w:val="0"/>
              <w:adjustRightInd w:val="0"/>
              <w:spacing w:after="160"/>
              <w:rPr>
                <w:rFonts w:ascii="ITC Avant Garde" w:eastAsia="HiddenHorzOCR" w:hAnsi="ITC Avant Garde" w:cs="HiddenHorzOCR"/>
                <w:sz w:val="20"/>
                <w:szCs w:val="20"/>
              </w:rPr>
            </w:pPr>
          </w:p>
        </w:tc>
        <w:tc>
          <w:tcPr>
            <w:tcW w:w="949" w:type="dxa"/>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c>
          <w:tcPr>
            <w:tcW w:w="0" w:type="auto"/>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c>
          <w:tcPr>
            <w:tcW w:w="0" w:type="auto"/>
            <w:vAlign w:val="center"/>
          </w:tcPr>
          <w:p w:rsidR="0093081C" w:rsidRPr="00701713" w:rsidRDefault="0093081C" w:rsidP="00973AD5">
            <w:pPr>
              <w:autoSpaceDE w:val="0"/>
              <w:autoSpaceDN w:val="0"/>
              <w:adjustRightInd w:val="0"/>
              <w:spacing w:after="160"/>
              <w:jc w:val="right"/>
              <w:rPr>
                <w:rFonts w:ascii="ITC Avant Garde" w:eastAsia="HiddenHorzOCR" w:hAnsi="ITC Avant Garde" w:cs="HiddenHorzOCR"/>
                <w:sz w:val="20"/>
                <w:szCs w:val="20"/>
              </w:rPr>
            </w:pPr>
          </w:p>
        </w:tc>
      </w:tr>
      <w:tr w:rsidR="0093081C" w:rsidRPr="00701713" w:rsidTr="00E639AC">
        <w:tc>
          <w:tcPr>
            <w:tcW w:w="0" w:type="auto"/>
          </w:tcPr>
          <w:p w:rsidR="0093081C" w:rsidRPr="000448BB" w:rsidRDefault="00956BE8" w:rsidP="00973AD5">
            <w:pPr>
              <w:autoSpaceDE w:val="0"/>
              <w:autoSpaceDN w:val="0"/>
              <w:adjustRightInd w:val="0"/>
              <w:spacing w:after="160"/>
              <w:rPr>
                <w:rFonts w:ascii="ITC Avant Garde" w:eastAsia="HiddenHorzOCR" w:hAnsi="ITC Avant Garde" w:cs="HiddenHorzOCR"/>
                <w:i/>
                <w:sz w:val="20"/>
                <w:szCs w:val="20"/>
              </w:rPr>
            </w:pPr>
            <w:r w:rsidRPr="000448BB">
              <w:rPr>
                <w:rFonts w:ascii="ITC Avant Garde" w:eastAsia="HiddenHorzOCR" w:hAnsi="ITC Avant Garde" w:cs="HiddenHorzOCR"/>
                <w:i/>
                <w:sz w:val="20"/>
                <w:szCs w:val="20"/>
              </w:rPr>
              <w:t xml:space="preserve">General and </w:t>
            </w:r>
            <w:proofErr w:type="spellStart"/>
            <w:r w:rsidRPr="000448BB">
              <w:rPr>
                <w:rFonts w:ascii="ITC Avant Garde" w:eastAsia="HiddenHorzOCR" w:hAnsi="ITC Avant Garde" w:cs="HiddenHorzOCR"/>
                <w:i/>
                <w:sz w:val="20"/>
                <w:szCs w:val="20"/>
              </w:rPr>
              <w:t>administrative</w:t>
            </w:r>
            <w:proofErr w:type="spellEnd"/>
            <w:r w:rsidRPr="000448BB">
              <w:rPr>
                <w:rFonts w:ascii="ITC Avant Garde" w:eastAsia="HiddenHorzOCR" w:hAnsi="ITC Avant Garde" w:cs="HiddenHorzOCR"/>
                <w:i/>
                <w:sz w:val="20"/>
                <w:szCs w:val="20"/>
              </w:rPr>
              <w:t xml:space="preserve"> expenses</w:t>
            </w:r>
          </w:p>
        </w:tc>
        <w:tc>
          <w:tcPr>
            <w:tcW w:w="3271" w:type="dxa"/>
          </w:tcPr>
          <w:p w:rsidR="0093081C"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Gastos de administración y generales</w:t>
            </w:r>
          </w:p>
        </w:tc>
        <w:tc>
          <w:tcPr>
            <w:tcW w:w="949" w:type="dxa"/>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1,142</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1,217</w:t>
            </w:r>
          </w:p>
        </w:tc>
        <w:tc>
          <w:tcPr>
            <w:tcW w:w="0" w:type="auto"/>
            <w:vAlign w:val="center"/>
          </w:tcPr>
          <w:p w:rsidR="0093081C"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1,236</w:t>
            </w:r>
          </w:p>
        </w:tc>
      </w:tr>
      <w:tr w:rsidR="00956BE8" w:rsidRPr="00701713" w:rsidTr="00E639AC">
        <w:tc>
          <w:tcPr>
            <w:tcW w:w="0" w:type="auto"/>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p>
        </w:tc>
        <w:tc>
          <w:tcPr>
            <w:tcW w:w="3271" w:type="dxa"/>
          </w:tcPr>
          <w:p w:rsidR="00956BE8" w:rsidRPr="00701713" w:rsidRDefault="00956BE8" w:rsidP="00973AD5">
            <w:pPr>
              <w:autoSpaceDE w:val="0"/>
              <w:autoSpaceDN w:val="0"/>
              <w:adjustRightInd w:val="0"/>
              <w:spacing w:after="160"/>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Total gastos de administración</w:t>
            </w:r>
          </w:p>
        </w:tc>
        <w:tc>
          <w:tcPr>
            <w:tcW w:w="949" w:type="dxa"/>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1,142</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1,217</w:t>
            </w:r>
          </w:p>
        </w:tc>
        <w:tc>
          <w:tcPr>
            <w:tcW w:w="0" w:type="auto"/>
            <w:vAlign w:val="center"/>
          </w:tcPr>
          <w:p w:rsidR="00956BE8" w:rsidRPr="00701713" w:rsidRDefault="00956BE8" w:rsidP="00973AD5">
            <w:pPr>
              <w:autoSpaceDE w:val="0"/>
              <w:autoSpaceDN w:val="0"/>
              <w:adjustRightInd w:val="0"/>
              <w:spacing w:after="160"/>
              <w:jc w:val="right"/>
              <w:rPr>
                <w:rFonts w:ascii="ITC Avant Garde" w:eastAsia="HiddenHorzOCR" w:hAnsi="ITC Avant Garde" w:cs="HiddenHorzOCR"/>
                <w:sz w:val="20"/>
                <w:szCs w:val="20"/>
              </w:rPr>
            </w:pPr>
            <w:r w:rsidRPr="00701713">
              <w:rPr>
                <w:rFonts w:ascii="ITC Avant Garde" w:eastAsia="HiddenHorzOCR" w:hAnsi="ITC Avant Garde" w:cs="HiddenHorzOCR"/>
                <w:sz w:val="20"/>
                <w:szCs w:val="20"/>
              </w:rPr>
              <w:t>1,236</w:t>
            </w:r>
          </w:p>
        </w:tc>
      </w:tr>
    </w:tbl>
    <w:p w:rsidR="00956BE8" w:rsidRPr="00701713" w:rsidRDefault="00956BE8" w:rsidP="00701713">
      <w:pPr>
        <w:autoSpaceDE w:val="0"/>
        <w:autoSpaceDN w:val="0"/>
        <w:adjustRightInd w:val="0"/>
        <w:spacing w:line="240" w:lineRule="auto"/>
        <w:ind w:left="284"/>
        <w:rPr>
          <w:rFonts w:ascii="ITC Avant Garde" w:eastAsia="HiddenHorzOCR" w:hAnsi="ITC Avant Garde" w:cs="HiddenHorzOCR"/>
          <w:b/>
          <w:szCs w:val="24"/>
        </w:rPr>
      </w:pPr>
      <w:r w:rsidRPr="00701713">
        <w:rPr>
          <w:rFonts w:ascii="ITC Avant Garde" w:eastAsia="HiddenHorzOCR" w:hAnsi="ITC Avant Garde" w:cs="HiddenHorzOCR"/>
          <w:b/>
          <w:sz w:val="20"/>
          <w:szCs w:val="24"/>
        </w:rPr>
        <w:t>*Cifras en millones de dólares</w:t>
      </w:r>
      <w:r w:rsidR="00146DA4" w:rsidRPr="00701713">
        <w:rPr>
          <w:rFonts w:ascii="ITC Avant Garde" w:eastAsia="HiddenHorzOCR" w:hAnsi="ITC Avant Garde" w:cs="HiddenHorzOCR"/>
          <w:b/>
          <w:szCs w:val="24"/>
        </w:rPr>
        <w:t>.</w:t>
      </w:r>
    </w:p>
    <w:p w:rsidR="00FE1745" w:rsidRDefault="00FE1745" w:rsidP="00973AD5">
      <w:pPr>
        <w:autoSpaceDE w:val="0"/>
        <w:autoSpaceDN w:val="0"/>
        <w:adjustRightInd w:val="0"/>
        <w:spacing w:line="240" w:lineRule="auto"/>
        <w:jc w:val="both"/>
        <w:rPr>
          <w:rFonts w:ascii="ITC Avant Garde" w:eastAsia="HiddenHorzOCR" w:hAnsi="ITC Avant Garde" w:cs="HiddenHorzOCR"/>
          <w:szCs w:val="24"/>
        </w:rPr>
      </w:pPr>
      <w:r w:rsidRPr="00401D8B">
        <w:rPr>
          <w:rFonts w:ascii="ITC Avant Garde" w:eastAsia="HiddenHorzOCR" w:hAnsi="ITC Avant Garde" w:cs="HiddenHorzOCR"/>
          <w:szCs w:val="24"/>
        </w:rPr>
        <w:t>8.- Que indique el perito si existen diferencias y, en su caso, cuáles son las diferencias e indique la forma en que se aplican las políticas contables por las</w:t>
      </w:r>
      <w:r w:rsidR="005712DE">
        <w:rPr>
          <w:rFonts w:ascii="ITC Avant Garde" w:eastAsia="HiddenHorzOCR" w:hAnsi="ITC Avant Garde" w:cs="HiddenHorzOCR"/>
          <w:szCs w:val="24"/>
        </w:rPr>
        <w:t xml:space="preserve"> empresas</w:t>
      </w:r>
      <w:r w:rsidRPr="00401D8B">
        <w:rPr>
          <w:rFonts w:ascii="ITC Avant Garde" w:eastAsia="HiddenHorzOCR" w:hAnsi="ITC Avant Garde" w:cs="HiddenHorzOCR"/>
          <w:szCs w:val="24"/>
        </w:rPr>
        <w:t xml:space="preserve"> </w:t>
      </w:r>
      <w:r w:rsidR="00A41F9E" w:rsidRPr="00A41F9E">
        <w:rPr>
          <w:rFonts w:ascii="ITC Avant Garde" w:eastAsia="HiddenHorzOCR" w:hAnsi="ITC Avant Garde" w:cs="HiddenHorzOCR"/>
          <w:b/>
          <w:color w:val="0000FF"/>
          <w:szCs w:val="24"/>
        </w:rPr>
        <w:t>“CONFIDENCIAL POR LEY”</w:t>
      </w:r>
      <w:r w:rsidRPr="00401D8B">
        <w:rPr>
          <w:rFonts w:ascii="ITC Avant Garde" w:eastAsia="HiddenHorzOCR" w:hAnsi="ITC Avant Garde" w:cs="HiddenHorzOCR"/>
          <w:szCs w:val="24"/>
        </w:rPr>
        <w:t xml:space="preserve"> para reconocer Gastos, Costos e Inversiones para determinar su UAFIDA.</w:t>
      </w:r>
    </w:p>
    <w:p w:rsidR="00FE1745" w:rsidRPr="00A41F9E" w:rsidRDefault="00FE1745" w:rsidP="00A41F9E">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 xml:space="preserve">En las notas de los estados financieros dictaminados de </w:t>
      </w:r>
      <w:r w:rsidR="00A41F9E" w:rsidRPr="00A41F9E">
        <w:rPr>
          <w:rFonts w:ascii="ITC Avant Garde" w:eastAsia="HiddenHorzOCR" w:hAnsi="ITC Avant Garde" w:cs="HiddenHorzOCR"/>
          <w:b/>
          <w:color w:val="0000FF"/>
          <w:szCs w:val="24"/>
        </w:rPr>
        <w:t>“CONFIDENCIAL POR LEY”</w:t>
      </w:r>
      <w:r w:rsidRPr="00701713">
        <w:rPr>
          <w:rFonts w:ascii="ITC Avant Garde" w:eastAsia="HiddenHorzOCR" w:hAnsi="ITC Avant Garde" w:cs="HiddenHorzOCR"/>
          <w:b/>
          <w:szCs w:val="20"/>
        </w:rPr>
        <w:t xml:space="preserve">, específicamente en la nota número 2 -Políticas Contables-, se puede observar que los costos de instalación de los LNB, accesorios en domicilios de suscriptores y los </w:t>
      </w:r>
      <w:proofErr w:type="spellStart"/>
      <w:r w:rsidRPr="00701713">
        <w:rPr>
          <w:rFonts w:ascii="ITC Avant Garde" w:eastAsia="HiddenHorzOCR" w:hAnsi="ITC Avant Garde" w:cs="HiddenHorzOCR"/>
          <w:b/>
          <w:szCs w:val="20"/>
        </w:rPr>
        <w:t>IRDs</w:t>
      </w:r>
      <w:proofErr w:type="spellEnd"/>
      <w:r w:rsidRPr="00701713">
        <w:rPr>
          <w:rFonts w:ascii="ITC Avant Garde" w:eastAsia="HiddenHorzOCR" w:hAnsi="ITC Avant Garde" w:cs="HiddenHorzOCR"/>
          <w:b/>
          <w:szCs w:val="20"/>
        </w:rPr>
        <w:t>, son depreciados a lo largo de su vida ú</w:t>
      </w:r>
      <w:r w:rsidR="00E639AC" w:rsidRPr="00701713">
        <w:rPr>
          <w:rFonts w:ascii="ITC Avant Garde" w:eastAsia="HiddenHorzOCR" w:hAnsi="ITC Avant Garde" w:cs="HiddenHorzOCR"/>
          <w:b/>
          <w:szCs w:val="20"/>
        </w:rPr>
        <w:t>t</w:t>
      </w:r>
      <w:r w:rsidRPr="00701713">
        <w:rPr>
          <w:rFonts w:ascii="ITC Avant Garde" w:eastAsia="HiddenHorzOCR" w:hAnsi="ITC Avant Garde" w:cs="HiddenHorzOCR"/>
          <w:b/>
          <w:szCs w:val="20"/>
        </w:rPr>
        <w:t>il:</w:t>
      </w:r>
    </w:p>
    <w:p w:rsidR="00FE1745" w:rsidRPr="00701713" w:rsidRDefault="00FE17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lastRenderedPageBreak/>
        <w:t xml:space="preserve">Los costos de instalación de antenas, </w:t>
      </w:r>
      <w:proofErr w:type="spellStart"/>
      <w:r w:rsidRPr="000448BB">
        <w:rPr>
          <w:rFonts w:ascii="ITC Avant Garde" w:eastAsia="HiddenHorzOCR" w:hAnsi="ITC Avant Garde" w:cs="HiddenHorzOCR"/>
          <w:b/>
          <w:i/>
          <w:szCs w:val="20"/>
        </w:rPr>
        <w:t>Low</w:t>
      </w:r>
      <w:proofErr w:type="spellEnd"/>
      <w:r w:rsidRPr="000448BB">
        <w:rPr>
          <w:rFonts w:ascii="ITC Avant Garde" w:eastAsia="HiddenHorzOCR" w:hAnsi="ITC Avant Garde" w:cs="HiddenHorzOCR"/>
          <w:b/>
          <w:i/>
          <w:szCs w:val="20"/>
        </w:rPr>
        <w:t xml:space="preserve"> </w:t>
      </w:r>
      <w:proofErr w:type="spellStart"/>
      <w:r w:rsidRPr="000448BB">
        <w:rPr>
          <w:rFonts w:ascii="ITC Avant Garde" w:eastAsia="HiddenHorzOCR" w:hAnsi="ITC Avant Garde" w:cs="HiddenHorzOCR"/>
          <w:b/>
          <w:i/>
          <w:szCs w:val="20"/>
        </w:rPr>
        <w:t>Noise</w:t>
      </w:r>
      <w:proofErr w:type="spellEnd"/>
      <w:r w:rsidRPr="000448BB">
        <w:rPr>
          <w:rFonts w:ascii="ITC Avant Garde" w:eastAsia="HiddenHorzOCR" w:hAnsi="ITC Avant Garde" w:cs="HiddenHorzOCR"/>
          <w:b/>
          <w:i/>
          <w:szCs w:val="20"/>
        </w:rPr>
        <w:t xml:space="preserve"> Block</w:t>
      </w:r>
      <w:r w:rsidRPr="00701713">
        <w:rPr>
          <w:rFonts w:ascii="ITC Avant Garde" w:eastAsia="HiddenHorzOCR" w:hAnsi="ITC Avant Garde" w:cs="HiddenHorzOCR"/>
          <w:b/>
          <w:szCs w:val="20"/>
        </w:rPr>
        <w:t xml:space="preserve"> ("</w:t>
      </w:r>
      <w:r w:rsidRPr="00701713">
        <w:rPr>
          <w:rFonts w:ascii="ITC Avant Garde" w:eastAsia="HiddenHorzOCR" w:hAnsi="ITC Avant Garde" w:cs="HiddenHorzOCR"/>
          <w:b/>
          <w:i/>
          <w:sz w:val="20"/>
          <w:szCs w:val="20"/>
        </w:rPr>
        <w:t>LNB</w:t>
      </w:r>
      <w:r w:rsidRPr="00701713">
        <w:rPr>
          <w:rFonts w:ascii="ITC Avant Garde" w:eastAsia="HiddenHorzOCR" w:hAnsi="ITC Avant Garde" w:cs="HiddenHorzOCR"/>
          <w:b/>
          <w:szCs w:val="20"/>
        </w:rPr>
        <w:t>") y accesorios en las casas o negocios de los suscriptores, son capitalizados y amortizados utilizando el método de línea recta sobre la vida útil estimada de los activos, la cual es de 3 años.</w:t>
      </w:r>
    </w:p>
    <w:p w:rsidR="00FE1745" w:rsidRPr="00701713" w:rsidRDefault="00FE17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Los costos de los decodificadore</w:t>
      </w:r>
      <w:r w:rsidR="003617F7" w:rsidRPr="00701713">
        <w:rPr>
          <w:rFonts w:ascii="ITC Avant Garde" w:eastAsia="HiddenHorzOCR" w:hAnsi="ITC Avant Garde" w:cs="HiddenHorzOCR"/>
          <w:b/>
          <w:szCs w:val="20"/>
        </w:rPr>
        <w:t>s ("</w:t>
      </w:r>
      <w:proofErr w:type="spellStart"/>
      <w:r w:rsidR="003617F7" w:rsidRPr="00701713">
        <w:rPr>
          <w:rFonts w:ascii="ITC Avant Garde" w:eastAsia="HiddenHorzOCR" w:hAnsi="ITC Avant Garde" w:cs="HiddenHorzOCR"/>
          <w:b/>
          <w:i/>
          <w:sz w:val="20"/>
          <w:szCs w:val="20"/>
        </w:rPr>
        <w:t>IRD’s</w:t>
      </w:r>
      <w:proofErr w:type="spellEnd"/>
      <w:r w:rsidR="003617F7" w:rsidRPr="00701713">
        <w:rPr>
          <w:rFonts w:ascii="ITC Avant Garde" w:eastAsia="HiddenHorzOCR" w:hAnsi="ITC Avant Garde" w:cs="HiddenHorzOCR"/>
          <w:b/>
          <w:szCs w:val="20"/>
        </w:rPr>
        <w:t>”)</w:t>
      </w:r>
      <w:r w:rsidRPr="00701713">
        <w:rPr>
          <w:rFonts w:ascii="ITC Avant Garde" w:eastAsia="HiddenHorzOCR" w:hAnsi="ITC Avant Garde" w:cs="HiddenHorzOCR"/>
          <w:b/>
          <w:szCs w:val="20"/>
        </w:rPr>
        <w:t xml:space="preserve"> son capitalizados y amortizados utilizando el método de línea recta sobre la vida útil estimada de los activos, la cual es de 5 años, sus costos para reparación y mantenimiento se cargan a los resultados del ejercicio en el</w:t>
      </w:r>
      <w:r w:rsidR="0030605E" w:rsidRPr="00701713">
        <w:rPr>
          <w:rFonts w:ascii="ITC Avant Garde" w:eastAsia="HiddenHorzOCR" w:hAnsi="ITC Avant Garde" w:cs="HiddenHorzOCR"/>
          <w:b/>
          <w:szCs w:val="20"/>
        </w:rPr>
        <w:t xml:space="preserve"> momento en el que se incurren.</w:t>
      </w:r>
    </w:p>
    <w:p w:rsidR="00FE1745" w:rsidRPr="00701713" w:rsidRDefault="00FE1745" w:rsidP="00A41F9E">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 xml:space="preserve">Por su parte, la contabilidad de </w:t>
      </w:r>
      <w:r w:rsidR="00A41F9E" w:rsidRPr="00A41F9E">
        <w:rPr>
          <w:rFonts w:ascii="ITC Avant Garde" w:eastAsia="HiddenHorzOCR" w:hAnsi="ITC Avant Garde" w:cs="HiddenHorzOCR"/>
          <w:b/>
          <w:color w:val="0000FF"/>
          <w:szCs w:val="24"/>
        </w:rPr>
        <w:t>“CONFIDENCIAL POR LEY”</w:t>
      </w:r>
      <w:r w:rsidR="00A41F9E">
        <w:rPr>
          <w:rFonts w:ascii="ITC Avant Garde" w:eastAsia="HiddenHorzOCR" w:hAnsi="ITC Avant Garde" w:cs="HiddenHorzOCR"/>
          <w:b/>
          <w:color w:val="0000FF"/>
          <w:szCs w:val="24"/>
        </w:rPr>
        <w:t xml:space="preserve"> </w:t>
      </w:r>
      <w:r w:rsidRPr="00701713">
        <w:rPr>
          <w:rFonts w:ascii="ITC Avant Garde" w:eastAsia="HiddenHorzOCR" w:hAnsi="ITC Avant Garde" w:cs="HiddenHorzOCR"/>
          <w:b/>
          <w:szCs w:val="20"/>
        </w:rPr>
        <w:t>f</w:t>
      </w:r>
      <w:r w:rsidR="00154AC4" w:rsidRPr="00701713">
        <w:rPr>
          <w:rFonts w:ascii="ITC Avant Garde" w:eastAsia="HiddenHorzOCR" w:hAnsi="ITC Avant Garde" w:cs="HiddenHorzOCR"/>
          <w:b/>
          <w:szCs w:val="20"/>
        </w:rPr>
        <w:t xml:space="preserve">ue preparada de acuerdo con los </w:t>
      </w:r>
      <w:r w:rsidRPr="00701713">
        <w:rPr>
          <w:rFonts w:ascii="ITC Avant Garde" w:eastAsia="HiddenHorzOCR" w:hAnsi="ITC Avant Garde" w:cs="HiddenHorzOCR"/>
          <w:b/>
          <w:szCs w:val="20"/>
        </w:rPr>
        <w:t xml:space="preserve">U.S. GAAP tal como se desprende de la opinión de los auditores externos contenida en la página </w:t>
      </w:r>
      <w:r w:rsidR="00A41F9E">
        <w:rPr>
          <w:rFonts w:ascii="ITC Avant Garde" w:eastAsia="HiddenHorzOCR" w:hAnsi="ITC Avant Garde" w:cs="HiddenHorzOCR"/>
          <w:b/>
          <w:szCs w:val="20"/>
        </w:rPr>
        <w:t xml:space="preserve">número 75 del Reporte Anual de </w:t>
      </w:r>
      <w:r w:rsidR="00A41F9E" w:rsidRPr="00A41F9E">
        <w:rPr>
          <w:rFonts w:ascii="ITC Avant Garde" w:eastAsia="HiddenHorzOCR" w:hAnsi="ITC Avant Garde" w:cs="HiddenHorzOCR"/>
          <w:b/>
          <w:color w:val="0000FF"/>
          <w:szCs w:val="24"/>
        </w:rPr>
        <w:t>“CONFIDENCIAL POR LEY”</w:t>
      </w:r>
      <w:r w:rsidRPr="00701713">
        <w:rPr>
          <w:rFonts w:ascii="ITC Avant Garde" w:eastAsia="HiddenHorzOCR" w:hAnsi="ITC Avant Garde" w:cs="HiddenHorzOCR"/>
          <w:b/>
          <w:szCs w:val="20"/>
        </w:rPr>
        <w:t>. Como se mencionó en la respuesta a la pregunta no. 5 dichos Principios permiten que los LNB sean registrados como un activo fijo o como un gasto del periodo.</w:t>
      </w:r>
    </w:p>
    <w:p w:rsidR="00FE1745" w:rsidRPr="00A41F9E" w:rsidRDefault="00FE1745" w:rsidP="00A41F9E">
      <w:pPr>
        <w:autoSpaceDE w:val="0"/>
        <w:autoSpaceDN w:val="0"/>
        <w:adjustRightInd w:val="0"/>
        <w:spacing w:line="240" w:lineRule="auto"/>
        <w:ind w:left="284"/>
        <w:jc w:val="both"/>
        <w:rPr>
          <w:rFonts w:ascii="ITC Avant Garde" w:eastAsia="HiddenHorzOCR" w:hAnsi="ITC Avant Garde" w:cs="HiddenHorzOCR"/>
          <w:b/>
          <w:color w:val="0000FF"/>
          <w:szCs w:val="24"/>
        </w:rPr>
      </w:pPr>
      <w:r w:rsidRPr="00701713">
        <w:rPr>
          <w:rFonts w:ascii="ITC Avant Garde" w:eastAsia="HiddenHorzOCR" w:hAnsi="ITC Avant Garde" w:cs="HiddenHorzOCR"/>
          <w:b/>
          <w:szCs w:val="20"/>
        </w:rPr>
        <w:t xml:space="preserve">En este sentido, la Nota 2 de los estados financieros de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701713">
        <w:rPr>
          <w:rFonts w:ascii="ITC Avant Garde" w:eastAsia="HiddenHorzOCR" w:hAnsi="ITC Avant Garde" w:cs="HiddenHorzOCR"/>
          <w:b/>
          <w:szCs w:val="20"/>
        </w:rPr>
        <w:t xml:space="preserve">contenidos en su reporte anual del año </w:t>
      </w:r>
      <w:r w:rsidR="00701713">
        <w:rPr>
          <w:rFonts w:ascii="ITC Avant Garde" w:eastAsia="HiddenHorzOCR" w:hAnsi="ITC Avant Garde" w:cs="HiddenHorzOCR"/>
          <w:b/>
          <w:szCs w:val="20"/>
        </w:rPr>
        <w:t>dos mil catorce</w:t>
      </w:r>
      <w:r w:rsidRPr="00701713">
        <w:rPr>
          <w:rFonts w:ascii="ITC Avant Garde" w:eastAsia="HiddenHorzOCR" w:hAnsi="ITC Avant Garde" w:cs="HiddenHorzOCR"/>
          <w:b/>
          <w:szCs w:val="20"/>
        </w:rPr>
        <w:t xml:space="preserve">, esta sociedad registra la adquisición de los LNB, los costos de instalación y accesorios como un costo del ejercicio. Lo anterior se confirma en la siguiente transcripción de la definición de los </w:t>
      </w:r>
      <w:proofErr w:type="spellStart"/>
      <w:r w:rsidRPr="00701713">
        <w:rPr>
          <w:rFonts w:ascii="ITC Avant Garde" w:eastAsia="HiddenHorzOCR" w:hAnsi="ITC Avant Garde" w:cs="HiddenHorzOCR"/>
          <w:b/>
          <w:szCs w:val="20"/>
        </w:rPr>
        <w:t>Subscriber</w:t>
      </w:r>
      <w:proofErr w:type="spellEnd"/>
      <w:r w:rsidRPr="00701713">
        <w:rPr>
          <w:rFonts w:ascii="ITC Avant Garde" w:eastAsia="HiddenHorzOCR" w:hAnsi="ITC Avant Garde" w:cs="HiddenHorzOCR"/>
          <w:b/>
          <w:szCs w:val="20"/>
        </w:rPr>
        <w:t xml:space="preserve"> </w:t>
      </w:r>
      <w:proofErr w:type="spellStart"/>
      <w:r w:rsidRPr="00701713">
        <w:rPr>
          <w:rFonts w:ascii="ITC Avant Garde" w:eastAsia="HiddenHorzOCR" w:hAnsi="ITC Avant Garde" w:cs="HiddenHorzOCR"/>
          <w:b/>
          <w:szCs w:val="20"/>
        </w:rPr>
        <w:t>Acquisition</w:t>
      </w:r>
      <w:proofErr w:type="spellEnd"/>
      <w:r w:rsidRPr="00701713">
        <w:rPr>
          <w:rFonts w:ascii="ITC Avant Garde" w:eastAsia="HiddenHorzOCR" w:hAnsi="ITC Avant Garde" w:cs="HiddenHorzOCR"/>
          <w:b/>
          <w:szCs w:val="20"/>
        </w:rPr>
        <w:t xml:space="preserve"> </w:t>
      </w:r>
      <w:proofErr w:type="spellStart"/>
      <w:r w:rsidRPr="00701713">
        <w:rPr>
          <w:rFonts w:ascii="ITC Avant Garde" w:eastAsia="HiddenHorzOCR" w:hAnsi="ITC Avant Garde" w:cs="HiddenHorzOCR"/>
          <w:b/>
          <w:szCs w:val="20"/>
        </w:rPr>
        <w:t>Costs</w:t>
      </w:r>
      <w:proofErr w:type="spellEnd"/>
      <w:r w:rsidRPr="00701713">
        <w:rPr>
          <w:rFonts w:ascii="ITC Avant Garde" w:eastAsia="HiddenHorzOCR" w:hAnsi="ITC Avant Garde" w:cs="HiddenHorzOCR"/>
          <w:b/>
          <w:szCs w:val="20"/>
        </w:rPr>
        <w:t xml:space="preserve"> (traducción libre: Costos de</w:t>
      </w:r>
      <w:r w:rsidRPr="00701713">
        <w:rPr>
          <w:rFonts w:ascii="ITC Avant Garde" w:eastAsia="HiddenHorzOCR" w:hAnsi="ITC Avant Garde" w:cs="HiddenHorzOCR"/>
          <w:szCs w:val="20"/>
        </w:rPr>
        <w:t xml:space="preserve"> </w:t>
      </w:r>
      <w:r w:rsidRPr="00701713">
        <w:rPr>
          <w:rFonts w:ascii="ITC Avant Garde" w:eastAsia="HiddenHorzOCR" w:hAnsi="ITC Avant Garde" w:cs="HiddenHorzOCR"/>
          <w:b/>
          <w:szCs w:val="20"/>
        </w:rPr>
        <w:t xml:space="preserve">Adquisición de los Suscriptores) contenido en la página 84 del Reporte Anual de </w:t>
      </w:r>
      <w:r w:rsidR="00A41F9E" w:rsidRPr="00A41F9E">
        <w:rPr>
          <w:rFonts w:ascii="ITC Avant Garde" w:eastAsia="HiddenHorzOCR" w:hAnsi="ITC Avant Garde" w:cs="HiddenHorzOCR"/>
          <w:b/>
          <w:color w:val="0000FF"/>
          <w:szCs w:val="24"/>
        </w:rPr>
        <w:t>“CONFIDENCIAL POR LEY”</w:t>
      </w:r>
      <w:r w:rsidRPr="00701713">
        <w:rPr>
          <w:rFonts w:ascii="ITC Avant Garde" w:eastAsia="HiddenHorzOCR" w:hAnsi="ITC Avant Garde" w:cs="HiddenHorzOCR"/>
          <w:b/>
          <w:szCs w:val="20"/>
        </w:rPr>
        <w:t>:</w:t>
      </w:r>
    </w:p>
    <w:p w:rsidR="00FE1745" w:rsidRPr="00701713" w:rsidRDefault="00FE17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w:t>
      </w:r>
      <w:proofErr w:type="spellStart"/>
      <w:r w:rsidRPr="00701713">
        <w:rPr>
          <w:rFonts w:ascii="ITC Avant Garde" w:eastAsia="HiddenHorzOCR" w:hAnsi="ITC Avant Garde" w:cs="HiddenHorzOCR"/>
          <w:b/>
          <w:i/>
          <w:sz w:val="20"/>
          <w:szCs w:val="20"/>
        </w:rPr>
        <w:t>Subscriber</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acquisition</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costs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consist</w:t>
      </w:r>
      <w:proofErr w:type="spellEnd"/>
      <w:r w:rsidRPr="00701713">
        <w:rPr>
          <w:rFonts w:ascii="ITC Avant Garde" w:eastAsia="HiddenHorzOCR" w:hAnsi="ITC Avant Garde" w:cs="HiddenHorzOCR"/>
          <w:b/>
          <w:i/>
          <w:sz w:val="20"/>
          <w:szCs w:val="20"/>
        </w:rPr>
        <w:t xml:space="preserve"> of </w:t>
      </w:r>
      <w:proofErr w:type="spellStart"/>
      <w:r w:rsidRPr="00701713">
        <w:rPr>
          <w:rFonts w:ascii="ITC Avant Garde" w:eastAsia="HiddenHorzOCR" w:hAnsi="ITC Avant Garde" w:cs="HiddenHorzOCR"/>
          <w:b/>
          <w:i/>
          <w:sz w:val="20"/>
          <w:szCs w:val="20"/>
        </w:rPr>
        <w:t>costs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incur</w:t>
      </w:r>
      <w:proofErr w:type="spellEnd"/>
      <w:r w:rsidRPr="00701713">
        <w:rPr>
          <w:rFonts w:ascii="ITC Avant Garde" w:eastAsia="HiddenHorzOCR" w:hAnsi="ITC Avant Garde" w:cs="HiddenHorzOCR"/>
          <w:b/>
          <w:i/>
          <w:sz w:val="20"/>
          <w:szCs w:val="20"/>
        </w:rPr>
        <w:t xml:space="preserve"> to </w:t>
      </w:r>
      <w:proofErr w:type="spellStart"/>
      <w:r w:rsidRPr="00701713">
        <w:rPr>
          <w:rFonts w:ascii="ITC Avant Garde" w:eastAsia="HiddenHorzOCR" w:hAnsi="ITC Avant Garde" w:cs="HiddenHorzOCR"/>
          <w:b/>
          <w:i/>
          <w:sz w:val="20"/>
          <w:szCs w:val="20"/>
        </w:rPr>
        <w:t>acquire</w:t>
      </w:r>
      <w:proofErr w:type="spellEnd"/>
      <w:r w:rsidRPr="00701713">
        <w:rPr>
          <w:rFonts w:ascii="ITC Avant Garde" w:eastAsia="HiddenHorzOCR" w:hAnsi="ITC Avant Garde" w:cs="HiddenHorzOCR"/>
          <w:b/>
          <w:i/>
          <w:sz w:val="20"/>
          <w:szCs w:val="20"/>
        </w:rPr>
        <w:t xml:space="preserve"> new</w:t>
      </w:r>
      <w:r w:rsidR="001429C9"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subscribers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include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the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cost</w:t>
      </w:r>
      <w:proofErr w:type="spellEnd"/>
      <w:r w:rsidRPr="00701713">
        <w:rPr>
          <w:rFonts w:ascii="ITC Avant Garde" w:eastAsia="HiddenHorzOCR" w:hAnsi="ITC Avant Garde" w:cs="HiddenHorzOCR"/>
          <w:b/>
          <w:i/>
          <w:sz w:val="20"/>
          <w:szCs w:val="20"/>
        </w:rPr>
        <w:t xml:space="preserve"> of set-top</w:t>
      </w:r>
      <w:r w:rsidR="001429C9" w:rsidRPr="00701713">
        <w:rPr>
          <w:rFonts w:ascii="ITC Avant Garde" w:eastAsia="HiddenHorzOCR" w:hAnsi="ITC Avant Garde" w:cs="HiddenHorzOCR"/>
          <w:b/>
          <w:i/>
          <w:sz w:val="20"/>
          <w:szCs w:val="20"/>
        </w:rPr>
        <w:t xml:space="preserve"> receivers and </w:t>
      </w:r>
      <w:proofErr w:type="spellStart"/>
      <w:r w:rsidR="001429C9" w:rsidRPr="00701713">
        <w:rPr>
          <w:rFonts w:ascii="ITC Avant Garde" w:eastAsia="HiddenHorzOCR" w:hAnsi="ITC Avant Garde" w:cs="HiddenHorzOCR"/>
          <w:b/>
          <w:i/>
          <w:sz w:val="20"/>
          <w:szCs w:val="20"/>
        </w:rPr>
        <w:t>other</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equipment</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commissions</w:t>
      </w:r>
      <w:proofErr w:type="spellEnd"/>
      <w:r w:rsidR="001429C9"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pay</w:t>
      </w:r>
      <w:proofErr w:type="spellEnd"/>
      <w:r w:rsidRPr="00701713">
        <w:rPr>
          <w:rFonts w:ascii="ITC Avant Garde" w:eastAsia="HiddenHorzOCR" w:hAnsi="ITC Avant Garde" w:cs="HiddenHorzOCR"/>
          <w:b/>
          <w:i/>
          <w:sz w:val="20"/>
          <w:szCs w:val="20"/>
        </w:rPr>
        <w:t xml:space="preserve"> to </w:t>
      </w:r>
      <w:proofErr w:type="spellStart"/>
      <w:r w:rsidRPr="00701713">
        <w:rPr>
          <w:rFonts w:ascii="ITC Avant Garde" w:eastAsia="HiddenHorzOCR" w:hAnsi="ITC Avant Garde" w:cs="HiddenHorzOCR"/>
          <w:b/>
          <w:i/>
          <w:sz w:val="20"/>
          <w:szCs w:val="20"/>
        </w:rPr>
        <w:t>nationa</w:t>
      </w:r>
      <w:r w:rsidR="003617F7" w:rsidRPr="00701713">
        <w:rPr>
          <w:rFonts w:ascii="ITC Avant Garde" w:eastAsia="HiddenHorzOCR" w:hAnsi="ITC Avant Garde" w:cs="HiddenHorzOCR"/>
          <w:b/>
          <w:i/>
          <w:sz w:val="20"/>
          <w:szCs w:val="20"/>
        </w:rPr>
        <w:t>l</w:t>
      </w:r>
      <w:proofErr w:type="spellEnd"/>
      <w:r w:rsidR="003617F7" w:rsidRPr="00701713">
        <w:rPr>
          <w:rFonts w:ascii="ITC Avant Garde" w:eastAsia="HiddenHorzOCR" w:hAnsi="ITC Avant Garde" w:cs="HiddenHorzOCR"/>
          <w:b/>
          <w:i/>
          <w:sz w:val="20"/>
          <w:szCs w:val="20"/>
        </w:rPr>
        <w:t xml:space="preserve"> </w:t>
      </w:r>
      <w:proofErr w:type="spellStart"/>
      <w:r w:rsidR="003617F7" w:rsidRPr="00701713">
        <w:rPr>
          <w:rFonts w:ascii="ITC Avant Garde" w:eastAsia="HiddenHorzOCR" w:hAnsi="ITC Avant Garde" w:cs="HiddenHorzOCR"/>
          <w:b/>
          <w:i/>
          <w:sz w:val="20"/>
          <w:szCs w:val="20"/>
        </w:rPr>
        <w:t>retailers</w:t>
      </w:r>
      <w:proofErr w:type="spellEnd"/>
      <w:r w:rsidR="003617F7" w:rsidRPr="00701713">
        <w:rPr>
          <w:rFonts w:ascii="ITC Avant Garde" w:eastAsia="HiddenHorzOCR" w:hAnsi="ITC Avant Garde" w:cs="HiddenHorzOCR"/>
          <w:b/>
          <w:i/>
          <w:sz w:val="20"/>
          <w:szCs w:val="20"/>
        </w:rPr>
        <w:t xml:space="preserve">, </w:t>
      </w:r>
      <w:proofErr w:type="spellStart"/>
      <w:r w:rsidR="003617F7" w:rsidRPr="00701713">
        <w:rPr>
          <w:rFonts w:ascii="ITC Avant Garde" w:eastAsia="HiddenHorzOCR" w:hAnsi="ITC Avant Garde" w:cs="HiddenHorzOCR"/>
          <w:b/>
          <w:i/>
          <w:sz w:val="20"/>
          <w:szCs w:val="20"/>
        </w:rPr>
        <w:t>independent</w:t>
      </w:r>
      <w:proofErr w:type="spellEnd"/>
      <w:r w:rsidR="003617F7" w:rsidRPr="00701713">
        <w:rPr>
          <w:rFonts w:ascii="ITC Avant Garde" w:eastAsia="HiddenHorzOCR" w:hAnsi="ITC Avant Garde" w:cs="HiddenHorzOCR"/>
          <w:b/>
          <w:i/>
          <w:sz w:val="20"/>
          <w:szCs w:val="20"/>
        </w:rPr>
        <w:t xml:space="preserve"> </w:t>
      </w:r>
      <w:proofErr w:type="spellStart"/>
      <w:r w:rsidR="003617F7" w:rsidRPr="00701713">
        <w:rPr>
          <w:rFonts w:ascii="ITC Avant Garde" w:eastAsia="HiddenHorzOCR" w:hAnsi="ITC Avant Garde" w:cs="HiddenHorzOCR"/>
          <w:b/>
          <w:i/>
          <w:sz w:val="20"/>
          <w:szCs w:val="20"/>
        </w:rPr>
        <w:t>satelli</w:t>
      </w:r>
      <w:r w:rsidRPr="00701713">
        <w:rPr>
          <w:rFonts w:ascii="ITC Avant Garde" w:eastAsia="HiddenHorzOCR" w:hAnsi="ITC Avant Garde" w:cs="HiddenHorzOCR"/>
          <w:b/>
          <w:i/>
          <w:sz w:val="20"/>
          <w:szCs w:val="20"/>
        </w:rPr>
        <w:t>te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television</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retailers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dealers</w:t>
      </w:r>
      <w:proofErr w:type="spellEnd"/>
      <w:r w:rsidRPr="00701713">
        <w:rPr>
          <w:rFonts w:ascii="ITC Avant Garde" w:eastAsia="HiddenHorzOCR" w:hAnsi="ITC Avant Garde" w:cs="HiddenHorzOCR"/>
          <w:b/>
          <w:i/>
          <w:sz w:val="20"/>
          <w:szCs w:val="20"/>
        </w:rPr>
        <w:t xml:space="preserve"> and</w:t>
      </w:r>
      <w:r w:rsidR="001429C9" w:rsidRPr="00701713">
        <w:rPr>
          <w:rFonts w:ascii="ITC Avant Garde" w:eastAsia="HiddenHorzOCR" w:hAnsi="ITC Avant Garde" w:cs="HiddenHorzOCR"/>
          <w:b/>
          <w:i/>
          <w:sz w:val="20"/>
          <w:szCs w:val="20"/>
        </w:rPr>
        <w:t xml:space="preserve"> </w:t>
      </w:r>
      <w:r w:rsidRPr="00701713">
        <w:rPr>
          <w:rFonts w:ascii="ITC Avant Garde" w:eastAsia="HiddenHorzOCR" w:hAnsi="ITC Avant Garde" w:cs="HiddenHorzOCR"/>
          <w:b/>
          <w:i/>
          <w:sz w:val="20"/>
          <w:szCs w:val="20"/>
        </w:rPr>
        <w:t xml:space="preserve">regional </w:t>
      </w:r>
      <w:proofErr w:type="spellStart"/>
      <w:r w:rsidRPr="00701713">
        <w:rPr>
          <w:rFonts w:ascii="ITC Avant Garde" w:eastAsia="HiddenHorzOCR" w:hAnsi="ITC Avant Garde" w:cs="HiddenHorzOCR"/>
          <w:b/>
          <w:i/>
          <w:sz w:val="20"/>
          <w:szCs w:val="20"/>
        </w:rPr>
        <w:t>telephone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companies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which</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refer</w:t>
      </w:r>
      <w:proofErr w:type="spellEnd"/>
      <w:r w:rsidRPr="00701713">
        <w:rPr>
          <w:rFonts w:ascii="ITC Avant Garde" w:eastAsia="HiddenHorzOCR" w:hAnsi="ITC Avant Garde" w:cs="HiddenHorzOCR"/>
          <w:b/>
          <w:i/>
          <w:sz w:val="20"/>
          <w:szCs w:val="20"/>
        </w:rPr>
        <w:t xml:space="preserve"> to as </w:t>
      </w:r>
      <w:proofErr w:type="spellStart"/>
      <w:r w:rsidRPr="00701713">
        <w:rPr>
          <w:rFonts w:ascii="ITC Avant Garde" w:eastAsia="HiddenHorzOCR" w:hAnsi="ITC Avant Garde" w:cs="HiddenHorzOCR"/>
          <w:b/>
          <w:i/>
          <w:sz w:val="20"/>
          <w:szCs w:val="20"/>
        </w:rPr>
        <w:t>telcos</w:t>
      </w:r>
      <w:proofErr w:type="spellEnd"/>
      <w:r w:rsidRPr="00701713">
        <w:rPr>
          <w:rFonts w:ascii="ITC Avant Garde" w:eastAsia="HiddenHorzOCR" w:hAnsi="ITC Avant Garde" w:cs="HiddenHorzOCR"/>
          <w:b/>
          <w:i/>
          <w:sz w:val="20"/>
          <w:szCs w:val="20"/>
        </w:rPr>
        <w:t xml:space="preserve">, and </w:t>
      </w:r>
      <w:proofErr w:type="spellStart"/>
      <w:r w:rsidR="001429C9" w:rsidRPr="00701713">
        <w:rPr>
          <w:rFonts w:ascii="ITC Avant Garde" w:eastAsia="HiddenHorzOCR" w:hAnsi="ITC Avant Garde" w:cs="HiddenHorzOCR"/>
          <w:b/>
          <w:i/>
          <w:sz w:val="20"/>
          <w:szCs w:val="20"/>
        </w:rPr>
        <w:t>the</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cost</w:t>
      </w:r>
      <w:proofErr w:type="spellEnd"/>
      <w:r w:rsidR="001429C9" w:rsidRPr="00701713">
        <w:rPr>
          <w:rFonts w:ascii="ITC Avant Garde" w:eastAsia="HiddenHorzOCR" w:hAnsi="ITC Avant Garde" w:cs="HiddenHorzOCR"/>
          <w:b/>
          <w:i/>
          <w:sz w:val="20"/>
          <w:szCs w:val="20"/>
        </w:rPr>
        <w:t xml:space="preserve"> of </w:t>
      </w:r>
      <w:proofErr w:type="spellStart"/>
      <w:r w:rsidR="001429C9" w:rsidRPr="00701713">
        <w:rPr>
          <w:rFonts w:ascii="ITC Avant Garde" w:eastAsia="HiddenHorzOCR" w:hAnsi="ITC Avant Garde" w:cs="HiddenHorzOCR"/>
          <w:b/>
          <w:i/>
          <w:sz w:val="20"/>
          <w:szCs w:val="20"/>
        </w:rPr>
        <w:t>installation</w:t>
      </w:r>
      <w:proofErr w:type="spellEnd"/>
      <w:r w:rsidR="001429C9" w:rsidRPr="00701713">
        <w:rPr>
          <w:rFonts w:ascii="ITC Avant Garde" w:eastAsia="HiddenHorzOCR" w:hAnsi="ITC Avant Garde" w:cs="HiddenHorzOCR"/>
          <w:b/>
          <w:i/>
          <w:sz w:val="20"/>
          <w:szCs w:val="20"/>
        </w:rPr>
        <w:t xml:space="preserve">, </w:t>
      </w:r>
      <w:proofErr w:type="spellStart"/>
      <w:r w:rsidR="003617F7" w:rsidRPr="00701713">
        <w:rPr>
          <w:rFonts w:ascii="ITC Avant Garde" w:eastAsia="HiddenHorzOCR" w:hAnsi="ITC Avant Garde" w:cs="HiddenHorzOCR"/>
          <w:b/>
          <w:i/>
          <w:sz w:val="20"/>
          <w:szCs w:val="20"/>
        </w:rPr>
        <w:t>advert</w:t>
      </w:r>
      <w:r w:rsidRPr="00701713">
        <w:rPr>
          <w:rFonts w:ascii="ITC Avant Garde" w:eastAsia="HiddenHorzOCR" w:hAnsi="ITC Avant Garde" w:cs="HiddenHorzOCR"/>
          <w:b/>
          <w:i/>
          <w:sz w:val="20"/>
          <w:szCs w:val="20"/>
        </w:rPr>
        <w:t>is</w:t>
      </w:r>
      <w:r w:rsidR="003617F7" w:rsidRPr="00701713">
        <w:rPr>
          <w:rFonts w:ascii="ITC Avant Garde" w:eastAsia="HiddenHorzOCR" w:hAnsi="ITC Avant Garde" w:cs="HiddenHorzOCR"/>
          <w:b/>
          <w:i/>
          <w:sz w:val="20"/>
          <w:szCs w:val="20"/>
        </w:rPr>
        <w:t>ing</w:t>
      </w:r>
      <w:proofErr w:type="spellEnd"/>
      <w:r w:rsidR="003617F7" w:rsidRPr="00701713">
        <w:rPr>
          <w:rFonts w:ascii="ITC Avant Garde" w:eastAsia="HiddenHorzOCR" w:hAnsi="ITC Avant Garde" w:cs="HiddenHorzOCR"/>
          <w:b/>
          <w:i/>
          <w:sz w:val="20"/>
          <w:szCs w:val="20"/>
        </w:rPr>
        <w:t xml:space="preserve">, marketing and </w:t>
      </w:r>
      <w:proofErr w:type="spellStart"/>
      <w:r w:rsidR="003617F7" w:rsidRPr="00701713">
        <w:rPr>
          <w:rFonts w:ascii="ITC Avant Garde" w:eastAsia="HiddenHorzOCR" w:hAnsi="ITC Avant Garde" w:cs="HiddenHorzOCR"/>
          <w:b/>
          <w:i/>
          <w:sz w:val="20"/>
          <w:szCs w:val="20"/>
        </w:rPr>
        <w:t>customer</w:t>
      </w:r>
      <w:proofErr w:type="spellEnd"/>
      <w:r w:rsidR="003617F7" w:rsidRPr="00701713">
        <w:rPr>
          <w:rFonts w:ascii="ITC Avant Garde" w:eastAsia="HiddenHorzOCR" w:hAnsi="ITC Avant Garde" w:cs="HiddenHorzOCR"/>
          <w:b/>
          <w:i/>
          <w:sz w:val="20"/>
          <w:szCs w:val="20"/>
        </w:rPr>
        <w:t xml:space="preserve"> </w:t>
      </w:r>
      <w:proofErr w:type="spellStart"/>
      <w:r w:rsidR="003617F7" w:rsidRPr="00701713">
        <w:rPr>
          <w:rFonts w:ascii="ITC Avant Garde" w:eastAsia="HiddenHorzOCR" w:hAnsi="ITC Avant Garde" w:cs="HiddenHorzOCR"/>
          <w:b/>
          <w:i/>
          <w:sz w:val="20"/>
          <w:szCs w:val="20"/>
        </w:rPr>
        <w:t>call</w:t>
      </w:r>
      <w:proofErr w:type="spellEnd"/>
      <w:r w:rsidRPr="00701713">
        <w:rPr>
          <w:rFonts w:ascii="ITC Avant Garde" w:eastAsia="HiddenHorzOCR" w:hAnsi="ITC Avant Garde" w:cs="HiddenHorzOCR"/>
          <w:b/>
          <w:i/>
          <w:sz w:val="20"/>
          <w:szCs w:val="20"/>
        </w:rPr>
        <w:t xml:space="preserve"> cent</w:t>
      </w:r>
      <w:r w:rsidR="001429C9" w:rsidRPr="00701713">
        <w:rPr>
          <w:rFonts w:ascii="ITC Avant Garde" w:eastAsia="HiddenHorzOCR" w:hAnsi="ITC Avant Garde" w:cs="HiddenHorzOCR"/>
          <w:b/>
          <w:i/>
          <w:sz w:val="20"/>
          <w:szCs w:val="20"/>
        </w:rPr>
        <w:t xml:space="preserve">er expenses </w:t>
      </w:r>
      <w:proofErr w:type="spellStart"/>
      <w:r w:rsidR="001429C9" w:rsidRPr="00701713">
        <w:rPr>
          <w:rFonts w:ascii="ITC Avant Garde" w:eastAsia="HiddenHorzOCR" w:hAnsi="ITC Avant Garde" w:cs="HiddenHorzOCR"/>
          <w:b/>
          <w:i/>
          <w:sz w:val="20"/>
          <w:szCs w:val="20"/>
        </w:rPr>
        <w:t>associated</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with</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the</w:t>
      </w:r>
      <w:proofErr w:type="spellEnd"/>
      <w:r w:rsidR="001429C9"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acquisition</w:t>
      </w:r>
      <w:proofErr w:type="spellEnd"/>
      <w:r w:rsidRPr="00701713">
        <w:rPr>
          <w:rFonts w:ascii="ITC Avant Garde" w:eastAsia="HiddenHorzOCR" w:hAnsi="ITC Avant Garde" w:cs="HiddenHorzOCR"/>
          <w:b/>
          <w:i/>
          <w:sz w:val="20"/>
          <w:szCs w:val="20"/>
        </w:rPr>
        <w:t xml:space="preserve"> of new </w:t>
      </w:r>
      <w:proofErr w:type="spellStart"/>
      <w:r w:rsidRPr="00701713">
        <w:rPr>
          <w:rFonts w:ascii="ITC Avant Garde" w:eastAsia="HiddenHorzOCR" w:hAnsi="ITC Avant Garde" w:cs="HiddenHorzOCR"/>
          <w:b/>
          <w:i/>
          <w:sz w:val="20"/>
          <w:szCs w:val="20"/>
        </w:rPr>
        <w:t>subscribers</w:t>
      </w:r>
      <w:proofErr w:type="spellEnd"/>
      <w:r w:rsidRPr="00701713">
        <w:rPr>
          <w:rFonts w:ascii="ITC Avant Garde" w:eastAsia="HiddenHorzOCR" w:hAnsi="ITC Avant Garde" w:cs="HiddenHorzOCR"/>
          <w:b/>
          <w:i/>
          <w:sz w:val="20"/>
          <w:szCs w:val="20"/>
        </w:rPr>
        <w:t xml:space="preserve"> in </w:t>
      </w:r>
      <w:proofErr w:type="spellStart"/>
      <w:r w:rsidRPr="00701713">
        <w:rPr>
          <w:rFonts w:ascii="ITC Avant Garde" w:eastAsia="HiddenHorzOCR" w:hAnsi="ITC Avant Garde" w:cs="HiddenHorzOCR"/>
          <w:b/>
          <w:i/>
          <w:sz w:val="20"/>
          <w:szCs w:val="20"/>
        </w:rPr>
        <w:t>subscriber</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acquisitio</w:t>
      </w:r>
      <w:r w:rsidR="001429C9" w:rsidRPr="00701713">
        <w:rPr>
          <w:rFonts w:ascii="ITC Avant Garde" w:eastAsia="HiddenHorzOCR" w:hAnsi="ITC Avant Garde" w:cs="HiddenHorzOCR"/>
          <w:b/>
          <w:i/>
          <w:sz w:val="20"/>
          <w:szCs w:val="20"/>
        </w:rPr>
        <w:t>n</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costs</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We</w:t>
      </w:r>
      <w:proofErr w:type="spellEnd"/>
      <w:r w:rsidR="001429C9" w:rsidRPr="00701713">
        <w:rPr>
          <w:rFonts w:ascii="ITC Avant Garde" w:eastAsia="HiddenHorzOCR" w:hAnsi="ITC Avant Garde" w:cs="HiddenHorzOCR"/>
          <w:b/>
          <w:i/>
          <w:sz w:val="20"/>
          <w:szCs w:val="20"/>
        </w:rPr>
        <w:t xml:space="preserve"> expense </w:t>
      </w:r>
      <w:proofErr w:type="spellStart"/>
      <w:r w:rsidR="001429C9" w:rsidRPr="00701713">
        <w:rPr>
          <w:rFonts w:ascii="ITC Avant Garde" w:eastAsia="HiddenHorzOCR" w:hAnsi="ITC Avant Garde" w:cs="HiddenHorzOCR"/>
          <w:b/>
          <w:i/>
          <w:sz w:val="20"/>
          <w:szCs w:val="20"/>
        </w:rPr>
        <w:t>these</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costs</w:t>
      </w:r>
      <w:proofErr w:type="spellEnd"/>
      <w:r w:rsidR="001429C9" w:rsidRPr="00701713">
        <w:rPr>
          <w:rFonts w:ascii="ITC Avant Garde" w:eastAsia="HiddenHorzOCR" w:hAnsi="ITC Avant Garde" w:cs="HiddenHorzOCR"/>
          <w:b/>
          <w:i/>
          <w:sz w:val="20"/>
          <w:szCs w:val="20"/>
        </w:rPr>
        <w:t xml:space="preserve"> </w:t>
      </w:r>
      <w:r w:rsidRPr="00701713">
        <w:rPr>
          <w:rFonts w:ascii="ITC Avant Garde" w:eastAsia="HiddenHorzOCR" w:hAnsi="ITC Avant Garde" w:cs="HiddenHorzOCR"/>
          <w:b/>
          <w:i/>
          <w:sz w:val="20"/>
          <w:szCs w:val="20"/>
        </w:rPr>
        <w:t xml:space="preserve">as </w:t>
      </w:r>
      <w:proofErr w:type="spellStart"/>
      <w:r w:rsidRPr="00701713">
        <w:rPr>
          <w:rFonts w:ascii="ITC Avant Garde" w:eastAsia="HiddenHorzOCR" w:hAnsi="ITC Avant Garde" w:cs="HiddenHorzOCR"/>
          <w:b/>
          <w:i/>
          <w:sz w:val="20"/>
          <w:szCs w:val="20"/>
        </w:rPr>
        <w:t>incurred</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or</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when</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subscribers</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activate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the</w:t>
      </w:r>
      <w:proofErr w:type="spellEnd"/>
      <w:r w:rsidRPr="00701713">
        <w:rPr>
          <w:rFonts w:ascii="ITC Avant Garde" w:eastAsia="HiddenHorzOCR" w:hAnsi="ITC Avant Garde" w:cs="HiddenHorzOCR"/>
          <w:b/>
          <w:i/>
          <w:sz w:val="20"/>
          <w:szCs w:val="20"/>
        </w:rPr>
        <w:t xml:space="preserve"> </w:t>
      </w:r>
      <w:r w:rsidR="005712DE" w:rsidRPr="005712DE">
        <w:rPr>
          <w:rFonts w:ascii="ITC Avant Garde" w:eastAsia="HiddenHorzOCR" w:hAnsi="ITC Avant Garde" w:cs="HiddenHorzOCR"/>
          <w:b/>
          <w:color w:val="0000FF"/>
          <w:sz w:val="20"/>
          <w:szCs w:val="20"/>
        </w:rPr>
        <w:t>“CONFIDENCIAL POR LEY”</w:t>
      </w:r>
      <w:r w:rsidR="005712DE">
        <w:rPr>
          <w:rFonts w:ascii="ITC Avant Garde" w:eastAsia="HiddenHorzOCR" w:hAnsi="ITC Avant Garde" w:cs="HiddenHorzOCR"/>
          <w:b/>
          <w:color w:val="0000FF"/>
          <w:szCs w:val="24"/>
        </w:rPr>
        <w:t xml:space="preserve"> </w:t>
      </w:r>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service</w:t>
      </w:r>
      <w:proofErr w:type="spellEnd"/>
      <w:r w:rsidRPr="00701713">
        <w:rPr>
          <w:rFonts w:ascii="ITC Avant Garde" w:eastAsia="HiddenHorzOCR" w:hAnsi="ITC Avant Garde" w:cs="HiddenHorzOCR"/>
          <w:b/>
          <w:i/>
          <w:sz w:val="20"/>
          <w:szCs w:val="20"/>
        </w:rPr>
        <w:t>, as</w:t>
      </w:r>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appropriate</w:t>
      </w:r>
      <w:proofErr w:type="spellEnd"/>
      <w:r w:rsidR="001429C9"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except</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for</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the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cost</w:t>
      </w:r>
      <w:proofErr w:type="spellEnd"/>
      <w:r w:rsidRPr="00701713">
        <w:rPr>
          <w:rFonts w:ascii="ITC Avant Garde" w:eastAsia="HiddenHorzOCR" w:hAnsi="ITC Avant Garde" w:cs="HiddenHorzOCR"/>
          <w:b/>
          <w:i/>
          <w:sz w:val="20"/>
          <w:szCs w:val="20"/>
        </w:rPr>
        <w:t xml:space="preserve"> of set-top receivers </w:t>
      </w:r>
      <w:proofErr w:type="spellStart"/>
      <w:r w:rsidRPr="00701713">
        <w:rPr>
          <w:rFonts w:ascii="ITC Avant Garde" w:eastAsia="HiddenHorzOCR" w:hAnsi="ITC Avant Garde" w:cs="HiddenHorzOCR"/>
          <w:b/>
          <w:i/>
          <w:sz w:val="20"/>
          <w:szCs w:val="20"/>
        </w:rPr>
        <w:t>l</w:t>
      </w:r>
      <w:r w:rsidR="001429C9" w:rsidRPr="00701713">
        <w:rPr>
          <w:rFonts w:ascii="ITC Avant Garde" w:eastAsia="HiddenHorzOCR" w:hAnsi="ITC Avant Garde" w:cs="HiddenHorzOCR"/>
          <w:b/>
          <w:i/>
          <w:sz w:val="20"/>
          <w:szCs w:val="20"/>
        </w:rPr>
        <w:t>eased</w:t>
      </w:r>
      <w:proofErr w:type="spellEnd"/>
      <w:r w:rsidR="001429C9" w:rsidRPr="00701713">
        <w:rPr>
          <w:rFonts w:ascii="ITC Avant Garde" w:eastAsia="HiddenHorzOCR" w:hAnsi="ITC Avant Garde" w:cs="HiddenHorzOCR"/>
          <w:b/>
          <w:i/>
          <w:sz w:val="20"/>
          <w:szCs w:val="20"/>
        </w:rPr>
        <w:t xml:space="preserve"> to new </w:t>
      </w:r>
      <w:proofErr w:type="spellStart"/>
      <w:r w:rsidR="001429C9" w:rsidRPr="00701713">
        <w:rPr>
          <w:rFonts w:ascii="ITC Avant Garde" w:eastAsia="HiddenHorzOCR" w:hAnsi="ITC Avant Garde" w:cs="HiddenHorzOCR"/>
          <w:b/>
          <w:i/>
          <w:sz w:val="20"/>
          <w:szCs w:val="20"/>
        </w:rPr>
        <w:t>subscribers</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which</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we</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capitalize</w:t>
      </w:r>
      <w:proofErr w:type="spellEnd"/>
      <w:r w:rsidR="001429C9" w:rsidRPr="00701713">
        <w:rPr>
          <w:rFonts w:ascii="ITC Avant Garde" w:eastAsia="HiddenHorzOCR" w:hAnsi="ITC Avant Garde" w:cs="HiddenHorzOCR"/>
          <w:b/>
          <w:i/>
          <w:sz w:val="20"/>
          <w:szCs w:val="20"/>
        </w:rPr>
        <w:t xml:space="preserve"> in </w:t>
      </w:r>
      <w:r w:rsidR="00D050FB" w:rsidRPr="00701713">
        <w:rPr>
          <w:rFonts w:ascii="ITC Avant Garde" w:eastAsia="HiddenHorzOCR" w:hAnsi="ITC Avant Garde" w:cs="HiddenHorzOCR"/>
          <w:b/>
          <w:i/>
          <w:sz w:val="20"/>
          <w:szCs w:val="20"/>
        </w:rPr>
        <w:t>"</w:t>
      </w:r>
      <w:proofErr w:type="spellStart"/>
      <w:r w:rsidR="00D050FB" w:rsidRPr="00701713">
        <w:rPr>
          <w:rFonts w:ascii="ITC Avant Garde" w:eastAsia="HiddenHorzOCR" w:hAnsi="ITC Avant Garde" w:cs="HiddenHorzOCR"/>
          <w:b/>
          <w:i/>
          <w:sz w:val="20"/>
          <w:szCs w:val="20"/>
        </w:rPr>
        <w:t>Property</w:t>
      </w:r>
      <w:proofErr w:type="spellEnd"/>
      <w:r w:rsidRPr="00701713">
        <w:rPr>
          <w:rFonts w:ascii="ITC Avant Garde" w:eastAsia="HiddenHorzOCR" w:hAnsi="ITC Avant Garde" w:cs="HiddenHorzOCR"/>
          <w:b/>
          <w:i/>
          <w:sz w:val="20"/>
          <w:szCs w:val="20"/>
        </w:rPr>
        <w:t xml:space="preserve"> and </w:t>
      </w:r>
      <w:proofErr w:type="spellStart"/>
      <w:r w:rsidRPr="00701713">
        <w:rPr>
          <w:rFonts w:ascii="ITC Avant Garde" w:eastAsia="HiddenHorzOCR" w:hAnsi="ITC Avant Garde" w:cs="HiddenHorzOCR"/>
          <w:b/>
          <w:i/>
          <w:sz w:val="20"/>
          <w:szCs w:val="20"/>
        </w:rPr>
        <w:t>equipment</w:t>
      </w:r>
      <w:proofErr w:type="spellEnd"/>
      <w:r w:rsidRPr="00701713">
        <w:rPr>
          <w:rFonts w:ascii="ITC Avant Garde" w:eastAsia="HiddenHorzOCR" w:hAnsi="ITC Avant Garde" w:cs="HiddenHorzOCR"/>
          <w:b/>
          <w:i/>
          <w:sz w:val="20"/>
          <w:szCs w:val="20"/>
        </w:rPr>
        <w:t xml:space="preserve">, net" in </w:t>
      </w:r>
      <w:proofErr w:type="spellStart"/>
      <w:r w:rsidRPr="00701713">
        <w:rPr>
          <w:rFonts w:ascii="ITC Avant Garde" w:eastAsia="HiddenHorzOCR" w:hAnsi="ITC Avant Garde" w:cs="HiddenHorzOCR"/>
          <w:b/>
          <w:i/>
          <w:sz w:val="20"/>
          <w:szCs w:val="20"/>
        </w:rPr>
        <w:t>the</w:t>
      </w:r>
      <w:proofErr w:type="spellEnd"/>
      <w:r w:rsidRPr="00701713">
        <w:rPr>
          <w:rFonts w:ascii="ITC Avant Garde" w:eastAsia="HiddenHorzOCR" w:hAnsi="ITC Avant Garde" w:cs="HiddenHorzOCR"/>
          <w:b/>
          <w:i/>
          <w:sz w:val="20"/>
          <w:szCs w:val="20"/>
        </w:rPr>
        <w:t xml:space="preserve"> </w:t>
      </w:r>
      <w:proofErr w:type="spellStart"/>
      <w:r w:rsidRPr="00701713">
        <w:rPr>
          <w:rFonts w:ascii="ITC Avant Garde" w:eastAsia="HiddenHorzOCR" w:hAnsi="ITC Avant Garde" w:cs="HiddenHorzOCR"/>
          <w:b/>
          <w:i/>
          <w:sz w:val="20"/>
          <w:szCs w:val="20"/>
        </w:rPr>
        <w:t>Consolídated</w:t>
      </w:r>
      <w:proofErr w:type="spellEnd"/>
      <w:r w:rsidRPr="00701713">
        <w:rPr>
          <w:rFonts w:ascii="ITC Avant Garde" w:eastAsia="HiddenHorzOCR" w:hAnsi="ITC Avant Garde" w:cs="HiddenHorzOCR"/>
          <w:b/>
          <w:i/>
          <w:sz w:val="20"/>
          <w:szCs w:val="20"/>
        </w:rPr>
        <w:t xml:space="preserve"> Bala</w:t>
      </w:r>
      <w:r w:rsidR="008D4B63" w:rsidRPr="00701713">
        <w:rPr>
          <w:rFonts w:ascii="ITC Avant Garde" w:eastAsia="HiddenHorzOCR" w:hAnsi="ITC Avant Garde" w:cs="HiddenHorzOCR"/>
          <w:b/>
          <w:i/>
          <w:sz w:val="20"/>
          <w:szCs w:val="20"/>
        </w:rPr>
        <w:t xml:space="preserve">nce </w:t>
      </w:r>
      <w:proofErr w:type="spellStart"/>
      <w:r w:rsidR="008D4B63" w:rsidRPr="00701713">
        <w:rPr>
          <w:rFonts w:ascii="ITC Avant Garde" w:eastAsia="HiddenHorzOCR" w:hAnsi="ITC Avant Garde" w:cs="HiddenHorzOCR"/>
          <w:b/>
          <w:i/>
          <w:sz w:val="20"/>
          <w:szCs w:val="20"/>
        </w:rPr>
        <w:t>Sheets</w:t>
      </w:r>
      <w:proofErr w:type="spellEnd"/>
      <w:r w:rsidR="008D4B63" w:rsidRPr="00701713">
        <w:rPr>
          <w:rFonts w:ascii="ITC Avant Garde" w:eastAsia="HiddenHorzOCR" w:hAnsi="ITC Avant Garde" w:cs="HiddenHorzOCR"/>
          <w:b/>
          <w:i/>
          <w:sz w:val="20"/>
          <w:szCs w:val="20"/>
        </w:rPr>
        <w:t xml:space="preserve"> and </w:t>
      </w:r>
      <w:proofErr w:type="spellStart"/>
      <w:r w:rsidR="008D4B63" w:rsidRPr="00701713">
        <w:rPr>
          <w:rFonts w:ascii="ITC Avant Garde" w:eastAsia="HiddenHorzOCR" w:hAnsi="ITC Avant Garde" w:cs="HiddenHorzOCR"/>
          <w:b/>
          <w:i/>
          <w:sz w:val="20"/>
          <w:szCs w:val="20"/>
        </w:rPr>
        <w:t>deprecia</w:t>
      </w:r>
      <w:r w:rsidR="001429C9" w:rsidRPr="00701713">
        <w:rPr>
          <w:rFonts w:ascii="ITC Avant Garde" w:eastAsia="HiddenHorzOCR" w:hAnsi="ITC Avant Garde" w:cs="HiddenHorzOCR"/>
          <w:b/>
          <w:i/>
          <w:sz w:val="20"/>
          <w:szCs w:val="20"/>
        </w:rPr>
        <w:t>te</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over</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their</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estimated</w:t>
      </w:r>
      <w:proofErr w:type="spellEnd"/>
      <w:r w:rsidR="001429C9" w:rsidRPr="00701713">
        <w:rPr>
          <w:rFonts w:ascii="ITC Avant Garde" w:eastAsia="HiddenHorzOCR" w:hAnsi="ITC Avant Garde" w:cs="HiddenHorzOCR"/>
          <w:b/>
          <w:i/>
          <w:sz w:val="20"/>
          <w:szCs w:val="20"/>
        </w:rPr>
        <w:t xml:space="preserve"> </w:t>
      </w:r>
      <w:proofErr w:type="spellStart"/>
      <w:r w:rsidR="001429C9" w:rsidRPr="00701713">
        <w:rPr>
          <w:rFonts w:ascii="ITC Avant Garde" w:eastAsia="HiddenHorzOCR" w:hAnsi="ITC Avant Garde" w:cs="HiddenHorzOCR"/>
          <w:b/>
          <w:i/>
          <w:sz w:val="20"/>
          <w:szCs w:val="20"/>
        </w:rPr>
        <w:t>useful</w:t>
      </w:r>
      <w:proofErr w:type="spellEnd"/>
      <w:r w:rsidR="008D4B63" w:rsidRPr="00701713">
        <w:rPr>
          <w:rFonts w:ascii="ITC Avant Garde" w:eastAsia="HiddenHorzOCR" w:hAnsi="ITC Avant Garde" w:cs="HiddenHorzOCR"/>
          <w:b/>
          <w:i/>
          <w:sz w:val="20"/>
          <w:szCs w:val="20"/>
        </w:rPr>
        <w:t xml:space="preserve"> </w:t>
      </w:r>
      <w:proofErr w:type="spellStart"/>
      <w:r w:rsidR="00701713">
        <w:rPr>
          <w:rFonts w:ascii="ITC Avant Garde" w:eastAsia="HiddenHorzOCR" w:hAnsi="ITC Avant Garde" w:cs="HiddenHorzOCR"/>
          <w:b/>
          <w:i/>
          <w:sz w:val="20"/>
          <w:szCs w:val="20"/>
        </w:rPr>
        <w:t>lives</w:t>
      </w:r>
      <w:proofErr w:type="spellEnd"/>
      <w:r w:rsidR="001429C9" w:rsidRPr="00701713">
        <w:rPr>
          <w:rFonts w:ascii="ITC Avant Garde" w:eastAsia="HiddenHorzOCR" w:hAnsi="ITC Avant Garde" w:cs="HiddenHorzOCR"/>
          <w:b/>
          <w:sz w:val="20"/>
          <w:szCs w:val="20"/>
        </w:rPr>
        <w:t xml:space="preserve"> </w:t>
      </w:r>
      <w:r w:rsidR="001429C9" w:rsidRPr="00701713">
        <w:rPr>
          <w:rFonts w:ascii="ITC Avant Garde" w:eastAsia="HiddenHorzOCR" w:hAnsi="ITC Avant Garde" w:cs="HiddenHorzOCR"/>
          <w:b/>
          <w:szCs w:val="20"/>
        </w:rPr>
        <w:t>(.</w:t>
      </w:r>
      <w:r w:rsidR="00F444D3">
        <w:rPr>
          <w:rFonts w:ascii="ITC Avant Garde" w:eastAsia="HiddenHorzOCR" w:hAnsi="ITC Avant Garde" w:cs="HiddenHorzOCR"/>
          <w:b/>
          <w:szCs w:val="20"/>
        </w:rPr>
        <w:t>..</w:t>
      </w:r>
      <w:r w:rsidRPr="00701713">
        <w:rPr>
          <w:rFonts w:ascii="ITC Avant Garde" w:eastAsia="HiddenHorzOCR" w:hAnsi="ITC Avant Garde" w:cs="HiddenHorzOCR"/>
          <w:b/>
          <w:szCs w:val="20"/>
        </w:rPr>
        <w:t>)"</w:t>
      </w:r>
      <w:r w:rsidR="00701713">
        <w:rPr>
          <w:rFonts w:ascii="ITC Avant Garde" w:eastAsia="HiddenHorzOCR" w:hAnsi="ITC Avant Garde" w:cs="HiddenHorzOCR"/>
          <w:b/>
          <w:szCs w:val="20"/>
        </w:rPr>
        <w:t>.</w:t>
      </w:r>
    </w:p>
    <w:p w:rsidR="00FE1745" w:rsidRPr="00701713" w:rsidRDefault="00FE17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t>La traducción de este perito:</w:t>
      </w:r>
    </w:p>
    <w:p w:rsidR="00FE1745" w:rsidRPr="00A41F9E" w:rsidRDefault="00FE1745" w:rsidP="00A41F9E">
      <w:pPr>
        <w:autoSpaceDE w:val="0"/>
        <w:autoSpaceDN w:val="0"/>
        <w:adjustRightInd w:val="0"/>
        <w:spacing w:line="240" w:lineRule="auto"/>
        <w:ind w:left="284"/>
        <w:jc w:val="both"/>
        <w:rPr>
          <w:rFonts w:ascii="ITC Avant Garde" w:eastAsia="HiddenHorzOCR" w:hAnsi="ITC Avant Garde" w:cs="HiddenHorzOCR"/>
          <w:b/>
          <w:color w:val="0000FF"/>
          <w:szCs w:val="24"/>
        </w:rPr>
      </w:pPr>
      <w:r w:rsidRPr="00701713">
        <w:rPr>
          <w:rFonts w:ascii="ITC Avant Garde" w:eastAsia="HiddenHorzOCR" w:hAnsi="ITC Avant Garde" w:cs="HiddenHorzOCR"/>
          <w:b/>
          <w:szCs w:val="20"/>
        </w:rPr>
        <w:t>"</w:t>
      </w:r>
      <w:r w:rsidRPr="00701713">
        <w:rPr>
          <w:rFonts w:ascii="ITC Avant Garde" w:eastAsia="HiddenHorzOCR" w:hAnsi="ITC Avant Garde" w:cs="HiddenHorzOCR"/>
          <w:b/>
          <w:i/>
          <w:sz w:val="20"/>
          <w:szCs w:val="20"/>
        </w:rPr>
        <w:t>Los costos de adquisición del suscript</w:t>
      </w:r>
      <w:r w:rsidR="00D050FB" w:rsidRPr="00701713">
        <w:rPr>
          <w:rFonts w:ascii="ITC Avant Garde" w:eastAsia="HiddenHorzOCR" w:hAnsi="ITC Avant Garde" w:cs="HiddenHorzOCR"/>
          <w:b/>
          <w:i/>
          <w:sz w:val="20"/>
          <w:szCs w:val="20"/>
        </w:rPr>
        <w:t xml:space="preserve">or se componen de los costos en </w:t>
      </w:r>
      <w:r w:rsidRPr="00701713">
        <w:rPr>
          <w:rFonts w:ascii="ITC Avant Garde" w:eastAsia="HiddenHorzOCR" w:hAnsi="ITC Avant Garde" w:cs="HiddenHorzOCR"/>
          <w:b/>
          <w:i/>
          <w:sz w:val="20"/>
          <w:szCs w:val="20"/>
        </w:rPr>
        <w:t>los que incurrimos para adquirir nuevos suscriptores. In</w:t>
      </w:r>
      <w:r w:rsidR="00D050FB" w:rsidRPr="00701713">
        <w:rPr>
          <w:rFonts w:ascii="ITC Avant Garde" w:eastAsia="HiddenHorzOCR" w:hAnsi="ITC Avant Garde" w:cs="HiddenHorzOCR"/>
          <w:b/>
          <w:i/>
          <w:sz w:val="20"/>
          <w:szCs w:val="20"/>
        </w:rPr>
        <w:t xml:space="preserve">cluimos el costo de receptores, </w:t>
      </w:r>
      <w:r w:rsidRPr="00701713">
        <w:rPr>
          <w:rFonts w:ascii="ITC Avant Garde" w:eastAsia="HiddenHorzOCR" w:hAnsi="ITC Avant Garde" w:cs="HiddenHorzOCR"/>
          <w:b/>
          <w:i/>
          <w:sz w:val="20"/>
          <w:szCs w:val="20"/>
        </w:rPr>
        <w:t>decodificadores y otros equipos, las comisiones que p</w:t>
      </w:r>
      <w:r w:rsidR="00D050FB" w:rsidRPr="00701713">
        <w:rPr>
          <w:rFonts w:ascii="ITC Avant Garde" w:eastAsia="HiddenHorzOCR" w:hAnsi="ITC Avant Garde" w:cs="HiddenHorzOCR"/>
          <w:b/>
          <w:i/>
          <w:sz w:val="20"/>
          <w:szCs w:val="20"/>
        </w:rPr>
        <w:t xml:space="preserve">agamos a minoristas nacionales, </w:t>
      </w:r>
      <w:r w:rsidRPr="00701713">
        <w:rPr>
          <w:rFonts w:ascii="ITC Avant Garde" w:eastAsia="HiddenHorzOCR" w:hAnsi="ITC Avant Garde" w:cs="HiddenHorzOCR"/>
          <w:b/>
          <w:i/>
          <w:sz w:val="20"/>
          <w:szCs w:val="20"/>
        </w:rPr>
        <w:t xml:space="preserve">minoristas de televisión por satélite </w:t>
      </w:r>
      <w:proofErr w:type="spellStart"/>
      <w:r w:rsidRPr="00A41F9E">
        <w:rPr>
          <w:rFonts w:ascii="ITC Avant Garde" w:eastAsia="HiddenHorzOCR" w:hAnsi="ITC Avant Garde" w:cs="HiddenHorzOCR"/>
          <w:b/>
          <w:szCs w:val="20"/>
        </w:rPr>
        <w:t>independien</w:t>
      </w:r>
      <w:r w:rsidR="00AA183F" w:rsidRPr="00A41F9E">
        <w:rPr>
          <w:rFonts w:ascii="ITC Avant Garde" w:eastAsia="HiddenHorzOCR" w:hAnsi="ITC Avant Garde" w:cs="HiddenHorzOCR"/>
          <w:b/>
          <w:szCs w:val="20"/>
        </w:rPr>
        <w:t>tes</w:t>
      </w:r>
      <w:proofErr w:type="gramStart"/>
      <w:r w:rsidR="00AA183F">
        <w:rPr>
          <w:rFonts w:ascii="ITC Avant Garde" w:eastAsia="HiddenHorzOCR" w:hAnsi="ITC Avant Garde" w:cs="HiddenHorzOCR"/>
          <w:b/>
          <w:i/>
          <w:sz w:val="20"/>
          <w:szCs w:val="20"/>
        </w:rPr>
        <w:t>,</w:t>
      </w:r>
      <w:r w:rsidR="00D050FB" w:rsidRPr="00701713">
        <w:rPr>
          <w:rFonts w:ascii="ITC Avant Garde" w:eastAsia="HiddenHorzOCR" w:hAnsi="ITC Avant Garde" w:cs="HiddenHorzOCR"/>
          <w:b/>
          <w:i/>
          <w:sz w:val="20"/>
          <w:szCs w:val="20"/>
        </w:rPr>
        <w:t>concesionarios</w:t>
      </w:r>
      <w:proofErr w:type="spellEnd"/>
      <w:proofErr w:type="gramEnd"/>
      <w:r w:rsidR="00D050FB" w:rsidRPr="00701713">
        <w:rPr>
          <w:rFonts w:ascii="ITC Avant Garde" w:eastAsia="HiddenHorzOCR" w:hAnsi="ITC Avant Garde" w:cs="HiddenHorzOCR"/>
          <w:b/>
          <w:i/>
          <w:sz w:val="20"/>
          <w:szCs w:val="20"/>
        </w:rPr>
        <w:t xml:space="preserve"> y compañías </w:t>
      </w:r>
      <w:r w:rsidRPr="00701713">
        <w:rPr>
          <w:rFonts w:ascii="ITC Avant Garde" w:eastAsia="HiddenHorzOCR" w:hAnsi="ITC Avant Garde" w:cs="HiddenHorzOCR"/>
          <w:b/>
          <w:i/>
          <w:sz w:val="20"/>
          <w:szCs w:val="20"/>
        </w:rPr>
        <w:t xml:space="preserve">telefónicas regionales, a las cuales nos referimos como </w:t>
      </w:r>
      <w:proofErr w:type="spellStart"/>
      <w:r w:rsidRPr="00701713">
        <w:rPr>
          <w:rFonts w:ascii="ITC Avant Garde" w:eastAsia="HiddenHorzOCR" w:hAnsi="ITC Avant Garde" w:cs="HiddenHorzOCR"/>
          <w:b/>
          <w:i/>
          <w:sz w:val="20"/>
          <w:szCs w:val="20"/>
        </w:rPr>
        <w:t>telcos</w:t>
      </w:r>
      <w:proofErr w:type="spellEnd"/>
      <w:r w:rsidRPr="00701713">
        <w:rPr>
          <w:rFonts w:ascii="ITC Avant Garde" w:eastAsia="HiddenHorzOCR" w:hAnsi="ITC Avant Garde" w:cs="HiddenHorzOCR"/>
          <w:b/>
          <w:i/>
          <w:sz w:val="20"/>
          <w:szCs w:val="20"/>
        </w:rPr>
        <w:t>, y el costo de instalación,</w:t>
      </w:r>
      <w:r w:rsidR="00D050FB" w:rsidRPr="00701713">
        <w:rPr>
          <w:rFonts w:ascii="ITC Avant Garde" w:eastAsia="HiddenHorzOCR" w:hAnsi="ITC Avant Garde" w:cs="HiddenHorzOCR"/>
          <w:b/>
          <w:i/>
          <w:sz w:val="20"/>
          <w:szCs w:val="20"/>
        </w:rPr>
        <w:t xml:space="preserve"> </w:t>
      </w:r>
      <w:r w:rsidRPr="00701713">
        <w:rPr>
          <w:rFonts w:ascii="ITC Avant Garde" w:eastAsia="HiddenHorzOCR" w:hAnsi="ITC Avant Garde" w:cs="HiddenHorzOCR"/>
          <w:b/>
          <w:i/>
          <w:sz w:val="20"/>
          <w:szCs w:val="20"/>
        </w:rPr>
        <w:t>publicidad, comercialización y gastos de atenc</w:t>
      </w:r>
      <w:r w:rsidR="00D050FB" w:rsidRPr="00701713">
        <w:rPr>
          <w:rFonts w:ascii="ITC Avant Garde" w:eastAsia="HiddenHorzOCR" w:hAnsi="ITC Avant Garde" w:cs="HiddenHorzOCR"/>
          <w:b/>
          <w:i/>
          <w:sz w:val="20"/>
          <w:szCs w:val="20"/>
        </w:rPr>
        <w:t xml:space="preserve">ión telefónica asociados con la </w:t>
      </w:r>
      <w:r w:rsidRPr="00701713">
        <w:rPr>
          <w:rFonts w:ascii="ITC Avant Garde" w:eastAsia="HiddenHorzOCR" w:hAnsi="ITC Avant Garde" w:cs="HiddenHorzOCR"/>
          <w:b/>
          <w:i/>
          <w:sz w:val="20"/>
          <w:szCs w:val="20"/>
        </w:rPr>
        <w:t>adquisición de nuevos suscriptores en costo</w:t>
      </w:r>
      <w:r w:rsidR="00D050FB" w:rsidRPr="00701713">
        <w:rPr>
          <w:rFonts w:ascii="ITC Avant Garde" w:eastAsia="HiddenHorzOCR" w:hAnsi="ITC Avant Garde" w:cs="HiddenHorzOCR"/>
          <w:b/>
          <w:i/>
          <w:sz w:val="20"/>
          <w:szCs w:val="20"/>
        </w:rPr>
        <w:t xml:space="preserve">s de adquisición de suscriptor. </w:t>
      </w:r>
      <w:r w:rsidRPr="00701713">
        <w:rPr>
          <w:rFonts w:ascii="ITC Avant Garde" w:eastAsia="HiddenHorzOCR" w:hAnsi="ITC Avant Garde" w:cs="HiddenHorzOCR"/>
          <w:b/>
          <w:i/>
          <w:sz w:val="20"/>
          <w:szCs w:val="20"/>
        </w:rPr>
        <w:t>Registramos estos costos según se incurren o cua</w:t>
      </w:r>
      <w:r w:rsidR="00D050FB" w:rsidRPr="00701713">
        <w:rPr>
          <w:rFonts w:ascii="ITC Avant Garde" w:eastAsia="HiddenHorzOCR" w:hAnsi="ITC Avant Garde" w:cs="HiddenHorzOCR"/>
          <w:b/>
          <w:i/>
          <w:sz w:val="20"/>
          <w:szCs w:val="20"/>
        </w:rPr>
        <w:t xml:space="preserve">ndo los suscriptores activan el </w:t>
      </w:r>
      <w:r w:rsidRPr="00701713">
        <w:rPr>
          <w:rFonts w:ascii="ITC Avant Garde" w:eastAsia="HiddenHorzOCR" w:hAnsi="ITC Avant Garde" w:cs="HiddenHorzOCR"/>
          <w:b/>
          <w:i/>
          <w:sz w:val="20"/>
          <w:szCs w:val="20"/>
        </w:rPr>
        <w:t xml:space="preserve">servicio </w:t>
      </w:r>
      <w:r w:rsidR="00A41F9E" w:rsidRPr="00A41F9E">
        <w:rPr>
          <w:rFonts w:ascii="ITC Avant Garde" w:eastAsia="HiddenHorzOCR" w:hAnsi="ITC Avant Garde" w:cs="HiddenHorzOCR"/>
          <w:b/>
          <w:color w:val="0000FF"/>
          <w:szCs w:val="24"/>
        </w:rPr>
        <w:t>“CONFIDENCIAL POR LEY”</w:t>
      </w:r>
      <w:r w:rsidRPr="00701713">
        <w:rPr>
          <w:rFonts w:ascii="ITC Avant Garde" w:eastAsia="HiddenHorzOCR" w:hAnsi="ITC Avant Garde" w:cs="HiddenHorzOCR"/>
          <w:b/>
          <w:i/>
          <w:sz w:val="20"/>
          <w:szCs w:val="20"/>
        </w:rPr>
        <w:t>, según sea adecuado, exc</w:t>
      </w:r>
      <w:r w:rsidR="00D050FB" w:rsidRPr="00701713">
        <w:rPr>
          <w:rFonts w:ascii="ITC Avant Garde" w:eastAsia="HiddenHorzOCR" w:hAnsi="ITC Avant Garde" w:cs="HiddenHorzOCR"/>
          <w:b/>
          <w:i/>
          <w:sz w:val="20"/>
          <w:szCs w:val="20"/>
        </w:rPr>
        <w:t xml:space="preserve">epto por el costo de receptores </w:t>
      </w:r>
      <w:r w:rsidRPr="00701713">
        <w:rPr>
          <w:rFonts w:ascii="ITC Avant Garde" w:eastAsia="HiddenHorzOCR" w:hAnsi="ITC Avant Garde" w:cs="HiddenHorzOCR"/>
          <w:b/>
          <w:i/>
          <w:sz w:val="20"/>
          <w:szCs w:val="20"/>
        </w:rPr>
        <w:t>decodificadores rentados a nuevos suscriptor</w:t>
      </w:r>
      <w:r w:rsidR="00D050FB" w:rsidRPr="00701713">
        <w:rPr>
          <w:rFonts w:ascii="ITC Avant Garde" w:eastAsia="HiddenHorzOCR" w:hAnsi="ITC Avant Garde" w:cs="HiddenHorzOCR"/>
          <w:b/>
          <w:i/>
          <w:sz w:val="20"/>
          <w:szCs w:val="20"/>
        </w:rPr>
        <w:t>es, los cuales capitalizamos en "Propiedad y</w:t>
      </w:r>
      <w:r w:rsidRPr="00701713">
        <w:rPr>
          <w:rFonts w:ascii="ITC Avant Garde" w:eastAsia="HiddenHorzOCR" w:hAnsi="ITC Avant Garde" w:cs="HiddenHorzOCR"/>
          <w:b/>
          <w:i/>
          <w:sz w:val="20"/>
          <w:szCs w:val="20"/>
        </w:rPr>
        <w:t xml:space="preserve"> equipo, neto" en las Hojas de Balance </w:t>
      </w:r>
      <w:r w:rsidR="00D050FB" w:rsidRPr="00701713">
        <w:rPr>
          <w:rFonts w:ascii="ITC Avant Garde" w:eastAsia="HiddenHorzOCR" w:hAnsi="ITC Avant Garde" w:cs="HiddenHorzOCR"/>
          <w:b/>
          <w:i/>
          <w:sz w:val="20"/>
          <w:szCs w:val="20"/>
        </w:rPr>
        <w:t xml:space="preserve">Consolidado v depreciamos sobre </w:t>
      </w:r>
      <w:r w:rsidR="00701713">
        <w:rPr>
          <w:rFonts w:ascii="ITC Avant Garde" w:eastAsia="HiddenHorzOCR" w:hAnsi="ITC Avant Garde" w:cs="HiddenHorzOCR"/>
          <w:b/>
          <w:i/>
          <w:sz w:val="20"/>
          <w:szCs w:val="20"/>
        </w:rPr>
        <w:t xml:space="preserve">sus vidas útiles estimadas </w:t>
      </w:r>
      <w:r w:rsidR="00F444D3">
        <w:rPr>
          <w:rFonts w:ascii="ITC Avant Garde" w:eastAsia="HiddenHorzOCR" w:hAnsi="ITC Avant Garde" w:cs="HiddenHorzOCR"/>
          <w:b/>
          <w:szCs w:val="20"/>
        </w:rPr>
        <w:t>(..</w:t>
      </w:r>
      <w:r w:rsidR="00701713" w:rsidRPr="00701713">
        <w:rPr>
          <w:rFonts w:ascii="ITC Avant Garde" w:eastAsia="HiddenHorzOCR" w:hAnsi="ITC Avant Garde" w:cs="HiddenHorzOCR"/>
          <w:b/>
          <w:szCs w:val="20"/>
        </w:rPr>
        <w:t>.)”.</w:t>
      </w:r>
    </w:p>
    <w:p w:rsidR="00FE1745" w:rsidRPr="00701713" w:rsidRDefault="00FE1745" w:rsidP="00DC0EB2">
      <w:pPr>
        <w:autoSpaceDE w:val="0"/>
        <w:autoSpaceDN w:val="0"/>
        <w:adjustRightInd w:val="0"/>
        <w:spacing w:line="240" w:lineRule="auto"/>
        <w:ind w:left="284"/>
        <w:jc w:val="both"/>
        <w:rPr>
          <w:rFonts w:ascii="ITC Avant Garde" w:eastAsia="HiddenHorzOCR" w:hAnsi="ITC Avant Garde" w:cs="HiddenHorzOCR"/>
          <w:b/>
          <w:szCs w:val="20"/>
        </w:rPr>
      </w:pPr>
      <w:r w:rsidRPr="00701713">
        <w:rPr>
          <w:rFonts w:ascii="ITC Avant Garde" w:eastAsia="HiddenHorzOCR" w:hAnsi="ITC Avant Garde" w:cs="HiddenHorzOCR"/>
          <w:b/>
          <w:szCs w:val="20"/>
        </w:rPr>
        <w:lastRenderedPageBreak/>
        <w:t>Derivado de lo anterior, existe una diferenc</w:t>
      </w:r>
      <w:r w:rsidR="00D050FB" w:rsidRPr="00701713">
        <w:rPr>
          <w:rFonts w:ascii="ITC Avant Garde" w:eastAsia="HiddenHorzOCR" w:hAnsi="ITC Avant Garde" w:cs="HiddenHorzOCR"/>
          <w:b/>
          <w:szCs w:val="20"/>
        </w:rPr>
        <w:t xml:space="preserve">ia relevante en el rubro de los </w:t>
      </w:r>
      <w:r w:rsidRPr="00701713">
        <w:rPr>
          <w:rFonts w:ascii="ITC Avant Garde" w:eastAsia="HiddenHorzOCR" w:hAnsi="ITC Avant Garde" w:cs="HiddenHorzOCR"/>
          <w:b/>
          <w:szCs w:val="20"/>
        </w:rPr>
        <w:t xml:space="preserve">costos de </w:t>
      </w:r>
      <w:r w:rsidR="00A41F9E" w:rsidRPr="00A41F9E">
        <w:rPr>
          <w:rFonts w:ascii="ITC Avant Garde" w:eastAsia="HiddenHorzOCR" w:hAnsi="ITC Avant Garde" w:cs="HiddenHorzOCR"/>
          <w:b/>
          <w:color w:val="0000FF"/>
          <w:szCs w:val="24"/>
        </w:rPr>
        <w:t>“CONFIDENCIAL POR LEY”</w:t>
      </w:r>
      <w:r w:rsidRPr="00701713">
        <w:rPr>
          <w:rFonts w:ascii="ITC Avant Garde" w:eastAsia="HiddenHorzOCR" w:hAnsi="ITC Avant Garde" w:cs="HiddenHorzOCR"/>
          <w:b/>
          <w:szCs w:val="20"/>
        </w:rPr>
        <w:t>, por lo qu</w:t>
      </w:r>
      <w:r w:rsidR="00D050FB" w:rsidRPr="00701713">
        <w:rPr>
          <w:rFonts w:ascii="ITC Avant Garde" w:eastAsia="HiddenHorzOCR" w:hAnsi="ITC Avant Garde" w:cs="HiddenHorzOCR"/>
          <w:b/>
          <w:szCs w:val="20"/>
        </w:rPr>
        <w:t xml:space="preserve">e la determinación de la UAFIDA </w:t>
      </w:r>
      <w:r w:rsidRPr="00701713">
        <w:rPr>
          <w:rFonts w:ascii="ITC Avant Garde" w:eastAsia="HiddenHorzOCR" w:hAnsi="ITC Avant Garde" w:cs="HiddenHorzOCR"/>
          <w:b/>
          <w:szCs w:val="20"/>
        </w:rPr>
        <w:t>varía sustancialmente y por lo tanto no es directa</w:t>
      </w:r>
      <w:r w:rsidR="00D050FB" w:rsidRPr="00701713">
        <w:rPr>
          <w:rFonts w:ascii="ITC Avant Garde" w:eastAsia="HiddenHorzOCR" w:hAnsi="ITC Avant Garde" w:cs="HiddenHorzOCR"/>
          <w:b/>
          <w:szCs w:val="20"/>
        </w:rPr>
        <w:t xml:space="preserve">mente comparable. En el caso de </w:t>
      </w:r>
      <w:r w:rsidR="00A41F9E" w:rsidRPr="00A41F9E">
        <w:rPr>
          <w:rFonts w:ascii="ITC Avant Garde" w:eastAsia="HiddenHorzOCR" w:hAnsi="ITC Avant Garde" w:cs="HiddenHorzOCR"/>
          <w:b/>
          <w:color w:val="0000FF"/>
          <w:szCs w:val="20"/>
        </w:rPr>
        <w:t>“CONFIDENCIAL POR LEY”</w:t>
      </w:r>
      <w:r w:rsidRPr="00701713">
        <w:rPr>
          <w:rFonts w:ascii="ITC Avant Garde" w:eastAsia="HiddenHorzOCR" w:hAnsi="ITC Avant Garde" w:cs="HiddenHorzOCR"/>
          <w:b/>
          <w:szCs w:val="20"/>
        </w:rPr>
        <w:t xml:space="preserve"> los LNB y los costos de insta</w:t>
      </w:r>
      <w:r w:rsidR="00D050FB" w:rsidRPr="00701713">
        <w:rPr>
          <w:rFonts w:ascii="ITC Avant Garde" w:eastAsia="HiddenHorzOCR" w:hAnsi="ITC Avant Garde" w:cs="HiddenHorzOCR"/>
          <w:b/>
          <w:szCs w:val="20"/>
        </w:rPr>
        <w:t xml:space="preserve">lación son considerados como un </w:t>
      </w:r>
      <w:r w:rsidRPr="00701713">
        <w:rPr>
          <w:rFonts w:ascii="ITC Avant Garde" w:eastAsia="HiddenHorzOCR" w:hAnsi="ITC Avant Garde" w:cs="HiddenHorzOCR"/>
          <w:b/>
          <w:szCs w:val="20"/>
        </w:rPr>
        <w:t>costo que forma parte de la determinación de la UAFIDA por lo que disminuye la</w:t>
      </w:r>
      <w:r w:rsidR="00D050FB" w:rsidRPr="00701713">
        <w:rPr>
          <w:rFonts w:ascii="ITC Avant Garde" w:eastAsia="HiddenHorzOCR" w:hAnsi="ITC Avant Garde" w:cs="HiddenHorzOCR"/>
          <w:b/>
          <w:szCs w:val="20"/>
        </w:rPr>
        <w:t xml:space="preserve"> </w:t>
      </w:r>
      <w:r w:rsidRPr="00701713">
        <w:rPr>
          <w:rFonts w:ascii="ITC Avant Garde" w:eastAsia="HiddenHorzOCR" w:hAnsi="ITC Avant Garde" w:cs="HiddenHorzOCR"/>
          <w:b/>
          <w:szCs w:val="20"/>
        </w:rPr>
        <w:t>UAFIDA por el monto total de manera inmediata, es deci</w:t>
      </w:r>
      <w:r w:rsidR="00D050FB" w:rsidRPr="00701713">
        <w:rPr>
          <w:rFonts w:ascii="ITC Avant Garde" w:eastAsia="HiddenHorzOCR" w:hAnsi="ITC Avant Garde" w:cs="HiddenHorzOCR"/>
          <w:b/>
          <w:szCs w:val="20"/>
        </w:rPr>
        <w:t xml:space="preserve">r, cuando se registra el gasto. </w:t>
      </w:r>
      <w:r w:rsidRPr="00701713">
        <w:rPr>
          <w:rFonts w:ascii="ITC Avant Garde" w:eastAsia="HiddenHorzOCR" w:hAnsi="ITC Avant Garde" w:cs="HiddenHorzOCR"/>
          <w:b/>
          <w:szCs w:val="20"/>
        </w:rPr>
        <w:t xml:space="preserve">En el caso de </w:t>
      </w:r>
      <w:r w:rsidR="00A41F9E" w:rsidRPr="00A41F9E">
        <w:rPr>
          <w:rFonts w:ascii="ITC Avant Garde" w:eastAsia="HiddenHorzOCR" w:hAnsi="ITC Avant Garde" w:cs="HiddenHorzOCR"/>
          <w:b/>
          <w:color w:val="0000FF"/>
          <w:szCs w:val="20"/>
        </w:rPr>
        <w:t>“CONFIDENCIAL POR LEY”</w:t>
      </w:r>
      <w:r w:rsidRPr="00701713">
        <w:rPr>
          <w:rFonts w:ascii="ITC Avant Garde" w:eastAsia="HiddenHorzOCR" w:hAnsi="ITC Avant Garde" w:cs="HiddenHorzOCR"/>
          <w:b/>
          <w:szCs w:val="20"/>
        </w:rPr>
        <w:t>, los LNB y los costos de inst</w:t>
      </w:r>
      <w:r w:rsidR="00D050FB" w:rsidRPr="00701713">
        <w:rPr>
          <w:rFonts w:ascii="ITC Avant Garde" w:eastAsia="HiddenHorzOCR" w:hAnsi="ITC Avant Garde" w:cs="HiddenHorzOCR"/>
          <w:b/>
          <w:szCs w:val="20"/>
        </w:rPr>
        <w:t xml:space="preserve">alación al ser capitalizados no </w:t>
      </w:r>
      <w:r w:rsidRPr="00701713">
        <w:rPr>
          <w:rFonts w:ascii="ITC Avant Garde" w:eastAsia="HiddenHorzOCR" w:hAnsi="ITC Avant Garde" w:cs="HiddenHorzOCR"/>
          <w:b/>
          <w:szCs w:val="20"/>
        </w:rPr>
        <w:t>afectan la determinación de la UAFIDA en ningún ejercicio ya que son depreciados.</w:t>
      </w:r>
    </w:p>
    <w:p w:rsidR="00501D60" w:rsidRPr="00422B10" w:rsidRDefault="00501D60" w:rsidP="00973AD5">
      <w:pPr>
        <w:autoSpaceDE w:val="0"/>
        <w:autoSpaceDN w:val="0"/>
        <w:adjustRightInd w:val="0"/>
        <w:spacing w:line="240" w:lineRule="auto"/>
        <w:jc w:val="both"/>
        <w:rPr>
          <w:rFonts w:ascii="ITC Avant Garde" w:eastAsia="HiddenHorzOCR" w:hAnsi="ITC Avant Garde" w:cs="HiddenHorzOCR"/>
        </w:rPr>
      </w:pPr>
      <w:r w:rsidRPr="00422B10">
        <w:rPr>
          <w:rFonts w:ascii="ITC Avant Garde" w:eastAsia="HiddenHorzOCR" w:hAnsi="ITC Avant Garde" w:cs="HiddenHorzOCR"/>
        </w:rPr>
        <w:t xml:space="preserve">9.- Que diga el perito con base en las preguntas anteriores cuál sería el margen UAFIDA de Innova si ésta utilizara las mismas políticas contables (reconocimiento de Gastos, Costos e Inversiones) que </w:t>
      </w:r>
      <w:r w:rsidR="00A41F9E" w:rsidRPr="00A41F9E">
        <w:rPr>
          <w:rFonts w:ascii="ITC Avant Garde" w:eastAsia="HiddenHorzOCR" w:hAnsi="ITC Avant Garde" w:cs="HiddenHorzOCR"/>
          <w:b/>
          <w:color w:val="0000FF"/>
          <w:szCs w:val="20"/>
        </w:rPr>
        <w:t>“CONFIDENCIAL POR LEY”</w:t>
      </w:r>
      <w:r w:rsidRPr="00422B10">
        <w:rPr>
          <w:rFonts w:ascii="ITC Avant Garde" w:eastAsia="HiddenHorzOCR" w:hAnsi="ITC Avant Garde" w:cs="HiddenHorzOCR"/>
        </w:rPr>
        <w:t>.</w:t>
      </w:r>
    </w:p>
    <w:p w:rsidR="00501D60" w:rsidRPr="00D76333" w:rsidRDefault="00501D60" w:rsidP="00DC0EB2">
      <w:pPr>
        <w:autoSpaceDE w:val="0"/>
        <w:autoSpaceDN w:val="0"/>
        <w:adjustRightInd w:val="0"/>
        <w:spacing w:line="240" w:lineRule="auto"/>
        <w:ind w:left="284"/>
        <w:jc w:val="both"/>
        <w:rPr>
          <w:rFonts w:ascii="ITC Avant Garde" w:eastAsia="HiddenHorzOCR" w:hAnsi="ITC Avant Garde" w:cs="HiddenHorzOCR"/>
          <w:b/>
        </w:rPr>
      </w:pPr>
      <w:r w:rsidRPr="00D76333">
        <w:rPr>
          <w:rFonts w:ascii="ITC Avant Garde" w:eastAsia="HiddenHorzOCR" w:hAnsi="ITC Avant Garde" w:cs="HiddenHorzOCR"/>
          <w:b/>
        </w:rPr>
        <w:t xml:space="preserve">La UAFIDA ajustada de Innova considerando las políticas de </w:t>
      </w:r>
      <w:r w:rsidR="00A41F9E" w:rsidRPr="00A41F9E">
        <w:rPr>
          <w:rFonts w:ascii="ITC Avant Garde" w:eastAsia="HiddenHorzOCR" w:hAnsi="ITC Avant Garde" w:cs="HiddenHorzOCR"/>
          <w:b/>
          <w:color w:val="0000FF"/>
          <w:szCs w:val="20"/>
        </w:rPr>
        <w:t>“CONFIDENCIAL POR LEY”</w:t>
      </w:r>
      <w:r w:rsidRPr="00D76333">
        <w:rPr>
          <w:rFonts w:ascii="ITC Avant Garde" w:eastAsia="HiddenHorzOCR" w:hAnsi="ITC Avant Garde" w:cs="HiddenHorzOCR"/>
          <w:b/>
        </w:rPr>
        <w:t xml:space="preserve"> sería la siguiente:</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szCs w:val="28"/>
        </w:rPr>
      </w:pPr>
      <w:r w:rsidRPr="005712DE">
        <w:rPr>
          <w:rFonts w:ascii="ITC Avant Garde" w:hAnsi="ITC Avant Garde"/>
          <w:b/>
          <w:color w:val="0000FF"/>
          <w:szCs w:val="28"/>
        </w:rPr>
        <w:t>“CONFIDENCIAL POR LEY”</w:t>
      </w:r>
    </w:p>
    <w:p w:rsidR="003F13E1" w:rsidRPr="00D76333" w:rsidRDefault="003F13E1" w:rsidP="00DC0EB2">
      <w:pPr>
        <w:autoSpaceDE w:val="0"/>
        <w:autoSpaceDN w:val="0"/>
        <w:adjustRightInd w:val="0"/>
        <w:spacing w:line="240" w:lineRule="auto"/>
        <w:ind w:left="284"/>
        <w:jc w:val="both"/>
        <w:rPr>
          <w:rFonts w:ascii="ITC Avant Garde" w:eastAsia="HiddenHorzOCR" w:hAnsi="ITC Avant Garde" w:cs="HiddenHorzOCR"/>
          <w:b/>
        </w:rPr>
      </w:pPr>
      <w:r w:rsidRPr="00D76333">
        <w:rPr>
          <w:rFonts w:ascii="ITC Avant Garde" w:eastAsia="HiddenHorzOCR" w:hAnsi="ITC Avant Garde" w:cs="HiddenHorzOCR"/>
          <w:b/>
        </w:rPr>
        <w:t>*Cifras en miles de pesos.</w:t>
      </w:r>
    </w:p>
    <w:p w:rsidR="007A1097" w:rsidRPr="00D76333" w:rsidRDefault="007A1097" w:rsidP="00DC0EB2">
      <w:pPr>
        <w:autoSpaceDE w:val="0"/>
        <w:autoSpaceDN w:val="0"/>
        <w:adjustRightInd w:val="0"/>
        <w:spacing w:line="240" w:lineRule="auto"/>
        <w:ind w:left="284"/>
        <w:jc w:val="both"/>
        <w:rPr>
          <w:rFonts w:ascii="ITC Avant Garde" w:eastAsia="HiddenHorzOCR" w:hAnsi="ITC Avant Garde" w:cs="HiddenHorzOCR"/>
          <w:b/>
        </w:rPr>
      </w:pPr>
      <w:r w:rsidRPr="00D76333">
        <w:rPr>
          <w:rFonts w:ascii="ITC Avant Garde" w:eastAsia="HiddenHorzOCR" w:hAnsi="ITC Avant Garde" w:cs="HiddenHorzOCR"/>
          <w:b/>
        </w:rPr>
        <w:t xml:space="preserve">El monto de las Antenas, LNB y accesorios se obtuvo de la página 34 de los Estados Financieros Consolidados de </w:t>
      </w:r>
      <w:r w:rsidR="00A41F9E" w:rsidRPr="00A41F9E">
        <w:rPr>
          <w:rFonts w:ascii="ITC Avant Garde" w:eastAsia="HiddenHorzOCR" w:hAnsi="ITC Avant Garde" w:cs="HiddenHorzOCR"/>
          <w:b/>
          <w:color w:val="0000FF"/>
        </w:rPr>
        <w:t>“CONFIDENCIAL POR LEY”</w:t>
      </w:r>
      <w:r w:rsidRPr="00A41F9E">
        <w:rPr>
          <w:rFonts w:ascii="ITC Avant Garde" w:eastAsia="HiddenHorzOCR" w:hAnsi="ITC Avant Garde" w:cs="HiddenHorzOCR"/>
          <w:b/>
          <w:color w:val="0000FF"/>
        </w:rPr>
        <w:t xml:space="preserve"> </w:t>
      </w:r>
      <w:r w:rsidRPr="00D76333">
        <w:rPr>
          <w:rFonts w:ascii="ITC Avant Garde" w:eastAsia="HiddenHorzOCR" w:hAnsi="ITC Avant Garde" w:cs="HiddenHorzOCR"/>
          <w:b/>
        </w:rPr>
        <w:t xml:space="preserve">al </w:t>
      </w:r>
      <w:r w:rsidR="00AA183F">
        <w:rPr>
          <w:rFonts w:ascii="ITC Avant Garde" w:eastAsia="HiddenHorzOCR" w:hAnsi="ITC Avant Garde" w:cs="HiddenHorzOCR"/>
          <w:b/>
        </w:rPr>
        <w:t>treinta y uno de diciembre de dos mil catorce</w:t>
      </w:r>
      <w:r w:rsidRPr="00D76333">
        <w:rPr>
          <w:rFonts w:ascii="ITC Avant Garde" w:eastAsia="HiddenHorzOCR" w:hAnsi="ITC Avant Garde" w:cs="HiddenHorzOCR"/>
          <w:b/>
        </w:rPr>
        <w:t xml:space="preserve"> y de la página 34 de los Estados Financieros Consolidados Auditados de </w:t>
      </w:r>
      <w:r w:rsidR="00A41F9E" w:rsidRPr="00A41F9E">
        <w:rPr>
          <w:rFonts w:ascii="ITC Avant Garde" w:eastAsia="HiddenHorzOCR" w:hAnsi="ITC Avant Garde" w:cs="HiddenHorzOCR"/>
          <w:b/>
          <w:color w:val="0000FF"/>
        </w:rPr>
        <w:t xml:space="preserve">“CONFIDENCIAL POR LEY” </w:t>
      </w:r>
      <w:r w:rsidRPr="00D76333">
        <w:rPr>
          <w:rFonts w:ascii="ITC Avant Garde" w:eastAsia="HiddenHorzOCR" w:hAnsi="ITC Avant Garde" w:cs="HiddenHorzOCR"/>
          <w:b/>
        </w:rPr>
        <w:t>a</w:t>
      </w:r>
      <w:r w:rsidR="000B5B41">
        <w:rPr>
          <w:rFonts w:ascii="ITC Avant Garde" w:eastAsia="HiddenHorzOCR" w:hAnsi="ITC Avant Garde" w:cs="HiddenHorzOCR"/>
          <w:b/>
        </w:rPr>
        <w:t>l treinta y uno de diciembre de dos mil trece</w:t>
      </w:r>
      <w:r w:rsidRPr="00D76333">
        <w:rPr>
          <w:rFonts w:ascii="ITC Avant Garde" w:eastAsia="HiddenHorzOCR" w:hAnsi="ITC Avant Garde" w:cs="HiddenHorzOCR"/>
          <w:b/>
        </w:rPr>
        <w:t>.</w:t>
      </w:r>
    </w:p>
    <w:p w:rsidR="00A771C2" w:rsidRPr="00D76333" w:rsidRDefault="007A1097" w:rsidP="00C37B2F">
      <w:pPr>
        <w:autoSpaceDE w:val="0"/>
        <w:autoSpaceDN w:val="0"/>
        <w:adjustRightInd w:val="0"/>
        <w:spacing w:line="240" w:lineRule="auto"/>
        <w:ind w:left="284"/>
        <w:jc w:val="both"/>
        <w:rPr>
          <w:rFonts w:ascii="ITC Avant Garde" w:eastAsia="HiddenHorzOCR" w:hAnsi="ITC Avant Garde" w:cs="HiddenHorzOCR"/>
          <w:b/>
        </w:rPr>
      </w:pPr>
      <w:r w:rsidRPr="00D76333">
        <w:rPr>
          <w:rFonts w:ascii="ITC Avant Garde" w:eastAsia="HiddenHorzOCR" w:hAnsi="ITC Avant Garde" w:cs="HiddenHorzOCR"/>
          <w:b/>
        </w:rPr>
        <w:t xml:space="preserve">El margen UAFIDA ajustado de </w:t>
      </w:r>
      <w:r w:rsidR="00A41F9E" w:rsidRPr="00A41F9E">
        <w:rPr>
          <w:rFonts w:ascii="ITC Avant Garde" w:eastAsia="HiddenHorzOCR" w:hAnsi="ITC Avant Garde" w:cs="HiddenHorzOCR"/>
          <w:b/>
          <w:color w:val="0000FF"/>
        </w:rPr>
        <w:t>“CONFIDENCIAL POR LEY”</w:t>
      </w:r>
      <w:r w:rsidRPr="00D76333">
        <w:rPr>
          <w:rFonts w:ascii="ITC Avant Garde" w:eastAsia="HiddenHorzOCR" w:hAnsi="ITC Avant Garde" w:cs="HiddenHorzOCR"/>
          <w:b/>
        </w:rPr>
        <w:t>, sería el siguiente:</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7A1097" w:rsidRPr="00D76333" w:rsidRDefault="00B932C6" w:rsidP="00DC0EB2">
      <w:pPr>
        <w:autoSpaceDE w:val="0"/>
        <w:autoSpaceDN w:val="0"/>
        <w:adjustRightInd w:val="0"/>
        <w:spacing w:line="240" w:lineRule="auto"/>
        <w:ind w:left="284"/>
        <w:jc w:val="both"/>
        <w:rPr>
          <w:rFonts w:ascii="ITC Avant Garde" w:eastAsia="HiddenHorzOCR" w:hAnsi="ITC Avant Garde" w:cs="HiddenHorzOCR"/>
          <w:b/>
        </w:rPr>
      </w:pPr>
      <w:r w:rsidRPr="00D76333">
        <w:rPr>
          <w:rFonts w:ascii="ITC Avant Garde" w:eastAsia="HiddenHorzOCR" w:hAnsi="ITC Avant Garde" w:cs="HiddenHorzOCR"/>
          <w:b/>
        </w:rPr>
        <w:t>*Cifras en miles de pesos</w:t>
      </w:r>
      <w:r w:rsidR="00422B10" w:rsidRPr="00D76333">
        <w:rPr>
          <w:rFonts w:ascii="ITC Avant Garde" w:eastAsia="HiddenHorzOCR" w:hAnsi="ITC Avant Garde" w:cs="HiddenHorzOCR"/>
          <w:b/>
        </w:rPr>
        <w:t>.</w:t>
      </w:r>
    </w:p>
    <w:p w:rsidR="007A1097" w:rsidRPr="00422B10" w:rsidRDefault="007A1097" w:rsidP="00973AD5">
      <w:pPr>
        <w:autoSpaceDE w:val="0"/>
        <w:autoSpaceDN w:val="0"/>
        <w:adjustRightInd w:val="0"/>
        <w:spacing w:line="240" w:lineRule="auto"/>
        <w:jc w:val="both"/>
        <w:rPr>
          <w:rFonts w:ascii="ITC Avant Garde" w:eastAsia="HiddenHorzOCR" w:hAnsi="ITC Avant Garde" w:cs="HiddenHorzOCR"/>
        </w:rPr>
      </w:pPr>
      <w:r w:rsidRPr="00422B10">
        <w:rPr>
          <w:rFonts w:ascii="ITC Avant Garde" w:eastAsia="HiddenHorzOCR" w:hAnsi="ITC Avant Garde" w:cs="HiddenHorzOCR"/>
        </w:rPr>
        <w:t>10.- Que diga el perito el número de suscriptores del servicio prepago y del servicio de pago recurrente durante el pe</w:t>
      </w:r>
      <w:r w:rsidR="000B5B41">
        <w:rPr>
          <w:rFonts w:ascii="ITC Avant Garde" w:eastAsia="HiddenHorzOCR" w:hAnsi="ITC Avant Garde" w:cs="HiddenHorzOCR"/>
        </w:rPr>
        <w:t>riodo en los meses de marzo dos mil ocho, diciembre dos mil once</w:t>
      </w:r>
      <w:r w:rsidRPr="00422B10">
        <w:rPr>
          <w:rFonts w:ascii="ITC Avant Garde" w:eastAsia="HiddenHorzOCR" w:hAnsi="ITC Avant Garde" w:cs="HiddenHorzOCR"/>
        </w:rPr>
        <w:t xml:space="preserve"> y marzo </w:t>
      </w:r>
      <w:r w:rsidR="000B5B41">
        <w:rPr>
          <w:rFonts w:ascii="ITC Avant Garde" w:eastAsia="HiddenHorzOCR" w:hAnsi="ITC Avant Garde" w:cs="HiddenHorzOCR"/>
        </w:rPr>
        <w:t>dos mil quince</w:t>
      </w:r>
      <w:r w:rsidRPr="00422B10">
        <w:rPr>
          <w:rFonts w:ascii="ITC Avant Garde" w:eastAsia="HiddenHorzOCR" w:hAnsi="ITC Avant Garde" w:cs="HiddenHorzOCR"/>
        </w:rPr>
        <w:t>.</w:t>
      </w:r>
    </w:p>
    <w:p w:rsidR="003F13E1" w:rsidRPr="000B5B41" w:rsidRDefault="007A1097"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xml:space="preserve">Conforme se desprende de los sistemas </w:t>
      </w:r>
      <w:r w:rsidR="00CB6417" w:rsidRPr="000B5B41">
        <w:rPr>
          <w:rFonts w:ascii="ITC Avant Garde" w:eastAsia="HiddenHorzOCR" w:hAnsi="ITC Avant Garde" w:cs="HiddenHorzOCR"/>
          <w:b/>
        </w:rPr>
        <w:t>de información contable ("</w:t>
      </w:r>
      <w:r w:rsidR="00CB6417" w:rsidRPr="00AA183F">
        <w:rPr>
          <w:rFonts w:ascii="ITC Avant Garde" w:eastAsia="HiddenHorzOCR" w:hAnsi="ITC Avant Garde" w:cs="HiddenHorzOCR"/>
          <w:b/>
          <w:i/>
          <w:sz w:val="20"/>
        </w:rPr>
        <w:t>SAP</w:t>
      </w:r>
      <w:r w:rsidR="00CB6417" w:rsidRPr="000B5B41">
        <w:rPr>
          <w:rFonts w:ascii="ITC Avant Garde" w:eastAsia="HiddenHorzOCR" w:hAnsi="ITC Avant Garde" w:cs="HiddenHorzOCR"/>
          <w:b/>
        </w:rPr>
        <w:t xml:space="preserve">") </w:t>
      </w:r>
      <w:r w:rsidRPr="000B5B41">
        <w:rPr>
          <w:rFonts w:ascii="ITC Avant Garde" w:eastAsia="HiddenHorzOCR" w:hAnsi="ITC Avant Garde" w:cs="HiddenHorzOCR"/>
          <w:b/>
        </w:rPr>
        <w:t xml:space="preserve">y estadísticos de </w:t>
      </w:r>
      <w:r w:rsidR="00A41F9E" w:rsidRPr="00A41F9E">
        <w:rPr>
          <w:rFonts w:ascii="ITC Avant Garde" w:eastAsia="HiddenHorzOCR" w:hAnsi="ITC Avant Garde" w:cs="HiddenHorzOCR"/>
          <w:b/>
          <w:color w:val="0000FF"/>
        </w:rPr>
        <w:t>“CONFIDENCIAL POR LEY”</w:t>
      </w:r>
      <w:r w:rsidRPr="00A41F9E">
        <w:rPr>
          <w:rFonts w:ascii="ITC Avant Garde" w:eastAsia="HiddenHorzOCR" w:hAnsi="ITC Avant Garde" w:cs="HiddenHorzOCR"/>
          <w:b/>
          <w:color w:val="0000FF"/>
        </w:rPr>
        <w:t xml:space="preserve"> </w:t>
      </w:r>
      <w:r w:rsidRPr="000B5B41">
        <w:rPr>
          <w:rFonts w:ascii="ITC Avant Garde" w:eastAsia="HiddenHorzOCR" w:hAnsi="ITC Avant Garde" w:cs="HiddenHorzOCR"/>
          <w:b/>
        </w:rPr>
        <w:t>que nos fueron mostrados p</w:t>
      </w:r>
      <w:r w:rsidR="00CB6417" w:rsidRPr="000B5B41">
        <w:rPr>
          <w:rFonts w:ascii="ITC Avant Garde" w:eastAsia="HiddenHorzOCR" w:hAnsi="ITC Avant Garde" w:cs="HiddenHorzOCR"/>
          <w:b/>
        </w:rPr>
        <w:t xml:space="preserve">ara estos efectos, el número de </w:t>
      </w:r>
      <w:r w:rsidRPr="000B5B41">
        <w:rPr>
          <w:rFonts w:ascii="ITC Avant Garde" w:eastAsia="HiddenHorzOCR" w:hAnsi="ITC Avant Garde" w:cs="HiddenHorzOCR"/>
          <w:b/>
        </w:rPr>
        <w:t>suscriptores del servicio de prepago y del servici</w:t>
      </w:r>
      <w:r w:rsidR="00CB6417" w:rsidRPr="000B5B41">
        <w:rPr>
          <w:rFonts w:ascii="ITC Avant Garde" w:eastAsia="HiddenHorzOCR" w:hAnsi="ITC Avant Garde" w:cs="HiddenHorzOCR"/>
          <w:b/>
        </w:rPr>
        <w:t xml:space="preserve">o de pago recurrente durante el </w:t>
      </w:r>
      <w:r w:rsidRPr="000B5B41">
        <w:rPr>
          <w:rFonts w:ascii="ITC Avant Garde" w:eastAsia="HiddenHorzOCR" w:hAnsi="ITC Avant Garde" w:cs="HiddenHorzOCR"/>
          <w:b/>
        </w:rPr>
        <w:t xml:space="preserve">periodo en los meses de marzo </w:t>
      </w:r>
      <w:r w:rsidR="000B5B41">
        <w:rPr>
          <w:rFonts w:ascii="ITC Avant Garde" w:eastAsia="HiddenHorzOCR" w:hAnsi="ITC Avant Garde" w:cs="HiddenHorzOCR"/>
          <w:b/>
        </w:rPr>
        <w:t>dos mil ocho</w:t>
      </w:r>
      <w:r w:rsidRPr="000B5B41">
        <w:rPr>
          <w:rFonts w:ascii="ITC Avant Garde" w:eastAsia="HiddenHorzOCR" w:hAnsi="ITC Avant Garde" w:cs="HiddenHorzOCR"/>
          <w:b/>
        </w:rPr>
        <w:t xml:space="preserve">, diciembre </w:t>
      </w:r>
      <w:r w:rsidR="000B5B41">
        <w:rPr>
          <w:rFonts w:ascii="ITC Avant Garde" w:eastAsia="HiddenHorzOCR" w:hAnsi="ITC Avant Garde" w:cs="HiddenHorzOCR"/>
          <w:b/>
        </w:rPr>
        <w:t>dos mil once</w:t>
      </w:r>
      <w:r w:rsidR="00CB6417" w:rsidRPr="000B5B41">
        <w:rPr>
          <w:rFonts w:ascii="ITC Avant Garde" w:eastAsia="HiddenHorzOCR" w:hAnsi="ITC Avant Garde" w:cs="HiddenHorzOCR"/>
          <w:b/>
        </w:rPr>
        <w:t xml:space="preserve"> y marzo de </w:t>
      </w:r>
      <w:r w:rsidR="000B5B41">
        <w:rPr>
          <w:rFonts w:ascii="ITC Avant Garde" w:eastAsia="HiddenHorzOCR" w:hAnsi="ITC Avant Garde" w:cs="HiddenHorzOCR"/>
          <w:b/>
        </w:rPr>
        <w:t>dos mil quince</w:t>
      </w:r>
      <w:r w:rsidR="00CB6417" w:rsidRPr="000B5B41">
        <w:rPr>
          <w:rFonts w:ascii="ITC Avant Garde" w:eastAsia="HiddenHorzOCR" w:hAnsi="ITC Avant Garde" w:cs="HiddenHorzOCR"/>
          <w:b/>
        </w:rPr>
        <w:t xml:space="preserve"> se muestra a </w:t>
      </w:r>
      <w:r w:rsidRPr="000B5B41">
        <w:rPr>
          <w:rFonts w:ascii="ITC Avant Garde" w:eastAsia="HiddenHorzOCR" w:hAnsi="ITC Avant Garde" w:cs="HiddenHorzOCR"/>
          <w:b/>
        </w:rPr>
        <w:t>continuación:</w:t>
      </w:r>
    </w:p>
    <w:p w:rsidR="00A41F9E" w:rsidRPr="005712DE" w:rsidRDefault="00A41F9E" w:rsidP="00A41F9E">
      <w:pPr>
        <w:autoSpaceDE w:val="0"/>
        <w:autoSpaceDN w:val="0"/>
        <w:adjustRightInd w:val="0"/>
        <w:spacing w:line="240" w:lineRule="auto"/>
        <w:ind w:left="284"/>
        <w:jc w:val="center"/>
        <w:rPr>
          <w:rFonts w:ascii="ITC Avant Garde" w:hAnsi="ITC Avant Garde"/>
          <w:b/>
          <w:color w:val="0000FF"/>
        </w:rPr>
      </w:pPr>
      <w:r w:rsidRPr="005712DE">
        <w:rPr>
          <w:rFonts w:ascii="ITC Avant Garde" w:hAnsi="ITC Avant Garde"/>
          <w:b/>
          <w:color w:val="0000FF"/>
        </w:rPr>
        <w:t>“CONFIDENCIAL POR LEY”</w:t>
      </w:r>
    </w:p>
    <w:p w:rsidR="00BC711C" w:rsidRPr="000B5B41" w:rsidRDefault="00BC711C" w:rsidP="000B5B41">
      <w:pPr>
        <w:autoSpaceDE w:val="0"/>
        <w:autoSpaceDN w:val="0"/>
        <w:adjustRightInd w:val="0"/>
        <w:spacing w:before="160"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Cabe señalar que los números de suscrip</w:t>
      </w:r>
      <w:r w:rsidR="000B5B41">
        <w:rPr>
          <w:rFonts w:ascii="ITC Avant Garde" w:eastAsia="HiddenHorzOCR" w:hAnsi="ITC Avant Garde" w:cs="HiddenHorzOCR"/>
          <w:b/>
        </w:rPr>
        <w:t xml:space="preserve">tores mencionados en esta tabla </w:t>
      </w:r>
      <w:r w:rsidRPr="000B5B41">
        <w:rPr>
          <w:rFonts w:ascii="ITC Avant Garde" w:eastAsia="HiddenHorzOCR" w:hAnsi="ITC Avant Garde" w:cs="HiddenHorzOCR"/>
          <w:b/>
        </w:rPr>
        <w:t xml:space="preserve">corresponden a lo que se conoce como </w:t>
      </w:r>
      <w:r w:rsidRPr="000B5B41">
        <w:rPr>
          <w:rFonts w:ascii="ITC Avant Garde" w:eastAsia="HiddenHorzOCR" w:hAnsi="ITC Avant Garde" w:cs="HiddenHorzOCR"/>
          <w:b/>
          <w:i/>
        </w:rPr>
        <w:t xml:space="preserve">Net Active </w:t>
      </w:r>
      <w:proofErr w:type="spellStart"/>
      <w:r w:rsidRPr="000B5B41">
        <w:rPr>
          <w:rFonts w:ascii="ITC Avant Garde" w:eastAsia="HiddenHorzOCR" w:hAnsi="ITC Avant Garde" w:cs="HiddenHorzOCR"/>
          <w:b/>
          <w:i/>
        </w:rPr>
        <w:t>Subscribers</w:t>
      </w:r>
      <w:proofErr w:type="spellEnd"/>
      <w:r w:rsidRPr="000B5B41">
        <w:rPr>
          <w:rFonts w:ascii="ITC Avant Garde" w:eastAsia="HiddenHorzOCR" w:hAnsi="ITC Avant Garde" w:cs="HiddenHorzOCR"/>
          <w:b/>
        </w:rPr>
        <w:t xml:space="preserve"> o (NAS) que es equivalente al número de suscriptores al final del periodo de que se trate menos bloqueos (suscriptores activos pero que no pagaron).</w:t>
      </w:r>
    </w:p>
    <w:p w:rsidR="00BC711C" w:rsidRPr="00926528" w:rsidRDefault="00BC711C" w:rsidP="00973AD5">
      <w:pPr>
        <w:autoSpaceDE w:val="0"/>
        <w:autoSpaceDN w:val="0"/>
        <w:adjustRightInd w:val="0"/>
        <w:spacing w:line="240" w:lineRule="auto"/>
        <w:jc w:val="both"/>
        <w:rPr>
          <w:rFonts w:ascii="ITC Avant Garde" w:eastAsia="HiddenHorzOCR" w:hAnsi="ITC Avant Garde" w:cs="HiddenHorzOCR"/>
          <w:szCs w:val="24"/>
        </w:rPr>
      </w:pPr>
      <w:r w:rsidRPr="00926528">
        <w:rPr>
          <w:rFonts w:ascii="ITC Avant Garde" w:eastAsia="HiddenHorzOCR" w:hAnsi="ITC Avant Garde" w:cs="HiddenHorzOCR"/>
          <w:szCs w:val="24"/>
        </w:rPr>
        <w:lastRenderedPageBreak/>
        <w:t>11.- Que diga el perito e indique si existió una variación en el número de suscriptores del se</w:t>
      </w:r>
      <w:r w:rsidR="00E639AC" w:rsidRPr="00926528">
        <w:rPr>
          <w:rFonts w:ascii="ITC Avant Garde" w:eastAsia="HiddenHorzOCR" w:hAnsi="ITC Avant Garde" w:cs="HiddenHorzOCR"/>
          <w:szCs w:val="24"/>
        </w:rPr>
        <w:t>r</w:t>
      </w:r>
      <w:r w:rsidRPr="00926528">
        <w:rPr>
          <w:rFonts w:ascii="ITC Avant Garde" w:eastAsia="HiddenHorzOCR" w:hAnsi="ITC Avant Garde" w:cs="HiddenHorzOCR"/>
          <w:szCs w:val="24"/>
        </w:rPr>
        <w:t>vicio de Pre-Pa</w:t>
      </w:r>
      <w:r w:rsidR="000B5B41">
        <w:rPr>
          <w:rFonts w:ascii="ITC Avant Garde" w:eastAsia="HiddenHorzOCR" w:hAnsi="ITC Avant Garde" w:cs="HiddenHorzOCR"/>
          <w:szCs w:val="24"/>
        </w:rPr>
        <w:t>go durante el periodo marzo dos mil ocho</w:t>
      </w:r>
      <w:r w:rsidRPr="00926528">
        <w:rPr>
          <w:rFonts w:ascii="ITC Avant Garde" w:eastAsia="HiddenHorzOCR" w:hAnsi="ITC Avant Garde" w:cs="HiddenHorzOCR"/>
          <w:szCs w:val="24"/>
        </w:rPr>
        <w:t xml:space="preserve"> a marzo </w:t>
      </w:r>
      <w:r w:rsidR="000B5B41">
        <w:rPr>
          <w:rFonts w:ascii="ITC Avant Garde" w:eastAsia="HiddenHorzOCR" w:hAnsi="ITC Avant Garde" w:cs="HiddenHorzOCR"/>
          <w:szCs w:val="24"/>
        </w:rPr>
        <w:t>dos mil quince</w:t>
      </w:r>
      <w:r w:rsidRPr="00926528">
        <w:rPr>
          <w:rFonts w:ascii="ITC Avant Garde" w:eastAsia="HiddenHorzOCR" w:hAnsi="ITC Avant Garde" w:cs="HiddenHorzOCR"/>
          <w:szCs w:val="24"/>
        </w:rPr>
        <w:t>.</w:t>
      </w:r>
    </w:p>
    <w:p w:rsidR="00BC711C" w:rsidRPr="000B5B41" w:rsidRDefault="00BC711C" w:rsidP="00DC0EB2">
      <w:pPr>
        <w:autoSpaceDE w:val="0"/>
        <w:autoSpaceDN w:val="0"/>
        <w:adjustRightInd w:val="0"/>
        <w:spacing w:line="240" w:lineRule="auto"/>
        <w:ind w:left="284"/>
        <w:jc w:val="both"/>
        <w:rPr>
          <w:rFonts w:ascii="ITC Avant Garde" w:eastAsia="HiddenHorzOCR" w:hAnsi="ITC Avant Garde" w:cs="HiddenHorzOCR"/>
          <w:b/>
          <w:szCs w:val="20"/>
        </w:rPr>
      </w:pPr>
      <w:r w:rsidRPr="000B5B41">
        <w:rPr>
          <w:rFonts w:ascii="ITC Avant Garde" w:eastAsia="HiddenHorzOCR" w:hAnsi="ITC Avant Garde" w:cs="HiddenHorzOCR"/>
          <w:b/>
          <w:szCs w:val="20"/>
        </w:rPr>
        <w:t xml:space="preserve">Conforme a lo mostrado en la respuesta a la pregunta 10 anterior, se puede observar que el número de suscriptores del servicio de </w:t>
      </w:r>
      <w:r w:rsidR="000B5B41">
        <w:rPr>
          <w:rFonts w:ascii="ITC Avant Garde" w:eastAsia="HiddenHorzOCR" w:hAnsi="ITC Avant Garde" w:cs="HiddenHorzOCR"/>
          <w:b/>
          <w:szCs w:val="20"/>
        </w:rPr>
        <w:t>prepago del mes de marzo de dos mil ocho</w:t>
      </w:r>
      <w:r w:rsidRPr="000B5B41">
        <w:rPr>
          <w:rFonts w:ascii="ITC Avant Garde" w:eastAsia="HiddenHorzOCR" w:hAnsi="ITC Avant Garde" w:cs="HiddenHorzOCR"/>
          <w:b/>
          <w:szCs w:val="20"/>
        </w:rPr>
        <w:t xml:space="preserve"> a diciembr</w:t>
      </w:r>
      <w:r w:rsidR="000B5B41">
        <w:rPr>
          <w:rFonts w:ascii="ITC Avant Garde" w:eastAsia="HiddenHorzOCR" w:hAnsi="ITC Avant Garde" w:cs="HiddenHorzOCR"/>
          <w:b/>
          <w:szCs w:val="20"/>
        </w:rPr>
        <w:t>e de dos mil once</w:t>
      </w:r>
      <w:r w:rsidRPr="000B5B41">
        <w:rPr>
          <w:rFonts w:ascii="ITC Avant Garde" w:eastAsia="HiddenHorzOCR" w:hAnsi="ITC Avant Garde" w:cs="HiddenHorzOCR"/>
          <w:b/>
          <w:szCs w:val="20"/>
        </w:rPr>
        <w:t xml:space="preserve"> </w:t>
      </w:r>
      <w:r w:rsidR="00A41F9E" w:rsidRPr="006A03B7">
        <w:rPr>
          <w:rFonts w:ascii="ITC Avant Garde" w:eastAsia="HiddenHorzOCR" w:hAnsi="ITC Avant Garde" w:cs="HiddenHorzOCR"/>
          <w:b/>
          <w:color w:val="0000FF"/>
          <w:szCs w:val="20"/>
        </w:rPr>
        <w:t>“CONFIDENCIAL POR LEY”</w:t>
      </w:r>
      <w:r w:rsidRPr="00A41F9E">
        <w:rPr>
          <w:rFonts w:ascii="ITC Avant Garde" w:eastAsia="HiddenHorzOCR" w:hAnsi="ITC Avant Garde" w:cs="HiddenHorzOCR"/>
          <w:color w:val="0000FF"/>
          <w:szCs w:val="20"/>
        </w:rPr>
        <w:t>.</w:t>
      </w:r>
      <w:r w:rsidRPr="00A41F9E">
        <w:rPr>
          <w:rFonts w:ascii="ITC Avant Garde" w:eastAsia="HiddenHorzOCR" w:hAnsi="ITC Avant Garde" w:cs="HiddenHorzOCR"/>
          <w:b/>
          <w:color w:val="0000FF"/>
          <w:szCs w:val="20"/>
        </w:rPr>
        <w:t xml:space="preserve"> </w:t>
      </w:r>
      <w:r w:rsidRPr="000B5B41">
        <w:rPr>
          <w:rFonts w:ascii="ITC Avant Garde" w:eastAsia="HiddenHorzOCR" w:hAnsi="ITC Avant Garde" w:cs="HiddenHorzOCR"/>
          <w:b/>
          <w:szCs w:val="20"/>
        </w:rPr>
        <w:t>Post</w:t>
      </w:r>
      <w:r w:rsidR="000B5B41">
        <w:rPr>
          <w:rFonts w:ascii="ITC Avant Garde" w:eastAsia="HiddenHorzOCR" w:hAnsi="ITC Avant Garde" w:cs="HiddenHorzOCR"/>
          <w:b/>
          <w:szCs w:val="20"/>
        </w:rPr>
        <w:t>eriormente, de diciembre de dos mil once a marzo de dos mil quince</w:t>
      </w:r>
      <w:r w:rsidRPr="000B5B41">
        <w:rPr>
          <w:rFonts w:ascii="ITC Avant Garde" w:eastAsia="HiddenHorzOCR" w:hAnsi="ITC Avant Garde" w:cs="HiddenHorzOCR"/>
          <w:b/>
          <w:szCs w:val="20"/>
        </w:rPr>
        <w:t xml:space="preserve"> el número de suscriptores </w:t>
      </w:r>
      <w:r w:rsidR="005712DE" w:rsidRPr="00A41F9E">
        <w:rPr>
          <w:rFonts w:ascii="ITC Avant Garde" w:eastAsia="HiddenHorzOCR" w:hAnsi="ITC Avant Garde" w:cs="HiddenHorzOCR"/>
          <w:b/>
          <w:color w:val="0000FF"/>
          <w:szCs w:val="24"/>
        </w:rPr>
        <w:t>“CONFIDENCIAL POR LEY”</w:t>
      </w:r>
      <w:r w:rsidRPr="000B5B41">
        <w:rPr>
          <w:rFonts w:ascii="ITC Avant Garde" w:eastAsia="HiddenHorzOCR" w:hAnsi="ITC Avant Garde" w:cs="HiddenHorzOCR"/>
          <w:b/>
          <w:szCs w:val="20"/>
        </w:rPr>
        <w:t>. En consecuencia, se puede afirmar que sí existió una variación en el número de suscriptores del servicio de prepa</w:t>
      </w:r>
      <w:r w:rsidR="000B5B41">
        <w:rPr>
          <w:rFonts w:ascii="ITC Avant Garde" w:eastAsia="HiddenHorzOCR" w:hAnsi="ITC Avant Garde" w:cs="HiddenHorzOCR"/>
          <w:b/>
          <w:szCs w:val="20"/>
        </w:rPr>
        <w:t>go desde el mes de marzo de dos mil ocho al mes de marzo de dos mil quince</w:t>
      </w:r>
      <w:r w:rsidRPr="000B5B41">
        <w:rPr>
          <w:rFonts w:ascii="ITC Avant Garde" w:eastAsia="HiddenHorzOCR" w:hAnsi="ITC Avant Garde" w:cs="HiddenHorzOCR"/>
          <w:b/>
          <w:szCs w:val="20"/>
        </w:rPr>
        <w:t>.</w:t>
      </w:r>
    </w:p>
    <w:p w:rsidR="007E4A5A" w:rsidRPr="00926528" w:rsidRDefault="007E4A5A" w:rsidP="00973AD5">
      <w:pPr>
        <w:autoSpaceDE w:val="0"/>
        <w:autoSpaceDN w:val="0"/>
        <w:adjustRightInd w:val="0"/>
        <w:spacing w:line="240" w:lineRule="auto"/>
        <w:jc w:val="both"/>
        <w:rPr>
          <w:rFonts w:ascii="ITC Avant Garde" w:eastAsia="HiddenHorzOCR" w:hAnsi="ITC Avant Garde" w:cs="HiddenHorzOCR"/>
          <w:szCs w:val="24"/>
        </w:rPr>
      </w:pPr>
      <w:r w:rsidRPr="00926528">
        <w:rPr>
          <w:rFonts w:ascii="ITC Avant Garde" w:eastAsia="HiddenHorzOCR" w:hAnsi="ITC Avant Garde" w:cs="HiddenHorzOCR"/>
          <w:szCs w:val="24"/>
        </w:rPr>
        <w:t xml:space="preserve">12.- Que indique el perito el Costo Unitario Promedio Mensual de Programación de cada paquete que comercializa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926528">
        <w:rPr>
          <w:rFonts w:ascii="ITC Avant Garde" w:eastAsia="HiddenHorzOCR" w:hAnsi="ITC Avant Garde" w:cs="HiddenHorzOCR"/>
          <w:szCs w:val="24"/>
        </w:rPr>
        <w:t>de los perio</w:t>
      </w:r>
      <w:r w:rsidR="000B5B41">
        <w:rPr>
          <w:rFonts w:ascii="ITC Avant Garde" w:eastAsia="HiddenHorzOCR" w:hAnsi="ITC Avant Garde" w:cs="HiddenHorzOCR"/>
          <w:szCs w:val="24"/>
        </w:rPr>
        <w:t>dos marzo del dos mil ocho y marzo del dos mil quince</w:t>
      </w:r>
      <w:r w:rsidR="00B932C6" w:rsidRPr="00926528">
        <w:rPr>
          <w:rFonts w:ascii="ITC Avant Garde" w:eastAsia="HiddenHorzOCR" w:hAnsi="ITC Avant Garde" w:cs="HiddenHorzOCR"/>
          <w:szCs w:val="24"/>
        </w:rPr>
        <w:t>.</w:t>
      </w:r>
    </w:p>
    <w:p w:rsidR="00BC711C" w:rsidRPr="000B5B41" w:rsidRDefault="007E4A5A" w:rsidP="000B5B41">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A continuación se muestra el Costo Unitario Promedio Mensual de Programación de cada paquete comercializado por SKY de los period</w:t>
      </w:r>
      <w:r w:rsidR="000B5B41">
        <w:rPr>
          <w:rFonts w:ascii="ITC Avant Garde" w:eastAsia="HiddenHorzOCR" w:hAnsi="ITC Avant Garde" w:cs="HiddenHorzOCR"/>
          <w:b/>
        </w:rPr>
        <w:t>os marzo de 2008 y marzo de dos mil quince</w:t>
      </w:r>
      <w:r w:rsidRPr="000B5B41">
        <w:rPr>
          <w:rFonts w:ascii="ITC Avant Garde" w:eastAsia="HiddenHorzOCR" w:hAnsi="ITC Avant Garde" w:cs="HiddenHorzOCR"/>
          <w:b/>
        </w:rPr>
        <w:t>, conforme se desprende de los sistemas de información contable ("</w:t>
      </w:r>
      <w:r w:rsidRPr="000B5B41">
        <w:rPr>
          <w:rFonts w:ascii="ITC Avant Garde" w:eastAsia="HiddenHorzOCR" w:hAnsi="ITC Avant Garde" w:cs="HiddenHorzOCR"/>
          <w:b/>
          <w:i/>
          <w:sz w:val="20"/>
        </w:rPr>
        <w:t>SAP</w:t>
      </w:r>
      <w:r w:rsidRPr="000B5B41">
        <w:rPr>
          <w:rFonts w:ascii="ITC Avant Garde" w:eastAsia="HiddenHorzOCR" w:hAnsi="ITC Avant Garde" w:cs="HiddenHorzOCR"/>
          <w:b/>
        </w:rPr>
        <w:t xml:space="preserve">") y estadísticos de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0B5B41">
        <w:rPr>
          <w:rFonts w:ascii="ITC Avant Garde" w:eastAsia="HiddenHorzOCR" w:hAnsi="ITC Avant Garde" w:cs="HiddenHorzOCR"/>
          <w:b/>
        </w:rPr>
        <w:t>que nos fueron mostrados para estos efectos:</w:t>
      </w:r>
    </w:p>
    <w:p w:rsidR="007E4A5A" w:rsidRDefault="000B5B41" w:rsidP="005712DE">
      <w:pPr>
        <w:pStyle w:val="Prrafodelista"/>
        <w:numPr>
          <w:ilvl w:val="0"/>
          <w:numId w:val="7"/>
        </w:numPr>
        <w:autoSpaceDE w:val="0"/>
        <w:autoSpaceDN w:val="0"/>
        <w:adjustRightInd w:val="0"/>
        <w:spacing w:line="240" w:lineRule="auto"/>
        <w:contextualSpacing w:val="0"/>
        <w:jc w:val="both"/>
        <w:rPr>
          <w:rFonts w:ascii="ITC Avant Garde" w:eastAsia="HiddenHorzOCR" w:hAnsi="ITC Avant Garde" w:cs="HiddenHorzOCR"/>
          <w:b/>
        </w:rPr>
      </w:pPr>
      <w:r w:rsidRPr="000B5B41">
        <w:rPr>
          <w:rFonts w:ascii="ITC Avant Garde" w:eastAsia="HiddenHorzOCR" w:hAnsi="ITC Avant Garde" w:cs="HiddenHorzOCR"/>
          <w:b/>
        </w:rPr>
        <w:t>Marzo de dos mil ocho</w:t>
      </w:r>
    </w:p>
    <w:p w:rsidR="005712DE" w:rsidRDefault="005712DE" w:rsidP="005712DE">
      <w:pPr>
        <w:autoSpaceDE w:val="0"/>
        <w:autoSpaceDN w:val="0"/>
        <w:adjustRightInd w:val="0"/>
        <w:spacing w:line="240" w:lineRule="auto"/>
        <w:ind w:left="284"/>
        <w:jc w:val="center"/>
        <w:rPr>
          <w:rFonts w:ascii="ITC Avant Garde" w:eastAsia="HiddenHorzOCR" w:hAnsi="ITC Avant Garde" w:cs="HiddenHorzOCR"/>
          <w:b/>
          <w:color w:val="0000FF"/>
          <w:szCs w:val="24"/>
        </w:rPr>
      </w:pPr>
      <w:r w:rsidRPr="00A41F9E">
        <w:rPr>
          <w:rFonts w:ascii="ITC Avant Garde" w:eastAsia="HiddenHorzOCR" w:hAnsi="ITC Avant Garde" w:cs="HiddenHorzOCR"/>
          <w:b/>
          <w:color w:val="0000FF"/>
          <w:szCs w:val="24"/>
        </w:rPr>
        <w:t>“CONFIDENCIAL POR LEY”</w:t>
      </w:r>
    </w:p>
    <w:p w:rsidR="000B5B41" w:rsidRDefault="00AC1F79" w:rsidP="000B5B41">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Cifras en pesos.</w:t>
      </w:r>
    </w:p>
    <w:p w:rsidR="00AC1F79" w:rsidRDefault="000B5B41" w:rsidP="000B5B41">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xml:space="preserve">b) </w:t>
      </w:r>
      <w:r>
        <w:rPr>
          <w:rFonts w:ascii="ITC Avant Garde" w:eastAsia="HiddenHorzOCR" w:hAnsi="ITC Avant Garde" w:cs="HiddenHorzOCR"/>
          <w:b/>
        </w:rPr>
        <w:t>Marzo de dos mil quince</w:t>
      </w:r>
    </w:p>
    <w:p w:rsidR="005712DE" w:rsidRDefault="005712DE" w:rsidP="005712DE">
      <w:pPr>
        <w:autoSpaceDE w:val="0"/>
        <w:autoSpaceDN w:val="0"/>
        <w:adjustRightInd w:val="0"/>
        <w:spacing w:line="240" w:lineRule="auto"/>
        <w:ind w:left="284"/>
        <w:jc w:val="center"/>
        <w:rPr>
          <w:rFonts w:ascii="ITC Avant Garde" w:eastAsia="HiddenHorzOCR" w:hAnsi="ITC Avant Garde" w:cs="HiddenHorzOCR"/>
          <w:b/>
          <w:color w:val="0000FF"/>
          <w:szCs w:val="24"/>
        </w:rPr>
      </w:pPr>
      <w:r w:rsidRPr="00A41F9E">
        <w:rPr>
          <w:rFonts w:ascii="ITC Avant Garde" w:eastAsia="HiddenHorzOCR" w:hAnsi="ITC Avant Garde" w:cs="HiddenHorzOCR"/>
          <w:b/>
          <w:color w:val="0000FF"/>
          <w:szCs w:val="24"/>
        </w:rPr>
        <w:t>“CONFIDENCIAL POR LEY”</w:t>
      </w:r>
    </w:p>
    <w:p w:rsidR="004B2ACA" w:rsidRPr="000B5B41" w:rsidRDefault="004B2ACA"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Cifras en pesos.</w:t>
      </w:r>
    </w:p>
    <w:p w:rsidR="00166F39" w:rsidRPr="00926528" w:rsidRDefault="00166F39" w:rsidP="00973AD5">
      <w:pPr>
        <w:autoSpaceDE w:val="0"/>
        <w:autoSpaceDN w:val="0"/>
        <w:adjustRightInd w:val="0"/>
        <w:spacing w:line="240" w:lineRule="auto"/>
        <w:jc w:val="both"/>
        <w:rPr>
          <w:rFonts w:ascii="ITC Avant Garde" w:eastAsia="HiddenHorzOCR" w:hAnsi="ITC Avant Garde" w:cs="HiddenHorzOCR"/>
          <w:szCs w:val="24"/>
        </w:rPr>
      </w:pPr>
      <w:r w:rsidRPr="00926528">
        <w:rPr>
          <w:rFonts w:ascii="ITC Avant Garde" w:eastAsia="HiddenHorzOCR" w:hAnsi="ITC Avant Garde" w:cs="HiddenHorzOCR"/>
          <w:szCs w:val="24"/>
        </w:rPr>
        <w:t xml:space="preserve">13.- Que determine el perito cuáles son las cantidades de </w:t>
      </w:r>
      <w:r w:rsidR="00AF49F1">
        <w:rPr>
          <w:rFonts w:ascii="ITC Avant Garde" w:eastAsia="HiddenHorzOCR" w:hAnsi="ITC Avant Garde" w:cs="HiddenHorzOCR"/>
          <w:szCs w:val="24"/>
        </w:rPr>
        <w:t>EBITDA</w:t>
      </w:r>
      <w:r w:rsidRPr="00926528">
        <w:rPr>
          <w:rFonts w:ascii="ITC Avant Garde" w:eastAsia="HiddenHorzOCR" w:hAnsi="ITC Avant Garde" w:cs="HiddenHorzOCR"/>
          <w:szCs w:val="24"/>
        </w:rPr>
        <w:t xml:space="preserve"> y de CAPEX de las</w:t>
      </w:r>
      <w:r w:rsidR="00600AC8">
        <w:rPr>
          <w:rFonts w:ascii="ITC Avant Garde" w:eastAsia="HiddenHorzOCR" w:hAnsi="ITC Avant Garde" w:cs="HiddenHorzOCR"/>
          <w:szCs w:val="24"/>
        </w:rPr>
        <w:t xml:space="preserve"> empresas</w:t>
      </w:r>
      <w:r w:rsidRPr="00926528">
        <w:rPr>
          <w:rFonts w:ascii="ITC Avant Garde" w:eastAsia="HiddenHorzOCR" w:hAnsi="ITC Avant Garde" w:cs="HiddenHorzOCR"/>
          <w:szCs w:val="24"/>
        </w:rPr>
        <w:t xml:space="preserve"> </w:t>
      </w:r>
      <w:r w:rsidR="005712DE" w:rsidRPr="00A41F9E">
        <w:rPr>
          <w:rFonts w:ascii="ITC Avant Garde" w:eastAsia="HiddenHorzOCR" w:hAnsi="ITC Avant Garde" w:cs="HiddenHorzOCR"/>
          <w:b/>
          <w:color w:val="0000FF"/>
          <w:szCs w:val="24"/>
        </w:rPr>
        <w:t>“CONFIDENCIAL POR LEY”</w:t>
      </w:r>
      <w:r w:rsidR="000B5B41">
        <w:rPr>
          <w:rFonts w:ascii="ITC Avant Garde" w:eastAsia="HiddenHorzOCR" w:hAnsi="ITC Avant Garde" w:cs="HiddenHorzOCR"/>
          <w:szCs w:val="24"/>
        </w:rPr>
        <w:t>. durante el período dos mil nueve a agosto de dos mil catorce</w:t>
      </w:r>
      <w:r w:rsidRPr="00926528">
        <w:rPr>
          <w:rFonts w:ascii="ITC Avant Garde" w:eastAsia="HiddenHorzOCR" w:hAnsi="ITC Avant Garde" w:cs="HiddenHorzOCR"/>
          <w:szCs w:val="24"/>
        </w:rPr>
        <w:t>.</w:t>
      </w:r>
    </w:p>
    <w:p w:rsidR="00166F39" w:rsidRPr="000B5B41" w:rsidRDefault="00166F39"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xml:space="preserve">De la revisión al escrito mediante el cual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0B5B41">
        <w:rPr>
          <w:rFonts w:ascii="ITC Avant Garde" w:eastAsia="HiddenHorzOCR" w:hAnsi="ITC Avant Garde" w:cs="HiddenHorzOCR"/>
          <w:b/>
        </w:rPr>
        <w:t>realiza manifestaciones al Dictamen Preliminar, así como de la revisión de los reportes trimestrales publicados dura</w:t>
      </w:r>
      <w:r w:rsidR="000B5B41">
        <w:rPr>
          <w:rFonts w:ascii="ITC Avant Garde" w:eastAsia="HiddenHorzOCR" w:hAnsi="ITC Avant Garde" w:cs="HiddenHorzOCR"/>
          <w:b/>
        </w:rPr>
        <w:t>nte los años de dos mil nueve a dos mil catorce</w:t>
      </w:r>
      <w:r w:rsidRPr="000B5B41">
        <w:rPr>
          <w:rFonts w:ascii="ITC Avant Garde" w:eastAsia="HiddenHorzOCR" w:hAnsi="ITC Avant Garde" w:cs="HiddenHorzOCR"/>
          <w:b/>
        </w:rPr>
        <w:t xml:space="preserve"> por </w:t>
      </w:r>
      <w:r w:rsidR="00600AC8" w:rsidRPr="00A41F9E">
        <w:rPr>
          <w:rFonts w:ascii="ITC Avant Garde" w:eastAsia="HiddenHorzOCR" w:hAnsi="ITC Avant Garde" w:cs="HiddenHorzOCR"/>
          <w:b/>
          <w:color w:val="0000FF"/>
          <w:szCs w:val="24"/>
        </w:rPr>
        <w:t>“CONFIDENCIAL POR LEY”</w:t>
      </w:r>
      <w:r w:rsidRPr="000B5B41">
        <w:rPr>
          <w:rFonts w:ascii="ITC Avant Garde" w:eastAsia="HiddenHorzOCR" w:hAnsi="ITC Avant Garde" w:cs="HiddenHorzOCR"/>
          <w:b/>
        </w:rPr>
        <w:t xml:space="preserve">, es evidente que la gráfica que se acompaña en la página 138 del citado escrito contiene los datos comparativos entre el EBITDA y el CAPEX de las empresas </w:t>
      </w:r>
      <w:r w:rsidR="005712DE" w:rsidRPr="00A41F9E">
        <w:rPr>
          <w:rFonts w:ascii="ITC Avant Garde" w:eastAsia="HiddenHorzOCR" w:hAnsi="ITC Avant Garde" w:cs="HiddenHorzOCR"/>
          <w:b/>
          <w:color w:val="0000FF"/>
          <w:szCs w:val="24"/>
        </w:rPr>
        <w:t>“CONFIDENCIAL POR LEY”</w:t>
      </w:r>
      <w:r w:rsidRPr="000B5B41">
        <w:rPr>
          <w:rFonts w:ascii="ITC Avant Garde" w:eastAsia="HiddenHorzOCR" w:hAnsi="ITC Avant Garde" w:cs="HiddenHorzOCR"/>
          <w:b/>
        </w:rPr>
        <w:t>, por lo que esta pregunta debe plantearse en relación con dichas sociedades y no</w:t>
      </w:r>
      <w:r w:rsidR="00BF48EC" w:rsidRPr="000B5B41">
        <w:rPr>
          <w:rFonts w:ascii="ITC Avant Garde" w:eastAsia="HiddenHorzOCR" w:hAnsi="ITC Avant Garde" w:cs="HiddenHorzOCR"/>
          <w:b/>
        </w:rPr>
        <w:t xml:space="preserve"> con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w:t>
      </w:r>
      <w:r w:rsidRPr="000B5B41">
        <w:rPr>
          <w:rFonts w:ascii="ITC Avant Garde" w:eastAsia="HiddenHorzOCR" w:hAnsi="ITC Avant Garde" w:cs="HiddenHorzOCR"/>
          <w:b/>
        </w:rPr>
        <w:t xml:space="preserve"> la cual no cobra relevancia para el análisis a realizar. Por lo anterior, este perito efectúa su análisis considerando a </w:t>
      </w:r>
      <w:r w:rsidR="005712DE" w:rsidRPr="00A41F9E">
        <w:rPr>
          <w:rFonts w:ascii="ITC Avant Garde" w:eastAsia="HiddenHorzOCR" w:hAnsi="ITC Avant Garde" w:cs="HiddenHorzOCR"/>
          <w:b/>
          <w:color w:val="0000FF"/>
          <w:szCs w:val="24"/>
        </w:rPr>
        <w:t>“CONFIDENCIAL POR LEY”</w:t>
      </w:r>
      <w:r w:rsidRPr="000B5B41">
        <w:rPr>
          <w:rFonts w:ascii="ITC Avant Garde" w:eastAsia="HiddenHorzOCR" w:hAnsi="ITC Avant Garde" w:cs="HiddenHorzOCR"/>
          <w:b/>
        </w:rPr>
        <w:t>.</w:t>
      </w:r>
    </w:p>
    <w:p w:rsidR="00166F39" w:rsidRDefault="00166F39"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En este sentido, considerando la inform</w:t>
      </w:r>
      <w:r w:rsidR="00E52B1D" w:rsidRPr="000B5B41">
        <w:rPr>
          <w:rFonts w:ascii="ITC Avant Garde" w:eastAsia="HiddenHorzOCR" w:hAnsi="ITC Avant Garde" w:cs="HiddenHorzOCR"/>
          <w:b/>
        </w:rPr>
        <w:t xml:space="preserve">ación contenida en los reportes </w:t>
      </w:r>
      <w:r w:rsidRPr="00856C2D">
        <w:rPr>
          <w:rFonts w:ascii="ITC Avant Garde" w:eastAsia="HiddenHorzOCR" w:hAnsi="ITC Avant Garde" w:cs="HiddenHorzOCR"/>
          <w:b/>
        </w:rPr>
        <w:t xml:space="preserve">trimestrales disponible en el sitio web de </w:t>
      </w:r>
      <w:r w:rsidR="00600AC8" w:rsidRPr="00A41F9E">
        <w:rPr>
          <w:rFonts w:ascii="ITC Avant Garde" w:eastAsia="HiddenHorzOCR" w:hAnsi="ITC Avant Garde" w:cs="HiddenHorzOCR"/>
          <w:b/>
          <w:color w:val="0000FF"/>
          <w:szCs w:val="24"/>
        </w:rPr>
        <w:t>“CONFIDENCIAL POR LEY”</w:t>
      </w:r>
      <w:r w:rsidR="00600AC8">
        <w:rPr>
          <w:rFonts w:ascii="ITC Avant Garde" w:eastAsia="HiddenHorzOCR" w:hAnsi="ITC Avant Garde" w:cs="HiddenHorzOCR"/>
          <w:b/>
          <w:color w:val="0000FF"/>
          <w:szCs w:val="24"/>
        </w:rPr>
        <w:t xml:space="preserve"> </w:t>
      </w:r>
      <w:r w:rsidRPr="00856C2D">
        <w:rPr>
          <w:rFonts w:ascii="ITC Avant Garde" w:eastAsia="HiddenHorzOCR" w:hAnsi="ITC Avant Garde" w:cs="HiddenHorzOCR"/>
          <w:b/>
        </w:rPr>
        <w:lastRenderedPageBreak/>
        <w:t>(</w:t>
      </w:r>
      <w:r w:rsidR="00392414" w:rsidRPr="00C37B2F">
        <w:rPr>
          <w:rFonts w:ascii="ITC Avant Garde" w:hAnsi="ITC Avant Garde"/>
          <w:b/>
        </w:rPr>
        <w:t>http://www.televisair.com/es/reportes-trimestrales/</w:t>
      </w:r>
      <w:r w:rsidR="00E52B1D" w:rsidRPr="00856C2D">
        <w:rPr>
          <w:rFonts w:ascii="ITC Avant Garde" w:eastAsia="HiddenHorzOCR" w:hAnsi="ITC Avant Garde" w:cs="HiddenHorzOCR"/>
          <w:b/>
        </w:rPr>
        <w:t xml:space="preserve">), </w:t>
      </w:r>
      <w:r w:rsidRPr="00856C2D">
        <w:rPr>
          <w:rFonts w:ascii="ITC Avant Garde" w:eastAsia="HiddenHorzOCR" w:hAnsi="ITC Avant Garde" w:cs="HiddenHorzOCR"/>
          <w:b/>
        </w:rPr>
        <w:t>así como diversos reportes contabl</w:t>
      </w:r>
      <w:r w:rsidR="00E52B1D" w:rsidRPr="00856C2D">
        <w:rPr>
          <w:rFonts w:ascii="ITC Avant Garde" w:eastAsia="HiddenHorzOCR" w:hAnsi="ITC Avant Garde" w:cs="HiddenHorzOCR"/>
          <w:b/>
        </w:rPr>
        <w:t xml:space="preserve">es y financieros de las citadas </w:t>
      </w:r>
      <w:r w:rsidRPr="00856C2D">
        <w:rPr>
          <w:rFonts w:ascii="ITC Avant Garde" w:eastAsia="HiddenHorzOCR" w:hAnsi="ITC Avant Garde" w:cs="HiddenHorzOCR"/>
          <w:b/>
        </w:rPr>
        <w:t>empresas</w:t>
      </w:r>
      <w:r w:rsidRPr="000B5B41">
        <w:rPr>
          <w:rFonts w:ascii="ITC Avant Garde" w:eastAsia="HiddenHorzOCR" w:hAnsi="ITC Avant Garde" w:cs="HiddenHorzOCR"/>
          <w:b/>
        </w:rPr>
        <w:t>, a continuación se muestran las canti</w:t>
      </w:r>
      <w:r w:rsidR="00E52B1D" w:rsidRPr="000B5B41">
        <w:rPr>
          <w:rFonts w:ascii="ITC Avant Garde" w:eastAsia="HiddenHorzOCR" w:hAnsi="ITC Avant Garde" w:cs="HiddenHorzOCR"/>
          <w:b/>
        </w:rPr>
        <w:t xml:space="preserve">dades de EBITDA y CAPEX de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0B5B41">
        <w:rPr>
          <w:rFonts w:ascii="ITC Avant Garde" w:eastAsia="HiddenHorzOCR" w:hAnsi="ITC Avant Garde" w:cs="HiddenHorzOCR"/>
          <w:b/>
        </w:rPr>
        <w:t>determinados para lo</w:t>
      </w:r>
      <w:r w:rsidR="000B5B41">
        <w:rPr>
          <w:rFonts w:ascii="ITC Avant Garde" w:eastAsia="HiddenHorzOCR" w:hAnsi="ITC Avant Garde" w:cs="HiddenHorzOCR"/>
          <w:b/>
        </w:rPr>
        <w:t>s años de dos mil nueve a dos mil trece</w:t>
      </w:r>
      <w:r w:rsidR="00E52B1D" w:rsidRPr="000B5B41">
        <w:rPr>
          <w:rFonts w:ascii="ITC Avant Garde" w:eastAsia="HiddenHorzOCR" w:hAnsi="ITC Avant Garde" w:cs="HiddenHorzOCR"/>
          <w:b/>
        </w:rPr>
        <w:t xml:space="preserve"> y enero a </w:t>
      </w:r>
      <w:r w:rsidR="000B5B41">
        <w:rPr>
          <w:rFonts w:ascii="ITC Avant Garde" w:eastAsia="HiddenHorzOCR" w:hAnsi="ITC Avant Garde" w:cs="HiddenHorzOCR"/>
          <w:b/>
        </w:rPr>
        <w:t>septiembre de dos mil catorce</w:t>
      </w:r>
      <w:r w:rsidRPr="000B5B41">
        <w:rPr>
          <w:rFonts w:ascii="ITC Avant Garde" w:eastAsia="HiddenHorzOCR" w:hAnsi="ITC Avant Garde" w:cs="HiddenHorzOCR"/>
          <w:b/>
        </w:rPr>
        <w:t>:</w:t>
      </w:r>
    </w:p>
    <w:p w:rsidR="00A771C2" w:rsidRDefault="005712DE" w:rsidP="005712DE">
      <w:pPr>
        <w:autoSpaceDE w:val="0"/>
        <w:autoSpaceDN w:val="0"/>
        <w:adjustRightInd w:val="0"/>
        <w:spacing w:line="240" w:lineRule="auto"/>
        <w:jc w:val="center"/>
        <w:rPr>
          <w:rFonts w:ascii="ITC Avant Garde" w:eastAsia="HiddenHorzOCR" w:hAnsi="ITC Avant Garde" w:cs="HiddenHorzOCR"/>
          <w:sz w:val="20"/>
          <w:szCs w:val="20"/>
        </w:rPr>
      </w:pPr>
      <w:r w:rsidRPr="00A41F9E">
        <w:rPr>
          <w:rFonts w:ascii="ITC Avant Garde" w:eastAsia="HiddenHorzOCR" w:hAnsi="ITC Avant Garde" w:cs="HiddenHorzOCR"/>
          <w:b/>
          <w:color w:val="0000FF"/>
          <w:szCs w:val="24"/>
        </w:rPr>
        <w:t>“CONFIDENCIAL POR LEY”</w:t>
      </w:r>
    </w:p>
    <w:p w:rsidR="00251C02" w:rsidRPr="000B5B41" w:rsidRDefault="00251C02"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*Cifras en miles de pesos</w:t>
      </w:r>
    </w:p>
    <w:p w:rsidR="00BF48EC" w:rsidRPr="000B5B41" w:rsidRDefault="00BF48EC"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 xml:space="preserve">Es importante señalar que la determinación del EBITDA y CAPEX de </w:t>
      </w:r>
      <w:r w:rsidR="005712DE" w:rsidRPr="00A41F9E">
        <w:rPr>
          <w:rFonts w:ascii="ITC Avant Garde" w:eastAsia="HiddenHorzOCR" w:hAnsi="ITC Avant Garde" w:cs="HiddenHorzOCR"/>
          <w:b/>
          <w:color w:val="0000FF"/>
          <w:szCs w:val="24"/>
        </w:rPr>
        <w:t>“CONFIDENCIAL POR LEY”</w:t>
      </w:r>
      <w:r w:rsidRPr="000B5B41">
        <w:rPr>
          <w:rFonts w:ascii="ITC Avant Garde" w:eastAsia="HiddenHorzOCR" w:hAnsi="ITC Avant Garde" w:cs="HiddenHorzOCR"/>
          <w:b/>
        </w:rPr>
        <w:t xml:space="preserve"> para </w:t>
      </w:r>
      <w:r w:rsidR="00392414">
        <w:rPr>
          <w:rFonts w:ascii="ITC Avant Garde" w:eastAsia="HiddenHorzOCR" w:hAnsi="ITC Avant Garde" w:cs="HiddenHorzOCR"/>
          <w:b/>
        </w:rPr>
        <w:t>dos mil catorce</w:t>
      </w:r>
      <w:r w:rsidRPr="000B5B41">
        <w:rPr>
          <w:rFonts w:ascii="ITC Avant Garde" w:eastAsia="HiddenHorzOCR" w:hAnsi="ITC Avant Garde" w:cs="HiddenHorzOCR"/>
          <w:b/>
        </w:rPr>
        <w:t xml:space="preserve"> no se </w:t>
      </w:r>
      <w:r w:rsidR="00392414">
        <w:rPr>
          <w:rFonts w:ascii="ITC Avant Garde" w:eastAsia="HiddenHorzOCR" w:hAnsi="ITC Avant Garde" w:cs="HiddenHorzOCR"/>
          <w:b/>
        </w:rPr>
        <w:t>realizó al mes de agosto de dos mil catorce</w:t>
      </w:r>
      <w:r w:rsidRPr="000B5B41">
        <w:rPr>
          <w:rFonts w:ascii="ITC Avant Garde" w:eastAsia="HiddenHorzOCR" w:hAnsi="ITC Avant Garde" w:cs="HiddenHorzOCR"/>
          <w:b/>
        </w:rPr>
        <w:t xml:space="preserve">, considerando que la información pública se refleja trimestralmente, por lo que se optó por determinar dichos montos al mes de septiembre de </w:t>
      </w:r>
      <w:r w:rsidR="00392414">
        <w:rPr>
          <w:rFonts w:ascii="ITC Avant Garde" w:eastAsia="HiddenHorzOCR" w:hAnsi="ITC Avant Garde" w:cs="HiddenHorzOCR"/>
          <w:b/>
        </w:rPr>
        <w:t>dos mil catorce</w:t>
      </w:r>
      <w:r w:rsidRPr="000B5B41">
        <w:rPr>
          <w:rFonts w:ascii="ITC Avant Garde" w:eastAsia="HiddenHorzOCR" w:hAnsi="ITC Avant Garde" w:cs="HiddenHorzOCR"/>
          <w:b/>
        </w:rPr>
        <w:t>.</w:t>
      </w:r>
    </w:p>
    <w:p w:rsidR="00BF48EC" w:rsidRPr="000B5B41" w:rsidRDefault="00BF48EC" w:rsidP="00DC0EB2">
      <w:pPr>
        <w:autoSpaceDE w:val="0"/>
        <w:autoSpaceDN w:val="0"/>
        <w:adjustRightInd w:val="0"/>
        <w:spacing w:line="240" w:lineRule="auto"/>
        <w:ind w:left="284"/>
        <w:jc w:val="both"/>
        <w:rPr>
          <w:rFonts w:ascii="ITC Avant Garde" w:eastAsia="HiddenHorzOCR" w:hAnsi="ITC Avant Garde" w:cs="HiddenHorzOCR"/>
          <w:b/>
        </w:rPr>
      </w:pPr>
      <w:r w:rsidRPr="000B5B41">
        <w:rPr>
          <w:rFonts w:ascii="ITC Avant Garde" w:eastAsia="HiddenHorzOCR" w:hAnsi="ITC Avant Garde" w:cs="HiddenHorzOCR"/>
          <w:b/>
        </w:rPr>
        <w:t>Asimismo, se señala que para efectos de la determinación del</w:t>
      </w:r>
      <w:r w:rsidR="00392414">
        <w:rPr>
          <w:rFonts w:ascii="ITC Avant Garde" w:eastAsia="HiddenHorzOCR" w:hAnsi="ITC Avant Garde" w:cs="HiddenHorzOCR"/>
          <w:b/>
        </w:rPr>
        <w:t xml:space="preserve"> EBITDA y CAPEX de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00392414">
        <w:rPr>
          <w:rFonts w:ascii="ITC Avant Garde" w:eastAsia="HiddenHorzOCR" w:hAnsi="ITC Avant Garde" w:cs="HiddenHorzOCR"/>
          <w:b/>
        </w:rPr>
        <w:t>para dos mil nueve</w:t>
      </w:r>
      <w:r w:rsidRPr="000B5B41">
        <w:rPr>
          <w:rFonts w:ascii="ITC Avant Garde" w:eastAsia="HiddenHorzOCR" w:hAnsi="ITC Avant Garde" w:cs="HiddenHorzOCR"/>
          <w:b/>
        </w:rPr>
        <w:t xml:space="preserve">, este perito utilizó datos que consideran la información de </w:t>
      </w:r>
      <w:r w:rsidR="00600AC8" w:rsidRPr="00A41F9E">
        <w:rPr>
          <w:rFonts w:ascii="ITC Avant Garde" w:eastAsia="HiddenHorzOCR" w:hAnsi="ITC Avant Garde" w:cs="HiddenHorzOCR"/>
          <w:b/>
          <w:color w:val="0000FF"/>
          <w:szCs w:val="24"/>
        </w:rPr>
        <w:t>“CONFIDENCIAL POR LEY”</w:t>
      </w:r>
      <w:r w:rsidR="00600AC8">
        <w:rPr>
          <w:rFonts w:ascii="ITC Avant Garde" w:eastAsia="HiddenHorzOCR" w:hAnsi="ITC Avant Garde" w:cs="HiddenHorzOCR"/>
          <w:b/>
          <w:color w:val="0000FF"/>
          <w:szCs w:val="24"/>
        </w:rPr>
        <w:t xml:space="preserve"> </w:t>
      </w:r>
      <w:r w:rsidRPr="000B5B41">
        <w:rPr>
          <w:rFonts w:ascii="ITC Avant Garde" w:eastAsia="HiddenHorzOCR" w:hAnsi="ITC Avant Garde" w:cs="HiddenHorzOCR"/>
          <w:b/>
        </w:rPr>
        <w:t xml:space="preserve">correspondiente al periodo a partir del cual la empresa comenzó a consolidar con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0B5B41">
        <w:rPr>
          <w:rFonts w:ascii="ITC Avant Garde" w:eastAsia="HiddenHorzOCR" w:hAnsi="ITC Avant Garde" w:cs="HiddenHorzOCR"/>
          <w:b/>
        </w:rPr>
        <w:t>y no por el año completo. Lo anterior, dado que dicho periodo es el que se encuentra reflejado en la informa</w:t>
      </w:r>
      <w:r w:rsidR="00B932C6" w:rsidRPr="000B5B41">
        <w:rPr>
          <w:rFonts w:ascii="ITC Avant Garde" w:eastAsia="HiddenHorzOCR" w:hAnsi="ITC Avant Garde" w:cs="HiddenHorzOCR"/>
          <w:b/>
        </w:rPr>
        <w:t xml:space="preserve">ción financiera pública de </w:t>
      </w:r>
      <w:r w:rsidR="005712DE" w:rsidRPr="00A41F9E">
        <w:rPr>
          <w:rFonts w:ascii="ITC Avant Garde" w:eastAsia="HiddenHorzOCR" w:hAnsi="ITC Avant Garde" w:cs="HiddenHorzOCR"/>
          <w:b/>
          <w:color w:val="0000FF"/>
          <w:szCs w:val="24"/>
        </w:rPr>
        <w:t>“CONFIDENCIAL POR LEY”</w:t>
      </w:r>
      <w:r w:rsidR="00B932C6" w:rsidRPr="000B5B41">
        <w:rPr>
          <w:rFonts w:ascii="ITC Avant Garde" w:eastAsia="HiddenHorzOCR" w:hAnsi="ITC Avant Garde" w:cs="HiddenHorzOCR"/>
          <w:b/>
        </w:rPr>
        <w:t>.</w:t>
      </w:r>
    </w:p>
    <w:p w:rsidR="00BF48EC" w:rsidRPr="00F63564" w:rsidRDefault="00BF48EC" w:rsidP="00973AD5">
      <w:pPr>
        <w:autoSpaceDE w:val="0"/>
        <w:autoSpaceDN w:val="0"/>
        <w:adjustRightInd w:val="0"/>
        <w:spacing w:line="240" w:lineRule="auto"/>
        <w:jc w:val="both"/>
        <w:rPr>
          <w:rFonts w:ascii="ITC Avant Garde" w:eastAsia="HiddenHorzOCR" w:hAnsi="ITC Avant Garde" w:cs="HiddenHorzOCR"/>
          <w:szCs w:val="24"/>
        </w:rPr>
      </w:pPr>
      <w:r w:rsidRPr="00F63564">
        <w:rPr>
          <w:rFonts w:ascii="ITC Avant Garde" w:eastAsia="HiddenHorzOCR" w:hAnsi="ITC Avant Garde" w:cs="HiddenHorzOCR"/>
          <w:szCs w:val="24"/>
        </w:rPr>
        <w:t>14.- Que diga el perito cuál es el ingreso promedio anual por suscriptor ("</w:t>
      </w:r>
      <w:r w:rsidRPr="00392414">
        <w:rPr>
          <w:rFonts w:ascii="ITC Avant Garde" w:eastAsia="HiddenHorzOCR" w:hAnsi="ITC Avant Garde" w:cs="HiddenHorzOCR"/>
          <w:i/>
          <w:sz w:val="20"/>
          <w:szCs w:val="24"/>
        </w:rPr>
        <w:t>ARPU</w:t>
      </w:r>
      <w:r w:rsidRPr="00F63564">
        <w:rPr>
          <w:rFonts w:ascii="ITC Avant Garde" w:eastAsia="HiddenHorzOCR" w:hAnsi="ITC Avant Garde" w:cs="HiddenHorzOCR"/>
          <w:szCs w:val="24"/>
        </w:rPr>
        <w:t xml:space="preserve">" en inglés) para las empresas STAR de </w:t>
      </w:r>
      <w:r w:rsidR="005712DE" w:rsidRPr="00A41F9E">
        <w:rPr>
          <w:rFonts w:ascii="ITC Avant Garde" w:eastAsia="HiddenHorzOCR" w:hAnsi="ITC Avant Garde" w:cs="HiddenHorzOCR"/>
          <w:b/>
          <w:color w:val="0000FF"/>
          <w:szCs w:val="24"/>
        </w:rPr>
        <w:t>“CONFIDENCIAL POR LEY”</w:t>
      </w:r>
      <w:r w:rsidRPr="00F63564">
        <w:rPr>
          <w:rFonts w:ascii="ITC Avant Garde" w:eastAsia="HiddenHorzOCR" w:hAnsi="ITC Avant Garde" w:cs="HiddenHorzOCR"/>
          <w:szCs w:val="24"/>
        </w:rPr>
        <w:t xml:space="preserve">, del período </w:t>
      </w:r>
      <w:r w:rsidR="00392414">
        <w:rPr>
          <w:rFonts w:ascii="ITC Avant Garde" w:eastAsia="HiddenHorzOCR" w:hAnsi="ITC Avant Garde" w:cs="HiddenHorzOCR"/>
          <w:szCs w:val="24"/>
        </w:rPr>
        <w:t>dos mil nueve</w:t>
      </w:r>
      <w:r w:rsidRPr="00F63564">
        <w:rPr>
          <w:rFonts w:ascii="ITC Avant Garde" w:eastAsia="HiddenHorzOCR" w:hAnsi="ITC Avant Garde" w:cs="HiddenHorzOCR"/>
          <w:szCs w:val="24"/>
        </w:rPr>
        <w:t xml:space="preserve"> al </w:t>
      </w:r>
      <w:r w:rsidR="00392414">
        <w:rPr>
          <w:rFonts w:ascii="ITC Avant Garde" w:eastAsia="HiddenHorzOCR" w:hAnsi="ITC Avant Garde" w:cs="HiddenHorzOCR"/>
          <w:szCs w:val="24"/>
        </w:rPr>
        <w:t>dos mil catorce</w:t>
      </w:r>
      <w:r w:rsidRPr="00F63564">
        <w:rPr>
          <w:rFonts w:ascii="ITC Avant Garde" w:eastAsia="HiddenHorzOCR" w:hAnsi="ITC Avant Garde" w:cs="HiddenHorzOCR"/>
          <w:szCs w:val="24"/>
        </w:rPr>
        <w:t>. La fuente de la información para contestar esta pregunta se puede consultar en el portal de Internet de dichas empresas.</w:t>
      </w:r>
    </w:p>
    <w:p w:rsidR="00251C02" w:rsidRDefault="00BF48EC" w:rsidP="00DC0EB2">
      <w:pPr>
        <w:autoSpaceDE w:val="0"/>
        <w:autoSpaceDN w:val="0"/>
        <w:adjustRightInd w:val="0"/>
        <w:spacing w:line="240" w:lineRule="auto"/>
        <w:ind w:left="284"/>
        <w:jc w:val="both"/>
        <w:rPr>
          <w:rFonts w:ascii="ITC Avant Garde" w:eastAsia="HiddenHorzOCR" w:hAnsi="ITC Avant Garde" w:cs="HiddenHorzOCR"/>
          <w:b/>
        </w:rPr>
      </w:pPr>
      <w:r w:rsidRPr="00392414">
        <w:rPr>
          <w:rFonts w:ascii="ITC Avant Garde" w:eastAsia="HiddenHorzOCR" w:hAnsi="ITC Avant Garde" w:cs="HiddenHorzOCR"/>
          <w:b/>
        </w:rPr>
        <w:t xml:space="preserve">Considerando la información disponible en el sitio web de </w:t>
      </w:r>
      <w:proofErr w:type="spellStart"/>
      <w:r w:rsidRPr="00392414">
        <w:rPr>
          <w:rFonts w:ascii="ITC Avant Garde" w:eastAsia="HiddenHorzOCR" w:hAnsi="ITC Avant Garde" w:cs="HiddenHorzOCR"/>
          <w:b/>
        </w:rPr>
        <w:t>Megacable</w:t>
      </w:r>
      <w:proofErr w:type="spellEnd"/>
      <w:r w:rsidRPr="00392414">
        <w:rPr>
          <w:rFonts w:ascii="ITC Avant Garde" w:eastAsia="HiddenHorzOCR" w:hAnsi="ITC Avant Garde" w:cs="HiddenHorzOCR"/>
          <w:b/>
        </w:rPr>
        <w:t xml:space="preserve"> (http://inversionistas.megacable.com.mxJreportes.php), el ARPU en el segmento de Video de </w:t>
      </w:r>
      <w:proofErr w:type="spellStart"/>
      <w:r w:rsidRPr="00392414">
        <w:rPr>
          <w:rFonts w:ascii="ITC Avant Garde" w:eastAsia="HiddenHorzOCR" w:hAnsi="ITC Avant Garde" w:cs="HiddenHorzOCR"/>
          <w:b/>
        </w:rPr>
        <w:t>M</w:t>
      </w:r>
      <w:r w:rsidR="00392414">
        <w:rPr>
          <w:rFonts w:ascii="ITC Avant Garde" w:eastAsia="HiddenHorzOCR" w:hAnsi="ITC Avant Garde" w:cs="HiddenHorzOCR"/>
          <w:b/>
        </w:rPr>
        <w:t>egacable</w:t>
      </w:r>
      <w:proofErr w:type="spellEnd"/>
      <w:r w:rsidR="00392414">
        <w:rPr>
          <w:rFonts w:ascii="ITC Avant Garde" w:eastAsia="HiddenHorzOCR" w:hAnsi="ITC Avant Garde" w:cs="HiddenHorzOCR"/>
          <w:b/>
        </w:rPr>
        <w:t xml:space="preserve"> Holdings, S.A.B. de C.V</w:t>
      </w:r>
      <w:r w:rsidRPr="00392414">
        <w:rPr>
          <w:rFonts w:ascii="ITC Avant Garde" w:eastAsia="HiddenHorzOCR" w:hAnsi="ITC Avant Garde" w:cs="HiddenHorzOCR"/>
          <w:b/>
        </w:rPr>
        <w:t>. y su</w:t>
      </w:r>
      <w:r w:rsidR="00392414">
        <w:rPr>
          <w:rFonts w:ascii="ITC Avant Garde" w:eastAsia="HiddenHorzOCR" w:hAnsi="ITC Avant Garde" w:cs="HiddenHorzOCR"/>
          <w:b/>
        </w:rPr>
        <w:t>bsidiarias para los años de dos mil nueve</w:t>
      </w:r>
      <w:r w:rsidRPr="00392414">
        <w:rPr>
          <w:rFonts w:ascii="ITC Avant Garde" w:eastAsia="HiddenHorzOCR" w:hAnsi="ITC Avant Garde" w:cs="HiddenHorzOCR"/>
          <w:b/>
        </w:rPr>
        <w:t xml:space="preserve"> a </w:t>
      </w:r>
      <w:r w:rsidR="00392414">
        <w:rPr>
          <w:rFonts w:ascii="ITC Avant Garde" w:eastAsia="HiddenHorzOCR" w:hAnsi="ITC Avant Garde" w:cs="HiddenHorzOCR"/>
          <w:b/>
        </w:rPr>
        <w:t>dos mil catorce</w:t>
      </w:r>
      <w:r w:rsidRPr="00392414">
        <w:rPr>
          <w:rFonts w:ascii="ITC Avant Garde" w:eastAsia="HiddenHorzOCR" w:hAnsi="ITC Avant Garde" w:cs="HiddenHorzOCR"/>
          <w:b/>
        </w:rPr>
        <w:t xml:space="preserve"> fue el siguiente:</w:t>
      </w:r>
    </w:p>
    <w:p w:rsidR="00C37B2F" w:rsidRPr="00600AC8" w:rsidRDefault="00C37B2F" w:rsidP="00C37B2F">
      <w:pPr>
        <w:autoSpaceDE w:val="0"/>
        <w:autoSpaceDN w:val="0"/>
        <w:adjustRightInd w:val="0"/>
        <w:spacing w:line="240" w:lineRule="auto"/>
        <w:ind w:left="284"/>
        <w:jc w:val="center"/>
        <w:rPr>
          <w:rFonts w:ascii="ITC Avant Garde" w:eastAsia="HiddenHorzOCR" w:hAnsi="ITC Avant Garde" w:cs="HiddenHorzOCR"/>
          <w:b/>
        </w:rPr>
      </w:pPr>
      <w:r w:rsidRPr="00600AC8">
        <w:rPr>
          <w:rFonts w:ascii="ITC Avant Garde" w:eastAsia="HiddenHorzOCR" w:hAnsi="ITC Avant Garde" w:cs="HiddenHorzOCR"/>
          <w:b/>
          <w:sz w:val="20"/>
        </w:rPr>
        <w:t>MEGACABLE</w:t>
      </w:r>
    </w:p>
    <w:tbl>
      <w:tblPr>
        <w:tblStyle w:val="Tablaconcuadrcula"/>
        <w:tblW w:w="0" w:type="auto"/>
        <w:tblLook w:val="04A0" w:firstRow="1" w:lastRow="0" w:firstColumn="1" w:lastColumn="0" w:noHBand="0" w:noVBand="1"/>
        <w:tblCaption w:val="Megacable"/>
        <w:tblDescription w:val="En una tabla de 2 columnas, se proporciona el ARPU (Video) de 2009 a 2014."/>
      </w:tblPr>
      <w:tblGrid>
        <w:gridCol w:w="4414"/>
        <w:gridCol w:w="4414"/>
      </w:tblGrid>
      <w:tr w:rsidR="00AB6428" w:rsidRPr="002B6985" w:rsidTr="002B6985">
        <w:trPr>
          <w:tblHeader/>
        </w:trPr>
        <w:tc>
          <w:tcPr>
            <w:tcW w:w="4414" w:type="dxa"/>
            <w:shd w:val="clear" w:color="auto" w:fill="A6A6A6" w:themeFill="background1" w:themeFillShade="A6"/>
            <w:vAlign w:val="center"/>
          </w:tcPr>
          <w:p w:rsidR="00AB6428" w:rsidRPr="002B6985" w:rsidRDefault="00AB6428" w:rsidP="002B6985">
            <w:pPr>
              <w:autoSpaceDE w:val="0"/>
              <w:autoSpaceDN w:val="0"/>
              <w:adjustRightInd w:val="0"/>
              <w:spacing w:after="160"/>
              <w:jc w:val="center"/>
              <w:rPr>
                <w:rFonts w:ascii="ITC Avant Garde" w:eastAsia="HiddenHorzOCR" w:hAnsi="ITC Avant Garde" w:cs="HiddenHorzOCR"/>
                <w:b/>
                <w:sz w:val="20"/>
              </w:rPr>
            </w:pPr>
            <w:r w:rsidRPr="002B6985">
              <w:rPr>
                <w:rFonts w:ascii="ITC Avant Garde" w:eastAsia="HiddenHorzOCR" w:hAnsi="ITC Avant Garde" w:cs="HiddenHorzOCR"/>
                <w:b/>
                <w:sz w:val="20"/>
              </w:rPr>
              <w:t>AÑO</w:t>
            </w:r>
          </w:p>
        </w:tc>
        <w:tc>
          <w:tcPr>
            <w:tcW w:w="4414" w:type="dxa"/>
            <w:shd w:val="clear" w:color="auto" w:fill="A6A6A6" w:themeFill="background1" w:themeFillShade="A6"/>
            <w:vAlign w:val="center"/>
          </w:tcPr>
          <w:p w:rsidR="00AB6428" w:rsidRPr="002B6985" w:rsidRDefault="00AB6428" w:rsidP="002B6985">
            <w:pPr>
              <w:autoSpaceDE w:val="0"/>
              <w:autoSpaceDN w:val="0"/>
              <w:adjustRightInd w:val="0"/>
              <w:spacing w:after="160"/>
              <w:jc w:val="center"/>
              <w:rPr>
                <w:rFonts w:ascii="ITC Avant Garde" w:eastAsia="HiddenHorzOCR" w:hAnsi="ITC Avant Garde" w:cs="HiddenHorzOCR"/>
                <w:b/>
                <w:sz w:val="20"/>
              </w:rPr>
            </w:pPr>
            <w:r w:rsidRPr="002B6985">
              <w:rPr>
                <w:rFonts w:ascii="ITC Avant Garde" w:eastAsia="HiddenHorzOCR" w:hAnsi="ITC Avant Garde" w:cs="HiddenHorzOCR"/>
                <w:b/>
                <w:sz w:val="20"/>
              </w:rPr>
              <w:t>ARPU (Video) *</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2009</w:t>
            </w:r>
          </w:p>
        </w:tc>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$243.70</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2010</w:t>
            </w:r>
          </w:p>
        </w:tc>
        <w:tc>
          <w:tcPr>
            <w:tcW w:w="4414" w:type="dxa"/>
          </w:tcPr>
          <w:p w:rsidR="00AB6428" w:rsidRPr="00392414" w:rsidRDefault="00AB6428" w:rsidP="00973AD5">
            <w:pPr>
              <w:spacing w:after="160"/>
              <w:jc w:val="center"/>
              <w:rPr>
                <w:rFonts w:ascii="ITC Avant Garde" w:hAnsi="ITC Avant Garde"/>
                <w:sz w:val="20"/>
              </w:rPr>
            </w:pPr>
            <w:r w:rsidRPr="00392414">
              <w:rPr>
                <w:rFonts w:ascii="ITC Avant Garde" w:eastAsia="HiddenHorzOCR" w:hAnsi="ITC Avant Garde" w:cs="HiddenHorzOCR"/>
                <w:sz w:val="20"/>
              </w:rPr>
              <w:t>$230.90</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2011</w:t>
            </w:r>
          </w:p>
        </w:tc>
        <w:tc>
          <w:tcPr>
            <w:tcW w:w="4414" w:type="dxa"/>
          </w:tcPr>
          <w:p w:rsidR="00AB6428" w:rsidRPr="00392414" w:rsidRDefault="00AB6428" w:rsidP="00973AD5">
            <w:pPr>
              <w:spacing w:after="160"/>
              <w:jc w:val="center"/>
              <w:rPr>
                <w:rFonts w:ascii="ITC Avant Garde" w:hAnsi="ITC Avant Garde"/>
                <w:sz w:val="20"/>
              </w:rPr>
            </w:pPr>
            <w:r w:rsidRPr="00392414">
              <w:rPr>
                <w:rFonts w:ascii="ITC Avant Garde" w:eastAsia="HiddenHorzOCR" w:hAnsi="ITC Avant Garde" w:cs="HiddenHorzOCR"/>
                <w:sz w:val="20"/>
              </w:rPr>
              <w:t>$231.30</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2012</w:t>
            </w:r>
          </w:p>
        </w:tc>
        <w:tc>
          <w:tcPr>
            <w:tcW w:w="4414" w:type="dxa"/>
          </w:tcPr>
          <w:p w:rsidR="00AB6428" w:rsidRPr="00392414" w:rsidRDefault="00AB6428" w:rsidP="00973AD5">
            <w:pPr>
              <w:spacing w:after="160"/>
              <w:jc w:val="center"/>
              <w:rPr>
                <w:rFonts w:ascii="ITC Avant Garde" w:hAnsi="ITC Avant Garde"/>
                <w:sz w:val="20"/>
              </w:rPr>
            </w:pPr>
            <w:r w:rsidRPr="00392414">
              <w:rPr>
                <w:rFonts w:ascii="ITC Avant Garde" w:eastAsia="HiddenHorzOCR" w:hAnsi="ITC Avant Garde" w:cs="HiddenHorzOCR"/>
                <w:sz w:val="20"/>
              </w:rPr>
              <w:t>$227.20</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2013</w:t>
            </w:r>
          </w:p>
        </w:tc>
        <w:tc>
          <w:tcPr>
            <w:tcW w:w="4414" w:type="dxa"/>
          </w:tcPr>
          <w:p w:rsidR="00AB6428" w:rsidRPr="00392414" w:rsidRDefault="00AB6428" w:rsidP="00973AD5">
            <w:pPr>
              <w:spacing w:after="160"/>
              <w:jc w:val="center"/>
              <w:rPr>
                <w:rFonts w:ascii="ITC Avant Garde" w:hAnsi="ITC Avant Garde"/>
                <w:sz w:val="20"/>
              </w:rPr>
            </w:pPr>
            <w:r w:rsidRPr="00392414">
              <w:rPr>
                <w:rFonts w:ascii="ITC Avant Garde" w:eastAsia="HiddenHorzOCR" w:hAnsi="ITC Avant Garde" w:cs="HiddenHorzOCR"/>
                <w:sz w:val="20"/>
              </w:rPr>
              <w:t>$227.70</w:t>
            </w:r>
          </w:p>
        </w:tc>
      </w:tr>
      <w:tr w:rsidR="00AB6428" w:rsidRPr="00392414" w:rsidTr="00AB6428">
        <w:tc>
          <w:tcPr>
            <w:tcW w:w="4414" w:type="dxa"/>
          </w:tcPr>
          <w:p w:rsidR="00AB6428" w:rsidRPr="00392414" w:rsidRDefault="00AB6428" w:rsidP="00973AD5">
            <w:pPr>
              <w:autoSpaceDE w:val="0"/>
              <w:autoSpaceDN w:val="0"/>
              <w:adjustRightInd w:val="0"/>
              <w:spacing w:after="160"/>
              <w:jc w:val="center"/>
              <w:rPr>
                <w:rFonts w:ascii="ITC Avant Garde" w:eastAsia="HiddenHorzOCR" w:hAnsi="ITC Avant Garde" w:cs="HiddenHorzOCR"/>
                <w:sz w:val="20"/>
              </w:rPr>
            </w:pPr>
            <w:r w:rsidRPr="00392414">
              <w:rPr>
                <w:rFonts w:ascii="ITC Avant Garde" w:eastAsia="HiddenHorzOCR" w:hAnsi="ITC Avant Garde" w:cs="HiddenHorzOCR"/>
                <w:sz w:val="20"/>
              </w:rPr>
              <w:t>2014</w:t>
            </w:r>
          </w:p>
        </w:tc>
        <w:tc>
          <w:tcPr>
            <w:tcW w:w="4414" w:type="dxa"/>
          </w:tcPr>
          <w:p w:rsidR="00AB6428" w:rsidRPr="00392414" w:rsidRDefault="00AB6428" w:rsidP="00973AD5">
            <w:pPr>
              <w:spacing w:after="160"/>
              <w:jc w:val="center"/>
              <w:rPr>
                <w:rFonts w:ascii="ITC Avant Garde" w:hAnsi="ITC Avant Garde"/>
                <w:sz w:val="20"/>
              </w:rPr>
            </w:pPr>
            <w:r w:rsidRPr="00392414">
              <w:rPr>
                <w:rFonts w:ascii="ITC Avant Garde" w:eastAsia="HiddenHorzOCR" w:hAnsi="ITC Avant Garde" w:cs="HiddenHorzOCR"/>
                <w:sz w:val="20"/>
              </w:rPr>
              <w:t>$230.40</w:t>
            </w:r>
          </w:p>
        </w:tc>
      </w:tr>
    </w:tbl>
    <w:p w:rsidR="00AB6428" w:rsidRPr="00392414" w:rsidRDefault="00AB6428" w:rsidP="00DC0EB2">
      <w:pPr>
        <w:autoSpaceDE w:val="0"/>
        <w:autoSpaceDN w:val="0"/>
        <w:adjustRightInd w:val="0"/>
        <w:spacing w:line="240" w:lineRule="auto"/>
        <w:ind w:left="284"/>
        <w:jc w:val="both"/>
        <w:rPr>
          <w:rFonts w:ascii="ITC Avant Garde" w:eastAsia="HiddenHorzOCR" w:hAnsi="ITC Avant Garde" w:cs="HiddenHorzOCR"/>
          <w:b/>
        </w:rPr>
      </w:pPr>
      <w:r w:rsidRPr="00392414">
        <w:rPr>
          <w:rFonts w:ascii="ITC Avant Garde" w:eastAsia="HiddenHorzOCR" w:hAnsi="ITC Avant Garde" w:cs="HiddenHorzOCR"/>
          <w:b/>
        </w:rPr>
        <w:t>*Cifras en pesos</w:t>
      </w:r>
    </w:p>
    <w:p w:rsidR="00030E73" w:rsidRDefault="00030E73" w:rsidP="00DC0EB2">
      <w:pPr>
        <w:autoSpaceDE w:val="0"/>
        <w:autoSpaceDN w:val="0"/>
        <w:adjustRightInd w:val="0"/>
        <w:spacing w:line="240" w:lineRule="auto"/>
        <w:ind w:left="284"/>
        <w:jc w:val="both"/>
        <w:rPr>
          <w:rFonts w:ascii="ITC Avant Garde" w:eastAsia="HiddenHorzOCR" w:hAnsi="ITC Avant Garde" w:cs="HiddenHorzOCR"/>
          <w:b/>
        </w:rPr>
      </w:pPr>
      <w:r w:rsidRPr="00392414">
        <w:rPr>
          <w:rFonts w:ascii="ITC Avant Garde" w:eastAsia="HiddenHorzOCR" w:hAnsi="ITC Avant Garde" w:cs="HiddenHorzOCR"/>
          <w:b/>
        </w:rPr>
        <w:lastRenderedPageBreak/>
        <w:t xml:space="preserve">Por lo que respecta a las empresas STAR de </w:t>
      </w:r>
      <w:r w:rsidR="005712DE" w:rsidRPr="00A41F9E">
        <w:rPr>
          <w:rFonts w:ascii="ITC Avant Garde" w:eastAsia="HiddenHorzOCR" w:hAnsi="ITC Avant Garde" w:cs="HiddenHorzOCR"/>
          <w:b/>
          <w:color w:val="0000FF"/>
          <w:szCs w:val="24"/>
        </w:rPr>
        <w:t>“CONFIDENCIAL POR LEY”</w:t>
      </w:r>
      <w:r w:rsidRPr="00392414">
        <w:rPr>
          <w:rFonts w:ascii="ITC Avant Garde" w:eastAsia="HiddenHorzOCR" w:hAnsi="ITC Avant Garde" w:cs="HiddenHorzOCR"/>
          <w:b/>
        </w:rPr>
        <w:t xml:space="preserve">, a continuación se muestran los ARPU para los años de </w:t>
      </w:r>
      <w:r w:rsidR="00392414">
        <w:rPr>
          <w:rFonts w:ascii="ITC Avant Garde" w:eastAsia="HiddenHorzOCR" w:hAnsi="ITC Avant Garde" w:cs="HiddenHorzOCR"/>
          <w:b/>
        </w:rPr>
        <w:t>dos mil nueve</w:t>
      </w:r>
      <w:r w:rsidR="00392414" w:rsidRPr="00392414">
        <w:rPr>
          <w:rFonts w:ascii="ITC Avant Garde" w:eastAsia="HiddenHorzOCR" w:hAnsi="ITC Avant Garde" w:cs="HiddenHorzOCR"/>
          <w:b/>
        </w:rPr>
        <w:t xml:space="preserve"> a </w:t>
      </w:r>
      <w:r w:rsidR="00392414">
        <w:rPr>
          <w:rFonts w:ascii="ITC Avant Garde" w:eastAsia="HiddenHorzOCR" w:hAnsi="ITC Avant Garde" w:cs="HiddenHorzOCR"/>
          <w:b/>
        </w:rPr>
        <w:t>dos mil catorce</w:t>
      </w:r>
      <w:r w:rsidRPr="00392414">
        <w:rPr>
          <w:rFonts w:ascii="ITC Avant Garde" w:eastAsia="HiddenHorzOCR" w:hAnsi="ITC Avant Garde" w:cs="HiddenHorzOCR"/>
          <w:b/>
        </w:rPr>
        <w:t xml:space="preserve"> de dichas empresas por los servicios de televisión restringida, considerando la información contenida en los reportes trimestrales de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392414">
        <w:rPr>
          <w:rFonts w:ascii="ITC Avant Garde" w:eastAsia="HiddenHorzOCR" w:hAnsi="ITC Avant Garde" w:cs="HiddenHorzOCR"/>
          <w:b/>
        </w:rPr>
        <w:t xml:space="preserve">descritos en la pregunta 13, así como los datos proporcionados directamente por </w:t>
      </w:r>
      <w:r w:rsidR="005712DE" w:rsidRPr="00A41F9E">
        <w:rPr>
          <w:rFonts w:ascii="ITC Avant Garde" w:eastAsia="HiddenHorzOCR" w:hAnsi="ITC Avant Garde" w:cs="HiddenHorzOCR"/>
          <w:b/>
          <w:color w:val="0000FF"/>
          <w:szCs w:val="24"/>
        </w:rPr>
        <w:t>“CONFIDENCIAL POR LEY”</w:t>
      </w:r>
      <w:r w:rsidR="005712DE">
        <w:rPr>
          <w:rFonts w:ascii="ITC Avant Garde" w:eastAsia="HiddenHorzOCR" w:hAnsi="ITC Avant Garde" w:cs="HiddenHorzOCR"/>
          <w:b/>
          <w:color w:val="0000FF"/>
          <w:szCs w:val="24"/>
        </w:rPr>
        <w:t xml:space="preserve"> </w:t>
      </w:r>
      <w:r w:rsidRPr="00392414">
        <w:rPr>
          <w:rFonts w:ascii="ITC Avant Garde" w:eastAsia="HiddenHorzOCR" w:hAnsi="ITC Avant Garde" w:cs="HiddenHorzOCR"/>
          <w:b/>
        </w:rPr>
        <w:t>en los casos en que la información segmentada no es pública:</w:t>
      </w:r>
    </w:p>
    <w:p w:rsidR="005712DE" w:rsidRDefault="005712DE" w:rsidP="005712DE">
      <w:pPr>
        <w:autoSpaceDE w:val="0"/>
        <w:autoSpaceDN w:val="0"/>
        <w:adjustRightInd w:val="0"/>
        <w:spacing w:line="240" w:lineRule="auto"/>
        <w:ind w:left="284"/>
        <w:jc w:val="center"/>
        <w:rPr>
          <w:rFonts w:ascii="ITC Avant Garde" w:eastAsia="HiddenHorzOCR" w:hAnsi="ITC Avant Garde" w:cs="HiddenHorzOCR"/>
          <w:b/>
          <w:color w:val="0000FF"/>
          <w:szCs w:val="24"/>
        </w:rPr>
      </w:pPr>
      <w:r w:rsidRPr="00A41F9E">
        <w:rPr>
          <w:rFonts w:ascii="ITC Avant Garde" w:eastAsia="HiddenHorzOCR" w:hAnsi="ITC Avant Garde" w:cs="HiddenHorzOCR"/>
          <w:b/>
          <w:color w:val="0000FF"/>
          <w:szCs w:val="24"/>
        </w:rPr>
        <w:t>“CONFIDENCIAL POR LEY”</w:t>
      </w:r>
    </w:p>
    <w:p w:rsidR="005C4C26" w:rsidRPr="00392414" w:rsidRDefault="005C4C26" w:rsidP="00DC0EB2">
      <w:pPr>
        <w:autoSpaceDE w:val="0"/>
        <w:autoSpaceDN w:val="0"/>
        <w:adjustRightInd w:val="0"/>
        <w:spacing w:line="240" w:lineRule="auto"/>
        <w:ind w:left="284"/>
        <w:jc w:val="both"/>
        <w:rPr>
          <w:rFonts w:ascii="ITC Avant Garde" w:eastAsia="HiddenHorzOCR" w:hAnsi="ITC Avant Garde" w:cs="HiddenHorzOCR"/>
          <w:b/>
        </w:rPr>
      </w:pPr>
      <w:r w:rsidRPr="00392414">
        <w:rPr>
          <w:rFonts w:ascii="ITC Avant Garde" w:eastAsia="HiddenHorzOCR" w:hAnsi="ITC Avant Garde" w:cs="HiddenHorzOCR"/>
          <w:b/>
        </w:rPr>
        <w:t>*Cifras en pesos</w:t>
      </w:r>
      <w:r w:rsidR="00F63564" w:rsidRPr="00392414">
        <w:rPr>
          <w:rFonts w:ascii="ITC Avant Garde" w:eastAsia="HiddenHorzOCR" w:hAnsi="ITC Avant Garde" w:cs="HiddenHorzOCR"/>
          <w:b/>
        </w:rPr>
        <w:t>.</w:t>
      </w:r>
    </w:p>
    <w:p w:rsidR="00A1302C" w:rsidRPr="00F63564" w:rsidRDefault="00A1302C" w:rsidP="00973AD5">
      <w:pPr>
        <w:autoSpaceDE w:val="0"/>
        <w:autoSpaceDN w:val="0"/>
        <w:adjustRightInd w:val="0"/>
        <w:spacing w:line="240" w:lineRule="auto"/>
        <w:jc w:val="both"/>
        <w:rPr>
          <w:rFonts w:ascii="ITC Avant Garde" w:eastAsia="HiddenHorzOCR" w:hAnsi="ITC Avant Garde" w:cs="HiddenHorzOCR"/>
        </w:rPr>
      </w:pPr>
      <w:r w:rsidRPr="00F63564">
        <w:rPr>
          <w:rFonts w:ascii="ITC Avant Garde" w:eastAsia="HiddenHorzOCR" w:hAnsi="ITC Avant Garde" w:cs="HiddenHorzOCR"/>
        </w:rPr>
        <w:t>15.- Que diga el perito la razón de su dicho.</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 pregunta 1 está fundamentada en mi experiencia profesional y formación académica como Contador Público, y respaldada en la siguiente fuente bibliográfica:</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proofErr w:type="spellStart"/>
      <w:r w:rsidRPr="00392414">
        <w:rPr>
          <w:rFonts w:ascii="ITC Avant Garde" w:eastAsia="HiddenHorzOCR" w:hAnsi="ITC Avant Garde" w:cs="HiddenHorzOCR"/>
          <w:b/>
          <w:szCs w:val="20"/>
        </w:rPr>
        <w:t>Clyde</w:t>
      </w:r>
      <w:proofErr w:type="spellEnd"/>
      <w:r w:rsidRPr="00392414">
        <w:rPr>
          <w:rFonts w:ascii="ITC Avant Garde" w:eastAsia="HiddenHorzOCR" w:hAnsi="ITC Avant Garde" w:cs="HiddenHorzOCR"/>
          <w:b/>
          <w:szCs w:val="20"/>
        </w:rPr>
        <w:t xml:space="preserve"> P. </w:t>
      </w:r>
      <w:proofErr w:type="spellStart"/>
      <w:r w:rsidRPr="00392414">
        <w:rPr>
          <w:rFonts w:ascii="ITC Avant Garde" w:eastAsia="HiddenHorzOCR" w:hAnsi="ITC Avant Garde" w:cs="HiddenHorzOCR"/>
          <w:b/>
          <w:szCs w:val="20"/>
        </w:rPr>
        <w:t>Stickney</w:t>
      </w:r>
      <w:proofErr w:type="spellEnd"/>
      <w:r w:rsidRPr="00392414">
        <w:rPr>
          <w:rFonts w:ascii="ITC Avant Garde" w:eastAsia="HiddenHorzOCR" w:hAnsi="ITC Avant Garde" w:cs="HiddenHorzOCR"/>
          <w:b/>
          <w:szCs w:val="20"/>
        </w:rPr>
        <w:t xml:space="preserve">, Paul Richard Brown, y James M. </w:t>
      </w:r>
      <w:proofErr w:type="spellStart"/>
      <w:r w:rsidRPr="00392414">
        <w:rPr>
          <w:rFonts w:ascii="ITC Avant Garde" w:eastAsia="HiddenHorzOCR" w:hAnsi="ITC Avant Garde" w:cs="HiddenHorzOCR"/>
          <w:b/>
          <w:szCs w:val="20"/>
        </w:rPr>
        <w:t>Wahlen</w:t>
      </w:r>
      <w:proofErr w:type="spellEnd"/>
      <w:r w:rsidRPr="00392414">
        <w:rPr>
          <w:rFonts w:ascii="ITC Avant Garde" w:eastAsia="HiddenHorzOCR" w:hAnsi="ITC Avant Garde" w:cs="HiddenHorzOCR"/>
          <w:b/>
          <w:szCs w:val="20"/>
        </w:rPr>
        <w:t xml:space="preserve"> (2007) "</w:t>
      </w:r>
      <w:proofErr w:type="spellStart"/>
      <w:r w:rsidRPr="00CB3A31">
        <w:rPr>
          <w:rFonts w:ascii="ITC Avant Garde" w:eastAsia="HiddenHorzOCR" w:hAnsi="ITC Avant Garde" w:cs="HiddenHorzOCR"/>
          <w:b/>
          <w:i/>
          <w:sz w:val="20"/>
          <w:szCs w:val="20"/>
        </w:rPr>
        <w:t>Financial</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Reporting</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Financial</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Statement</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Analysis</w:t>
      </w:r>
      <w:proofErr w:type="spellEnd"/>
      <w:r w:rsidRPr="00CB3A31">
        <w:rPr>
          <w:rFonts w:ascii="ITC Avant Garde" w:eastAsia="HiddenHorzOCR" w:hAnsi="ITC Avant Garde" w:cs="HiddenHorzOCR"/>
          <w:b/>
          <w:i/>
          <w:sz w:val="20"/>
          <w:szCs w:val="20"/>
        </w:rPr>
        <w:t xml:space="preserve">, and </w:t>
      </w:r>
      <w:proofErr w:type="spellStart"/>
      <w:r w:rsidRPr="00CB3A31">
        <w:rPr>
          <w:rFonts w:ascii="ITC Avant Garde" w:eastAsia="HiddenHorzOCR" w:hAnsi="ITC Avant Garde" w:cs="HiddenHorzOCR"/>
          <w:b/>
          <w:i/>
          <w:sz w:val="20"/>
          <w:szCs w:val="20"/>
        </w:rPr>
        <w:t>Valuation</w:t>
      </w:r>
      <w:proofErr w:type="spellEnd"/>
      <w:r w:rsidRPr="00CB3A31">
        <w:rPr>
          <w:rFonts w:ascii="ITC Avant Garde" w:eastAsia="HiddenHorzOCR" w:hAnsi="ITC Avant Garde" w:cs="HiddenHorzOCR"/>
          <w:b/>
          <w:i/>
          <w:sz w:val="20"/>
          <w:szCs w:val="20"/>
        </w:rPr>
        <w:t xml:space="preserve">: A </w:t>
      </w:r>
      <w:proofErr w:type="spellStart"/>
      <w:r w:rsidRPr="00CB3A31">
        <w:rPr>
          <w:rFonts w:ascii="ITC Avant Garde" w:eastAsia="HiddenHorzOCR" w:hAnsi="ITC Avant Garde" w:cs="HiddenHorzOCR"/>
          <w:b/>
          <w:i/>
          <w:sz w:val="20"/>
          <w:szCs w:val="20"/>
        </w:rPr>
        <w:t>Strategic</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Perspective</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Sixth</w:t>
      </w:r>
      <w:proofErr w:type="spellEnd"/>
      <w:r w:rsidRPr="00CB3A31">
        <w:rPr>
          <w:rFonts w:ascii="ITC Avant Garde" w:eastAsia="HiddenHorzOCR" w:hAnsi="ITC Avant Garde" w:cs="HiddenHorzOCR"/>
          <w:b/>
          <w:i/>
          <w:sz w:val="20"/>
          <w:szCs w:val="20"/>
        </w:rPr>
        <w:t xml:space="preserve"> </w:t>
      </w:r>
      <w:proofErr w:type="spellStart"/>
      <w:r w:rsidRPr="00CB3A31">
        <w:rPr>
          <w:rFonts w:ascii="ITC Avant Garde" w:eastAsia="HiddenHorzOCR" w:hAnsi="ITC Avant Garde" w:cs="HiddenHorzOCR"/>
          <w:b/>
          <w:i/>
          <w:sz w:val="20"/>
          <w:szCs w:val="20"/>
        </w:rPr>
        <w:t>Edition</w:t>
      </w:r>
      <w:proofErr w:type="spellEnd"/>
      <w:r w:rsidRPr="00392414">
        <w:rPr>
          <w:rFonts w:ascii="ITC Avant Garde" w:eastAsia="HiddenHorzOCR" w:hAnsi="ITC Avant Garde" w:cs="HiddenHorzOCR"/>
          <w:b/>
          <w:szCs w:val="20"/>
        </w:rPr>
        <w:t xml:space="preserve">", South-Western </w:t>
      </w:r>
      <w:proofErr w:type="spellStart"/>
      <w:r w:rsidRPr="00392414">
        <w:rPr>
          <w:rFonts w:ascii="ITC Avant Garde" w:eastAsia="HiddenHorzOCR" w:hAnsi="ITC Avant Garde" w:cs="HiddenHorzOCR"/>
          <w:b/>
          <w:szCs w:val="20"/>
        </w:rPr>
        <w:t>Cengage</w:t>
      </w:r>
      <w:proofErr w:type="spellEnd"/>
      <w:r w:rsidRPr="00392414">
        <w:rPr>
          <w:rFonts w:ascii="ITC Avant Garde" w:eastAsia="HiddenHorzOCR" w:hAnsi="ITC Avant Garde" w:cs="HiddenHorzOCR"/>
          <w:b/>
          <w:szCs w:val="20"/>
        </w:rPr>
        <w:t xml:space="preserve"> </w:t>
      </w:r>
      <w:proofErr w:type="spellStart"/>
      <w:r w:rsidRPr="00392414">
        <w:rPr>
          <w:rFonts w:ascii="ITC Avant Garde" w:eastAsia="HiddenHorzOCR" w:hAnsi="ITC Avant Garde" w:cs="HiddenHorzOCR"/>
          <w:b/>
          <w:szCs w:val="20"/>
        </w:rPr>
        <w:t>Learning</w:t>
      </w:r>
      <w:proofErr w:type="spellEnd"/>
      <w:r w:rsidRPr="00392414">
        <w:rPr>
          <w:rFonts w:ascii="ITC Avant Garde" w:eastAsia="HiddenHorzOCR" w:hAnsi="ITC Avant Garde" w:cs="HiddenHorzOCR"/>
          <w:b/>
          <w:szCs w:val="20"/>
        </w:rPr>
        <w:t>, Ohio, Estados Unidos de Norteamérica, pp. 134-135.</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Las r</w:t>
      </w:r>
      <w:r w:rsidR="006677DC" w:rsidRPr="00392414">
        <w:rPr>
          <w:rFonts w:ascii="ITC Avant Garde" w:eastAsia="HiddenHorzOCR" w:hAnsi="ITC Avant Garde" w:cs="HiddenHorzOCR"/>
          <w:b/>
          <w:szCs w:val="20"/>
        </w:rPr>
        <w:t>espuestas a las preguntas 2, 3 y</w:t>
      </w:r>
      <w:r w:rsidRPr="00392414">
        <w:rPr>
          <w:rFonts w:ascii="ITC Avant Garde" w:eastAsia="HiddenHorzOCR" w:hAnsi="ITC Avant Garde" w:cs="HiddenHorzOCR"/>
          <w:b/>
          <w:szCs w:val="20"/>
        </w:rPr>
        <w:t xml:space="preserve"> 9 están basadas en los Estados</w:t>
      </w:r>
      <w:r w:rsidR="00E639AC" w:rsidRPr="00392414">
        <w:rPr>
          <w:rFonts w:ascii="ITC Avant Garde" w:eastAsia="HiddenHorzOCR" w:hAnsi="ITC Avant Garde" w:cs="HiddenHorzOCR"/>
          <w:b/>
          <w:szCs w:val="20"/>
        </w:rPr>
        <w:t xml:space="preserve"> </w:t>
      </w:r>
      <w:r w:rsidRPr="00392414">
        <w:rPr>
          <w:rFonts w:ascii="ITC Avant Garde" w:eastAsia="HiddenHorzOCR" w:hAnsi="ITC Avant Garde" w:cs="HiddenHorzOCR"/>
          <w:b/>
          <w:szCs w:val="20"/>
        </w:rPr>
        <w:t>Financieros Consolidados al</w:t>
      </w:r>
      <w:r w:rsidR="006677DC" w:rsidRPr="00392414">
        <w:rPr>
          <w:rFonts w:ascii="ITC Avant Garde" w:eastAsia="HiddenHorzOCR" w:hAnsi="ITC Avant Garde" w:cs="HiddenHorzOCR"/>
          <w:b/>
          <w:szCs w:val="20"/>
        </w:rPr>
        <w:t xml:space="preserve"> </w:t>
      </w:r>
      <w:r w:rsidR="00D3488A">
        <w:rPr>
          <w:rFonts w:ascii="ITC Avant Garde" w:eastAsia="HiddenHorzOCR" w:hAnsi="ITC Avant Garde" w:cs="HiddenHorzOCR"/>
          <w:b/>
          <w:szCs w:val="20"/>
        </w:rPr>
        <w:t>treinta y uno de diciembre de dos mil catorce</w:t>
      </w:r>
      <w:r w:rsidRPr="00392414">
        <w:rPr>
          <w:rFonts w:ascii="ITC Avant Garde" w:eastAsia="HiddenHorzOCR" w:hAnsi="ITC Avant Garde" w:cs="HiddenHorzOCR"/>
          <w:b/>
          <w:szCs w:val="20"/>
        </w:rPr>
        <w:t xml:space="preserve"> y </w:t>
      </w:r>
      <w:r w:rsidR="00D3488A">
        <w:rPr>
          <w:rFonts w:ascii="ITC Avant Garde" w:eastAsia="HiddenHorzOCR" w:hAnsi="ITC Avant Garde" w:cs="HiddenHorzOCR"/>
          <w:b/>
          <w:szCs w:val="20"/>
        </w:rPr>
        <w:t>dos mil trece</w:t>
      </w:r>
      <w:r w:rsidRPr="00392414">
        <w:rPr>
          <w:rFonts w:ascii="ITC Avant Garde" w:eastAsia="HiddenHorzOCR" w:hAnsi="ITC Avant Garde" w:cs="HiddenHorzOCR"/>
          <w:b/>
          <w:szCs w:val="20"/>
        </w:rPr>
        <w:t>, así como en los Estados</w:t>
      </w:r>
      <w:r w:rsidR="006677DC" w:rsidRPr="00392414">
        <w:rPr>
          <w:rFonts w:ascii="ITC Avant Garde" w:eastAsia="HiddenHorzOCR" w:hAnsi="ITC Avant Garde" w:cs="HiddenHorzOCR"/>
          <w:b/>
          <w:szCs w:val="20"/>
        </w:rPr>
        <w:t xml:space="preserve"> </w:t>
      </w:r>
      <w:r w:rsidRPr="00392414">
        <w:rPr>
          <w:rFonts w:ascii="ITC Avant Garde" w:eastAsia="HiddenHorzOCR" w:hAnsi="ITC Avant Garde" w:cs="HiddenHorzOCR"/>
          <w:b/>
          <w:szCs w:val="20"/>
        </w:rPr>
        <w:t>Financieros Consolidados Dictaminados al</w:t>
      </w:r>
      <w:r w:rsidR="009F3D60" w:rsidRPr="00392414">
        <w:rPr>
          <w:rFonts w:ascii="ITC Avant Garde" w:eastAsia="HiddenHorzOCR" w:hAnsi="ITC Avant Garde" w:cs="HiddenHorzOCR"/>
          <w:b/>
          <w:szCs w:val="20"/>
        </w:rPr>
        <w:t xml:space="preserve"> </w:t>
      </w:r>
      <w:r w:rsidR="00D3488A">
        <w:rPr>
          <w:rFonts w:ascii="ITC Avant Garde" w:eastAsia="HiddenHorzOCR" w:hAnsi="ITC Avant Garde" w:cs="HiddenHorzOCR"/>
          <w:b/>
          <w:szCs w:val="20"/>
        </w:rPr>
        <w:t>treinta y uno de diciembre de dos mil trece</w:t>
      </w:r>
      <w:r w:rsidRPr="00392414">
        <w:rPr>
          <w:rFonts w:ascii="ITC Avant Garde" w:eastAsia="HiddenHorzOCR" w:hAnsi="ITC Avant Garde" w:cs="HiddenHorzOCR"/>
          <w:b/>
          <w:szCs w:val="20"/>
        </w:rPr>
        <w:t xml:space="preserve"> y </w:t>
      </w:r>
      <w:r w:rsidR="00D3488A">
        <w:rPr>
          <w:rFonts w:ascii="ITC Avant Garde" w:eastAsia="HiddenHorzOCR" w:hAnsi="ITC Avant Garde" w:cs="HiddenHorzOCR"/>
          <w:b/>
          <w:szCs w:val="20"/>
        </w:rPr>
        <w:t xml:space="preserve">dos mil doce </w:t>
      </w:r>
      <w:r w:rsidRPr="00392414">
        <w:rPr>
          <w:rFonts w:ascii="ITC Avant Garde" w:eastAsia="HiddenHorzOCR" w:hAnsi="ITC Avant Garde" w:cs="HiddenHorzOCR"/>
          <w:b/>
          <w:szCs w:val="20"/>
        </w:rPr>
        <w:t>de Innova.</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 pregunta 5 está basad</w:t>
      </w:r>
      <w:r w:rsidR="006677DC" w:rsidRPr="00392414">
        <w:rPr>
          <w:rFonts w:ascii="ITC Avant Garde" w:eastAsia="HiddenHorzOCR" w:hAnsi="ITC Avant Garde" w:cs="HiddenHorzOCR"/>
          <w:b/>
          <w:szCs w:val="20"/>
        </w:rPr>
        <w:t xml:space="preserve">a en lo dispuesto en la NIC 16, </w:t>
      </w:r>
      <w:r w:rsidRPr="00392414">
        <w:rPr>
          <w:rFonts w:ascii="ITC Avant Garde" w:eastAsia="HiddenHorzOCR" w:hAnsi="ITC Avant Garde" w:cs="HiddenHorzOCR"/>
          <w:b/>
          <w:szCs w:val="20"/>
        </w:rPr>
        <w:t>así como en el dictamen emitido por los</w:t>
      </w:r>
      <w:r w:rsidR="006677DC" w:rsidRPr="00392414">
        <w:rPr>
          <w:rFonts w:ascii="ITC Avant Garde" w:eastAsia="HiddenHorzOCR" w:hAnsi="ITC Avant Garde" w:cs="HiddenHorzOCR"/>
          <w:b/>
          <w:szCs w:val="20"/>
        </w:rPr>
        <w:t xml:space="preserve"> auditores independientes de </w:t>
      </w:r>
      <w:proofErr w:type="spellStart"/>
      <w:r w:rsidR="005C71CB" w:rsidRPr="00392414">
        <w:rPr>
          <w:rFonts w:ascii="ITC Avant Garde" w:eastAsia="HiddenHorzOCR" w:hAnsi="ITC Avant Garde" w:cs="HiddenHorzOCR"/>
          <w:b/>
          <w:szCs w:val="20"/>
        </w:rPr>
        <w:t>DirecTV</w:t>
      </w:r>
      <w:proofErr w:type="spellEnd"/>
      <w:r w:rsidR="005C71CB" w:rsidRPr="00392414">
        <w:rPr>
          <w:rFonts w:ascii="ITC Avant Garde" w:eastAsia="HiddenHorzOCR" w:hAnsi="ITC Avant Garde" w:cs="HiddenHorzOCR"/>
          <w:b/>
          <w:szCs w:val="20"/>
        </w:rPr>
        <w:t>,</w:t>
      </w:r>
      <w:r w:rsidR="006677DC" w:rsidRPr="00392414">
        <w:rPr>
          <w:rFonts w:ascii="ITC Avant Garde" w:eastAsia="HiddenHorzOCR" w:hAnsi="ITC Avant Garde" w:cs="HiddenHorzOCR"/>
          <w:b/>
          <w:szCs w:val="20"/>
        </w:rPr>
        <w:t xml:space="preserve"> </w:t>
      </w:r>
      <w:proofErr w:type="spellStart"/>
      <w:r w:rsidR="006677DC" w:rsidRPr="00392414">
        <w:rPr>
          <w:rFonts w:ascii="ITC Avant Garde" w:eastAsia="HiddenHorzOCR" w:hAnsi="ITC Avant Garde" w:cs="HiddenHorzOCR"/>
          <w:b/>
          <w:szCs w:val="20"/>
        </w:rPr>
        <w:t>Deloitle</w:t>
      </w:r>
      <w:proofErr w:type="spellEnd"/>
      <w:r w:rsidR="006677DC" w:rsidRPr="00392414">
        <w:rPr>
          <w:rFonts w:ascii="ITC Avant Garde" w:eastAsia="HiddenHorzOCR" w:hAnsi="ITC Avant Garde" w:cs="HiddenHorzOCR"/>
          <w:b/>
          <w:szCs w:val="20"/>
        </w:rPr>
        <w:t xml:space="preserve"> </w:t>
      </w:r>
      <w:r w:rsidRPr="00392414">
        <w:rPr>
          <w:rFonts w:ascii="ITC Avant Garde" w:eastAsia="HiddenHorzOCR" w:hAnsi="ITC Avant Garde" w:cs="HiddenHorzOCR"/>
          <w:b/>
          <w:szCs w:val="20"/>
        </w:rPr>
        <w:t xml:space="preserve">&amp; </w:t>
      </w:r>
      <w:proofErr w:type="spellStart"/>
      <w:r w:rsidRPr="00392414">
        <w:rPr>
          <w:rFonts w:ascii="ITC Avant Garde" w:eastAsia="HiddenHorzOCR" w:hAnsi="ITC Avant Garde" w:cs="HiddenHorzOCR"/>
          <w:b/>
          <w:szCs w:val="20"/>
        </w:rPr>
        <w:t>Touche</w:t>
      </w:r>
      <w:proofErr w:type="spellEnd"/>
      <w:r w:rsidRPr="00392414">
        <w:rPr>
          <w:rFonts w:ascii="ITC Avant Garde" w:eastAsia="HiddenHorzOCR" w:hAnsi="ITC Avant Garde" w:cs="HiddenHorzOCR"/>
          <w:b/>
          <w:szCs w:val="20"/>
        </w:rPr>
        <w:t>, LLP, contenido en la página 75 del Rep</w:t>
      </w:r>
      <w:r w:rsidR="00D3488A">
        <w:rPr>
          <w:rFonts w:ascii="ITC Avant Garde" w:eastAsia="HiddenHorzOCR" w:hAnsi="ITC Avant Garde" w:cs="HiddenHorzOCR"/>
          <w:b/>
          <w:szCs w:val="20"/>
        </w:rPr>
        <w:t>orte Anual para dos mil catorce</w:t>
      </w:r>
      <w:r w:rsidR="006677DC" w:rsidRPr="00392414">
        <w:rPr>
          <w:rFonts w:ascii="ITC Avant Garde" w:eastAsia="HiddenHorzOCR" w:hAnsi="ITC Avant Garde" w:cs="HiddenHorzOCR"/>
          <w:b/>
          <w:szCs w:val="20"/>
        </w:rPr>
        <w:t xml:space="preserve"> de </w:t>
      </w:r>
      <w:proofErr w:type="spellStart"/>
      <w:r w:rsidR="006677DC" w:rsidRPr="00392414">
        <w:rPr>
          <w:rFonts w:ascii="ITC Avant Garde" w:eastAsia="HiddenHorzOCR" w:hAnsi="ITC Avant Garde" w:cs="HiddenHorzOCR"/>
          <w:b/>
          <w:szCs w:val="20"/>
        </w:rPr>
        <w:t>DirecTV</w:t>
      </w:r>
      <w:proofErr w:type="spellEnd"/>
      <w:r w:rsidR="006677DC" w:rsidRPr="00392414">
        <w:rPr>
          <w:rFonts w:ascii="ITC Avant Garde" w:eastAsia="HiddenHorzOCR" w:hAnsi="ITC Avant Garde" w:cs="HiddenHorzOCR"/>
          <w:b/>
          <w:szCs w:val="20"/>
        </w:rPr>
        <w:t xml:space="preserve"> </w:t>
      </w:r>
      <w:r w:rsidRPr="00392414">
        <w:rPr>
          <w:rFonts w:ascii="ITC Avant Garde" w:eastAsia="HiddenHorzOCR" w:hAnsi="ITC Avant Garde" w:cs="HiddenHorzOCR"/>
          <w:b/>
          <w:szCs w:val="20"/>
        </w:rPr>
        <w:t>obtenido de la fuente descrita en la pregunta 6.</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Las respuestas a las preguntas 6 y 7 es</w:t>
      </w:r>
      <w:r w:rsidR="006677DC" w:rsidRPr="00392414">
        <w:rPr>
          <w:rFonts w:ascii="ITC Avant Garde" w:eastAsia="HiddenHorzOCR" w:hAnsi="ITC Avant Garde" w:cs="HiddenHorzOCR"/>
          <w:b/>
          <w:szCs w:val="20"/>
        </w:rPr>
        <w:t xml:space="preserve">tán basadas en el Reporte Anual </w:t>
      </w:r>
      <w:r w:rsidR="00D3488A">
        <w:rPr>
          <w:rFonts w:ascii="ITC Avant Garde" w:eastAsia="HiddenHorzOCR" w:hAnsi="ITC Avant Garde" w:cs="HiddenHorzOCR"/>
          <w:b/>
          <w:szCs w:val="20"/>
        </w:rPr>
        <w:t>para dos mil catorce</w:t>
      </w:r>
      <w:r w:rsidRPr="00392414">
        <w:rPr>
          <w:rFonts w:ascii="ITC Avant Garde" w:eastAsia="HiddenHorzOCR" w:hAnsi="ITC Avant Garde" w:cs="HiddenHorzOCR"/>
          <w:b/>
          <w:szCs w:val="20"/>
        </w:rPr>
        <w:t xml:space="preserve"> así co</w:t>
      </w:r>
      <w:r w:rsidR="00D3488A">
        <w:rPr>
          <w:rFonts w:ascii="ITC Avant Garde" w:eastAsia="HiddenHorzOCR" w:hAnsi="ITC Avant Garde" w:cs="HiddenHorzOCR"/>
          <w:b/>
          <w:szCs w:val="20"/>
        </w:rPr>
        <w:t>mo en el Reporte Anual para dos mil trece</w:t>
      </w:r>
      <w:r w:rsidRPr="00392414">
        <w:rPr>
          <w:rFonts w:ascii="ITC Avant Garde" w:eastAsia="HiddenHorzOCR" w:hAnsi="ITC Avant Garde" w:cs="HiddenHorzOCR"/>
          <w:b/>
          <w:szCs w:val="20"/>
        </w:rPr>
        <w:t xml:space="preserve"> de </w:t>
      </w:r>
      <w:proofErr w:type="spellStart"/>
      <w:r w:rsidRPr="00392414">
        <w:rPr>
          <w:rFonts w:ascii="ITC Avant Garde" w:eastAsia="HiddenHorzOCR" w:hAnsi="ITC Avant Garde" w:cs="HiddenHorzOCR"/>
          <w:b/>
          <w:szCs w:val="20"/>
        </w:rPr>
        <w:t>DirecTV</w:t>
      </w:r>
      <w:proofErr w:type="spellEnd"/>
      <w:r w:rsidRPr="00392414">
        <w:rPr>
          <w:rFonts w:ascii="ITC Avant Garde" w:eastAsia="HiddenHorzOCR" w:hAnsi="ITC Avant Garde" w:cs="HiddenHorzOCR"/>
          <w:b/>
          <w:szCs w:val="20"/>
        </w:rPr>
        <w:t xml:space="preserve"> obt</w:t>
      </w:r>
      <w:r w:rsidR="006677DC" w:rsidRPr="00392414">
        <w:rPr>
          <w:rFonts w:ascii="ITC Avant Garde" w:eastAsia="HiddenHorzOCR" w:hAnsi="ITC Avant Garde" w:cs="HiddenHorzOCR"/>
          <w:b/>
          <w:szCs w:val="20"/>
        </w:rPr>
        <w:t xml:space="preserve">enido de la fuente </w:t>
      </w:r>
      <w:r w:rsidRPr="00392414">
        <w:rPr>
          <w:rFonts w:ascii="ITC Avant Garde" w:eastAsia="HiddenHorzOCR" w:hAnsi="ITC Avant Garde" w:cs="HiddenHorzOCR"/>
          <w:b/>
          <w:szCs w:val="20"/>
        </w:rPr>
        <w:t>descrita en la pregunta 6.</w:t>
      </w:r>
    </w:p>
    <w:p w:rsidR="00A1302C"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 pregunta 8 está basada en los Estados Financieros</w:t>
      </w:r>
      <w:r w:rsidR="00E639AC" w:rsidRPr="00392414">
        <w:rPr>
          <w:rFonts w:ascii="ITC Avant Garde" w:eastAsia="HiddenHorzOCR" w:hAnsi="ITC Avant Garde" w:cs="HiddenHorzOCR"/>
          <w:b/>
          <w:szCs w:val="20"/>
        </w:rPr>
        <w:t xml:space="preserve"> </w:t>
      </w:r>
      <w:r w:rsidR="001F30C5">
        <w:rPr>
          <w:rFonts w:ascii="ITC Avant Garde" w:eastAsia="HiddenHorzOCR" w:hAnsi="ITC Avant Garde" w:cs="HiddenHorzOCR"/>
          <w:b/>
          <w:szCs w:val="20"/>
        </w:rPr>
        <w:t>Consolidados al treinta y uno</w:t>
      </w:r>
      <w:r w:rsidRPr="00392414">
        <w:rPr>
          <w:rFonts w:ascii="ITC Avant Garde" w:eastAsia="HiddenHorzOCR" w:hAnsi="ITC Avant Garde" w:cs="HiddenHorzOCR"/>
          <w:b/>
          <w:szCs w:val="20"/>
        </w:rPr>
        <w:t xml:space="preserve"> de </w:t>
      </w:r>
      <w:r w:rsidR="00D3488A">
        <w:rPr>
          <w:rFonts w:ascii="ITC Avant Garde" w:eastAsia="HiddenHorzOCR" w:hAnsi="ITC Avant Garde" w:cs="HiddenHorzOCR"/>
          <w:b/>
          <w:szCs w:val="20"/>
        </w:rPr>
        <w:t>diciembre de dos mil catorce</w:t>
      </w:r>
      <w:r w:rsidRPr="00392414">
        <w:rPr>
          <w:rFonts w:ascii="ITC Avant Garde" w:eastAsia="HiddenHorzOCR" w:hAnsi="ITC Avant Garde" w:cs="HiddenHorzOCR"/>
          <w:b/>
          <w:szCs w:val="20"/>
        </w:rPr>
        <w:t xml:space="preserve"> y </w:t>
      </w:r>
      <w:r w:rsidR="00D3488A">
        <w:rPr>
          <w:rFonts w:ascii="ITC Avant Garde" w:eastAsia="HiddenHorzOCR" w:hAnsi="ITC Avant Garde" w:cs="HiddenHorzOCR"/>
          <w:b/>
          <w:szCs w:val="20"/>
        </w:rPr>
        <w:t>dos mil trece</w:t>
      </w:r>
      <w:r w:rsidRPr="00392414">
        <w:rPr>
          <w:rFonts w:ascii="ITC Avant Garde" w:eastAsia="HiddenHorzOCR" w:hAnsi="ITC Avant Garde" w:cs="HiddenHorzOCR"/>
          <w:b/>
          <w:szCs w:val="20"/>
        </w:rPr>
        <w:t xml:space="preserve"> de Innova, </w:t>
      </w:r>
      <w:r w:rsidR="009F3D60" w:rsidRPr="00392414">
        <w:rPr>
          <w:rFonts w:ascii="ITC Avant Garde" w:eastAsia="HiddenHorzOCR" w:hAnsi="ITC Avant Garde" w:cs="HiddenHorzOCR"/>
          <w:b/>
          <w:szCs w:val="20"/>
        </w:rPr>
        <w:t xml:space="preserve">así como en el Reporte </w:t>
      </w:r>
      <w:r w:rsidR="00D3488A">
        <w:rPr>
          <w:rFonts w:ascii="ITC Avant Garde" w:eastAsia="HiddenHorzOCR" w:hAnsi="ITC Avant Garde" w:cs="HiddenHorzOCR"/>
          <w:b/>
          <w:szCs w:val="20"/>
        </w:rPr>
        <w:t>Anual para dos mil catorce</w:t>
      </w:r>
      <w:r w:rsidRPr="00392414">
        <w:rPr>
          <w:rFonts w:ascii="ITC Avant Garde" w:eastAsia="HiddenHorzOCR" w:hAnsi="ITC Avant Garde" w:cs="HiddenHorzOCR"/>
          <w:b/>
          <w:szCs w:val="20"/>
        </w:rPr>
        <w:t xml:space="preserve"> de </w:t>
      </w:r>
      <w:proofErr w:type="spellStart"/>
      <w:r w:rsidRPr="00392414">
        <w:rPr>
          <w:rFonts w:ascii="ITC Avant Garde" w:eastAsia="HiddenHorzOCR" w:hAnsi="ITC Avant Garde" w:cs="HiddenHorzOCR"/>
          <w:b/>
          <w:szCs w:val="20"/>
        </w:rPr>
        <w:t>DirecTV</w:t>
      </w:r>
      <w:proofErr w:type="spellEnd"/>
      <w:r w:rsidRPr="00392414">
        <w:rPr>
          <w:rFonts w:ascii="ITC Avant Garde" w:eastAsia="HiddenHorzOCR" w:hAnsi="ITC Avant Garde" w:cs="HiddenHorzOCR"/>
          <w:b/>
          <w:szCs w:val="20"/>
        </w:rPr>
        <w:t xml:space="preserve"> obtenido de la fuente descrita en la pregunta 6.</w:t>
      </w:r>
    </w:p>
    <w:p w:rsidR="005C4C26" w:rsidRPr="00392414" w:rsidRDefault="00A1302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las preguntas 10, 11 Y 1</w:t>
      </w:r>
      <w:r w:rsidR="006677DC" w:rsidRPr="00392414">
        <w:rPr>
          <w:rFonts w:ascii="ITC Avant Garde" w:eastAsia="HiddenHorzOCR" w:hAnsi="ITC Avant Garde" w:cs="HiddenHorzOCR"/>
          <w:b/>
          <w:szCs w:val="20"/>
        </w:rPr>
        <w:t xml:space="preserve">2 está basada en la información </w:t>
      </w:r>
      <w:r w:rsidRPr="00392414">
        <w:rPr>
          <w:rFonts w:ascii="ITC Avant Garde" w:eastAsia="HiddenHorzOCR" w:hAnsi="ITC Avant Garde" w:cs="HiddenHorzOCR"/>
          <w:b/>
          <w:szCs w:val="20"/>
        </w:rPr>
        <w:t>contenida en los sistemas de información contable ("</w:t>
      </w:r>
      <w:r w:rsidRPr="00842E08">
        <w:rPr>
          <w:rFonts w:ascii="ITC Avant Garde" w:eastAsia="HiddenHorzOCR" w:hAnsi="ITC Avant Garde" w:cs="HiddenHorzOCR"/>
          <w:b/>
          <w:i/>
          <w:sz w:val="20"/>
          <w:szCs w:val="20"/>
        </w:rPr>
        <w:t>SAP</w:t>
      </w:r>
      <w:r w:rsidR="006677DC" w:rsidRPr="00392414">
        <w:rPr>
          <w:rFonts w:ascii="ITC Avant Garde" w:eastAsia="HiddenHorzOCR" w:hAnsi="ITC Avant Garde" w:cs="HiddenHorzOCR"/>
          <w:b/>
          <w:szCs w:val="20"/>
        </w:rPr>
        <w:t xml:space="preserve">") y estadísticos de Innova que </w:t>
      </w:r>
      <w:r w:rsidRPr="00392414">
        <w:rPr>
          <w:rFonts w:ascii="ITC Avant Garde" w:eastAsia="HiddenHorzOCR" w:hAnsi="ITC Avant Garde" w:cs="HiddenHorzOCR"/>
          <w:b/>
          <w:szCs w:val="20"/>
        </w:rPr>
        <w:t>nos fueron mostrados para tales efectos. Este perito realizó muestras de las cifras</w:t>
      </w:r>
      <w:r w:rsidR="006677DC" w:rsidRPr="00392414">
        <w:rPr>
          <w:rFonts w:ascii="ITC Avant Garde" w:eastAsia="HiddenHorzOCR" w:hAnsi="ITC Avant Garde" w:cs="HiddenHorzOCR"/>
          <w:b/>
          <w:szCs w:val="20"/>
        </w:rPr>
        <w:t xml:space="preserve"> </w:t>
      </w:r>
      <w:r w:rsidRPr="00392414">
        <w:rPr>
          <w:rFonts w:ascii="ITC Avant Garde" w:eastAsia="HiddenHorzOCR" w:hAnsi="ITC Avant Garde" w:cs="HiddenHorzOCR"/>
          <w:b/>
          <w:szCs w:val="20"/>
        </w:rPr>
        <w:t>contenidas en la información mostrada contra los reg</w:t>
      </w:r>
      <w:r w:rsidR="006677DC" w:rsidRPr="00392414">
        <w:rPr>
          <w:rFonts w:ascii="ITC Avant Garde" w:eastAsia="HiddenHorzOCR" w:hAnsi="ITC Avant Garde" w:cs="HiddenHorzOCR"/>
          <w:b/>
          <w:szCs w:val="20"/>
        </w:rPr>
        <w:t xml:space="preserve">istros y reportes contables que </w:t>
      </w:r>
      <w:r w:rsidRPr="00392414">
        <w:rPr>
          <w:rFonts w:ascii="ITC Avant Garde" w:eastAsia="HiddenHorzOCR" w:hAnsi="ITC Avant Garde" w:cs="HiddenHorzOCR"/>
          <w:b/>
          <w:szCs w:val="20"/>
        </w:rPr>
        <w:t>consideré necesarios en las circunstancias que demost</w:t>
      </w:r>
      <w:r w:rsidR="006677DC" w:rsidRPr="00392414">
        <w:rPr>
          <w:rFonts w:ascii="ITC Avant Garde" w:eastAsia="HiddenHorzOCR" w:hAnsi="ITC Avant Garde" w:cs="HiddenHorzOCR"/>
          <w:b/>
          <w:szCs w:val="20"/>
        </w:rPr>
        <w:t xml:space="preserve">raban el origen y razonabilidad </w:t>
      </w:r>
      <w:r w:rsidRPr="00392414">
        <w:rPr>
          <w:rFonts w:ascii="ITC Avant Garde" w:eastAsia="HiddenHorzOCR" w:hAnsi="ITC Avant Garde" w:cs="HiddenHorzOCR"/>
          <w:b/>
          <w:szCs w:val="20"/>
        </w:rPr>
        <w:t>de dichos datos.</w:t>
      </w:r>
    </w:p>
    <w:p w:rsidR="006677DC" w:rsidRPr="00392414" w:rsidRDefault="006677D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 pregunta 13 está basada en los Reportes Trimestrales par</w:t>
      </w:r>
      <w:r w:rsidR="00F47D97" w:rsidRPr="00392414">
        <w:rPr>
          <w:rFonts w:ascii="ITC Avant Garde" w:eastAsia="HiddenHorzOCR" w:hAnsi="ITC Avant Garde" w:cs="HiddenHorzOCR"/>
          <w:b/>
          <w:szCs w:val="20"/>
        </w:rPr>
        <w:t xml:space="preserve">a </w:t>
      </w:r>
      <w:r w:rsidR="00140B2E">
        <w:rPr>
          <w:rFonts w:ascii="ITC Avant Garde" w:eastAsia="HiddenHorzOCR" w:hAnsi="ITC Avant Garde" w:cs="HiddenHorzOCR"/>
          <w:b/>
          <w:szCs w:val="20"/>
        </w:rPr>
        <w:t>dos mil nueve a dos mil catorce d</w:t>
      </w:r>
      <w:r w:rsidRPr="00392414">
        <w:rPr>
          <w:rFonts w:ascii="ITC Avant Garde" w:eastAsia="HiddenHorzOCR" w:hAnsi="ITC Avant Garde" w:cs="HiddenHorzOCR"/>
          <w:b/>
          <w:szCs w:val="20"/>
        </w:rPr>
        <w:t xml:space="preserve">e GTV obtenidos de la fuente descrita en la </w:t>
      </w:r>
      <w:r w:rsidRPr="00392414">
        <w:rPr>
          <w:rFonts w:ascii="ITC Avant Garde" w:eastAsia="HiddenHorzOCR" w:hAnsi="ITC Avant Garde" w:cs="HiddenHorzOCR"/>
          <w:b/>
          <w:szCs w:val="20"/>
        </w:rPr>
        <w:lastRenderedPageBreak/>
        <w:t>pregunta 13, así como en diversos reportes contables y financieros proporcionados.</w:t>
      </w:r>
    </w:p>
    <w:p w:rsidR="006677DC" w:rsidRPr="00392414" w:rsidRDefault="006677DC" w:rsidP="00DC0EB2">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La respuesta a la pregunta 14 está basada en los Reportes Anuales para</w:t>
      </w:r>
      <w:r w:rsidR="00E639AC" w:rsidRPr="00392414">
        <w:rPr>
          <w:rFonts w:ascii="ITC Avant Garde" w:eastAsia="HiddenHorzOCR" w:hAnsi="ITC Avant Garde" w:cs="HiddenHorzOCR"/>
          <w:b/>
          <w:szCs w:val="20"/>
        </w:rPr>
        <w:t xml:space="preserve"> </w:t>
      </w:r>
      <w:r w:rsidR="00CD659B">
        <w:rPr>
          <w:rFonts w:ascii="ITC Avant Garde" w:eastAsia="HiddenHorzOCR" w:hAnsi="ITC Avant Garde" w:cs="HiddenHorzOCR"/>
          <w:b/>
          <w:szCs w:val="20"/>
        </w:rPr>
        <w:t>dos mil diez a dos mil catorce</w:t>
      </w:r>
      <w:r w:rsidRPr="00392414">
        <w:rPr>
          <w:rFonts w:ascii="ITC Avant Garde" w:eastAsia="HiddenHorzOCR" w:hAnsi="ITC Avant Garde" w:cs="HiddenHorzOCR"/>
          <w:b/>
          <w:szCs w:val="20"/>
        </w:rPr>
        <w:t xml:space="preserve"> de </w:t>
      </w:r>
      <w:proofErr w:type="spellStart"/>
      <w:r w:rsidRPr="00392414">
        <w:rPr>
          <w:rFonts w:ascii="ITC Avant Garde" w:eastAsia="HiddenHorzOCR" w:hAnsi="ITC Avant Garde" w:cs="HiddenHorzOCR"/>
          <w:b/>
          <w:szCs w:val="20"/>
        </w:rPr>
        <w:t>Megacable</w:t>
      </w:r>
      <w:proofErr w:type="spellEnd"/>
      <w:r w:rsidRPr="00392414">
        <w:rPr>
          <w:rFonts w:ascii="ITC Avant Garde" w:eastAsia="HiddenHorzOCR" w:hAnsi="ITC Avant Garde" w:cs="HiddenHorzOCR"/>
          <w:b/>
          <w:szCs w:val="20"/>
        </w:rPr>
        <w:t xml:space="preserve"> Holdings, S.A.B. de C.V. y subsidiarias obtenidos de la fuente descrita en la pregunta 14.</w:t>
      </w:r>
    </w:p>
    <w:p w:rsidR="003D5549" w:rsidRPr="002B6985" w:rsidRDefault="006677DC" w:rsidP="002B6985">
      <w:pPr>
        <w:autoSpaceDE w:val="0"/>
        <w:autoSpaceDN w:val="0"/>
        <w:adjustRightInd w:val="0"/>
        <w:spacing w:line="240" w:lineRule="auto"/>
        <w:ind w:left="284"/>
        <w:jc w:val="both"/>
        <w:rPr>
          <w:rFonts w:ascii="ITC Avant Garde" w:eastAsia="HiddenHorzOCR" w:hAnsi="ITC Avant Garde" w:cs="HiddenHorzOCR"/>
          <w:b/>
          <w:szCs w:val="20"/>
        </w:rPr>
      </w:pPr>
      <w:r w:rsidRPr="00392414">
        <w:rPr>
          <w:rFonts w:ascii="ITC Avant Garde" w:eastAsia="HiddenHorzOCR" w:hAnsi="ITC Avant Garde" w:cs="HiddenHorzOCR"/>
          <w:b/>
          <w:szCs w:val="20"/>
        </w:rPr>
        <w:t>Asimismo, la respuesta a la pregunta 14 está basada en los Reportes Trimestrales de GTV obtenidos de la fuente descrita en la pregunta 13, así como en diversos reportes contables y financieros proporcionados por GTV</w:t>
      </w:r>
      <w:r w:rsidR="00B932C6" w:rsidRPr="00392414">
        <w:rPr>
          <w:rFonts w:ascii="ITC Avant Garde" w:eastAsia="HiddenHorzOCR" w:hAnsi="ITC Avant Garde" w:cs="HiddenHorzOCR"/>
          <w:b/>
          <w:szCs w:val="20"/>
        </w:rPr>
        <w:t>.</w:t>
      </w:r>
    </w:p>
    <w:sectPr w:rsidR="003D5549" w:rsidRPr="002B6985" w:rsidSect="00A771C2">
      <w:footerReference w:type="default" r:id="rId10"/>
      <w:pgSz w:w="12240" w:h="15840"/>
      <w:pgMar w:top="1985"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7078" w:rsidRDefault="00EF7078" w:rsidP="00410F5D">
      <w:pPr>
        <w:spacing w:after="0" w:line="240" w:lineRule="auto"/>
      </w:pPr>
      <w:r>
        <w:separator/>
      </w:r>
    </w:p>
  </w:endnote>
  <w:endnote w:type="continuationSeparator" w:id="0">
    <w:p w:rsidR="00EF7078" w:rsidRDefault="00EF7078" w:rsidP="00410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504020202030204"/>
    <w:charset w:val="00"/>
    <w:family w:val="swiss"/>
    <w:pitch w:val="variable"/>
    <w:sig w:usb0="00000007" w:usb1="00000000" w:usb2="00000000" w:usb3="00000000" w:csb0="00000093" w:csb1="00000000"/>
  </w:font>
  <w:font w:name="HiddenHorzOCR">
    <w:altName w:val="MS Mincho"/>
    <w:panose1 w:val="00000000000000000000"/>
    <w:charset w:val="80"/>
    <w:family w:val="auto"/>
    <w:notTrueType/>
    <w:pitch w:val="default"/>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w:panose1 w:val="020B0402020203020304"/>
    <w:charset w:val="00"/>
    <w:family w:val="swiss"/>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ITC Avant Garde" w:hAnsi="ITC Avant Garde"/>
        <w:sz w:val="20"/>
      </w:rPr>
      <w:id w:val="-2024241639"/>
      <w:docPartObj>
        <w:docPartGallery w:val="Page Numbers (Bottom of Page)"/>
        <w:docPartUnique/>
      </w:docPartObj>
    </w:sdtPr>
    <w:sdtEndPr/>
    <w:sdtContent>
      <w:p w:rsidR="00A41F9E" w:rsidRPr="00A41F9E" w:rsidRDefault="00A41F9E" w:rsidP="00A41F9E">
        <w:pPr>
          <w:pStyle w:val="Piedepgina"/>
          <w:jc w:val="right"/>
          <w:rPr>
            <w:rFonts w:ascii="ITC Avant Garde" w:hAnsi="ITC Avant Garde"/>
            <w:sz w:val="20"/>
          </w:rPr>
        </w:pPr>
        <w:r w:rsidRPr="002F011C">
          <w:rPr>
            <w:rFonts w:ascii="ITC Avant Garde" w:hAnsi="ITC Avant Garde"/>
            <w:sz w:val="20"/>
          </w:rPr>
          <w:fldChar w:fldCharType="begin"/>
        </w:r>
        <w:r w:rsidRPr="002F011C">
          <w:rPr>
            <w:rFonts w:ascii="ITC Avant Garde" w:hAnsi="ITC Avant Garde"/>
            <w:sz w:val="20"/>
          </w:rPr>
          <w:instrText>PAGE   \* MERGEFORMAT</w:instrText>
        </w:r>
        <w:r w:rsidRPr="002F011C">
          <w:rPr>
            <w:rFonts w:ascii="ITC Avant Garde" w:hAnsi="ITC Avant Garde"/>
            <w:sz w:val="20"/>
          </w:rPr>
          <w:fldChar w:fldCharType="separate"/>
        </w:r>
        <w:r w:rsidR="002B6985" w:rsidRPr="002B6985">
          <w:rPr>
            <w:rFonts w:ascii="ITC Avant Garde" w:hAnsi="ITC Avant Garde"/>
            <w:noProof/>
            <w:sz w:val="20"/>
            <w:lang w:val="es-ES"/>
          </w:rPr>
          <w:t>13</w:t>
        </w:r>
        <w:r w:rsidRPr="002F011C">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7078" w:rsidRDefault="00EF7078" w:rsidP="00410F5D">
      <w:pPr>
        <w:spacing w:after="0" w:line="240" w:lineRule="auto"/>
      </w:pPr>
      <w:r>
        <w:separator/>
      </w:r>
    </w:p>
  </w:footnote>
  <w:footnote w:type="continuationSeparator" w:id="0">
    <w:p w:rsidR="00EF7078" w:rsidRDefault="00EF7078" w:rsidP="00410F5D">
      <w:pPr>
        <w:spacing w:after="0" w:line="240" w:lineRule="auto"/>
      </w:pPr>
      <w:r>
        <w:continuationSeparator/>
      </w:r>
    </w:p>
  </w:footnote>
  <w:footnote w:id="1">
    <w:p w:rsidR="00A41F9E" w:rsidRPr="00E639AC" w:rsidRDefault="00A41F9E" w:rsidP="00E64B22">
      <w:pPr>
        <w:pStyle w:val="Textonotapie"/>
        <w:jc w:val="both"/>
        <w:rPr>
          <w:rFonts w:ascii="ITC Avant Garde" w:hAnsi="ITC Avant Garde"/>
          <w:sz w:val="18"/>
          <w:szCs w:val="18"/>
        </w:rPr>
      </w:pPr>
      <w:r w:rsidRPr="00E639AC">
        <w:rPr>
          <w:rStyle w:val="Refdenotaalpie"/>
          <w:rFonts w:ascii="ITC Avant Garde" w:hAnsi="ITC Avant Garde"/>
          <w:sz w:val="18"/>
          <w:szCs w:val="18"/>
        </w:rPr>
        <w:footnoteRef/>
      </w:r>
      <w:r w:rsidRPr="00E639AC">
        <w:rPr>
          <w:rFonts w:ascii="ITC Avant Garde" w:hAnsi="ITC Avant Garde"/>
          <w:sz w:val="18"/>
          <w:szCs w:val="18"/>
        </w:rPr>
        <w:t xml:space="preserve"> En caso de que este concepto incluya depreciación y/o amortización de sus activos fijos o</w:t>
      </w:r>
      <w:r>
        <w:rPr>
          <w:rFonts w:ascii="ITC Avant Garde" w:hAnsi="ITC Avant Garde"/>
          <w:sz w:val="18"/>
          <w:szCs w:val="18"/>
        </w:rPr>
        <w:t xml:space="preserve"> inversiones, </w:t>
      </w:r>
      <w:r w:rsidRPr="00E639AC">
        <w:rPr>
          <w:rFonts w:ascii="ITC Avant Garde" w:hAnsi="ITC Avant Garde"/>
          <w:sz w:val="18"/>
          <w:szCs w:val="18"/>
        </w:rPr>
        <w:t>éste se debe excluir del total de costos y gastos considerados para calcular la UAFIDA.</w:t>
      </w:r>
    </w:p>
  </w:footnote>
  <w:footnote w:id="2">
    <w:p w:rsidR="00A41F9E" w:rsidRPr="00E639AC" w:rsidRDefault="00A41F9E" w:rsidP="00E64B22">
      <w:pPr>
        <w:pStyle w:val="Textonotapie"/>
        <w:jc w:val="both"/>
        <w:rPr>
          <w:rFonts w:ascii="ITC Avant Garde" w:hAnsi="ITC Avant Garde"/>
          <w:sz w:val="18"/>
          <w:szCs w:val="18"/>
        </w:rPr>
      </w:pPr>
      <w:r w:rsidRPr="00E639AC">
        <w:rPr>
          <w:rStyle w:val="Refdenotaalpie"/>
          <w:rFonts w:ascii="ITC Avant Garde" w:hAnsi="ITC Avant Garde"/>
          <w:sz w:val="18"/>
          <w:szCs w:val="18"/>
        </w:rPr>
        <w:footnoteRef/>
      </w:r>
      <w:r w:rsidRPr="00E639AC">
        <w:rPr>
          <w:rFonts w:ascii="ITC Avant Garde" w:hAnsi="ITC Avant Garde"/>
          <w:sz w:val="18"/>
          <w:szCs w:val="18"/>
        </w:rPr>
        <w:t xml:space="preserve"> Ibídem, p. 1.</w:t>
      </w:r>
    </w:p>
  </w:footnote>
  <w:footnote w:id="3">
    <w:p w:rsidR="00A41F9E" w:rsidRPr="00E639AC" w:rsidRDefault="00A41F9E" w:rsidP="00E64B22">
      <w:pPr>
        <w:pStyle w:val="Textonotapie"/>
        <w:jc w:val="both"/>
        <w:rPr>
          <w:rFonts w:ascii="ITC Avant Garde" w:hAnsi="ITC Avant Garde"/>
          <w:sz w:val="18"/>
          <w:szCs w:val="18"/>
        </w:rPr>
      </w:pPr>
      <w:r w:rsidRPr="00E639AC">
        <w:rPr>
          <w:rStyle w:val="Refdenotaalpie"/>
          <w:rFonts w:ascii="ITC Avant Garde" w:hAnsi="ITC Avant Garde"/>
          <w:sz w:val="18"/>
          <w:szCs w:val="18"/>
        </w:rPr>
        <w:footnoteRef/>
      </w:r>
      <w:r w:rsidRPr="00E639AC">
        <w:rPr>
          <w:rFonts w:ascii="ITC Avant Garde" w:hAnsi="ITC Avant Garde"/>
          <w:sz w:val="18"/>
          <w:szCs w:val="18"/>
        </w:rPr>
        <w:t xml:space="preserve"> ídem.</w:t>
      </w:r>
    </w:p>
  </w:footnote>
  <w:footnote w:id="4">
    <w:p w:rsidR="00A41F9E" w:rsidRPr="00E639AC" w:rsidRDefault="00A41F9E" w:rsidP="00E64B22">
      <w:pPr>
        <w:pStyle w:val="Textonotapie"/>
        <w:jc w:val="both"/>
        <w:rPr>
          <w:rFonts w:ascii="ITC Avant Garde" w:hAnsi="ITC Avant Garde"/>
          <w:sz w:val="18"/>
          <w:szCs w:val="18"/>
        </w:rPr>
      </w:pPr>
      <w:r w:rsidRPr="00E639AC">
        <w:rPr>
          <w:rStyle w:val="Refdenotaalpie"/>
          <w:rFonts w:ascii="ITC Avant Garde" w:hAnsi="ITC Avant Garde"/>
          <w:sz w:val="18"/>
          <w:szCs w:val="18"/>
        </w:rPr>
        <w:footnoteRef/>
      </w:r>
      <w:r w:rsidRPr="00E639AC">
        <w:rPr>
          <w:rFonts w:ascii="ITC Avant Garde" w:hAnsi="ITC Avant Garde"/>
          <w:sz w:val="18"/>
          <w:szCs w:val="18"/>
        </w:rPr>
        <w:t xml:space="preserve"> En un análisis financiero completo de una entidad, deben utilizarse diversas herramientas e indicadores para poder concluir razonablemente sobre la situación financiera de una entidad, comparando y valorando todas las razones financieras en su conjunto.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F62E5"/>
    <w:multiLevelType w:val="hybridMultilevel"/>
    <w:tmpl w:val="0DF23F36"/>
    <w:lvl w:ilvl="0" w:tplc="90245E02">
      <w:start w:val="9"/>
      <w:numFmt w:val="bullet"/>
      <w:lvlText w:val="-"/>
      <w:lvlJc w:val="left"/>
      <w:pPr>
        <w:ind w:left="720" w:hanging="360"/>
      </w:pPr>
      <w:rPr>
        <w:rFonts w:ascii="Helvetica" w:eastAsia="HiddenHorzOCR" w:hAnsi="Helvetica"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9FE14B1"/>
    <w:multiLevelType w:val="hybridMultilevel"/>
    <w:tmpl w:val="F5627824"/>
    <w:lvl w:ilvl="0" w:tplc="7D28F38C">
      <w:start w:val="1"/>
      <w:numFmt w:val="lowerLetter"/>
      <w:lvlText w:val="%1)"/>
      <w:lvlJc w:val="left"/>
      <w:pPr>
        <w:ind w:left="644" w:hanging="360"/>
      </w:pPr>
      <w:rPr>
        <w:rFonts w:hint="default"/>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3AC96E0C"/>
    <w:multiLevelType w:val="hybridMultilevel"/>
    <w:tmpl w:val="90EE91C6"/>
    <w:lvl w:ilvl="0" w:tplc="A16C2116">
      <w:start w:val="47"/>
      <w:numFmt w:val="bullet"/>
      <w:lvlText w:val=""/>
      <w:lvlJc w:val="left"/>
      <w:pPr>
        <w:ind w:left="720" w:hanging="360"/>
      </w:pPr>
      <w:rPr>
        <w:rFonts w:ascii="Symbol" w:eastAsia="HiddenHorzOCR" w:hAnsi="Symbol" w:cs="HiddenHorzOCR"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06B722C"/>
    <w:multiLevelType w:val="hybridMultilevel"/>
    <w:tmpl w:val="6912374A"/>
    <w:lvl w:ilvl="0" w:tplc="439E5104">
      <w:start w:val="24"/>
      <w:numFmt w:val="bullet"/>
      <w:lvlText w:val=""/>
      <w:lvlJc w:val="left"/>
      <w:pPr>
        <w:ind w:left="1770" w:hanging="360"/>
      </w:pPr>
      <w:rPr>
        <w:rFonts w:ascii="Symbol" w:eastAsia="HiddenHorzOCR" w:hAnsi="Symbol" w:cs="HiddenHorzOCR" w:hint="default"/>
      </w:rPr>
    </w:lvl>
    <w:lvl w:ilvl="1" w:tplc="080A0003" w:tentative="1">
      <w:start w:val="1"/>
      <w:numFmt w:val="bullet"/>
      <w:lvlText w:val="o"/>
      <w:lvlJc w:val="left"/>
      <w:pPr>
        <w:ind w:left="2490" w:hanging="360"/>
      </w:pPr>
      <w:rPr>
        <w:rFonts w:ascii="Courier New" w:hAnsi="Courier New" w:cs="Courier New" w:hint="default"/>
      </w:rPr>
    </w:lvl>
    <w:lvl w:ilvl="2" w:tplc="080A0005" w:tentative="1">
      <w:start w:val="1"/>
      <w:numFmt w:val="bullet"/>
      <w:lvlText w:val=""/>
      <w:lvlJc w:val="left"/>
      <w:pPr>
        <w:ind w:left="3210" w:hanging="360"/>
      </w:pPr>
      <w:rPr>
        <w:rFonts w:ascii="Wingdings" w:hAnsi="Wingdings" w:hint="default"/>
      </w:rPr>
    </w:lvl>
    <w:lvl w:ilvl="3" w:tplc="080A0001" w:tentative="1">
      <w:start w:val="1"/>
      <w:numFmt w:val="bullet"/>
      <w:lvlText w:val=""/>
      <w:lvlJc w:val="left"/>
      <w:pPr>
        <w:ind w:left="3930" w:hanging="360"/>
      </w:pPr>
      <w:rPr>
        <w:rFonts w:ascii="Symbol" w:hAnsi="Symbol" w:hint="default"/>
      </w:rPr>
    </w:lvl>
    <w:lvl w:ilvl="4" w:tplc="080A0003" w:tentative="1">
      <w:start w:val="1"/>
      <w:numFmt w:val="bullet"/>
      <w:lvlText w:val="o"/>
      <w:lvlJc w:val="left"/>
      <w:pPr>
        <w:ind w:left="4650" w:hanging="360"/>
      </w:pPr>
      <w:rPr>
        <w:rFonts w:ascii="Courier New" w:hAnsi="Courier New" w:cs="Courier New" w:hint="default"/>
      </w:rPr>
    </w:lvl>
    <w:lvl w:ilvl="5" w:tplc="080A0005" w:tentative="1">
      <w:start w:val="1"/>
      <w:numFmt w:val="bullet"/>
      <w:lvlText w:val=""/>
      <w:lvlJc w:val="left"/>
      <w:pPr>
        <w:ind w:left="5370" w:hanging="360"/>
      </w:pPr>
      <w:rPr>
        <w:rFonts w:ascii="Wingdings" w:hAnsi="Wingdings" w:hint="default"/>
      </w:rPr>
    </w:lvl>
    <w:lvl w:ilvl="6" w:tplc="080A0001" w:tentative="1">
      <w:start w:val="1"/>
      <w:numFmt w:val="bullet"/>
      <w:lvlText w:val=""/>
      <w:lvlJc w:val="left"/>
      <w:pPr>
        <w:ind w:left="6090" w:hanging="360"/>
      </w:pPr>
      <w:rPr>
        <w:rFonts w:ascii="Symbol" w:hAnsi="Symbol" w:hint="default"/>
      </w:rPr>
    </w:lvl>
    <w:lvl w:ilvl="7" w:tplc="080A0003" w:tentative="1">
      <w:start w:val="1"/>
      <w:numFmt w:val="bullet"/>
      <w:lvlText w:val="o"/>
      <w:lvlJc w:val="left"/>
      <w:pPr>
        <w:ind w:left="6810" w:hanging="360"/>
      </w:pPr>
      <w:rPr>
        <w:rFonts w:ascii="Courier New" w:hAnsi="Courier New" w:cs="Courier New" w:hint="default"/>
      </w:rPr>
    </w:lvl>
    <w:lvl w:ilvl="8" w:tplc="080A0005" w:tentative="1">
      <w:start w:val="1"/>
      <w:numFmt w:val="bullet"/>
      <w:lvlText w:val=""/>
      <w:lvlJc w:val="left"/>
      <w:pPr>
        <w:ind w:left="7530" w:hanging="360"/>
      </w:pPr>
      <w:rPr>
        <w:rFonts w:ascii="Wingdings" w:hAnsi="Wingdings" w:hint="default"/>
      </w:rPr>
    </w:lvl>
  </w:abstractNum>
  <w:abstractNum w:abstractNumId="4" w15:restartNumberingAfterBreak="0">
    <w:nsid w:val="5AAD5F40"/>
    <w:multiLevelType w:val="hybridMultilevel"/>
    <w:tmpl w:val="B15C956E"/>
    <w:lvl w:ilvl="0" w:tplc="A1282578">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BCC5FF0"/>
    <w:multiLevelType w:val="hybridMultilevel"/>
    <w:tmpl w:val="598243F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FAC7270"/>
    <w:multiLevelType w:val="hybridMultilevel"/>
    <w:tmpl w:val="484020DA"/>
    <w:lvl w:ilvl="0" w:tplc="765AC872">
      <w:start w:val="2"/>
      <w:numFmt w:val="bullet"/>
      <w:lvlText w:val=""/>
      <w:lvlJc w:val="left"/>
      <w:pPr>
        <w:ind w:left="720" w:hanging="360"/>
      </w:pPr>
      <w:rPr>
        <w:rFonts w:ascii="Symbol" w:eastAsia="HiddenHorzOCR" w:hAnsi="Symbol" w:cs="HiddenHorzOCR"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397"/>
    <w:rsid w:val="00001E88"/>
    <w:rsid w:val="00020059"/>
    <w:rsid w:val="00030E73"/>
    <w:rsid w:val="0003124C"/>
    <w:rsid w:val="000448BB"/>
    <w:rsid w:val="000846FE"/>
    <w:rsid w:val="00087F0A"/>
    <w:rsid w:val="000B5B41"/>
    <w:rsid w:val="000C14D2"/>
    <w:rsid w:val="000E16F3"/>
    <w:rsid w:val="000F1542"/>
    <w:rsid w:val="0011139D"/>
    <w:rsid w:val="00140B2E"/>
    <w:rsid w:val="001429C9"/>
    <w:rsid w:val="001437B6"/>
    <w:rsid w:val="00146DA4"/>
    <w:rsid w:val="00154AC4"/>
    <w:rsid w:val="00156545"/>
    <w:rsid w:val="001616D0"/>
    <w:rsid w:val="00166B7F"/>
    <w:rsid w:val="00166F39"/>
    <w:rsid w:val="00186101"/>
    <w:rsid w:val="00195DED"/>
    <w:rsid w:val="001A413F"/>
    <w:rsid w:val="001F30C5"/>
    <w:rsid w:val="00211A5B"/>
    <w:rsid w:val="00245F0F"/>
    <w:rsid w:val="00251C02"/>
    <w:rsid w:val="00261102"/>
    <w:rsid w:val="002A5859"/>
    <w:rsid w:val="002B6985"/>
    <w:rsid w:val="002E0137"/>
    <w:rsid w:val="002F011C"/>
    <w:rsid w:val="0030605E"/>
    <w:rsid w:val="00315308"/>
    <w:rsid w:val="0032103F"/>
    <w:rsid w:val="0032242C"/>
    <w:rsid w:val="00322574"/>
    <w:rsid w:val="00332024"/>
    <w:rsid w:val="00352C05"/>
    <w:rsid w:val="003617F7"/>
    <w:rsid w:val="00374E14"/>
    <w:rsid w:val="00392414"/>
    <w:rsid w:val="003C0CA3"/>
    <w:rsid w:val="003C2D7C"/>
    <w:rsid w:val="003D3A06"/>
    <w:rsid w:val="003D5549"/>
    <w:rsid w:val="003F13E1"/>
    <w:rsid w:val="00401D8B"/>
    <w:rsid w:val="00406510"/>
    <w:rsid w:val="00410F5D"/>
    <w:rsid w:val="00422B10"/>
    <w:rsid w:val="00426A38"/>
    <w:rsid w:val="0046015B"/>
    <w:rsid w:val="004A4171"/>
    <w:rsid w:val="004B2ACA"/>
    <w:rsid w:val="004D286E"/>
    <w:rsid w:val="004D4397"/>
    <w:rsid w:val="00501D60"/>
    <w:rsid w:val="00510564"/>
    <w:rsid w:val="005712DE"/>
    <w:rsid w:val="0058014A"/>
    <w:rsid w:val="00593A4A"/>
    <w:rsid w:val="005A17ED"/>
    <w:rsid w:val="005B2130"/>
    <w:rsid w:val="005C4C26"/>
    <w:rsid w:val="005C71CB"/>
    <w:rsid w:val="00600AC8"/>
    <w:rsid w:val="006523D1"/>
    <w:rsid w:val="006677DC"/>
    <w:rsid w:val="00687B0B"/>
    <w:rsid w:val="006A03B7"/>
    <w:rsid w:val="006A2B83"/>
    <w:rsid w:val="006C122A"/>
    <w:rsid w:val="006E7198"/>
    <w:rsid w:val="006F4B45"/>
    <w:rsid w:val="00701713"/>
    <w:rsid w:val="0072046B"/>
    <w:rsid w:val="007659F4"/>
    <w:rsid w:val="007A1097"/>
    <w:rsid w:val="007B3F8F"/>
    <w:rsid w:val="007C15CF"/>
    <w:rsid w:val="007D4540"/>
    <w:rsid w:val="007D56F9"/>
    <w:rsid w:val="007E4A5A"/>
    <w:rsid w:val="00842E08"/>
    <w:rsid w:val="008555A2"/>
    <w:rsid w:val="00856C2D"/>
    <w:rsid w:val="008C011E"/>
    <w:rsid w:val="008D4B63"/>
    <w:rsid w:val="00902AB2"/>
    <w:rsid w:val="00904664"/>
    <w:rsid w:val="00926528"/>
    <w:rsid w:val="0093081C"/>
    <w:rsid w:val="00931CD2"/>
    <w:rsid w:val="009343A2"/>
    <w:rsid w:val="00944AC0"/>
    <w:rsid w:val="00956BE8"/>
    <w:rsid w:val="00963D04"/>
    <w:rsid w:val="00967D47"/>
    <w:rsid w:val="00973AD5"/>
    <w:rsid w:val="009901C1"/>
    <w:rsid w:val="009F3D60"/>
    <w:rsid w:val="00A00AB0"/>
    <w:rsid w:val="00A1302C"/>
    <w:rsid w:val="00A22B7A"/>
    <w:rsid w:val="00A41F9E"/>
    <w:rsid w:val="00A50B5B"/>
    <w:rsid w:val="00A53844"/>
    <w:rsid w:val="00A771C2"/>
    <w:rsid w:val="00AA183F"/>
    <w:rsid w:val="00AA3E04"/>
    <w:rsid w:val="00AB6428"/>
    <w:rsid w:val="00AC1F79"/>
    <w:rsid w:val="00AD0531"/>
    <w:rsid w:val="00AF330B"/>
    <w:rsid w:val="00AF49F1"/>
    <w:rsid w:val="00B06D60"/>
    <w:rsid w:val="00B1377F"/>
    <w:rsid w:val="00B20AAC"/>
    <w:rsid w:val="00B218B0"/>
    <w:rsid w:val="00B34C33"/>
    <w:rsid w:val="00B35A70"/>
    <w:rsid w:val="00B932C6"/>
    <w:rsid w:val="00BA35CF"/>
    <w:rsid w:val="00BA5894"/>
    <w:rsid w:val="00BB5D13"/>
    <w:rsid w:val="00BB5D88"/>
    <w:rsid w:val="00BC0A93"/>
    <w:rsid w:val="00BC3599"/>
    <w:rsid w:val="00BC711C"/>
    <w:rsid w:val="00BF48EC"/>
    <w:rsid w:val="00BF5118"/>
    <w:rsid w:val="00BF7456"/>
    <w:rsid w:val="00C37B2F"/>
    <w:rsid w:val="00C4246B"/>
    <w:rsid w:val="00C60CF5"/>
    <w:rsid w:val="00C63F29"/>
    <w:rsid w:val="00C82FCB"/>
    <w:rsid w:val="00C93C42"/>
    <w:rsid w:val="00CB3A31"/>
    <w:rsid w:val="00CB6417"/>
    <w:rsid w:val="00CC021C"/>
    <w:rsid w:val="00CD659B"/>
    <w:rsid w:val="00CF19F1"/>
    <w:rsid w:val="00D050FB"/>
    <w:rsid w:val="00D3488A"/>
    <w:rsid w:val="00D62EE9"/>
    <w:rsid w:val="00D76333"/>
    <w:rsid w:val="00D91D54"/>
    <w:rsid w:val="00DA45A5"/>
    <w:rsid w:val="00DC0EB2"/>
    <w:rsid w:val="00DE3B69"/>
    <w:rsid w:val="00E0584E"/>
    <w:rsid w:val="00E27B6E"/>
    <w:rsid w:val="00E35DA6"/>
    <w:rsid w:val="00E361EE"/>
    <w:rsid w:val="00E46D85"/>
    <w:rsid w:val="00E52B1D"/>
    <w:rsid w:val="00E639AC"/>
    <w:rsid w:val="00E64B0E"/>
    <w:rsid w:val="00E64B22"/>
    <w:rsid w:val="00E73414"/>
    <w:rsid w:val="00EF7078"/>
    <w:rsid w:val="00F04CDE"/>
    <w:rsid w:val="00F10B29"/>
    <w:rsid w:val="00F118C2"/>
    <w:rsid w:val="00F26A64"/>
    <w:rsid w:val="00F444D3"/>
    <w:rsid w:val="00F47D97"/>
    <w:rsid w:val="00F63564"/>
    <w:rsid w:val="00FC0423"/>
    <w:rsid w:val="00FE17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ED98DF-84BD-40DE-8BCC-4FB3231A4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73AD5"/>
    <w:pPr>
      <w:keepNext/>
      <w:keepLines/>
      <w:spacing w:before="240" w:after="0"/>
      <w:jc w:val="both"/>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712D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10F5D"/>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10F5D"/>
    <w:rPr>
      <w:sz w:val="20"/>
      <w:szCs w:val="20"/>
    </w:rPr>
  </w:style>
  <w:style w:type="character" w:styleId="Refdenotaalpie">
    <w:name w:val="footnote reference"/>
    <w:basedOn w:val="Fuentedeprrafopredeter"/>
    <w:uiPriority w:val="99"/>
    <w:semiHidden/>
    <w:unhideWhenUsed/>
    <w:rsid w:val="00410F5D"/>
    <w:rPr>
      <w:vertAlign w:val="superscript"/>
    </w:rPr>
  </w:style>
  <w:style w:type="table" w:styleId="Tablaconcuadrcula">
    <w:name w:val="Table Grid"/>
    <w:basedOn w:val="Tablanormal"/>
    <w:uiPriority w:val="39"/>
    <w:rsid w:val="00321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93A4A"/>
    <w:pPr>
      <w:ind w:left="720"/>
      <w:contextualSpacing/>
    </w:pPr>
  </w:style>
  <w:style w:type="character" w:styleId="Hipervnculo">
    <w:name w:val="Hyperlink"/>
    <w:basedOn w:val="Fuentedeprrafopredeter"/>
    <w:uiPriority w:val="99"/>
    <w:unhideWhenUsed/>
    <w:rsid w:val="00E52B1D"/>
    <w:rPr>
      <w:color w:val="0563C1" w:themeColor="hyperlink"/>
      <w:u w:val="single"/>
    </w:rPr>
  </w:style>
  <w:style w:type="paragraph" w:styleId="Encabezado">
    <w:name w:val="header"/>
    <w:basedOn w:val="Normal"/>
    <w:link w:val="EncabezadoCar"/>
    <w:uiPriority w:val="99"/>
    <w:unhideWhenUsed/>
    <w:rsid w:val="004A41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A4171"/>
  </w:style>
  <w:style w:type="paragraph" w:styleId="Piedepgina">
    <w:name w:val="footer"/>
    <w:basedOn w:val="Normal"/>
    <w:link w:val="PiedepginaCar"/>
    <w:uiPriority w:val="99"/>
    <w:unhideWhenUsed/>
    <w:rsid w:val="004A41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A4171"/>
  </w:style>
  <w:style w:type="character" w:styleId="Hipervnculovisitado">
    <w:name w:val="FollowedHyperlink"/>
    <w:basedOn w:val="Fuentedeprrafopredeter"/>
    <w:uiPriority w:val="99"/>
    <w:semiHidden/>
    <w:unhideWhenUsed/>
    <w:rsid w:val="000E16F3"/>
    <w:rPr>
      <w:color w:val="954F72" w:themeColor="followedHyperlink"/>
      <w:u w:val="single"/>
    </w:rPr>
  </w:style>
  <w:style w:type="character" w:styleId="Refdecomentario">
    <w:name w:val="annotation reference"/>
    <w:basedOn w:val="Fuentedeprrafopredeter"/>
    <w:uiPriority w:val="99"/>
    <w:semiHidden/>
    <w:unhideWhenUsed/>
    <w:rsid w:val="000E16F3"/>
    <w:rPr>
      <w:sz w:val="16"/>
      <w:szCs w:val="16"/>
    </w:rPr>
  </w:style>
  <w:style w:type="paragraph" w:styleId="Textocomentario">
    <w:name w:val="annotation text"/>
    <w:basedOn w:val="Normal"/>
    <w:link w:val="TextocomentarioCar"/>
    <w:uiPriority w:val="99"/>
    <w:semiHidden/>
    <w:unhideWhenUsed/>
    <w:rsid w:val="000E16F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16F3"/>
    <w:rPr>
      <w:sz w:val="20"/>
      <w:szCs w:val="20"/>
    </w:rPr>
  </w:style>
  <w:style w:type="paragraph" w:styleId="Asuntodelcomentario">
    <w:name w:val="annotation subject"/>
    <w:basedOn w:val="Textocomentario"/>
    <w:next w:val="Textocomentario"/>
    <w:link w:val="AsuntodelcomentarioCar"/>
    <w:uiPriority w:val="99"/>
    <w:semiHidden/>
    <w:unhideWhenUsed/>
    <w:rsid w:val="000E16F3"/>
    <w:rPr>
      <w:b/>
      <w:bCs/>
    </w:rPr>
  </w:style>
  <w:style w:type="character" w:customStyle="1" w:styleId="AsuntodelcomentarioCar">
    <w:name w:val="Asunto del comentario Car"/>
    <w:basedOn w:val="TextocomentarioCar"/>
    <w:link w:val="Asuntodelcomentario"/>
    <w:uiPriority w:val="99"/>
    <w:semiHidden/>
    <w:rsid w:val="000E16F3"/>
    <w:rPr>
      <w:b/>
      <w:bCs/>
      <w:sz w:val="20"/>
      <w:szCs w:val="20"/>
    </w:rPr>
  </w:style>
  <w:style w:type="paragraph" w:styleId="Textodeglobo">
    <w:name w:val="Balloon Text"/>
    <w:basedOn w:val="Normal"/>
    <w:link w:val="TextodegloboCar"/>
    <w:uiPriority w:val="99"/>
    <w:semiHidden/>
    <w:unhideWhenUsed/>
    <w:rsid w:val="000E16F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16F3"/>
    <w:rPr>
      <w:rFonts w:ascii="Segoe UI" w:hAnsi="Segoe UI" w:cs="Segoe UI"/>
      <w:sz w:val="18"/>
      <w:szCs w:val="18"/>
    </w:rPr>
  </w:style>
  <w:style w:type="character" w:customStyle="1" w:styleId="Ttulo1Car">
    <w:name w:val="Título 1 Car"/>
    <w:basedOn w:val="Fuentedeprrafopredeter"/>
    <w:link w:val="Ttulo1"/>
    <w:uiPriority w:val="9"/>
    <w:rsid w:val="00973AD5"/>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5712DE"/>
    <w:rPr>
      <w:rFonts w:asciiTheme="majorHAnsi" w:eastAsiaTheme="majorEastAsia" w:hAnsiTheme="majorHAnsi" w:cstheme="majorBidi"/>
      <w:color w:val="2E74B5" w:themeColor="accent1" w:themeShade="BF"/>
      <w:sz w:val="26"/>
      <w:szCs w:val="26"/>
    </w:rPr>
  </w:style>
  <w:style w:type="paragraph" w:customStyle="1" w:styleId="Default">
    <w:name w:val="Default"/>
    <w:rsid w:val="005712DE"/>
    <w:pPr>
      <w:autoSpaceDE w:val="0"/>
      <w:autoSpaceDN w:val="0"/>
      <w:adjustRightInd w:val="0"/>
      <w:spacing w:after="0" w:line="240" w:lineRule="auto"/>
    </w:pPr>
    <w:rPr>
      <w:rFonts w:ascii="Tahoma" w:eastAsia="Calibri" w:hAnsi="Tahoma" w:cs="Tahoma"/>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8B2354397B809F4CBF4334E6EFDD8AC5" ma:contentTypeVersion="0" ma:contentTypeDescription="Crear nuevo documento." ma:contentTypeScope="" ma:versionID="280c27167b6e5b8b3f494022934d7b6c">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F97F5C-6B32-4EB2-9090-9C59DECF33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3401F2E-8E34-4E2E-8B45-049875051CB2}">
  <ds:schemaRefs>
    <ds:schemaRef ds:uri="http://schemas.microsoft.com/sharepoint/v3/contenttype/forms"/>
  </ds:schemaRefs>
</ds:datastoreItem>
</file>

<file path=customXml/itemProps3.xml><?xml version="1.0" encoding="utf-8"?>
<ds:datastoreItem xmlns:ds="http://schemas.openxmlformats.org/officeDocument/2006/customXml" ds:itemID="{CAA2AB75-2150-4DD6-BF22-53FCC299B73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1</Pages>
  <Words>4071</Words>
  <Characters>22391</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Orlando Mora Marin</dc:creator>
  <cp:keywords/>
  <dc:description/>
  <cp:lastModifiedBy>Maria del Consuelo Gonzalez Moreno</cp:lastModifiedBy>
  <cp:revision>8</cp:revision>
  <dcterms:created xsi:type="dcterms:W3CDTF">2017-03-10T19:05:00Z</dcterms:created>
  <dcterms:modified xsi:type="dcterms:W3CDTF">2017-07-20T20:37:00Z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0x0101008B2354397B809F4CBF4334E6EFDD8AC5</vt:lpwstr>
  </property>
</Properties>
</file>