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604A68" w14:textId="77777777" w:rsidR="004F575C" w:rsidRPr="004F575C" w:rsidRDefault="007E4120" w:rsidP="004F575C">
      <w:pPr>
        <w:pStyle w:val="IFTnormal"/>
        <w:spacing w:before="240" w:after="0"/>
        <w:ind w:right="49"/>
        <w:outlineLvl w:val="0"/>
        <w:rPr>
          <w:b/>
        </w:rPr>
      </w:pPr>
      <w:r w:rsidRPr="004F575C">
        <w:rPr>
          <w:b/>
        </w:rPr>
        <w:t xml:space="preserve">ACUERDO MEDIANTE </w:t>
      </w:r>
      <w:r w:rsidR="003C26A0" w:rsidRPr="004F575C">
        <w:rPr>
          <w:b/>
        </w:rPr>
        <w:t xml:space="preserve">EL </w:t>
      </w:r>
      <w:r w:rsidRPr="004F575C">
        <w:rPr>
          <w:b/>
        </w:rPr>
        <w:t xml:space="preserve">CUAL EL PLENO DEL INSTITUTO FEDERAL DE TELECOMUNICACIONES MODIFICA AL AGENTE ECONÓMICO PREPONDERANTE LOS TÉRMINOS Y CONDICIONES </w:t>
      </w:r>
      <w:r w:rsidR="005A2D11" w:rsidRPr="004F575C">
        <w:rPr>
          <w:b/>
        </w:rPr>
        <w:t xml:space="preserve">DE </w:t>
      </w:r>
      <w:r w:rsidR="00AD4071" w:rsidRPr="004F575C">
        <w:rPr>
          <w:b/>
        </w:rPr>
        <w:t>LA</w:t>
      </w:r>
      <w:r w:rsidR="005A2D11" w:rsidRPr="004F575C">
        <w:rPr>
          <w:b/>
        </w:rPr>
        <w:t xml:space="preserve"> OFERTA REFERENCIA DE ARRENDAMIENTO DE ENLACES DEDICADOS LOCALES, ENTRE LOCALIDADES, Y DE LARGA DISTANCIA INTERNACIONAL PARA CONCESIONARIOS DE REDES PÚBLICAS DE TELECOMUNICACIONES</w:t>
      </w:r>
      <w:r w:rsidRPr="004F575C">
        <w:rPr>
          <w:b/>
        </w:rPr>
        <w:t xml:space="preserve"> PRESENTAD</w:t>
      </w:r>
      <w:r w:rsidR="005A2D11" w:rsidRPr="004F575C">
        <w:rPr>
          <w:b/>
        </w:rPr>
        <w:t>A</w:t>
      </w:r>
      <w:r w:rsidRPr="004F575C">
        <w:rPr>
          <w:b/>
        </w:rPr>
        <w:t xml:space="preserve"> POR </w:t>
      </w:r>
      <w:r w:rsidR="0094612C" w:rsidRPr="004F575C">
        <w:rPr>
          <w:b/>
        </w:rPr>
        <w:t>TELÉFONOS DE MÉXICO</w:t>
      </w:r>
      <w:r w:rsidRPr="004F575C">
        <w:rPr>
          <w:b/>
        </w:rPr>
        <w:t>, S.A.</w:t>
      </w:r>
      <w:r w:rsidR="00657ABB" w:rsidRPr="004F575C">
        <w:rPr>
          <w:b/>
        </w:rPr>
        <w:t>B.</w:t>
      </w:r>
      <w:r w:rsidRPr="004F575C">
        <w:rPr>
          <w:b/>
        </w:rPr>
        <w:t xml:space="preserve"> DE C.V. APLICABLE DEL 1 DE ENERO AL 31 DE DICIEMBRE DE 2018 Y DA VISTA PARA QUE MANIFIESTE LO QUE A SU DERECHO CONVENGA</w:t>
      </w:r>
    </w:p>
    <w:p w14:paraId="4F127F3C" w14:textId="77777777" w:rsidR="004F575C" w:rsidRDefault="005A333F" w:rsidP="004F575C">
      <w:pPr>
        <w:pStyle w:val="T2IFT"/>
      </w:pPr>
      <w:r w:rsidRPr="00BD71D3">
        <w:t>ANTECEDENTES</w:t>
      </w:r>
    </w:p>
    <w:p w14:paraId="31DC07A2" w14:textId="77777777" w:rsidR="004F575C" w:rsidRDefault="00581EAC" w:rsidP="004F575C">
      <w:pPr>
        <w:pStyle w:val="Prrafodelista"/>
        <w:numPr>
          <w:ilvl w:val="0"/>
          <w:numId w:val="6"/>
        </w:numPr>
        <w:spacing w:before="240" w:after="0"/>
        <w:ind w:right="49" w:hanging="578"/>
        <w:jc w:val="both"/>
        <w:rPr>
          <w:rFonts w:ascii="ITC Avant Garde" w:hAnsi="ITC Avant Garde" w:cs="Arial"/>
          <w:lang w:val="es-ES" w:eastAsia="es-ES"/>
        </w:rPr>
      </w:pPr>
      <w:bookmarkStart w:id="0" w:name="_Toc426649745"/>
      <w:r w:rsidRPr="0042639A">
        <w:rPr>
          <w:rFonts w:ascii="ITC Avant Garde" w:hAnsi="ITC Avant Garde" w:cs="Arial"/>
          <w:b/>
          <w:lang w:val="es-ES" w:eastAsia="es-ES"/>
        </w:rPr>
        <w:t>Decreto de Reforma Constitucional.</w:t>
      </w:r>
      <w:r w:rsidRPr="0042639A">
        <w:rPr>
          <w:rFonts w:ascii="ITC Avant Garde" w:hAnsi="ITC Avant Garde" w:cs="Arial"/>
          <w:lang w:val="es-ES" w:eastAsia="es-ES"/>
        </w:rPr>
        <w:t xml:space="preserve"> </w:t>
      </w:r>
      <w:r w:rsidR="00797438" w:rsidRPr="0042639A">
        <w:rPr>
          <w:rFonts w:ascii="ITC Avant Garde" w:hAnsi="ITC Avant Garde" w:cs="Arial"/>
          <w:lang w:val="es-ES" w:eastAsia="es-ES"/>
        </w:rPr>
        <w:t>El 11 de junio de 2013, se publicó en el Diario Oficial de la Federación (</w:t>
      </w:r>
      <w:r w:rsidR="00186ACD" w:rsidRPr="0042639A">
        <w:rPr>
          <w:rFonts w:ascii="ITC Avant Garde" w:hAnsi="ITC Avant Garde" w:cs="Arial"/>
          <w:lang w:val="es-ES" w:eastAsia="es-ES"/>
        </w:rPr>
        <w:t>en lo sucesivo, el “</w:t>
      </w:r>
      <w:r w:rsidR="00797438" w:rsidRPr="0042639A">
        <w:rPr>
          <w:rFonts w:ascii="ITC Avant Garde" w:hAnsi="ITC Avant Garde" w:cs="Arial"/>
          <w:lang w:val="es-ES" w:eastAsia="es-ES"/>
        </w:rPr>
        <w:t>DOF</w:t>
      </w:r>
      <w:r w:rsidR="00186ACD" w:rsidRPr="0042639A">
        <w:rPr>
          <w:rFonts w:ascii="ITC Avant Garde" w:hAnsi="ITC Avant Garde" w:cs="Arial"/>
          <w:lang w:val="es-ES" w:eastAsia="es-ES"/>
        </w:rPr>
        <w:t>”</w:t>
      </w:r>
      <w:r w:rsidR="00797438" w:rsidRPr="0042639A">
        <w:rPr>
          <w:rFonts w:ascii="ITC Avant Garde" w:hAnsi="ITC Avant Garde" w:cs="Arial"/>
          <w:lang w:val="es-ES" w:eastAsia="es-ES"/>
        </w:rPr>
        <w:t xml:space="preserve">), el </w:t>
      </w:r>
      <w:r w:rsidR="00797438" w:rsidRPr="0042639A">
        <w:rPr>
          <w:rFonts w:ascii="ITC Avant Garde" w:hAnsi="ITC Avant Garde" w:cs="Arial"/>
          <w:i/>
          <w:lang w:val="es-ES" w:eastAsia="es-ES"/>
        </w:rPr>
        <w:t>“DECRETO por el que se reforman y adicionan diversas disposiciones de los artículos 6o., 7o., 27, 28, 73, 78, 94 y 105 de la Constitución Política de los Estados Unidos Mexicanos, en materia de telecomunicaciones”</w:t>
      </w:r>
      <w:r w:rsidR="00797438" w:rsidRPr="0042639A">
        <w:rPr>
          <w:rFonts w:ascii="ITC Avant Garde" w:hAnsi="ITC Avant Garde" w:cs="Arial"/>
          <w:lang w:val="es-ES" w:eastAsia="es-ES"/>
        </w:rPr>
        <w:t xml:space="preserve"> (</w:t>
      </w:r>
      <w:r w:rsidR="00186ACD" w:rsidRPr="0042639A">
        <w:rPr>
          <w:rFonts w:ascii="ITC Avant Garde" w:hAnsi="ITC Avant Garde" w:cs="Arial"/>
          <w:lang w:val="es-ES" w:eastAsia="es-ES"/>
        </w:rPr>
        <w:t>en lo sucesivo, el “</w:t>
      </w:r>
      <w:r w:rsidR="00797438" w:rsidRPr="0042639A">
        <w:rPr>
          <w:rFonts w:ascii="ITC Avant Garde" w:hAnsi="ITC Avant Garde" w:cs="Arial"/>
          <w:lang w:val="es-ES" w:eastAsia="es-ES"/>
        </w:rPr>
        <w:t>Decreto</w:t>
      </w:r>
      <w:r w:rsidR="00186ACD" w:rsidRPr="0042639A">
        <w:rPr>
          <w:rFonts w:ascii="ITC Avant Garde" w:hAnsi="ITC Avant Garde" w:cs="Arial"/>
          <w:lang w:val="es-ES" w:eastAsia="es-ES"/>
        </w:rPr>
        <w:t>”</w:t>
      </w:r>
      <w:r w:rsidR="00797438" w:rsidRPr="0042639A">
        <w:rPr>
          <w:rFonts w:ascii="ITC Avant Garde" w:hAnsi="ITC Avant Garde" w:cs="Arial"/>
          <w:lang w:val="es-ES" w:eastAsia="es-ES"/>
        </w:rPr>
        <w:t>), mediante el cual se creó al Instituto Federal de Telecomunicaciones (</w:t>
      </w:r>
      <w:r w:rsidR="00B73573" w:rsidRPr="0042639A">
        <w:rPr>
          <w:rFonts w:ascii="ITC Avant Garde" w:hAnsi="ITC Avant Garde" w:cs="Arial"/>
          <w:lang w:val="es-ES" w:eastAsia="es-ES"/>
        </w:rPr>
        <w:t>en lo sucesivo, el “</w:t>
      </w:r>
      <w:r w:rsidR="00797438" w:rsidRPr="0042639A">
        <w:rPr>
          <w:rFonts w:ascii="ITC Avant Garde" w:hAnsi="ITC Avant Garde" w:cs="Arial"/>
          <w:lang w:val="es-ES" w:eastAsia="es-ES"/>
        </w:rPr>
        <w:t>Instituto</w:t>
      </w:r>
      <w:r w:rsidR="00B73573" w:rsidRPr="0042639A">
        <w:rPr>
          <w:rFonts w:ascii="ITC Avant Garde" w:hAnsi="ITC Avant Garde" w:cs="Arial"/>
          <w:lang w:val="es-ES" w:eastAsia="es-ES"/>
        </w:rPr>
        <w:t>”</w:t>
      </w:r>
      <w:r w:rsidR="00797438" w:rsidRPr="0042639A">
        <w:rPr>
          <w:rFonts w:ascii="ITC Avant Garde" w:hAnsi="ITC Avant Garde" w:cs="Arial"/>
          <w:lang w:val="es-ES" w:eastAsia="es-ES"/>
        </w:rPr>
        <w:t>), como un órgano autónomo con personalidad jurídica y patrimonio propio, cuyo objeto es el desarrollo eficiente de la radiodifusión y las telecomunicaciones conforme a lo dispuesto en la propia Constitución Política de los Estados Unidos Mexicanos (</w:t>
      </w:r>
      <w:r w:rsidR="00B73573" w:rsidRPr="0042639A">
        <w:rPr>
          <w:rFonts w:ascii="ITC Avant Garde" w:hAnsi="ITC Avant Garde" w:cs="Arial"/>
          <w:lang w:val="es-ES" w:eastAsia="es-ES"/>
        </w:rPr>
        <w:t>en lo sucesivo, la “</w:t>
      </w:r>
      <w:r w:rsidR="00797438" w:rsidRPr="0042639A">
        <w:rPr>
          <w:rFonts w:ascii="ITC Avant Garde" w:hAnsi="ITC Avant Garde" w:cs="Arial"/>
          <w:lang w:val="es-ES" w:eastAsia="es-ES"/>
        </w:rPr>
        <w:t>Constitución</w:t>
      </w:r>
      <w:r w:rsidR="00B73573" w:rsidRPr="0042639A">
        <w:rPr>
          <w:rFonts w:ascii="ITC Avant Garde" w:hAnsi="ITC Avant Garde" w:cs="Arial"/>
          <w:lang w:val="es-ES" w:eastAsia="es-ES"/>
        </w:rPr>
        <w:t>”</w:t>
      </w:r>
      <w:r w:rsidR="00797438" w:rsidRPr="0042639A">
        <w:rPr>
          <w:rFonts w:ascii="ITC Avant Garde" w:hAnsi="ITC Avant Garde" w:cs="Arial"/>
          <w:lang w:val="es-ES" w:eastAsia="es-ES"/>
        </w:rPr>
        <w:t>) y en los términos que fijen las leyes, teniendo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Constitución.</w:t>
      </w:r>
    </w:p>
    <w:p w14:paraId="48B56977" w14:textId="77777777" w:rsidR="004F575C" w:rsidRDefault="00B67915" w:rsidP="004F575C">
      <w:pPr>
        <w:pStyle w:val="IFTnormal"/>
        <w:spacing w:before="240" w:after="0"/>
        <w:ind w:left="720" w:right="49"/>
        <w:rPr>
          <w:color w:val="auto"/>
        </w:rPr>
      </w:pPr>
      <w:r w:rsidRPr="00BD71D3">
        <w:rPr>
          <w:color w:val="auto"/>
        </w:rPr>
        <w:t xml:space="preserve">El artículo </w:t>
      </w:r>
      <w:r w:rsidR="00AD4071" w:rsidRPr="00BD71D3">
        <w:rPr>
          <w:color w:val="auto"/>
        </w:rPr>
        <w:t xml:space="preserve">Octavo </w:t>
      </w:r>
      <w:r w:rsidRPr="00BD71D3">
        <w:rPr>
          <w:color w:val="auto"/>
        </w:rPr>
        <w:t>Transitorio, fracción III, del Decreto, confirió la atribución al Instituto para determinar la existencia de Agentes Económicos Preponderantes en los sectores de radiodifusión y de telecomunicaciones, e imponer las medidas necesarias para evitar que se afecte la competencia y la libre concurrencia y, con ello, a los usuarios finales.</w:t>
      </w:r>
    </w:p>
    <w:p w14:paraId="6126110F" w14:textId="77777777" w:rsidR="004F575C" w:rsidRDefault="00581EAC" w:rsidP="004F575C">
      <w:pPr>
        <w:pStyle w:val="IFTnormal"/>
        <w:numPr>
          <w:ilvl w:val="0"/>
          <w:numId w:val="6"/>
        </w:numPr>
        <w:spacing w:before="240" w:after="0"/>
        <w:ind w:right="49"/>
        <w:rPr>
          <w:color w:val="auto"/>
        </w:rPr>
      </w:pPr>
      <w:r w:rsidRPr="00BD71D3">
        <w:rPr>
          <w:b/>
          <w:color w:val="auto"/>
        </w:rPr>
        <w:t>Determinación del Agente Económico Preponderante.</w:t>
      </w:r>
      <w:r w:rsidRPr="00BD71D3">
        <w:rPr>
          <w:color w:val="auto"/>
        </w:rPr>
        <w:t xml:space="preserve"> </w:t>
      </w:r>
      <w:r w:rsidR="00B67915" w:rsidRPr="00BD71D3">
        <w:rPr>
          <w:color w:val="auto"/>
        </w:rPr>
        <w:t xml:space="preserve">Con fecha 6 de marzo de 2014, el Pleno </w:t>
      </w:r>
      <w:r w:rsidR="00825328" w:rsidRPr="00BD71D3">
        <w:rPr>
          <w:color w:val="auto"/>
        </w:rPr>
        <w:t xml:space="preserve">del Instituto </w:t>
      </w:r>
      <w:r w:rsidR="00B67915" w:rsidRPr="00BD71D3">
        <w:rPr>
          <w:color w:val="auto"/>
        </w:rPr>
        <w:t xml:space="preserve">en su V Sesión Extraordinaria, aprobó </w:t>
      </w:r>
      <w:r w:rsidR="00797438" w:rsidRPr="00BD71D3">
        <w:rPr>
          <w:color w:val="auto"/>
        </w:rPr>
        <w:t>por</w:t>
      </w:r>
      <w:r w:rsidR="002D0308" w:rsidRPr="00BD71D3">
        <w:rPr>
          <w:color w:val="auto"/>
        </w:rPr>
        <w:t xml:space="preserve"> A</w:t>
      </w:r>
      <w:r w:rsidR="00B67915" w:rsidRPr="00BD71D3">
        <w:rPr>
          <w:color w:val="auto"/>
        </w:rPr>
        <w:t xml:space="preserve">cuerdo P/IFT/EXT/060314/76 la </w:t>
      </w:r>
      <w:r w:rsidR="00797438" w:rsidRPr="00BD71D3">
        <w:rPr>
          <w:rFonts w:eastAsia="Times New Roman"/>
          <w:color w:val="auto"/>
        </w:rPr>
        <w:t>"</w:t>
      </w:r>
      <w:r w:rsidR="00797438" w:rsidRPr="00BD71D3">
        <w:rPr>
          <w:rFonts w:eastAsia="Times New Roman"/>
          <w:i/>
          <w:color w:val="auto"/>
        </w:rPr>
        <w:t>RESOLUCIÓN ME</w:t>
      </w:r>
      <w:r w:rsidR="00797438" w:rsidRPr="00BD71D3">
        <w:rPr>
          <w:rFonts w:eastAsia="Times New Roman"/>
          <w:i/>
          <w:color w:val="auto"/>
          <w:lang w:val="es-MX"/>
        </w:rPr>
        <w:t xml:space="preserve">DIANTE LA CUAL </w:t>
      </w:r>
      <w:r w:rsidR="00797438" w:rsidRPr="00BD71D3">
        <w:rPr>
          <w:rFonts w:eastAsia="Times New Roman"/>
          <w:i/>
          <w:color w:val="auto"/>
        </w:rPr>
        <w:t>EL PLENO DEL INSTI</w:t>
      </w:r>
      <w:r w:rsidR="00797438" w:rsidRPr="00BD71D3">
        <w:rPr>
          <w:rFonts w:eastAsia="Times New Roman"/>
          <w:i/>
          <w:color w:val="auto"/>
          <w:lang w:val="es-MX"/>
        </w:rPr>
        <w:t>TUTO</w:t>
      </w:r>
      <w:r w:rsidR="00797438" w:rsidRPr="00BD71D3">
        <w:rPr>
          <w:rFonts w:eastAsia="Times New Roman"/>
          <w:i/>
          <w:color w:val="auto"/>
        </w:rPr>
        <w:t xml:space="preserve"> FEDERAL DE TE</w:t>
      </w:r>
      <w:r w:rsidR="00797438" w:rsidRPr="00BD71D3">
        <w:rPr>
          <w:rFonts w:eastAsia="Times New Roman"/>
          <w:i/>
          <w:color w:val="auto"/>
          <w:lang w:val="es-MX"/>
        </w:rPr>
        <w:t xml:space="preserve">LECOMUNICACIONES DETERMINA AL GRUPO </w:t>
      </w:r>
      <w:r w:rsidR="00797438" w:rsidRPr="00BD71D3">
        <w:rPr>
          <w:rFonts w:eastAsia="Times New Roman"/>
          <w:i/>
          <w:color w:val="auto"/>
        </w:rPr>
        <w:t xml:space="preserve">DE </w:t>
      </w:r>
      <w:r w:rsidR="00797438" w:rsidRPr="00BD71D3">
        <w:rPr>
          <w:rFonts w:eastAsia="Times New Roman"/>
          <w:i/>
          <w:color w:val="auto"/>
          <w:lang w:val="es-MX"/>
        </w:rPr>
        <w:t xml:space="preserve">INTERÉS </w:t>
      </w:r>
      <w:r w:rsidR="00797438" w:rsidRPr="00BD71D3">
        <w:rPr>
          <w:rFonts w:eastAsia="Times New Roman"/>
          <w:i/>
          <w:color w:val="auto"/>
        </w:rPr>
        <w:t>EC</w:t>
      </w:r>
      <w:r w:rsidR="00797438" w:rsidRPr="00BD71D3">
        <w:rPr>
          <w:rFonts w:eastAsia="Times New Roman"/>
          <w:i/>
          <w:color w:val="auto"/>
          <w:lang w:val="es-MX"/>
        </w:rPr>
        <w:t>ONÓMICO</w:t>
      </w:r>
      <w:r w:rsidR="00797438" w:rsidRPr="00BD71D3">
        <w:rPr>
          <w:rFonts w:eastAsia="Times New Roman"/>
          <w:i/>
          <w:color w:val="auto"/>
        </w:rPr>
        <w:t xml:space="preserve"> DE</w:t>
      </w:r>
      <w:r w:rsidR="00797438" w:rsidRPr="00BD71D3">
        <w:rPr>
          <w:rFonts w:eastAsia="Times New Roman"/>
          <w:i/>
          <w:color w:val="auto"/>
          <w:lang w:val="es-MX"/>
        </w:rPr>
        <w:t xml:space="preserve">L QUE </w:t>
      </w:r>
      <w:r w:rsidR="00797438" w:rsidRPr="00BD71D3">
        <w:rPr>
          <w:rFonts w:eastAsia="Times New Roman"/>
          <w:i/>
          <w:color w:val="auto"/>
        </w:rPr>
        <w:t>FORMAN PARTE</w:t>
      </w:r>
      <w:r w:rsidR="00797438" w:rsidRPr="00BD71D3">
        <w:rPr>
          <w:rFonts w:eastAsia="Times New Roman"/>
          <w:i/>
          <w:color w:val="auto"/>
          <w:lang w:val="es-MX"/>
        </w:rPr>
        <w:t xml:space="preserve"> </w:t>
      </w:r>
      <w:r w:rsidR="00797438" w:rsidRPr="00BD71D3">
        <w:rPr>
          <w:rFonts w:eastAsia="Times New Roman"/>
          <w:i/>
          <w:color w:val="auto"/>
        </w:rPr>
        <w:t>AM</w:t>
      </w:r>
      <w:r w:rsidR="00797438" w:rsidRPr="00BD71D3">
        <w:rPr>
          <w:rFonts w:eastAsia="Times New Roman"/>
          <w:i/>
          <w:color w:val="auto"/>
          <w:lang w:val="es-MX"/>
        </w:rPr>
        <w:t>É</w:t>
      </w:r>
      <w:r w:rsidR="00797438" w:rsidRPr="00BD71D3">
        <w:rPr>
          <w:rFonts w:eastAsia="Times New Roman"/>
          <w:i/>
          <w:color w:val="auto"/>
        </w:rPr>
        <w:t>RICA M</w:t>
      </w:r>
      <w:proofErr w:type="spellStart"/>
      <w:r w:rsidR="00797438" w:rsidRPr="00BD71D3">
        <w:rPr>
          <w:rFonts w:eastAsia="Times New Roman"/>
          <w:i/>
          <w:color w:val="auto"/>
          <w:lang w:val="es-MX"/>
        </w:rPr>
        <w:t>Ó</w:t>
      </w:r>
      <w:proofErr w:type="spellEnd"/>
      <w:r w:rsidR="00797438" w:rsidRPr="00BD71D3">
        <w:rPr>
          <w:rFonts w:eastAsia="Times New Roman"/>
          <w:i/>
          <w:color w:val="auto"/>
        </w:rPr>
        <w:t>VIL, S.A.B. DE C. V., TEL</w:t>
      </w:r>
      <w:r w:rsidR="00797438" w:rsidRPr="00BD71D3">
        <w:rPr>
          <w:rFonts w:eastAsia="Times New Roman"/>
          <w:i/>
          <w:color w:val="auto"/>
          <w:lang w:val="es-MX"/>
        </w:rPr>
        <w:t>É</w:t>
      </w:r>
      <w:r w:rsidR="00797438" w:rsidRPr="00BD71D3">
        <w:rPr>
          <w:rFonts w:eastAsia="Times New Roman"/>
          <w:i/>
          <w:color w:val="auto"/>
        </w:rPr>
        <w:t>FONOS DE MEXICO, S.A.B. DE C. V.,</w:t>
      </w:r>
      <w:r w:rsidR="00797438" w:rsidRPr="00BD71D3">
        <w:rPr>
          <w:rFonts w:eastAsia="Times New Roman"/>
          <w:i/>
          <w:color w:val="auto"/>
          <w:lang w:val="es-MX"/>
        </w:rPr>
        <w:t xml:space="preserve"> </w:t>
      </w:r>
      <w:r w:rsidR="00797438" w:rsidRPr="00BD71D3">
        <w:rPr>
          <w:rFonts w:eastAsia="Times New Roman"/>
          <w:i/>
          <w:color w:val="auto"/>
        </w:rPr>
        <w:t xml:space="preserve">TELÉFONOS DEL </w:t>
      </w:r>
      <w:r w:rsidR="00797438" w:rsidRPr="00BD71D3">
        <w:rPr>
          <w:rFonts w:eastAsia="Times New Roman"/>
          <w:i/>
          <w:color w:val="auto"/>
        </w:rPr>
        <w:lastRenderedPageBreak/>
        <w:t>NOROESTE, S.A. DE C.V., RA</w:t>
      </w:r>
      <w:r w:rsidR="00797438" w:rsidRPr="00BD71D3">
        <w:rPr>
          <w:rFonts w:eastAsia="Times New Roman"/>
          <w:i/>
          <w:color w:val="auto"/>
          <w:lang w:val="es-MX"/>
        </w:rPr>
        <w:t>D</w:t>
      </w:r>
      <w:r w:rsidR="00797438" w:rsidRPr="00BD71D3">
        <w:rPr>
          <w:rFonts w:eastAsia="Times New Roman"/>
          <w:i/>
          <w:color w:val="auto"/>
        </w:rPr>
        <w:t xml:space="preserve">IOMÓVIL </w:t>
      </w:r>
      <w:r w:rsidR="00797438" w:rsidRPr="00BD71D3">
        <w:rPr>
          <w:rFonts w:eastAsia="Times New Roman"/>
          <w:i/>
          <w:color w:val="auto"/>
          <w:lang w:val="es-MX"/>
        </w:rPr>
        <w:t>D</w:t>
      </w:r>
      <w:r w:rsidR="00797438" w:rsidRPr="00BD71D3">
        <w:rPr>
          <w:rFonts w:eastAsia="Times New Roman"/>
          <w:i/>
          <w:color w:val="auto"/>
        </w:rPr>
        <w:t>IPSA, S.A.B. DE C.V.,</w:t>
      </w:r>
      <w:r w:rsidR="00797438" w:rsidRPr="00BD71D3">
        <w:rPr>
          <w:rFonts w:eastAsia="Times New Roman"/>
          <w:i/>
          <w:color w:val="auto"/>
          <w:lang w:val="es-MX"/>
        </w:rPr>
        <w:t xml:space="preserve"> </w:t>
      </w:r>
      <w:r w:rsidR="00797438" w:rsidRPr="00BD71D3">
        <w:rPr>
          <w:rFonts w:eastAsia="Times New Roman"/>
          <w:i/>
          <w:color w:val="auto"/>
        </w:rPr>
        <w:t>GRUPO CARSO, S.A.B. DE C.V., Y GRUPO FINANCIERO INBURSA, S.A.B. DE C.V., COMO AGENTE ECON</w:t>
      </w:r>
      <w:r w:rsidR="00797438" w:rsidRPr="00BD71D3">
        <w:rPr>
          <w:rFonts w:eastAsia="Times New Roman"/>
          <w:i/>
          <w:color w:val="auto"/>
          <w:lang w:val="es-MX"/>
        </w:rPr>
        <w:t>ÓMICO</w:t>
      </w:r>
      <w:r w:rsidR="00797438" w:rsidRPr="00BD71D3">
        <w:rPr>
          <w:rFonts w:eastAsia="Times New Roman"/>
          <w:i/>
          <w:color w:val="auto"/>
        </w:rPr>
        <w:t xml:space="preserve"> PREPONDERANTE EN EL SECTOR DE</w:t>
      </w:r>
      <w:r w:rsidR="00797438" w:rsidRPr="00BD71D3">
        <w:rPr>
          <w:rFonts w:eastAsia="Times New Roman"/>
          <w:i/>
          <w:color w:val="auto"/>
          <w:lang w:val="es-MX"/>
        </w:rPr>
        <w:t xml:space="preserve"> </w:t>
      </w:r>
      <w:r w:rsidR="00797438" w:rsidRPr="00BD71D3">
        <w:rPr>
          <w:rFonts w:eastAsia="Times New Roman"/>
          <w:i/>
          <w:color w:val="auto"/>
        </w:rPr>
        <w:t>TELECOMUNICACIONES Y LE IMPONE LAS MEDIDAS NECESARIAS PARA</w:t>
      </w:r>
      <w:r w:rsidR="00797438" w:rsidRPr="00BD71D3">
        <w:rPr>
          <w:rFonts w:eastAsia="Times New Roman"/>
          <w:i/>
          <w:color w:val="auto"/>
          <w:lang w:val="es-MX"/>
        </w:rPr>
        <w:t xml:space="preserve"> </w:t>
      </w:r>
      <w:r w:rsidR="00797438" w:rsidRPr="00BD71D3">
        <w:rPr>
          <w:rFonts w:eastAsia="Times New Roman"/>
          <w:i/>
          <w:color w:val="auto"/>
        </w:rPr>
        <w:t>EVITAR QUE SE AFECTE LA COMPETENCIA Y LA LIBRE CONCURREN</w:t>
      </w:r>
      <w:r w:rsidR="00797438" w:rsidRPr="00BD71D3">
        <w:rPr>
          <w:rFonts w:eastAsia="Times New Roman"/>
          <w:i/>
          <w:color w:val="auto"/>
          <w:lang w:val="es-MX"/>
        </w:rPr>
        <w:t>CIA</w:t>
      </w:r>
      <w:r w:rsidR="00797438" w:rsidRPr="00BD71D3">
        <w:rPr>
          <w:rFonts w:eastAsia="Times New Roman"/>
          <w:color w:val="auto"/>
        </w:rPr>
        <w:t>." (</w:t>
      </w:r>
      <w:r w:rsidR="00186ACD" w:rsidRPr="00BD71D3">
        <w:rPr>
          <w:rFonts w:eastAsia="Times New Roman"/>
          <w:color w:val="auto"/>
        </w:rPr>
        <w:t>en lo sucesivo, la “</w:t>
      </w:r>
      <w:r w:rsidR="00797438" w:rsidRPr="00BD71D3">
        <w:rPr>
          <w:rFonts w:eastAsia="Times New Roman"/>
          <w:color w:val="auto"/>
        </w:rPr>
        <w:t>Resolución AEP</w:t>
      </w:r>
      <w:r w:rsidR="00186ACD" w:rsidRPr="00BD71D3">
        <w:rPr>
          <w:rFonts w:eastAsia="Times New Roman"/>
          <w:color w:val="auto"/>
        </w:rPr>
        <w:t>”</w:t>
      </w:r>
      <w:r w:rsidR="00797438" w:rsidRPr="00BD71D3">
        <w:rPr>
          <w:rFonts w:eastAsia="Times New Roman"/>
          <w:color w:val="auto"/>
        </w:rPr>
        <w:t>)</w:t>
      </w:r>
      <w:r w:rsidR="00B67915" w:rsidRPr="00BD71D3">
        <w:rPr>
          <w:color w:val="auto"/>
        </w:rPr>
        <w:t>.</w:t>
      </w:r>
    </w:p>
    <w:p w14:paraId="421B641E" w14:textId="77777777" w:rsidR="004F575C" w:rsidRDefault="00AD4071" w:rsidP="004F575C">
      <w:pPr>
        <w:pStyle w:val="IFTnormal"/>
        <w:spacing w:before="240" w:after="0"/>
        <w:ind w:left="720"/>
        <w:rPr>
          <w:color w:val="auto"/>
        </w:rPr>
      </w:pPr>
      <w:r w:rsidRPr="00AE6682">
        <w:t xml:space="preserve">En la Resolución AEP el Pleno emitió el Anexo 1 denominado </w:t>
      </w:r>
      <w:r w:rsidRPr="00AE6682">
        <w:rPr>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w:t>
      </w:r>
    </w:p>
    <w:p w14:paraId="40659A20" w14:textId="77777777" w:rsidR="004F575C" w:rsidRDefault="00AD4071" w:rsidP="004F575C">
      <w:pPr>
        <w:pStyle w:val="IFTnormal"/>
        <w:spacing w:before="240" w:after="0"/>
        <w:ind w:left="720"/>
      </w:pPr>
      <w:r>
        <w:rPr>
          <w:color w:val="auto"/>
        </w:rPr>
        <w:t>Asimismo,</w:t>
      </w:r>
      <w:r w:rsidR="00F71EA0">
        <w:rPr>
          <w:color w:val="auto"/>
        </w:rPr>
        <w:t xml:space="preserve"> emitió el Anexo 2</w:t>
      </w:r>
      <w:r w:rsidR="00767944" w:rsidRPr="00BD71D3">
        <w:rPr>
          <w:color w:val="auto"/>
        </w:rPr>
        <w:t xml:space="preserve"> </w:t>
      </w:r>
      <w:r w:rsidR="00BC2890" w:rsidRPr="002E7726">
        <w:t>denominado “</w:t>
      </w:r>
      <w:r w:rsidR="00BC2890" w:rsidRPr="002E7726">
        <w:rPr>
          <w:i/>
        </w:rPr>
        <w:t>MEDIDAS RELACIONADAS CON INFORMACIÓN, OFERTA Y CALIDAD DE SERVICIOS, ACUERDOS EN EXCLUSIVA, LIMITACIONES AL USO DE EQUIPOS TERMINALES ENTRE REDES, REGULACIÓN ASIMÉTRICA EN TARIFAS E INFRAESTRUCTURA DE RED, INCLUYENDO LA DESAGREGACIÓN DE SUS ELEMENTOS ESENCIALES Y, EN SU CASO, LA SEPARACIÓN CONTABLE, FU</w:t>
      </w:r>
      <w:r w:rsidR="00BC2890" w:rsidRPr="0004600D">
        <w:rPr>
          <w:i/>
        </w:rPr>
        <w:t>NCIONAL O ESTRUCTURAL AL AGENTE ECONÓMICO PREPONDERANTE EN LOS SERVI</w:t>
      </w:r>
      <w:r w:rsidR="00BC2890" w:rsidRPr="00F71EA0">
        <w:rPr>
          <w:i/>
        </w:rPr>
        <w:t>CIOS DE TELECOMUNICACIONES FIJOS”</w:t>
      </w:r>
      <w:r w:rsidR="00BC2890" w:rsidRPr="002E7726">
        <w:t xml:space="preserve"> </w:t>
      </w:r>
    </w:p>
    <w:p w14:paraId="527770F6" w14:textId="77777777" w:rsidR="004F575C" w:rsidRDefault="00581EAC" w:rsidP="004F575C">
      <w:pPr>
        <w:pStyle w:val="IFTnormal"/>
        <w:numPr>
          <w:ilvl w:val="0"/>
          <w:numId w:val="6"/>
        </w:numPr>
        <w:spacing w:before="240" w:after="0"/>
        <w:ind w:right="49"/>
        <w:rPr>
          <w:color w:val="auto"/>
        </w:rPr>
      </w:pPr>
      <w:r w:rsidRPr="00BD71D3">
        <w:rPr>
          <w:b/>
          <w:color w:val="auto"/>
        </w:rPr>
        <w:t xml:space="preserve">Ley Federal de Telecomunicaciones y Radiodifusión. </w:t>
      </w:r>
      <w:r w:rsidR="00B67915" w:rsidRPr="00BD71D3">
        <w:rPr>
          <w:color w:val="auto"/>
        </w:rPr>
        <w:t xml:space="preserve">Con fecha 14 de julio de 2014, se publicó en el DOF el </w:t>
      </w:r>
      <w:r w:rsidR="00B67915" w:rsidRPr="00BD71D3">
        <w:rPr>
          <w:i/>
          <w:color w:val="auto"/>
        </w:rPr>
        <w:t>“DECRETO por el que se expiden la Ley Federal de Telecomunicaciones y Radiodifusión, y la Ley del Sistema Público de Radiodifusión del Estado Mexicano; y se reforman, adicionan y derogan diversas disposiciones en materia de telecomunicaciones y radiodifusión</w:t>
      </w:r>
      <w:r w:rsidR="00B67915" w:rsidRPr="00BD71D3">
        <w:rPr>
          <w:color w:val="auto"/>
        </w:rPr>
        <w:t>”, (</w:t>
      </w:r>
      <w:r w:rsidR="00B73573" w:rsidRPr="00BD71D3">
        <w:rPr>
          <w:color w:val="auto"/>
        </w:rPr>
        <w:t>en lo sucesivo, el “</w:t>
      </w:r>
      <w:r w:rsidR="00B67915" w:rsidRPr="00BD71D3">
        <w:rPr>
          <w:color w:val="auto"/>
        </w:rPr>
        <w:t xml:space="preserve">Decreto de </w:t>
      </w:r>
      <w:r w:rsidR="00797438" w:rsidRPr="00BD71D3">
        <w:rPr>
          <w:color w:val="auto"/>
        </w:rPr>
        <w:t>Ley</w:t>
      </w:r>
      <w:r w:rsidR="00B73573" w:rsidRPr="00BD71D3">
        <w:rPr>
          <w:color w:val="auto"/>
        </w:rPr>
        <w:t>”</w:t>
      </w:r>
      <w:r w:rsidR="00B67915" w:rsidRPr="00BD71D3">
        <w:rPr>
          <w:color w:val="auto"/>
        </w:rPr>
        <w:t>)</w:t>
      </w:r>
      <w:r w:rsidR="00797438" w:rsidRPr="00BD71D3">
        <w:rPr>
          <w:color w:val="auto"/>
        </w:rPr>
        <w:t xml:space="preserve"> entrando en vigor la Ley Federal de Telecomunicaciones y Radiodifusión (</w:t>
      </w:r>
      <w:r w:rsidRPr="00BD71D3">
        <w:rPr>
          <w:color w:val="auto"/>
        </w:rPr>
        <w:t>en lo sucesivo, la “</w:t>
      </w:r>
      <w:r w:rsidR="00797438" w:rsidRPr="00BD71D3">
        <w:rPr>
          <w:color w:val="auto"/>
        </w:rPr>
        <w:t>LFTR</w:t>
      </w:r>
      <w:r w:rsidRPr="00BD71D3">
        <w:rPr>
          <w:color w:val="auto"/>
        </w:rPr>
        <w:t>”</w:t>
      </w:r>
      <w:r w:rsidR="00797438" w:rsidRPr="00BD71D3">
        <w:rPr>
          <w:color w:val="auto"/>
        </w:rPr>
        <w:t>) el 13 de agosto del 2014</w:t>
      </w:r>
      <w:r w:rsidR="00B67915" w:rsidRPr="00BD71D3">
        <w:rPr>
          <w:color w:val="auto"/>
        </w:rPr>
        <w:t>.</w:t>
      </w:r>
    </w:p>
    <w:p w14:paraId="3425377D" w14:textId="764BBBFB" w:rsidR="004F575C" w:rsidRDefault="00D357E1" w:rsidP="004F575C">
      <w:pPr>
        <w:pStyle w:val="Prrafodelista"/>
        <w:numPr>
          <w:ilvl w:val="0"/>
          <w:numId w:val="6"/>
        </w:numPr>
        <w:spacing w:before="240"/>
        <w:jc w:val="both"/>
        <w:rPr>
          <w:rFonts w:ascii="ITC Avant Garde" w:hAnsi="ITC Avant Garde" w:cs="Arial"/>
          <w:color w:val="000000"/>
          <w:lang w:val="es-ES_tradnl" w:eastAsia="es-ES"/>
        </w:rPr>
      </w:pPr>
      <w:r w:rsidRPr="00AE6682">
        <w:rPr>
          <w:rFonts w:ascii="ITC Avant Garde" w:hAnsi="ITC Avant Garde"/>
          <w:b/>
        </w:rPr>
        <w:t>Estatuto Orgánico del Instituto Federal de Telecomunicaciones.</w:t>
      </w:r>
      <w:r w:rsidRPr="00AE6682">
        <w:rPr>
          <w:rFonts w:ascii="ITC Avant Garde" w:hAnsi="ITC Avant Garde"/>
        </w:rPr>
        <w:t xml:space="preserve"> </w:t>
      </w:r>
      <w:r w:rsidRPr="00AE6682">
        <w:rPr>
          <w:rFonts w:ascii="ITC Avant Garde" w:hAnsi="ITC Avant Garde" w:cs="Arial"/>
          <w:color w:val="000000"/>
          <w:lang w:val="es-ES_tradnl" w:eastAsia="es-ES"/>
        </w:rPr>
        <w:t>El 4 de septiembre de 2014 se publicó en el DOF el “ESTATUTO Orgánico del Instituto Federal de Telecomunicaciones”, mismo que entró en vigor el 26 de septiembre de 2014, cuya última modificación fue publicada en el DOF 20 de julio de 2017.</w:t>
      </w:r>
    </w:p>
    <w:p w14:paraId="16C91839" w14:textId="77777777" w:rsidR="004F575C" w:rsidRDefault="00901618" w:rsidP="004F575C">
      <w:pPr>
        <w:pStyle w:val="Prrafodelista"/>
        <w:numPr>
          <w:ilvl w:val="0"/>
          <w:numId w:val="6"/>
        </w:numPr>
        <w:spacing w:before="240" w:after="0"/>
        <w:ind w:right="51"/>
        <w:jc w:val="both"/>
        <w:rPr>
          <w:rFonts w:ascii="ITC Avant Garde" w:hAnsi="ITC Avant Garde" w:cs="Arial"/>
          <w:b/>
          <w:lang w:val="es-ES" w:eastAsia="es-ES"/>
        </w:rPr>
      </w:pPr>
      <w:r w:rsidRPr="0042639A">
        <w:rPr>
          <w:rFonts w:ascii="ITC Avant Garde" w:hAnsi="ITC Avant Garde" w:cs="Arial"/>
          <w:b/>
          <w:lang w:val="es-ES" w:eastAsia="es-ES"/>
        </w:rPr>
        <w:lastRenderedPageBreak/>
        <w:t xml:space="preserve">Acuerdo de Puntos de Interconexión. </w:t>
      </w:r>
      <w:r w:rsidRPr="0042639A">
        <w:rPr>
          <w:rFonts w:ascii="ITC Avant Garde" w:hAnsi="ITC Avant Garde" w:cs="Arial"/>
          <w:lang w:val="es-ES" w:eastAsia="es-ES"/>
        </w:rPr>
        <w:t xml:space="preserve">El 17 de febrero de 2015 se publicó en el DOF el </w:t>
      </w:r>
      <w:r w:rsidRPr="0042639A">
        <w:rPr>
          <w:rFonts w:ascii="ITC Avant Garde" w:hAnsi="ITC Avant Garde" w:cs="Arial"/>
          <w:i/>
          <w:lang w:val="es-ES" w:eastAsia="es-ES"/>
        </w:rPr>
        <w:t>“</w:t>
      </w:r>
      <w:r w:rsidRPr="00BD71D3">
        <w:rPr>
          <w:rFonts w:ascii="ITC Avant Garde" w:hAnsi="ITC Avant Garde" w:cs="Segoe UI"/>
          <w:i/>
        </w:rPr>
        <w:t>ACUERDO mediante el cual el Pleno del Instituto Federal de Telecomunicaciones define los puntos de</w:t>
      </w:r>
      <w:r w:rsidR="00D030B5">
        <w:rPr>
          <w:rFonts w:ascii="ITC Avant Garde" w:hAnsi="ITC Avant Garde" w:cs="Segoe UI"/>
          <w:i/>
        </w:rPr>
        <w:t xml:space="preserve"> </w:t>
      </w:r>
      <w:r w:rsidRPr="00BD71D3">
        <w:rPr>
          <w:rFonts w:ascii="ITC Avant Garde" w:hAnsi="ITC Avant Garde" w:cs="Segoe UI"/>
          <w:i/>
        </w:rPr>
        <w:t>interconexión a la red pública de telecomunicaciones del Agente Económico Preponderante</w:t>
      </w:r>
      <w:r w:rsidRPr="00BD71D3">
        <w:rPr>
          <w:rFonts w:ascii="ITC Avant Garde" w:hAnsi="ITC Avant Garde" w:cs="Segoe UI"/>
        </w:rPr>
        <w:t>” (en lo sucesivo, el “Acuerdo de Puntos de Interconexión”).</w:t>
      </w:r>
    </w:p>
    <w:p w14:paraId="5B843BC8" w14:textId="77777777" w:rsidR="004F575C" w:rsidRDefault="00D357E1" w:rsidP="004F575C">
      <w:pPr>
        <w:pStyle w:val="Prrafodelista"/>
        <w:numPr>
          <w:ilvl w:val="0"/>
          <w:numId w:val="6"/>
        </w:numPr>
        <w:spacing w:before="240" w:after="0"/>
        <w:ind w:right="51"/>
        <w:jc w:val="both"/>
        <w:rPr>
          <w:rFonts w:ascii="ITC Avant Garde" w:hAnsi="ITC Avant Garde" w:cs="Arial"/>
          <w:lang w:val="es-ES" w:eastAsia="es-ES"/>
        </w:rPr>
      </w:pPr>
      <w:r w:rsidRPr="0001573C">
        <w:rPr>
          <w:rFonts w:ascii="ITC Avant Garde" w:hAnsi="ITC Avant Garde" w:cs="Arial"/>
          <w:b/>
          <w:lang w:val="es-ES" w:eastAsia="es-ES"/>
        </w:rPr>
        <w:t>Oferta de Referencia Aprobada</w:t>
      </w:r>
      <w:r w:rsidR="005505CC" w:rsidRPr="0001573C">
        <w:rPr>
          <w:rFonts w:ascii="ITC Avant Garde" w:hAnsi="ITC Avant Garde" w:cs="Arial"/>
          <w:b/>
          <w:lang w:val="es-ES" w:eastAsia="es-ES"/>
        </w:rPr>
        <w:t>.</w:t>
      </w:r>
      <w:r w:rsidR="005505CC" w:rsidRPr="005C65CC">
        <w:rPr>
          <w:rFonts w:ascii="ITC Avant Garde" w:hAnsi="ITC Avant Garde" w:cs="Arial"/>
          <w:lang w:val="es-ES" w:eastAsia="es-ES"/>
        </w:rPr>
        <w:t xml:space="preserve"> </w:t>
      </w:r>
      <w:r w:rsidR="005E5376" w:rsidRPr="005C65CC">
        <w:rPr>
          <w:rFonts w:ascii="ITC Avant Garde" w:hAnsi="ITC Avant Garde" w:cs="Arial"/>
          <w:lang w:val="es-ES" w:eastAsia="es-ES"/>
        </w:rPr>
        <w:t xml:space="preserve">Con fecha </w:t>
      </w:r>
      <w:r w:rsidR="003E0A31" w:rsidRPr="00E01B20">
        <w:rPr>
          <w:rFonts w:ascii="ITC Avant Garde" w:hAnsi="ITC Avant Garde" w:cs="Arial"/>
          <w:lang w:val="es-ES" w:eastAsia="es-ES"/>
        </w:rPr>
        <w:t xml:space="preserve">24 de noviembre de 2015, el Pleno del Instituto en su </w:t>
      </w:r>
      <w:r w:rsidR="001A17E5" w:rsidRPr="00E01B20">
        <w:rPr>
          <w:rFonts w:ascii="ITC Avant Garde" w:hAnsi="ITC Avant Garde" w:cs="Arial"/>
          <w:lang w:val="es-ES" w:eastAsia="es-ES"/>
        </w:rPr>
        <w:t xml:space="preserve">XLVI Sesión Extraordinaria, </w:t>
      </w:r>
      <w:r w:rsidR="001A17E5" w:rsidRPr="00ED78B2">
        <w:rPr>
          <w:rFonts w:ascii="ITC Avant Garde" w:hAnsi="ITC Avant Garde" w:cs="Arial"/>
          <w:lang w:val="es-ES" w:eastAsia="es-ES"/>
        </w:rPr>
        <w:t xml:space="preserve">mediante </w:t>
      </w:r>
      <w:r w:rsidR="00E16463" w:rsidRPr="00ED78B2">
        <w:rPr>
          <w:rFonts w:ascii="ITC Avant Garde" w:hAnsi="ITC Avant Garde" w:cs="Arial"/>
          <w:lang w:val="es-ES" w:eastAsia="es-ES"/>
        </w:rPr>
        <w:t>A</w:t>
      </w:r>
      <w:r w:rsidR="001A17E5" w:rsidRPr="00DD3C7E">
        <w:rPr>
          <w:rFonts w:ascii="ITC Avant Garde" w:hAnsi="ITC Avant Garde" w:cs="Arial"/>
          <w:lang w:val="es-ES" w:eastAsia="es-ES"/>
        </w:rPr>
        <w:t>cuerdo P/IFT/EXT/241115/169</w:t>
      </w:r>
      <w:r w:rsidR="009E2630" w:rsidRPr="00111690">
        <w:rPr>
          <w:rFonts w:ascii="ITC Avant Garde" w:hAnsi="ITC Avant Garde" w:cs="Arial"/>
          <w:lang w:val="es-ES" w:eastAsia="es-ES"/>
        </w:rPr>
        <w:t xml:space="preserve"> </w:t>
      </w:r>
      <w:r w:rsidRPr="00111690">
        <w:rPr>
          <w:rFonts w:ascii="ITC Avant Garde" w:hAnsi="ITC Avant Garde" w:cs="Arial"/>
          <w:lang w:val="es-ES" w:eastAsia="es-ES"/>
        </w:rPr>
        <w:t xml:space="preserve">aprobó </w:t>
      </w:r>
      <w:r w:rsidR="009E2630" w:rsidRPr="000348A8">
        <w:rPr>
          <w:rFonts w:ascii="ITC Avant Garde" w:hAnsi="ITC Avant Garde" w:cs="Arial"/>
          <w:lang w:val="es-ES" w:eastAsia="es-ES"/>
        </w:rPr>
        <w:t xml:space="preserve">la </w:t>
      </w:r>
      <w:r w:rsidR="003470C3" w:rsidRPr="000348A8">
        <w:rPr>
          <w:rFonts w:ascii="ITC Avant Garde" w:hAnsi="ITC Avant Garde" w:cs="Arial"/>
          <w:lang w:val="es-ES" w:eastAsia="es-ES"/>
        </w:rPr>
        <w:t>“</w:t>
      </w:r>
      <w:r w:rsidRPr="000348A8">
        <w:rPr>
          <w:rFonts w:ascii="ITC Avant Garde" w:hAnsi="ITC Avant Garde" w:cs="Arial"/>
          <w:i/>
          <w:lang w:val="es-ES" w:eastAsia="es-ES"/>
        </w:rPr>
        <w:t>RESOLUCIÓN MEDIANTE LA CUAL EL PLENO DEL INSTITUTO FEDERAL DE TELECOMUNICACIONES MODIFICA Y AUTORIZA AL AGENTE ECONÓMICO PREPONDERANTE LOS TÉRMINOS Y CONDICIONES DE LA OFERTA DE REFERENCIA PARA LA PRESTACIÓN DEL SERVICIO MAYORISTA DE ARRENDAMIENTO DE ENLACES DEDICADOS LOCALES, ENTRE LOCALIDADES Y DE LARGA DISTANCIA INTERNACIONAL PARA CONCESIONARIOS DE REDES PÚBLICAS DE TELECOMUNICACIONES, PRESENTADA POR TELÉFONOS DE MÉXICO, S.A.B. DE C.V. APLICABLE  DEL  1 DE ENERO DE 2016 AL 31 DE DICIEMBRE DE 2017”</w:t>
      </w:r>
      <w:r w:rsidRPr="000348A8">
        <w:rPr>
          <w:rFonts w:ascii="ITC Avant Garde" w:hAnsi="ITC Avant Garde" w:cs="Arial"/>
          <w:lang w:val="es-ES" w:eastAsia="es-ES"/>
        </w:rPr>
        <w:t xml:space="preserve"> </w:t>
      </w:r>
      <w:r w:rsidR="00E16463" w:rsidRPr="008C4677">
        <w:rPr>
          <w:rFonts w:ascii="ITC Avant Garde" w:hAnsi="ITC Avant Garde" w:cs="Arial"/>
          <w:lang w:val="es-ES" w:eastAsia="es-ES"/>
        </w:rPr>
        <w:t xml:space="preserve">(en lo sucesivo, la “Resolución Oferta de Referencia 2016-2017”). </w:t>
      </w:r>
    </w:p>
    <w:p w14:paraId="535B40E5" w14:textId="77777777" w:rsidR="004F575C" w:rsidRDefault="005F3F44" w:rsidP="004F575C">
      <w:pPr>
        <w:pStyle w:val="IFTnormal"/>
        <w:numPr>
          <w:ilvl w:val="0"/>
          <w:numId w:val="6"/>
        </w:numPr>
        <w:spacing w:before="240" w:after="0"/>
        <w:ind w:right="49"/>
        <w:rPr>
          <w:color w:val="auto"/>
        </w:rPr>
      </w:pPr>
      <w:r w:rsidRPr="00BD71D3">
        <w:rPr>
          <w:b/>
          <w:color w:val="auto"/>
        </w:rPr>
        <w:t>Resolución Bienal</w:t>
      </w:r>
      <w:r w:rsidR="006F2850" w:rsidRPr="00BD71D3">
        <w:rPr>
          <w:b/>
          <w:color w:val="auto"/>
        </w:rPr>
        <w:t>.</w:t>
      </w:r>
      <w:r w:rsidR="006F2850" w:rsidRPr="00BD71D3">
        <w:rPr>
          <w:color w:val="auto"/>
        </w:rPr>
        <w:t xml:space="preserve"> </w:t>
      </w:r>
      <w:r w:rsidR="004D7D7B" w:rsidRPr="00BD71D3">
        <w:rPr>
          <w:color w:val="auto"/>
        </w:rPr>
        <w:t>El 27 de febrero de 2017</w:t>
      </w:r>
      <w:r w:rsidR="006F2850" w:rsidRPr="00BD71D3">
        <w:rPr>
          <w:color w:val="auto"/>
        </w:rPr>
        <w:t xml:space="preserve">, el Pleno del Instituto en su </w:t>
      </w:r>
      <w:r w:rsidR="004D7D7B" w:rsidRPr="00BD71D3">
        <w:rPr>
          <w:color w:val="auto"/>
        </w:rPr>
        <w:t>I</w:t>
      </w:r>
      <w:r w:rsidR="006F2850" w:rsidRPr="00BD71D3">
        <w:rPr>
          <w:color w:val="auto"/>
        </w:rPr>
        <w:t xml:space="preserve">V Sesión Extraordinaria, aprobó </w:t>
      </w:r>
      <w:r w:rsidR="002D0308" w:rsidRPr="00BD71D3">
        <w:rPr>
          <w:color w:val="auto"/>
        </w:rPr>
        <w:t>mediante A</w:t>
      </w:r>
      <w:r w:rsidR="008175B3" w:rsidRPr="00BD71D3">
        <w:rPr>
          <w:color w:val="auto"/>
        </w:rPr>
        <w:t>cuerdo P/IFT/EXT/</w:t>
      </w:r>
      <w:r w:rsidR="004D7D7B" w:rsidRPr="00BD71D3">
        <w:rPr>
          <w:color w:val="auto"/>
        </w:rPr>
        <w:t>270217/119</w:t>
      </w:r>
      <w:r w:rsidR="001F0302" w:rsidRPr="00BD71D3">
        <w:rPr>
          <w:color w:val="auto"/>
        </w:rPr>
        <w:t xml:space="preserve"> la “</w:t>
      </w:r>
      <w:r w:rsidR="004D7D7B" w:rsidRPr="00BD71D3">
        <w:rPr>
          <w:rFonts w:eastAsia="Times New Roman"/>
          <w:i/>
          <w:color w:val="auto"/>
        </w:rPr>
        <w:t>Resolución mediante la cual el Pleno del Instituto Federal de Telecomunicaciones suprime, modifica y adiciona las medidas impuestas al Agente Económico Preponderante en el sector de telecomunicaciones mediante resolución de fecha 6 de marzo de 2014</w:t>
      </w:r>
      <w:r w:rsidR="00B464FB" w:rsidRPr="00BD71D3">
        <w:rPr>
          <w:rFonts w:eastAsia="Times New Roman"/>
          <w:color w:val="auto"/>
        </w:rPr>
        <w:t>”</w:t>
      </w:r>
      <w:r w:rsidR="007512EE" w:rsidRPr="00BD71D3">
        <w:rPr>
          <w:rFonts w:eastAsia="Times New Roman"/>
          <w:color w:val="auto"/>
        </w:rPr>
        <w:t>,</w:t>
      </w:r>
      <w:r w:rsidR="006F2850" w:rsidRPr="00BD71D3">
        <w:rPr>
          <w:rFonts w:eastAsia="Times New Roman"/>
          <w:color w:val="auto"/>
        </w:rPr>
        <w:t xml:space="preserve"> (en lo sucesivo, la “</w:t>
      </w:r>
      <w:r w:rsidRPr="00BD71D3">
        <w:rPr>
          <w:rFonts w:eastAsia="Times New Roman"/>
          <w:color w:val="auto"/>
        </w:rPr>
        <w:t>Resolución Bienal</w:t>
      </w:r>
      <w:r w:rsidR="006F2850" w:rsidRPr="00BD71D3">
        <w:rPr>
          <w:rFonts w:eastAsia="Times New Roman"/>
          <w:color w:val="auto"/>
        </w:rPr>
        <w:t>”)</w:t>
      </w:r>
      <w:r w:rsidR="006F2850" w:rsidRPr="00BD71D3">
        <w:rPr>
          <w:color w:val="auto"/>
        </w:rPr>
        <w:t>.</w:t>
      </w:r>
    </w:p>
    <w:p w14:paraId="0E944B45" w14:textId="77777777" w:rsidR="004F575C" w:rsidRDefault="000900D1" w:rsidP="004F575C">
      <w:pPr>
        <w:spacing w:before="240" w:after="0"/>
        <w:ind w:left="709"/>
        <w:jc w:val="both"/>
        <w:rPr>
          <w:rFonts w:ascii="ITC Avant Garde" w:hAnsi="ITC Avant Garde"/>
        </w:rPr>
      </w:pPr>
      <w:r w:rsidRPr="00BD71D3">
        <w:rPr>
          <w:rFonts w:ascii="ITC Avant Garde" w:hAnsi="ITC Avant Garde"/>
        </w:rPr>
        <w:t xml:space="preserve">En la Resolución Bienal el Pleno emitió el Anexo </w:t>
      </w:r>
      <w:r>
        <w:rPr>
          <w:rFonts w:ascii="ITC Avant Garde" w:hAnsi="ITC Avant Garde"/>
        </w:rPr>
        <w:t>2</w:t>
      </w:r>
      <w:r w:rsidRPr="00BD71D3">
        <w:rPr>
          <w:rFonts w:ascii="ITC Avant Garde" w:hAnsi="ITC Avant Garde"/>
        </w:rPr>
        <w:t xml:space="preserve"> </w:t>
      </w:r>
      <w:r w:rsidR="00B4261F">
        <w:rPr>
          <w:rFonts w:ascii="ITC Avant Garde" w:hAnsi="ITC Avant Garde"/>
        </w:rPr>
        <w:t xml:space="preserve">denominado </w:t>
      </w:r>
      <w:r w:rsidR="00843210">
        <w:rPr>
          <w:rFonts w:ascii="ITC Avant Garde" w:hAnsi="ITC Avant Garde"/>
        </w:rPr>
        <w:t xml:space="preserve"> </w:t>
      </w:r>
      <w:r w:rsidR="00B4261F">
        <w:rPr>
          <w:rFonts w:ascii="ITC Avant Garde" w:hAnsi="ITC Avant Garde"/>
        </w:rPr>
        <w:t>“</w:t>
      </w:r>
      <w:r w:rsidR="00B4261F" w:rsidRPr="00924CB3">
        <w:rPr>
          <w:rFonts w:ascii="ITC Avant Garde" w:hAnsi="ITC Avant Garde"/>
        </w:rPr>
        <w:t xml:space="preserve">Se MODIFICAN  </w:t>
      </w:r>
      <w:r w:rsidR="00B4261F" w:rsidRPr="00B4261F">
        <w:rPr>
          <w:rFonts w:ascii="ITC Avant Garde" w:hAnsi="ITC Avant Garde"/>
        </w:rPr>
        <w:t>la</w:t>
      </w:r>
      <w:r w:rsidR="00B4261F" w:rsidRPr="00924CB3">
        <w:rPr>
          <w:rFonts w:ascii="ITC Avant Garde" w:hAnsi="ITC Avant Garde"/>
        </w:rPr>
        <w:t xml:space="preserve">s medidos TERCERA, primer </w:t>
      </w:r>
      <w:r w:rsidR="00B4261F" w:rsidRPr="00B4261F">
        <w:rPr>
          <w:rFonts w:ascii="ITC Avant Garde" w:hAnsi="ITC Avant Garde"/>
        </w:rPr>
        <w:t>p</w:t>
      </w:r>
      <w:r w:rsidR="00B4261F">
        <w:rPr>
          <w:rFonts w:ascii="ITC Avant Garde" w:hAnsi="ITC Avant Garde"/>
        </w:rPr>
        <w:t>á</w:t>
      </w:r>
      <w:r w:rsidR="00B4261F" w:rsidRPr="00B4261F">
        <w:rPr>
          <w:rFonts w:ascii="ITC Avant Garde" w:hAnsi="ITC Avant Garde"/>
        </w:rPr>
        <w:t>rra</w:t>
      </w:r>
      <w:r w:rsidR="00B4261F" w:rsidRPr="00924CB3">
        <w:rPr>
          <w:rFonts w:ascii="ITC Avant Garde" w:hAnsi="ITC Avant Garde"/>
        </w:rPr>
        <w:t>fo, incisos 5), 9), 22),</w:t>
      </w:r>
      <w:r w:rsidR="00B4261F">
        <w:rPr>
          <w:rFonts w:ascii="ITC Avant Garde" w:hAnsi="ITC Avant Garde"/>
        </w:rPr>
        <w:t xml:space="preserve"> </w:t>
      </w:r>
      <w:r w:rsidR="00B4261F" w:rsidRPr="00924CB3">
        <w:rPr>
          <w:rFonts w:ascii="ITC Avant Garde" w:hAnsi="ITC Avant Garde"/>
        </w:rPr>
        <w:t>23),</w:t>
      </w:r>
      <w:r w:rsidR="00B4261F">
        <w:rPr>
          <w:rFonts w:ascii="ITC Avant Garde" w:hAnsi="ITC Avant Garde"/>
        </w:rPr>
        <w:t xml:space="preserve"> </w:t>
      </w:r>
      <w:r w:rsidR="00B4261F" w:rsidRPr="00924CB3">
        <w:rPr>
          <w:rFonts w:ascii="ITC Avant Garde" w:hAnsi="ITC Avant Garde"/>
        </w:rPr>
        <w:t>24),</w:t>
      </w:r>
      <w:r w:rsidR="00B4261F">
        <w:rPr>
          <w:rFonts w:ascii="ITC Avant Garde" w:hAnsi="ITC Avant Garde"/>
        </w:rPr>
        <w:t xml:space="preserve"> </w:t>
      </w:r>
      <w:r w:rsidR="00B4261F" w:rsidRPr="00924CB3">
        <w:rPr>
          <w:rFonts w:ascii="ITC Avant Garde" w:hAnsi="ITC Avant Garde"/>
        </w:rPr>
        <w:t>3O),</w:t>
      </w:r>
      <w:r w:rsidR="00B4261F">
        <w:rPr>
          <w:rFonts w:ascii="ITC Avant Garde" w:hAnsi="ITC Avant Garde"/>
        </w:rPr>
        <w:t xml:space="preserve"> </w:t>
      </w:r>
      <w:r w:rsidR="00B4261F" w:rsidRPr="00B4261F">
        <w:rPr>
          <w:rFonts w:ascii="ITC Avant Garde" w:hAnsi="ITC Avant Garde"/>
        </w:rPr>
        <w:t>31</w:t>
      </w:r>
      <w:r w:rsidR="00B4261F" w:rsidRPr="00924CB3">
        <w:rPr>
          <w:rFonts w:ascii="ITC Avant Garde" w:hAnsi="ITC Avant Garde"/>
        </w:rPr>
        <w:t>), y último</w:t>
      </w:r>
      <w:r w:rsidR="00B4261F">
        <w:rPr>
          <w:rFonts w:ascii="ITC Avant Garde" w:hAnsi="ITC Avant Garde"/>
        </w:rPr>
        <w:t xml:space="preserve"> </w:t>
      </w:r>
      <w:r w:rsidR="00B4261F" w:rsidRPr="00B4261F">
        <w:rPr>
          <w:rFonts w:ascii="ITC Avant Garde" w:hAnsi="ITC Avant Garde"/>
        </w:rPr>
        <w:t>p</w:t>
      </w:r>
      <w:r w:rsidR="00B4261F">
        <w:rPr>
          <w:rFonts w:ascii="ITC Avant Garde" w:hAnsi="ITC Avant Garde"/>
        </w:rPr>
        <w:t>á</w:t>
      </w:r>
      <w:r w:rsidR="00B4261F" w:rsidRPr="00B4261F">
        <w:rPr>
          <w:rFonts w:ascii="ITC Avant Garde" w:hAnsi="ITC Avant Garde"/>
        </w:rPr>
        <w:t>rra</w:t>
      </w:r>
      <w:r w:rsidR="00B4261F" w:rsidRPr="00924CB3">
        <w:rPr>
          <w:rFonts w:ascii="ITC Avant Garde" w:hAnsi="ITC Avant Garde"/>
        </w:rPr>
        <w:t xml:space="preserve">fo, </w:t>
      </w:r>
      <w:r w:rsidR="00B4261F">
        <w:rPr>
          <w:rFonts w:ascii="ITC Avant Garde" w:hAnsi="ITC Avant Garde"/>
        </w:rPr>
        <w:t>CUARTA</w:t>
      </w:r>
      <w:r w:rsidR="00B4261F" w:rsidRPr="00924CB3">
        <w:rPr>
          <w:rFonts w:ascii="ITC Avant Garde" w:hAnsi="ITC Avant Garde"/>
        </w:rPr>
        <w:t xml:space="preserve">, </w:t>
      </w:r>
      <w:r w:rsidR="00B4261F" w:rsidRPr="00B4261F">
        <w:rPr>
          <w:rFonts w:ascii="ITC Avant Garde" w:hAnsi="ITC Avant Garde"/>
        </w:rPr>
        <w:t>QUI</w:t>
      </w:r>
      <w:r w:rsidR="00B4261F" w:rsidRPr="00924CB3">
        <w:rPr>
          <w:rFonts w:ascii="ITC Avant Garde" w:hAnsi="ITC Avant Garde"/>
        </w:rPr>
        <w:t xml:space="preserve">NTA, SEXTA, </w:t>
      </w:r>
      <w:r w:rsidR="00B4261F" w:rsidRPr="00B4261F">
        <w:rPr>
          <w:rFonts w:ascii="ITC Avant Garde" w:hAnsi="ITC Avant Garde"/>
        </w:rPr>
        <w:t>OCTAVA,</w:t>
      </w:r>
      <w:r w:rsidR="00B4261F" w:rsidRPr="00924CB3">
        <w:rPr>
          <w:rFonts w:ascii="ITC Avant Garde" w:hAnsi="ITC Avant Garde"/>
        </w:rPr>
        <w:t xml:space="preserve"> </w:t>
      </w:r>
      <w:r w:rsidR="00B4261F" w:rsidRPr="00B4261F">
        <w:rPr>
          <w:rFonts w:ascii="ITC Avant Garde" w:hAnsi="ITC Avant Garde"/>
        </w:rPr>
        <w:t>UNDÉCI</w:t>
      </w:r>
      <w:r w:rsidR="00B4261F" w:rsidRPr="00924CB3">
        <w:rPr>
          <w:rFonts w:ascii="ITC Avant Garde" w:hAnsi="ITC Avant Garde"/>
        </w:rPr>
        <w:t>MA, DUODÉCIMA,  DECIMOTERCERA,</w:t>
      </w:r>
      <w:r w:rsidR="00B4261F">
        <w:rPr>
          <w:rFonts w:ascii="ITC Avant Garde" w:hAnsi="ITC Avant Garde"/>
        </w:rPr>
        <w:t xml:space="preserve"> </w:t>
      </w:r>
      <w:r w:rsidR="00B4261F" w:rsidRPr="00924CB3">
        <w:rPr>
          <w:rFonts w:ascii="ITC Avant Garde" w:hAnsi="ITC Avant Garde"/>
        </w:rPr>
        <w:t>DECIMOQUINTA, DECIMOSEXTA, DECIMOSÉPIMA, DECIMOCTAVA, DECIMONOVENA,</w:t>
      </w:r>
      <w:r w:rsidR="00B4261F">
        <w:rPr>
          <w:rFonts w:ascii="ITC Avant Garde" w:hAnsi="ITC Avant Garde"/>
        </w:rPr>
        <w:t xml:space="preserve"> VIGÉSIMA</w:t>
      </w:r>
      <w:r w:rsidR="00B4261F" w:rsidRPr="00924CB3">
        <w:rPr>
          <w:rFonts w:ascii="ITC Avant Garde" w:hAnsi="ITC Avant Garde"/>
        </w:rPr>
        <w:t xml:space="preserve">, </w:t>
      </w:r>
      <w:r w:rsidR="00B4261F" w:rsidRPr="00B4261F">
        <w:rPr>
          <w:rFonts w:ascii="ITC Avant Garde" w:hAnsi="ITC Avant Garde"/>
        </w:rPr>
        <w:t>VI</w:t>
      </w:r>
      <w:r w:rsidR="00B4261F" w:rsidRPr="00924CB3">
        <w:rPr>
          <w:rFonts w:ascii="ITC Avant Garde" w:hAnsi="ITC Avant Garde"/>
        </w:rPr>
        <w:t>GÉS</w:t>
      </w:r>
      <w:r w:rsidR="00B4261F">
        <w:rPr>
          <w:rFonts w:ascii="ITC Avant Garde" w:hAnsi="ITC Avant Garde"/>
        </w:rPr>
        <w:t>I</w:t>
      </w:r>
      <w:r w:rsidR="00B4261F" w:rsidRPr="00924CB3">
        <w:rPr>
          <w:rFonts w:ascii="ITC Avant Garde" w:hAnsi="ITC Avant Garde"/>
        </w:rPr>
        <w:t xml:space="preserve">MA SEGUNDA, </w:t>
      </w:r>
      <w:r w:rsidR="00B4261F">
        <w:rPr>
          <w:rFonts w:ascii="ITC Avant Garde" w:hAnsi="ITC Avant Garde"/>
        </w:rPr>
        <w:t>VIGÉSIMA</w:t>
      </w:r>
      <w:r w:rsidR="00B4261F" w:rsidRPr="00B4261F">
        <w:rPr>
          <w:rFonts w:ascii="ITC Avant Garde" w:hAnsi="ITC Avant Garde"/>
        </w:rPr>
        <w:t xml:space="preserve"> </w:t>
      </w:r>
      <w:r w:rsidR="00B4261F" w:rsidRPr="00924CB3">
        <w:rPr>
          <w:rFonts w:ascii="ITC Avant Garde" w:hAnsi="ITC Avant Garde"/>
        </w:rPr>
        <w:t xml:space="preserve">TERCERA </w:t>
      </w:r>
      <w:r w:rsidR="00B4261F" w:rsidRPr="00B4261F">
        <w:rPr>
          <w:rFonts w:ascii="ITC Avant Garde" w:hAnsi="ITC Avant Garde"/>
        </w:rPr>
        <w:t>primer p</w:t>
      </w:r>
      <w:r w:rsidR="00B4261F">
        <w:rPr>
          <w:rFonts w:ascii="ITC Avant Garde" w:hAnsi="ITC Avant Garde"/>
        </w:rPr>
        <w:t>á</w:t>
      </w:r>
      <w:r w:rsidR="00B4261F" w:rsidRPr="00B4261F">
        <w:rPr>
          <w:rFonts w:ascii="ITC Avant Garde" w:hAnsi="ITC Avant Garde"/>
        </w:rPr>
        <w:t>rra</w:t>
      </w:r>
      <w:r w:rsidR="00B4261F" w:rsidRPr="00924CB3">
        <w:rPr>
          <w:rFonts w:ascii="ITC Avant Garde" w:hAnsi="ITC Avant Garde"/>
        </w:rPr>
        <w:t xml:space="preserve">fo, </w:t>
      </w:r>
      <w:r w:rsidR="00B4261F">
        <w:rPr>
          <w:rFonts w:ascii="ITC Avant Garde" w:hAnsi="ITC Avant Garde"/>
        </w:rPr>
        <w:t>VIGÉSIMA</w:t>
      </w:r>
      <w:r w:rsidR="00B4261F" w:rsidRPr="00B4261F">
        <w:rPr>
          <w:rFonts w:ascii="ITC Avant Garde" w:hAnsi="ITC Avant Garde"/>
        </w:rPr>
        <w:t xml:space="preserve"> </w:t>
      </w:r>
      <w:r w:rsidR="00B4261F" w:rsidRPr="00924CB3">
        <w:rPr>
          <w:rFonts w:ascii="ITC Avant Garde" w:hAnsi="ITC Avant Garde"/>
        </w:rPr>
        <w:t>SEXTA,</w:t>
      </w:r>
      <w:r w:rsidR="00B4261F">
        <w:rPr>
          <w:rFonts w:ascii="ITC Avant Garde" w:hAnsi="ITC Avant Garde"/>
        </w:rPr>
        <w:t xml:space="preserve"> </w:t>
      </w:r>
      <w:r w:rsidR="00B4261F" w:rsidRPr="00924CB3">
        <w:rPr>
          <w:rFonts w:ascii="ITC Avant Garde" w:hAnsi="ITC Avant Garde"/>
        </w:rPr>
        <w:t>TRIGÉSIMA QUINTA, TRIGÉSIMA  SEXTA, TRIGÉSIMA SÉP</w:t>
      </w:r>
      <w:r w:rsidR="00B4261F">
        <w:rPr>
          <w:rFonts w:ascii="ITC Avant Garde" w:hAnsi="ITC Avant Garde"/>
        </w:rPr>
        <w:t>T</w:t>
      </w:r>
      <w:r w:rsidR="00B4261F" w:rsidRPr="00924CB3">
        <w:rPr>
          <w:rFonts w:ascii="ITC Avant Garde" w:hAnsi="ITC Avant Garde"/>
        </w:rPr>
        <w:t xml:space="preserve">IMA, TRIGÉSIMA OCTAVA, </w:t>
      </w:r>
      <w:r w:rsidR="00B4261F" w:rsidRPr="00B4261F">
        <w:rPr>
          <w:rFonts w:ascii="ITC Avant Garde" w:hAnsi="ITC Avant Garde"/>
        </w:rPr>
        <w:t>TRIGÉSI</w:t>
      </w:r>
      <w:r w:rsidR="00B4261F" w:rsidRPr="00924CB3">
        <w:rPr>
          <w:rFonts w:ascii="ITC Avant Garde" w:hAnsi="ITC Avant Garde"/>
        </w:rPr>
        <w:t>MA</w:t>
      </w:r>
      <w:r w:rsidR="00B4261F">
        <w:rPr>
          <w:rFonts w:ascii="ITC Avant Garde" w:hAnsi="ITC Avant Garde"/>
        </w:rPr>
        <w:t xml:space="preserve"> </w:t>
      </w:r>
      <w:r w:rsidR="00B4261F" w:rsidRPr="00924CB3">
        <w:rPr>
          <w:rFonts w:ascii="ITC Avant Garde" w:hAnsi="ITC Avant Garde"/>
        </w:rPr>
        <w:t xml:space="preserve">NOVENA, </w:t>
      </w:r>
      <w:r w:rsidR="00AE462F" w:rsidRPr="00176163">
        <w:rPr>
          <w:rFonts w:ascii="ITC Avant Garde" w:hAnsi="ITC Avant Garde"/>
        </w:rPr>
        <w:t xml:space="preserve">CUADRAGÉSIMA </w:t>
      </w:r>
      <w:r w:rsidR="00B4261F" w:rsidRPr="00924CB3">
        <w:rPr>
          <w:rFonts w:ascii="ITC Avant Garde" w:hAnsi="ITC Avant Garde"/>
        </w:rPr>
        <w:t xml:space="preserve">PRIMERA, </w:t>
      </w:r>
      <w:r w:rsidR="00AE462F" w:rsidRPr="00176163">
        <w:rPr>
          <w:rFonts w:ascii="ITC Avant Garde" w:hAnsi="ITC Avant Garde"/>
        </w:rPr>
        <w:t>CUADRAGÉSIMA</w:t>
      </w:r>
      <w:r w:rsidR="00B4261F" w:rsidRPr="00924CB3">
        <w:rPr>
          <w:rFonts w:ascii="ITC Avant Garde" w:hAnsi="ITC Avant Garde"/>
        </w:rPr>
        <w:t xml:space="preserve"> SEGUNDA, </w:t>
      </w:r>
      <w:r w:rsidR="00AE462F" w:rsidRPr="00176163">
        <w:rPr>
          <w:rFonts w:ascii="ITC Avant Garde" w:hAnsi="ITC Avant Garde"/>
        </w:rPr>
        <w:t xml:space="preserve">CUADRAGÉSIMA </w:t>
      </w:r>
      <w:r w:rsidR="00B4261F" w:rsidRPr="00924CB3">
        <w:rPr>
          <w:rFonts w:ascii="ITC Avant Garde" w:hAnsi="ITC Avant Garde"/>
        </w:rPr>
        <w:t>TERCERA,</w:t>
      </w:r>
      <w:r w:rsidR="00AE462F">
        <w:rPr>
          <w:rFonts w:ascii="ITC Avant Garde" w:hAnsi="ITC Avant Garde"/>
        </w:rPr>
        <w:t xml:space="preserve"> </w:t>
      </w:r>
      <w:r w:rsidR="00AE462F" w:rsidRPr="00AE462F">
        <w:rPr>
          <w:rFonts w:ascii="ITC Avant Garde" w:hAnsi="ITC Avant Garde"/>
        </w:rPr>
        <w:t>CUADRAGÉSIMA</w:t>
      </w:r>
      <w:r w:rsidR="00B4261F" w:rsidRPr="00924CB3">
        <w:rPr>
          <w:rFonts w:ascii="ITC Avant Garde" w:hAnsi="ITC Avant Garde"/>
        </w:rPr>
        <w:t xml:space="preserve"> CUARTA, </w:t>
      </w:r>
      <w:r w:rsidR="00D04D4B">
        <w:rPr>
          <w:rFonts w:ascii="ITC Avant Garde" w:hAnsi="ITC Avant Garde"/>
        </w:rPr>
        <w:t>QUIN</w:t>
      </w:r>
      <w:r w:rsidR="00676540">
        <w:rPr>
          <w:rFonts w:ascii="ITC Avant Garde" w:hAnsi="ITC Avant Garde"/>
        </w:rPr>
        <w:t xml:space="preserve">CUAGÉSIMA </w:t>
      </w:r>
      <w:r w:rsidR="00B4261F" w:rsidRPr="00924CB3">
        <w:rPr>
          <w:rFonts w:ascii="ITC Avant Garde" w:hAnsi="ITC Avant Garde"/>
        </w:rPr>
        <w:t xml:space="preserve">TERCERA y SEXAGÉSIMA; se ADICIONAN </w:t>
      </w:r>
      <w:r w:rsidR="00AE3942">
        <w:rPr>
          <w:rFonts w:ascii="ITC Avant Garde" w:hAnsi="ITC Avant Garde"/>
        </w:rPr>
        <w:t xml:space="preserve">las </w:t>
      </w:r>
      <w:r w:rsidR="00AE3942" w:rsidRPr="00AE3942">
        <w:rPr>
          <w:rFonts w:ascii="ITC Avant Garde" w:hAnsi="ITC Avant Garde"/>
        </w:rPr>
        <w:t>medida</w:t>
      </w:r>
      <w:r w:rsidR="00B4261F" w:rsidRPr="00924CB3">
        <w:rPr>
          <w:rFonts w:ascii="ITC Avant Garde" w:hAnsi="ITC Avant Garde"/>
        </w:rPr>
        <w:t xml:space="preserve">s TERCERA, incisos 0), </w:t>
      </w:r>
      <w:r w:rsidR="00AE3942" w:rsidRPr="0022116C">
        <w:rPr>
          <w:rFonts w:ascii="ITC Avant Garde" w:hAnsi="ITC Avant Garde"/>
        </w:rPr>
        <w:t>3</w:t>
      </w:r>
      <w:r w:rsidR="0022116C" w:rsidRPr="0022116C">
        <w:rPr>
          <w:rFonts w:ascii="ITC Avant Garde" w:hAnsi="ITC Avant Garde"/>
        </w:rPr>
        <w:t>.1</w:t>
      </w:r>
      <w:r w:rsidR="00B4261F" w:rsidRPr="00924CB3">
        <w:rPr>
          <w:rFonts w:ascii="ITC Avant Garde" w:hAnsi="ITC Avant Garde"/>
        </w:rPr>
        <w:t xml:space="preserve">), </w:t>
      </w:r>
      <w:r w:rsidR="0022116C">
        <w:rPr>
          <w:rFonts w:ascii="ITC Avant Garde" w:hAnsi="ITC Avant Garde"/>
        </w:rPr>
        <w:t>11</w:t>
      </w:r>
      <w:r w:rsidR="0022116C" w:rsidRPr="0022116C">
        <w:rPr>
          <w:rFonts w:ascii="ITC Avant Garde" w:hAnsi="ITC Avant Garde"/>
        </w:rPr>
        <w:t>.1</w:t>
      </w:r>
      <w:r w:rsidR="00B4261F" w:rsidRPr="00924CB3">
        <w:rPr>
          <w:rFonts w:ascii="ITC Avant Garde" w:hAnsi="ITC Avant Garde"/>
        </w:rPr>
        <w:t>), 12.1),</w:t>
      </w:r>
      <w:r w:rsidR="00A045E2">
        <w:rPr>
          <w:rFonts w:ascii="ITC Avant Garde" w:hAnsi="ITC Avant Garde"/>
        </w:rPr>
        <w:t xml:space="preserve"> </w:t>
      </w:r>
      <w:r w:rsidR="00A045E2" w:rsidRPr="00A045E2">
        <w:rPr>
          <w:rFonts w:ascii="ITC Avant Garde" w:hAnsi="ITC Avant Garde"/>
        </w:rPr>
        <w:t>19.1</w:t>
      </w:r>
      <w:r w:rsidR="00B4261F" w:rsidRPr="00924CB3">
        <w:rPr>
          <w:rFonts w:ascii="ITC Avant Garde" w:hAnsi="ITC Avant Garde"/>
        </w:rPr>
        <w:t>), 19.2),</w:t>
      </w:r>
      <w:r w:rsidR="00A045E2">
        <w:rPr>
          <w:rFonts w:ascii="ITC Avant Garde" w:hAnsi="ITC Avant Garde"/>
        </w:rPr>
        <w:t xml:space="preserve"> </w:t>
      </w:r>
      <w:r w:rsidR="001F2A60" w:rsidRPr="001F2A60">
        <w:rPr>
          <w:rFonts w:ascii="ITC Avant Garde" w:hAnsi="ITC Avant Garde"/>
        </w:rPr>
        <w:t>2</w:t>
      </w:r>
      <w:r w:rsidR="001F2A60">
        <w:rPr>
          <w:rFonts w:ascii="ITC Avant Garde" w:hAnsi="ITC Avant Garde"/>
        </w:rPr>
        <w:t>0.1</w:t>
      </w:r>
      <w:r w:rsidR="00B4261F" w:rsidRPr="00924CB3">
        <w:rPr>
          <w:rFonts w:ascii="ITC Avant Garde" w:hAnsi="ITC Avant Garde"/>
        </w:rPr>
        <w:t>),</w:t>
      </w:r>
      <w:r w:rsidR="001F2A60">
        <w:rPr>
          <w:rFonts w:ascii="ITC Avant Garde" w:hAnsi="ITC Avant Garde"/>
        </w:rPr>
        <w:t xml:space="preserve"> </w:t>
      </w:r>
      <w:r w:rsidR="00B4261F" w:rsidRPr="00924CB3">
        <w:rPr>
          <w:rFonts w:ascii="ITC Avant Garde" w:hAnsi="ITC Avant Garde"/>
        </w:rPr>
        <w:t>20.2)</w:t>
      </w:r>
      <w:r w:rsidR="001F2A60">
        <w:rPr>
          <w:rFonts w:ascii="ITC Avant Garde" w:hAnsi="ITC Avant Garde"/>
        </w:rPr>
        <w:t xml:space="preserve"> </w:t>
      </w:r>
      <w:r w:rsidR="00B4261F" w:rsidRPr="00924CB3">
        <w:rPr>
          <w:rFonts w:ascii="ITC Avant Garde" w:hAnsi="ITC Avant Garde"/>
        </w:rPr>
        <w:t xml:space="preserve">y </w:t>
      </w:r>
      <w:r w:rsidR="001F2A60" w:rsidRPr="001F2A60">
        <w:rPr>
          <w:rFonts w:ascii="ITC Avant Garde" w:hAnsi="ITC Avant Garde"/>
        </w:rPr>
        <w:t>24.</w:t>
      </w:r>
      <w:r w:rsidR="00B4261F" w:rsidRPr="00924CB3">
        <w:rPr>
          <w:rFonts w:ascii="ITC Avant Garde" w:hAnsi="ITC Avant Garde"/>
        </w:rPr>
        <w:t>1), SÉPIMA, segundo</w:t>
      </w:r>
      <w:r w:rsidR="001F2A60">
        <w:rPr>
          <w:rFonts w:ascii="ITC Avant Garde" w:hAnsi="ITC Avant Garde"/>
        </w:rPr>
        <w:t xml:space="preserve"> párrafo</w:t>
      </w:r>
      <w:r w:rsidR="00B4261F" w:rsidRPr="00924CB3">
        <w:rPr>
          <w:rFonts w:ascii="ITC Avant Garde" w:hAnsi="ITC Avant Garde"/>
        </w:rPr>
        <w:t xml:space="preserve">, SEXAGÉSIMA CUARTA, SEXAGÉSIMA </w:t>
      </w:r>
      <w:r w:rsidR="001F2A60" w:rsidRPr="001F2A60">
        <w:rPr>
          <w:rFonts w:ascii="ITC Avant Garde" w:hAnsi="ITC Avant Garde"/>
        </w:rPr>
        <w:t>Q</w:t>
      </w:r>
      <w:r w:rsidR="00B4261F" w:rsidRPr="00924CB3">
        <w:rPr>
          <w:rFonts w:ascii="ITC Avant Garde" w:hAnsi="ITC Avant Garde"/>
        </w:rPr>
        <w:t>UINTA, SEXAGÉSIMA SEXTA,  SEXAGÉSIMA</w:t>
      </w:r>
      <w:r w:rsidR="001F2A60">
        <w:rPr>
          <w:rFonts w:ascii="ITC Avant Garde" w:hAnsi="ITC Avant Garde"/>
        </w:rPr>
        <w:t xml:space="preserve"> </w:t>
      </w:r>
      <w:r w:rsidR="00B4261F" w:rsidRPr="00924CB3">
        <w:rPr>
          <w:rFonts w:ascii="ITC Avant Garde" w:hAnsi="ITC Avant Garde"/>
        </w:rPr>
        <w:t>SÉP</w:t>
      </w:r>
      <w:r w:rsidR="001F2A60">
        <w:rPr>
          <w:rFonts w:ascii="ITC Avant Garde" w:hAnsi="ITC Avant Garde"/>
        </w:rPr>
        <w:t>T</w:t>
      </w:r>
      <w:r w:rsidR="00B4261F" w:rsidRPr="00924CB3">
        <w:rPr>
          <w:rFonts w:ascii="ITC Avant Garde" w:hAnsi="ITC Avant Garde"/>
        </w:rPr>
        <w:t xml:space="preserve">IMA, SEXAGÉSIMA </w:t>
      </w:r>
      <w:r w:rsidR="001F2A60" w:rsidRPr="001F2A60">
        <w:rPr>
          <w:rFonts w:ascii="ITC Avant Garde" w:hAnsi="ITC Avant Garde"/>
        </w:rPr>
        <w:t>O</w:t>
      </w:r>
      <w:r w:rsidR="00B4261F" w:rsidRPr="00924CB3">
        <w:rPr>
          <w:rFonts w:ascii="ITC Avant Garde" w:hAnsi="ITC Avant Garde"/>
        </w:rPr>
        <w:t xml:space="preserve">CTAVA, SEXAGÉSIMA </w:t>
      </w:r>
      <w:r w:rsidR="001F2A60" w:rsidRPr="001F2A60">
        <w:rPr>
          <w:rFonts w:ascii="ITC Avant Garde" w:hAnsi="ITC Avant Garde"/>
        </w:rPr>
        <w:t>NO</w:t>
      </w:r>
      <w:r w:rsidR="00B4261F" w:rsidRPr="00924CB3">
        <w:rPr>
          <w:rFonts w:ascii="ITC Avant Garde" w:hAnsi="ITC Avant Garde"/>
        </w:rPr>
        <w:t xml:space="preserve">VENA, SEPTUAGÉSIMA y </w:t>
      </w:r>
      <w:r w:rsidR="001F2A60" w:rsidRPr="00176163">
        <w:rPr>
          <w:rFonts w:ascii="ITC Avant Garde" w:hAnsi="ITC Avant Garde"/>
        </w:rPr>
        <w:t>SEPTUAGÉSIMA</w:t>
      </w:r>
      <w:r w:rsidR="001F2A60">
        <w:rPr>
          <w:rFonts w:ascii="ITC Avant Garde" w:hAnsi="ITC Avant Garde"/>
        </w:rPr>
        <w:t xml:space="preserve"> </w:t>
      </w:r>
      <w:r w:rsidR="00B4261F" w:rsidRPr="00924CB3">
        <w:rPr>
          <w:rFonts w:ascii="ITC Avant Garde" w:hAnsi="ITC Avant Garde"/>
        </w:rPr>
        <w:t xml:space="preserve">PRIMERA, y  se SUPRIME </w:t>
      </w:r>
      <w:r w:rsidR="001F2A60" w:rsidRPr="001F2A60">
        <w:rPr>
          <w:rFonts w:ascii="ITC Avant Garde" w:hAnsi="ITC Avant Garde"/>
        </w:rPr>
        <w:t>la</w:t>
      </w:r>
      <w:r w:rsidR="00B4261F" w:rsidRPr="00924CB3">
        <w:rPr>
          <w:rFonts w:ascii="ITC Avant Garde" w:hAnsi="ITC Avant Garde"/>
        </w:rPr>
        <w:t xml:space="preserve"> </w:t>
      </w:r>
      <w:r w:rsidR="001F2A60" w:rsidRPr="005B7E82">
        <w:rPr>
          <w:rFonts w:ascii="ITC Avant Garde" w:hAnsi="ITC Avant Garde"/>
        </w:rPr>
        <w:t>medida</w:t>
      </w:r>
      <w:r w:rsidR="00B4261F" w:rsidRPr="00924CB3">
        <w:rPr>
          <w:rFonts w:ascii="ITC Avant Garde" w:hAnsi="ITC Avant Garde"/>
        </w:rPr>
        <w:t xml:space="preserve"> TERCERA, incisos 3), </w:t>
      </w:r>
      <w:r w:rsidR="00343837" w:rsidRPr="00343837">
        <w:rPr>
          <w:rFonts w:ascii="ITC Avant Garde" w:hAnsi="ITC Avant Garde"/>
        </w:rPr>
        <w:t>1</w:t>
      </w:r>
      <w:r w:rsidR="00B4261F" w:rsidRPr="00924CB3">
        <w:rPr>
          <w:rFonts w:ascii="ITC Avant Garde" w:hAnsi="ITC Avant Garde"/>
        </w:rPr>
        <w:t xml:space="preserve">3), </w:t>
      </w:r>
      <w:r w:rsidR="00343837" w:rsidRPr="00343837">
        <w:rPr>
          <w:rFonts w:ascii="ITC Avant Garde" w:hAnsi="ITC Avant Garde"/>
        </w:rPr>
        <w:t>1</w:t>
      </w:r>
      <w:r w:rsidR="00B4261F" w:rsidRPr="00924CB3">
        <w:rPr>
          <w:rFonts w:ascii="ITC Avant Garde" w:hAnsi="ITC Avant Garde"/>
        </w:rPr>
        <w:t xml:space="preserve">4), </w:t>
      </w:r>
      <w:r w:rsidR="00343837" w:rsidRPr="00343837">
        <w:rPr>
          <w:rFonts w:ascii="ITC Avant Garde" w:hAnsi="ITC Avant Garde"/>
        </w:rPr>
        <w:t>1</w:t>
      </w:r>
      <w:r w:rsidR="00B4261F" w:rsidRPr="00924CB3">
        <w:rPr>
          <w:rFonts w:ascii="ITC Avant Garde" w:hAnsi="ITC Avant Garde"/>
        </w:rPr>
        <w:t xml:space="preserve">5), </w:t>
      </w:r>
      <w:r w:rsidR="00343837" w:rsidRPr="00343837">
        <w:rPr>
          <w:rFonts w:ascii="ITC Avant Garde" w:hAnsi="ITC Avant Garde"/>
        </w:rPr>
        <w:t>1</w:t>
      </w:r>
      <w:r w:rsidR="00B4261F" w:rsidRPr="00924CB3">
        <w:rPr>
          <w:rFonts w:ascii="ITC Avant Garde" w:hAnsi="ITC Avant Garde"/>
        </w:rPr>
        <w:t xml:space="preserve">8), </w:t>
      </w:r>
      <w:r w:rsidR="00343837" w:rsidRPr="00343837">
        <w:rPr>
          <w:rFonts w:ascii="ITC Avant Garde" w:hAnsi="ITC Avant Garde"/>
        </w:rPr>
        <w:t>1</w:t>
      </w:r>
      <w:r w:rsidR="00B4261F" w:rsidRPr="00924CB3">
        <w:rPr>
          <w:rFonts w:ascii="ITC Avant Garde" w:hAnsi="ITC Avant Garde"/>
        </w:rPr>
        <w:t>9) y 29),</w:t>
      </w:r>
      <w:r w:rsidR="00343837">
        <w:rPr>
          <w:rFonts w:ascii="ITC Avant Garde" w:hAnsi="ITC Avant Garde"/>
        </w:rPr>
        <w:t xml:space="preserve"> </w:t>
      </w:r>
      <w:r w:rsidR="00343837" w:rsidRPr="00343837">
        <w:rPr>
          <w:rFonts w:ascii="ITC Avant Garde" w:hAnsi="ITC Avant Garde"/>
        </w:rPr>
        <w:t>toda</w:t>
      </w:r>
      <w:r w:rsidR="00B4261F" w:rsidRPr="00924CB3">
        <w:rPr>
          <w:rFonts w:ascii="ITC Avant Garde" w:hAnsi="ITC Avant Garde"/>
        </w:rPr>
        <w:t xml:space="preserve">s </w:t>
      </w:r>
      <w:r w:rsidR="00343837" w:rsidRPr="00343837">
        <w:rPr>
          <w:rFonts w:ascii="ITC Avant Garde" w:hAnsi="ITC Avant Garde"/>
        </w:rPr>
        <w:t>ella</w:t>
      </w:r>
      <w:r w:rsidR="00B4261F" w:rsidRPr="00924CB3">
        <w:rPr>
          <w:rFonts w:ascii="ITC Avant Garde" w:hAnsi="ITC Avant Garde"/>
        </w:rPr>
        <w:t>s del</w:t>
      </w:r>
      <w:r w:rsidR="00343837">
        <w:rPr>
          <w:rFonts w:ascii="ITC Avant Garde" w:hAnsi="ITC Avant Garde"/>
        </w:rPr>
        <w:t xml:space="preserve"> </w:t>
      </w:r>
      <w:r w:rsidR="00B4261F" w:rsidRPr="00924CB3">
        <w:rPr>
          <w:rFonts w:ascii="ITC Avant Garde" w:hAnsi="ITC Avant Garde"/>
        </w:rPr>
        <w:t>Anexo 2 denomin</w:t>
      </w:r>
      <w:r w:rsidR="0051320F">
        <w:rPr>
          <w:rFonts w:ascii="ITC Avant Garde" w:hAnsi="ITC Avant Garde"/>
        </w:rPr>
        <w:t>a</w:t>
      </w:r>
      <w:r w:rsidR="00B4261F" w:rsidRPr="00924CB3">
        <w:rPr>
          <w:rFonts w:ascii="ITC Avant Garde" w:hAnsi="ITC Avant Garde"/>
        </w:rPr>
        <w:t xml:space="preserve">do </w:t>
      </w:r>
      <w:r w:rsidR="00B4261F" w:rsidRPr="00924CB3">
        <w:rPr>
          <w:rFonts w:ascii="ITC Avant Garde" w:hAnsi="ITC Avant Garde"/>
        </w:rPr>
        <w:lastRenderedPageBreak/>
        <w:t>"</w:t>
      </w:r>
      <w:r w:rsidR="00343837">
        <w:rPr>
          <w:rFonts w:ascii="ITC Avant Garde" w:hAnsi="ITC Avant Garde"/>
        </w:rPr>
        <w:t>Medidas</w:t>
      </w:r>
      <w:r w:rsidR="00343837" w:rsidRPr="00343837">
        <w:rPr>
          <w:rFonts w:ascii="ITC Avant Garde" w:hAnsi="ITC Avant Garde"/>
        </w:rPr>
        <w:t xml:space="preserve"> </w:t>
      </w:r>
      <w:r w:rsidR="0051320F" w:rsidRPr="00343837">
        <w:rPr>
          <w:rFonts w:ascii="ITC Avant Garde" w:hAnsi="ITC Avant Garde"/>
        </w:rPr>
        <w:t>relacionada</w:t>
      </w:r>
      <w:r w:rsidR="0051320F" w:rsidRPr="00924CB3">
        <w:rPr>
          <w:rFonts w:ascii="ITC Avant Garde" w:hAnsi="ITC Avant Garde"/>
        </w:rPr>
        <w:t>s</w:t>
      </w:r>
      <w:r w:rsidR="00B4261F" w:rsidRPr="00924CB3">
        <w:rPr>
          <w:rFonts w:ascii="ITC Avant Garde" w:hAnsi="ITC Avant Garde"/>
        </w:rPr>
        <w:t xml:space="preserve"> con </w:t>
      </w:r>
      <w:r w:rsidR="00343837" w:rsidRPr="00343837">
        <w:rPr>
          <w:rFonts w:ascii="ITC Avant Garde" w:hAnsi="ITC Avant Garde"/>
        </w:rPr>
        <w:t>informa</w:t>
      </w:r>
      <w:r w:rsidR="00B4261F" w:rsidRPr="00924CB3">
        <w:rPr>
          <w:rFonts w:ascii="ITC Avant Garde" w:hAnsi="ITC Avant Garde"/>
        </w:rPr>
        <w:t xml:space="preserve">ción, </w:t>
      </w:r>
      <w:r w:rsidR="00343837" w:rsidRPr="00343837">
        <w:rPr>
          <w:rFonts w:ascii="ITC Avant Garde" w:hAnsi="ITC Avant Garde"/>
        </w:rPr>
        <w:t>oferta</w:t>
      </w:r>
      <w:r w:rsidR="00B4261F" w:rsidRPr="00924CB3">
        <w:rPr>
          <w:rFonts w:ascii="ITC Avant Garde" w:hAnsi="ITC Avant Garde"/>
        </w:rPr>
        <w:t xml:space="preserve"> y </w:t>
      </w:r>
      <w:r w:rsidR="00343837" w:rsidRPr="00343837">
        <w:rPr>
          <w:rFonts w:ascii="ITC Avant Garde" w:hAnsi="ITC Avant Garde"/>
        </w:rPr>
        <w:t>calida</w:t>
      </w:r>
      <w:r w:rsidR="00B4261F" w:rsidRPr="00924CB3">
        <w:rPr>
          <w:rFonts w:ascii="ITC Avant Garde" w:hAnsi="ITC Avant Garde"/>
        </w:rPr>
        <w:t xml:space="preserve">d de </w:t>
      </w:r>
      <w:r w:rsidR="00343837" w:rsidRPr="00343837">
        <w:rPr>
          <w:rFonts w:ascii="ITC Avant Garde" w:hAnsi="ITC Avant Garde"/>
        </w:rPr>
        <w:t>serv</w:t>
      </w:r>
      <w:r w:rsidR="00B4261F" w:rsidRPr="00924CB3">
        <w:rPr>
          <w:rFonts w:ascii="ITC Avant Garde" w:hAnsi="ITC Avant Garde"/>
        </w:rPr>
        <w:t>icios</w:t>
      </w:r>
      <w:r w:rsidR="00343837" w:rsidRPr="00343837">
        <w:rPr>
          <w:rFonts w:ascii="ITC Avant Garde" w:hAnsi="ITC Avant Garde"/>
        </w:rPr>
        <w:t>, a</w:t>
      </w:r>
      <w:r w:rsidR="00B4261F" w:rsidRPr="00924CB3">
        <w:rPr>
          <w:rFonts w:ascii="ITC Avant Garde" w:hAnsi="ITC Avant Garde"/>
        </w:rPr>
        <w:t xml:space="preserve">cuerdos en </w:t>
      </w:r>
      <w:r w:rsidR="00343837" w:rsidRPr="00343837">
        <w:rPr>
          <w:rFonts w:ascii="ITC Avant Garde" w:hAnsi="ITC Avant Garde"/>
        </w:rPr>
        <w:t>exclusiva</w:t>
      </w:r>
      <w:r w:rsidR="00B4261F" w:rsidRPr="00924CB3">
        <w:rPr>
          <w:rFonts w:ascii="ITC Avant Garde" w:hAnsi="ITC Avant Garde"/>
        </w:rPr>
        <w:t xml:space="preserve">, </w:t>
      </w:r>
      <w:r w:rsidR="0051320F" w:rsidRPr="00924CB3">
        <w:rPr>
          <w:rFonts w:ascii="ITC Avant Garde" w:hAnsi="ITC Avant Garde"/>
        </w:rPr>
        <w:t>limitaciones</w:t>
      </w:r>
      <w:r w:rsidR="00B4261F" w:rsidRPr="00924CB3">
        <w:rPr>
          <w:rFonts w:ascii="ITC Avant Garde" w:hAnsi="ITC Avant Garde"/>
        </w:rPr>
        <w:t xml:space="preserve"> </w:t>
      </w:r>
      <w:r w:rsidR="00343837" w:rsidRPr="00343837">
        <w:rPr>
          <w:rFonts w:ascii="ITC Avant Garde" w:hAnsi="ITC Avant Garde"/>
        </w:rPr>
        <w:t>a</w:t>
      </w:r>
      <w:r w:rsidR="00B4261F" w:rsidRPr="00924CB3">
        <w:rPr>
          <w:rFonts w:ascii="ITC Avant Garde" w:hAnsi="ITC Avant Garde"/>
        </w:rPr>
        <w:t xml:space="preserve">l uso de equipos </w:t>
      </w:r>
      <w:r w:rsidR="00343837" w:rsidRPr="00343837">
        <w:rPr>
          <w:rFonts w:ascii="ITC Avant Garde" w:hAnsi="ITC Avant Garde"/>
        </w:rPr>
        <w:t>termina</w:t>
      </w:r>
      <w:r w:rsidR="00B4261F" w:rsidRPr="00924CB3">
        <w:rPr>
          <w:rFonts w:ascii="ITC Avant Garde" w:hAnsi="ITC Avant Garde"/>
        </w:rPr>
        <w:t xml:space="preserve">les entre </w:t>
      </w:r>
      <w:r w:rsidR="00343837" w:rsidRPr="00343837">
        <w:rPr>
          <w:rFonts w:ascii="ITC Avant Garde" w:hAnsi="ITC Avant Garde"/>
        </w:rPr>
        <w:t>redes, regula</w:t>
      </w:r>
      <w:r w:rsidR="00B4261F" w:rsidRPr="00924CB3">
        <w:rPr>
          <w:rFonts w:ascii="ITC Avant Garde" w:hAnsi="ITC Avant Garde"/>
        </w:rPr>
        <w:t>ción</w:t>
      </w:r>
      <w:r w:rsidR="00343837">
        <w:rPr>
          <w:rFonts w:ascii="ITC Avant Garde" w:hAnsi="ITC Avant Garde"/>
        </w:rPr>
        <w:t xml:space="preserve"> a</w:t>
      </w:r>
      <w:r w:rsidR="00343837" w:rsidRPr="00343837">
        <w:rPr>
          <w:rFonts w:ascii="ITC Avant Garde" w:hAnsi="ITC Avant Garde"/>
        </w:rPr>
        <w:t>simétrica</w:t>
      </w:r>
      <w:r w:rsidR="00B4261F" w:rsidRPr="00924CB3">
        <w:rPr>
          <w:rFonts w:ascii="ITC Avant Garde" w:hAnsi="ITC Avant Garde"/>
        </w:rPr>
        <w:t xml:space="preserve"> en </w:t>
      </w:r>
      <w:r w:rsidR="00343837" w:rsidRPr="00343837">
        <w:rPr>
          <w:rFonts w:ascii="ITC Avant Garde" w:hAnsi="ITC Avant Garde"/>
        </w:rPr>
        <w:t>tarifa</w:t>
      </w:r>
      <w:r w:rsidR="00B4261F" w:rsidRPr="00924CB3">
        <w:rPr>
          <w:rFonts w:ascii="ITC Avant Garde" w:hAnsi="ITC Avant Garde"/>
        </w:rPr>
        <w:t xml:space="preserve">s </w:t>
      </w:r>
      <w:r w:rsidR="00343837" w:rsidRPr="00343837">
        <w:rPr>
          <w:rFonts w:ascii="ITC Avant Garde" w:hAnsi="ITC Avant Garde"/>
        </w:rPr>
        <w:t>e infraestructura</w:t>
      </w:r>
      <w:r w:rsidR="00B4261F" w:rsidRPr="00924CB3">
        <w:rPr>
          <w:rFonts w:ascii="ITC Avant Garde" w:hAnsi="ITC Avant Garde"/>
        </w:rPr>
        <w:t xml:space="preserve"> de red, </w:t>
      </w:r>
      <w:r w:rsidR="00343837" w:rsidRPr="00343837">
        <w:rPr>
          <w:rFonts w:ascii="ITC Avant Garde" w:hAnsi="ITC Avant Garde"/>
        </w:rPr>
        <w:t>incluyendo la</w:t>
      </w:r>
      <w:r w:rsidR="00B4261F" w:rsidRPr="00924CB3">
        <w:rPr>
          <w:rFonts w:ascii="ITC Avant Garde" w:hAnsi="ITC Avant Garde"/>
        </w:rPr>
        <w:t xml:space="preserve"> </w:t>
      </w:r>
      <w:r w:rsidR="00343837" w:rsidRPr="00343837">
        <w:rPr>
          <w:rFonts w:ascii="ITC Avant Garde" w:hAnsi="ITC Avant Garde"/>
        </w:rPr>
        <w:t>desagrega</w:t>
      </w:r>
      <w:r w:rsidR="00B4261F" w:rsidRPr="00924CB3">
        <w:rPr>
          <w:rFonts w:ascii="ITC Avant Garde" w:hAnsi="ITC Avant Garde"/>
        </w:rPr>
        <w:t>ción de sus elementos</w:t>
      </w:r>
      <w:r w:rsidR="00343837">
        <w:rPr>
          <w:rFonts w:ascii="ITC Avant Garde" w:hAnsi="ITC Avant Garde"/>
        </w:rPr>
        <w:t xml:space="preserve"> </w:t>
      </w:r>
      <w:r w:rsidR="00343837" w:rsidRPr="00343837">
        <w:rPr>
          <w:rFonts w:ascii="ITC Avant Garde" w:hAnsi="ITC Avant Garde"/>
        </w:rPr>
        <w:t>esencia</w:t>
      </w:r>
      <w:r w:rsidR="00B4261F" w:rsidRPr="00924CB3">
        <w:rPr>
          <w:rFonts w:ascii="ITC Avant Garde" w:hAnsi="ITC Avant Garde"/>
        </w:rPr>
        <w:t>les</w:t>
      </w:r>
      <w:r w:rsidR="00343837">
        <w:rPr>
          <w:rFonts w:ascii="ITC Avant Garde" w:hAnsi="ITC Avant Garde"/>
        </w:rPr>
        <w:t xml:space="preserve"> </w:t>
      </w:r>
      <w:r w:rsidR="00B4261F" w:rsidRPr="00924CB3">
        <w:rPr>
          <w:rFonts w:ascii="ITC Avant Garde" w:hAnsi="ITC Avant Garde"/>
        </w:rPr>
        <w:t xml:space="preserve">y, en su </w:t>
      </w:r>
      <w:r w:rsidR="00343837" w:rsidRPr="00343837">
        <w:rPr>
          <w:rFonts w:ascii="ITC Avant Garde" w:hAnsi="ITC Avant Garde"/>
        </w:rPr>
        <w:t>ca</w:t>
      </w:r>
      <w:r w:rsidR="00B4261F" w:rsidRPr="00924CB3">
        <w:rPr>
          <w:rFonts w:ascii="ITC Avant Garde" w:hAnsi="ITC Avant Garde"/>
        </w:rPr>
        <w:t xml:space="preserve">so, </w:t>
      </w:r>
      <w:r w:rsidR="00343837" w:rsidRPr="00343837">
        <w:rPr>
          <w:rFonts w:ascii="ITC Avant Garde" w:hAnsi="ITC Avant Garde"/>
        </w:rPr>
        <w:t>la</w:t>
      </w:r>
      <w:r w:rsidR="00B4261F" w:rsidRPr="00924CB3">
        <w:rPr>
          <w:rFonts w:ascii="ITC Avant Garde" w:hAnsi="ITC Avant Garde"/>
        </w:rPr>
        <w:t xml:space="preserve"> </w:t>
      </w:r>
      <w:r w:rsidR="00343837" w:rsidRPr="00343837">
        <w:rPr>
          <w:rFonts w:ascii="ITC Avant Garde" w:hAnsi="ITC Avant Garde"/>
        </w:rPr>
        <w:t>separa</w:t>
      </w:r>
      <w:r w:rsidR="00B4261F" w:rsidRPr="00924CB3">
        <w:rPr>
          <w:rFonts w:ascii="ITC Avant Garde" w:hAnsi="ITC Avant Garde"/>
        </w:rPr>
        <w:t xml:space="preserve">ción </w:t>
      </w:r>
      <w:r w:rsidR="00343837" w:rsidRPr="00343837">
        <w:rPr>
          <w:rFonts w:ascii="ITC Avant Garde" w:hAnsi="ITC Avant Garde"/>
        </w:rPr>
        <w:t>conta</w:t>
      </w:r>
      <w:r w:rsidR="00B4261F" w:rsidRPr="00924CB3">
        <w:rPr>
          <w:rFonts w:ascii="ITC Avant Garde" w:hAnsi="ITC Avant Garde"/>
        </w:rPr>
        <w:t>ble, funcion</w:t>
      </w:r>
      <w:r w:rsidR="00343837" w:rsidRPr="00343837">
        <w:rPr>
          <w:rFonts w:ascii="ITC Avant Garde" w:hAnsi="ITC Avant Garde"/>
        </w:rPr>
        <w:t>a</w:t>
      </w:r>
      <w:r w:rsidR="00B4261F" w:rsidRPr="00924CB3">
        <w:rPr>
          <w:rFonts w:ascii="ITC Avant Garde" w:hAnsi="ITC Avant Garde"/>
        </w:rPr>
        <w:t>l</w:t>
      </w:r>
      <w:r w:rsidR="00343837">
        <w:rPr>
          <w:rFonts w:ascii="ITC Avant Garde" w:hAnsi="ITC Avant Garde"/>
        </w:rPr>
        <w:t xml:space="preserve"> </w:t>
      </w:r>
      <w:r w:rsidR="00343837" w:rsidRPr="00343837">
        <w:rPr>
          <w:rFonts w:ascii="ITC Avant Garde" w:hAnsi="ITC Avant Garde"/>
        </w:rPr>
        <w:t>o estructura</w:t>
      </w:r>
      <w:r w:rsidR="00B4261F" w:rsidRPr="00924CB3">
        <w:rPr>
          <w:rFonts w:ascii="ITC Avant Garde" w:hAnsi="ITC Avant Garde"/>
        </w:rPr>
        <w:t>l</w:t>
      </w:r>
      <w:r w:rsidR="00343837">
        <w:rPr>
          <w:rFonts w:ascii="ITC Avant Garde" w:hAnsi="ITC Avant Garde"/>
        </w:rPr>
        <w:t xml:space="preserve"> </w:t>
      </w:r>
      <w:r w:rsidR="00343837" w:rsidRPr="00343837">
        <w:rPr>
          <w:rFonts w:ascii="ITC Avant Garde" w:hAnsi="ITC Avant Garde"/>
        </w:rPr>
        <w:t>a</w:t>
      </w:r>
      <w:r w:rsidR="00B4261F" w:rsidRPr="00924CB3">
        <w:rPr>
          <w:rFonts w:ascii="ITC Avant Garde" w:hAnsi="ITC Avant Garde"/>
        </w:rPr>
        <w:t>l</w:t>
      </w:r>
      <w:r w:rsidR="00343837">
        <w:rPr>
          <w:rFonts w:ascii="ITC Avant Garde" w:hAnsi="ITC Avant Garde"/>
        </w:rPr>
        <w:t xml:space="preserve"> </w:t>
      </w:r>
      <w:r w:rsidR="00B4261F" w:rsidRPr="00924CB3">
        <w:rPr>
          <w:rFonts w:ascii="ITC Avant Garde" w:hAnsi="ITC Avant Garde"/>
        </w:rPr>
        <w:t>Agente Económico</w:t>
      </w:r>
      <w:r w:rsidR="00343837">
        <w:rPr>
          <w:rFonts w:ascii="ITC Avant Garde" w:hAnsi="ITC Avant Garde"/>
        </w:rPr>
        <w:t xml:space="preserve"> </w:t>
      </w:r>
      <w:r w:rsidR="00343837" w:rsidRPr="00343837">
        <w:rPr>
          <w:rFonts w:ascii="ITC Avant Garde" w:hAnsi="ITC Avant Garde"/>
        </w:rPr>
        <w:t>Preponderant</w:t>
      </w:r>
      <w:r w:rsidR="00B4261F" w:rsidRPr="00924CB3">
        <w:rPr>
          <w:rFonts w:ascii="ITC Avant Garde" w:hAnsi="ITC Avant Garde"/>
        </w:rPr>
        <w:t xml:space="preserve">e en </w:t>
      </w:r>
      <w:r w:rsidR="00343837" w:rsidRPr="00343837">
        <w:rPr>
          <w:rFonts w:ascii="ITC Avant Garde" w:hAnsi="ITC Avant Garde"/>
        </w:rPr>
        <w:t>los serv</w:t>
      </w:r>
      <w:r w:rsidR="00B4261F" w:rsidRPr="00924CB3">
        <w:rPr>
          <w:rFonts w:ascii="ITC Avant Garde" w:hAnsi="ITC Avant Garde"/>
        </w:rPr>
        <w:t xml:space="preserve">icios de </w:t>
      </w:r>
      <w:r w:rsidR="0078561C" w:rsidRPr="00924CB3">
        <w:rPr>
          <w:rFonts w:ascii="ITC Avant Garde" w:hAnsi="ITC Avant Garde"/>
        </w:rPr>
        <w:t>telecomunicaciones</w:t>
      </w:r>
      <w:r w:rsidR="00B4261F" w:rsidRPr="00924CB3">
        <w:rPr>
          <w:rFonts w:ascii="ITC Avant Garde" w:hAnsi="ITC Avant Garde"/>
        </w:rPr>
        <w:t xml:space="preserve"> </w:t>
      </w:r>
      <w:r w:rsidR="00924CB3" w:rsidRPr="00924CB3">
        <w:rPr>
          <w:rFonts w:ascii="ITC Avant Garde" w:hAnsi="ITC Avant Garde"/>
        </w:rPr>
        <w:t>fija</w:t>
      </w:r>
      <w:r w:rsidR="00B4261F" w:rsidRPr="00924CB3">
        <w:rPr>
          <w:rFonts w:ascii="ITC Avant Garde" w:hAnsi="ITC Avant Garde"/>
        </w:rPr>
        <w:t>s", que form</w:t>
      </w:r>
      <w:r w:rsidR="00F503F3">
        <w:rPr>
          <w:rFonts w:ascii="ITC Avant Garde" w:hAnsi="ITC Avant Garde"/>
        </w:rPr>
        <w:t>a</w:t>
      </w:r>
      <w:r w:rsidR="00B4261F" w:rsidRPr="00924CB3">
        <w:rPr>
          <w:rFonts w:ascii="ITC Avant Garde" w:hAnsi="ITC Avant Garde"/>
        </w:rPr>
        <w:t xml:space="preserve"> p</w:t>
      </w:r>
      <w:r w:rsidR="00F503F3">
        <w:rPr>
          <w:rFonts w:ascii="ITC Avant Garde" w:hAnsi="ITC Avant Garde"/>
        </w:rPr>
        <w:t>a</w:t>
      </w:r>
      <w:r w:rsidR="00B4261F" w:rsidRPr="00924CB3">
        <w:rPr>
          <w:rFonts w:ascii="ITC Avant Garde" w:hAnsi="ITC Avant Garde"/>
        </w:rPr>
        <w:t xml:space="preserve">rte </w:t>
      </w:r>
      <w:r w:rsidR="0078561C" w:rsidRPr="00924CB3">
        <w:rPr>
          <w:rFonts w:ascii="ITC Avant Garde" w:hAnsi="ITC Avant Garde"/>
        </w:rPr>
        <w:t>integrante</w:t>
      </w:r>
      <w:r w:rsidR="00B4261F" w:rsidRPr="00924CB3">
        <w:rPr>
          <w:rFonts w:ascii="ITC Avant Garde" w:hAnsi="ITC Avant Garde"/>
        </w:rPr>
        <w:t xml:space="preserve"> de</w:t>
      </w:r>
      <w:r w:rsidR="00343837">
        <w:rPr>
          <w:rFonts w:ascii="ITC Avant Garde" w:hAnsi="ITC Avant Garde"/>
        </w:rPr>
        <w:t xml:space="preserve"> </w:t>
      </w:r>
      <w:r w:rsidR="00343837" w:rsidRPr="00343837">
        <w:rPr>
          <w:rFonts w:ascii="ITC Avant Garde" w:hAnsi="ITC Avant Garde"/>
        </w:rPr>
        <w:t>la</w:t>
      </w:r>
      <w:r w:rsidR="00B4261F" w:rsidRPr="00924CB3">
        <w:rPr>
          <w:rFonts w:ascii="ITC Avant Garde" w:hAnsi="ITC Avant Garde"/>
        </w:rPr>
        <w:t xml:space="preserve"> Resolución </w:t>
      </w:r>
      <w:r w:rsidR="00343837">
        <w:rPr>
          <w:rFonts w:ascii="ITC Avant Garde" w:hAnsi="ITC Avant Garde"/>
        </w:rPr>
        <w:t>AEP</w:t>
      </w:r>
      <w:r w:rsidR="00C17B3C">
        <w:rPr>
          <w:rFonts w:ascii="ITC Avant Garde" w:hAnsi="ITC Avant Garde"/>
        </w:rPr>
        <w:t xml:space="preserve"> (en lo sucesivo las “Medidas Fijas”).</w:t>
      </w:r>
    </w:p>
    <w:p w14:paraId="3F9F389E" w14:textId="77777777" w:rsidR="004F575C" w:rsidRDefault="00F9571B" w:rsidP="004F575C">
      <w:pPr>
        <w:pStyle w:val="IFTnormal"/>
        <w:numPr>
          <w:ilvl w:val="0"/>
          <w:numId w:val="6"/>
        </w:numPr>
        <w:spacing w:before="240" w:after="0"/>
        <w:ind w:left="714" w:hanging="357"/>
        <w:rPr>
          <w:bCs/>
        </w:rPr>
      </w:pPr>
      <w:r w:rsidRPr="002E7726">
        <w:rPr>
          <w:b/>
          <w:bCs/>
        </w:rPr>
        <w:t>Propuesta de Oferta Referencia</w:t>
      </w:r>
      <w:r w:rsidR="00523D59">
        <w:rPr>
          <w:b/>
          <w:bCs/>
        </w:rPr>
        <w:t xml:space="preserve"> 2018</w:t>
      </w:r>
      <w:r w:rsidRPr="002E7726">
        <w:rPr>
          <w:b/>
          <w:bCs/>
        </w:rPr>
        <w:t>.</w:t>
      </w:r>
      <w:r w:rsidRPr="002E7726">
        <w:rPr>
          <w:bCs/>
        </w:rPr>
        <w:t xml:space="preserve"> Mediante escrito presentado en la Oficialía de Partes del Instituto el </w:t>
      </w:r>
      <w:r w:rsidR="008F6366">
        <w:rPr>
          <w:bCs/>
        </w:rPr>
        <w:t>31</w:t>
      </w:r>
      <w:r w:rsidR="00D030B5" w:rsidRPr="00032E2C">
        <w:t xml:space="preserve"> </w:t>
      </w:r>
      <w:r w:rsidRPr="00032E2C">
        <w:t xml:space="preserve">de </w:t>
      </w:r>
      <w:r w:rsidR="001D3B3E">
        <w:t>julio</w:t>
      </w:r>
      <w:r w:rsidRPr="002E7726">
        <w:rPr>
          <w:bCs/>
        </w:rPr>
        <w:t xml:space="preserve"> de </w:t>
      </w:r>
      <w:r>
        <w:rPr>
          <w:bCs/>
        </w:rPr>
        <w:t>2017</w:t>
      </w:r>
      <w:r w:rsidRPr="00032E2C">
        <w:t xml:space="preserve"> por Teléfonos de México, S.A.B. de C.V. como parte del Agente Económico Preponderante (en lo sucesivo,</w:t>
      </w:r>
      <w:r w:rsidR="00D8756C">
        <w:t xml:space="preserve"> de manera indistinta “Telmex” o</w:t>
      </w:r>
      <w:r w:rsidRPr="00032E2C">
        <w:t xml:space="preserve"> el “AEP”)</w:t>
      </w:r>
      <w:r w:rsidRPr="00B63266">
        <w:t xml:space="preserve">, en términos de la </w:t>
      </w:r>
      <w:r w:rsidRPr="00E41385">
        <w:t>Medida Cuadragésima Primera de las Medidas Fijas</w:t>
      </w:r>
      <w:r w:rsidR="008759DC" w:rsidRPr="001D3B3E">
        <w:t>, según lo establecido en el artículo 268 de la Ley Federal de Telecomunicaciones y Radiodifusión</w:t>
      </w:r>
      <w:r w:rsidRPr="0040321A">
        <w:t>, solicitó al Instituto la revisión y aprobación de los documentos relativos a la “</w:t>
      </w:r>
      <w:r w:rsidRPr="00181856">
        <w:rPr>
          <w:i/>
        </w:rPr>
        <w:t xml:space="preserve">OFERTA DE REFERENCIA PARA LA PRESTACIÓN DEL SERVICIO MAYORISTA DE ARRENDAMIENTO DE ENLACES DEDICADOS LOCALES, </w:t>
      </w:r>
      <w:r w:rsidR="006C79AF" w:rsidRPr="00A71F25">
        <w:rPr>
          <w:i/>
        </w:rPr>
        <w:t>ENTRE LOCALIDADES Y</w:t>
      </w:r>
      <w:r w:rsidRPr="004926A1">
        <w:rPr>
          <w:i/>
        </w:rPr>
        <w:t xml:space="preserve"> DE LARGA DISTANCIA INTERNACIONAL PARA CONCESIONARIOS DE REDES PÚBLICAS DE TELECOMUNICACIONES”</w:t>
      </w:r>
      <w:r w:rsidRPr="00CA5ADA">
        <w:t xml:space="preserve"> de Telmex, respecto del periodo co</w:t>
      </w:r>
      <w:r w:rsidR="008A03C3" w:rsidRPr="004926A1">
        <w:t>mprendido del 1 de enero de 2018 al 31 de di</w:t>
      </w:r>
      <w:r w:rsidR="008A03C3" w:rsidRPr="001F15A5">
        <w:t>ciembre de 2018</w:t>
      </w:r>
      <w:r w:rsidRPr="0042639A">
        <w:t xml:space="preserve"> (en lo sucesivo, la “Oferta de Referencia </w:t>
      </w:r>
      <w:r w:rsidR="00292806">
        <w:t>de Enlaces Dedicados</w:t>
      </w:r>
      <w:r w:rsidRPr="0042639A">
        <w:t>”).</w:t>
      </w:r>
    </w:p>
    <w:p w14:paraId="2CABAE3B" w14:textId="77777777" w:rsidR="004F575C" w:rsidRDefault="00390204" w:rsidP="004F575C">
      <w:pPr>
        <w:pStyle w:val="IFTnormal"/>
        <w:numPr>
          <w:ilvl w:val="0"/>
          <w:numId w:val="6"/>
        </w:numPr>
        <w:spacing w:before="240" w:after="0"/>
        <w:ind w:left="714" w:hanging="357"/>
      </w:pPr>
      <w:r w:rsidRPr="002E7726">
        <w:rPr>
          <w:b/>
        </w:rPr>
        <w:t xml:space="preserve">Requerimiento al AEP. </w:t>
      </w:r>
      <w:r w:rsidR="00D357E1" w:rsidRPr="00AE6682">
        <w:rPr>
          <w:color w:val="auto"/>
        </w:rPr>
        <w:t>Mediant</w:t>
      </w:r>
      <w:r w:rsidR="00D357E1">
        <w:rPr>
          <w:color w:val="auto"/>
        </w:rPr>
        <w:t xml:space="preserve">e </w:t>
      </w:r>
      <w:r w:rsidR="00D357E1" w:rsidRPr="002E62C0">
        <w:rPr>
          <w:color w:val="auto"/>
        </w:rPr>
        <w:t>oficio IFT/221/UPR/DG</w:t>
      </w:r>
      <w:r w:rsidR="00AF2E89" w:rsidRPr="00E5793A">
        <w:rPr>
          <w:color w:val="auto"/>
        </w:rPr>
        <w:t>-</w:t>
      </w:r>
      <w:r w:rsidR="00D357E1" w:rsidRPr="002E62C0">
        <w:rPr>
          <w:color w:val="auto"/>
        </w:rPr>
        <w:t>RIRST/</w:t>
      </w:r>
      <w:r w:rsidR="00AF2E89" w:rsidRPr="00E5793A">
        <w:rPr>
          <w:color w:val="auto"/>
        </w:rPr>
        <w:t>305</w:t>
      </w:r>
      <w:r w:rsidR="00D357E1" w:rsidRPr="002E62C0">
        <w:rPr>
          <w:color w:val="auto"/>
        </w:rPr>
        <w:t>/2017 de fecha 1 de agosto de 2017</w:t>
      </w:r>
      <w:r w:rsidRPr="00AF2E89">
        <w:t>,</w:t>
      </w:r>
      <w:r w:rsidRPr="002E7726">
        <w:t xml:space="preserve"> se requirió a Telmex para que en un término no mayor a </w:t>
      </w:r>
      <w:r w:rsidR="00AF2E89">
        <w:t>5</w:t>
      </w:r>
      <w:r w:rsidRPr="002E7726">
        <w:t xml:space="preserve"> días hábiles contados a partir del día siguiente a aquel en que surtiera efectos legales la notificación del </w:t>
      </w:r>
      <w:r>
        <w:t>mismo</w:t>
      </w:r>
      <w:r w:rsidRPr="002E7726">
        <w:t>, proporcionara a este Instituto la información descrita en dicho oficio (en lo sucesivo, el “Oficio de Requerimiento”).</w:t>
      </w:r>
    </w:p>
    <w:p w14:paraId="49C8F06B" w14:textId="77777777" w:rsidR="004F575C" w:rsidRDefault="00D357E1" w:rsidP="004F575C">
      <w:pPr>
        <w:pStyle w:val="IFTnormal"/>
        <w:spacing w:before="240" w:after="0"/>
        <w:ind w:left="720"/>
        <w:rPr>
          <w:color w:val="auto"/>
        </w:rPr>
      </w:pPr>
      <w:r w:rsidRPr="00AE6682">
        <w:rPr>
          <w:color w:val="auto"/>
        </w:rPr>
        <w:t>El 10 de agosto de 2017, Te</w:t>
      </w:r>
      <w:r>
        <w:rPr>
          <w:color w:val="auto"/>
        </w:rPr>
        <w:t xml:space="preserve">lmex </w:t>
      </w:r>
      <w:r w:rsidRPr="00AE6682">
        <w:rPr>
          <w:color w:val="auto"/>
        </w:rPr>
        <w:t>entregó ante la Oficialía de Partes del Instituto escrito mediante el cual dio respuesta a lo solicitado en el Oficio de Requerimiento.</w:t>
      </w:r>
    </w:p>
    <w:p w14:paraId="16C1DACF" w14:textId="77777777" w:rsidR="004F575C" w:rsidRDefault="006911C1" w:rsidP="004F575C">
      <w:pPr>
        <w:pStyle w:val="IFTnormal"/>
        <w:numPr>
          <w:ilvl w:val="0"/>
          <w:numId w:val="6"/>
        </w:numPr>
        <w:spacing w:before="240" w:after="0"/>
      </w:pPr>
      <w:r w:rsidRPr="000348A8">
        <w:rPr>
          <w:b/>
          <w:color w:val="auto"/>
        </w:rPr>
        <w:t xml:space="preserve">Consulta Pública. </w:t>
      </w:r>
      <w:r w:rsidR="000348A8" w:rsidRPr="00AE6682">
        <w:t>El 23 de agosto de 2017, el Pleno del Instituto en su XXXIV Sesión Ordinaria mediante Acuerdo P/IFT/230817/500 determinó someter a Consulta pública por un plazo de treinta días naturales contados a partir del día hábil siguiente al de su publicación en el portal de Internet del Instituto las propuestas de Ofertas de Referencia presentadas por el AEP; en este sentido la consulta pública de mérito se realizó del 24 de agosto al 25 de septiembre de 2017</w:t>
      </w:r>
      <w:r w:rsidR="000348A8">
        <w:t xml:space="preserve">, </w:t>
      </w:r>
      <w:r w:rsidR="000348A8" w:rsidRPr="00085573">
        <w:t xml:space="preserve">ello en virtud de que se declaró la suspensión de labores, por causa de fuerza mayor, en todas las áreas administrativas del </w:t>
      </w:r>
      <w:r w:rsidR="000348A8" w:rsidRPr="00085573">
        <w:lastRenderedPageBreak/>
        <w:t>Instituto Federal de Telecomunicaciones los días 20, 21 y 22 de septiembre de 2017, quedaron suspendidos los plazos y términos previstos en ley y en todos los actos administrativos emitidos por el Instituto</w:t>
      </w:r>
      <w:r w:rsidR="000348A8">
        <w:t>.</w:t>
      </w:r>
    </w:p>
    <w:p w14:paraId="1A92B41B" w14:textId="77777777" w:rsidR="004F575C" w:rsidRPr="004F575C" w:rsidRDefault="00B67915" w:rsidP="004F575C">
      <w:pPr>
        <w:spacing w:before="240"/>
        <w:rPr>
          <w:rFonts w:ascii="ITC Avant Garde" w:hAnsi="ITC Avant Garde"/>
        </w:rPr>
      </w:pPr>
      <w:r w:rsidRPr="004F575C">
        <w:rPr>
          <w:rFonts w:ascii="ITC Avant Garde" w:hAnsi="ITC Avant Garde"/>
        </w:rPr>
        <w:t>En virtud de los citados Antecedentes, y</w:t>
      </w:r>
    </w:p>
    <w:p w14:paraId="35725A2F" w14:textId="77777777" w:rsidR="004F575C" w:rsidRPr="004F575C" w:rsidRDefault="001C5C5F" w:rsidP="004F575C">
      <w:pPr>
        <w:pStyle w:val="T2IFT"/>
      </w:pPr>
      <w:r w:rsidRPr="00BD71D3">
        <w:t>CONSIDERANDO</w:t>
      </w:r>
      <w:bookmarkEnd w:id="0"/>
    </w:p>
    <w:p w14:paraId="13D8D046" w14:textId="77777777" w:rsidR="004F575C" w:rsidRDefault="00B67915" w:rsidP="004F575C">
      <w:pPr>
        <w:spacing w:before="240" w:after="0" w:line="276" w:lineRule="auto"/>
        <w:ind w:right="49"/>
        <w:jc w:val="both"/>
        <w:rPr>
          <w:rFonts w:ascii="ITC Avant Garde" w:eastAsia="Calibri" w:hAnsi="ITC Avant Garde" w:cs="Arial"/>
        </w:rPr>
      </w:pPr>
      <w:r w:rsidRPr="00BD71D3">
        <w:rPr>
          <w:rFonts w:ascii="ITC Avant Garde" w:eastAsia="Times New Roman" w:hAnsi="ITC Avant Garde"/>
          <w:b/>
          <w:bCs/>
        </w:rPr>
        <w:t xml:space="preserve">PRIMERO.- Competencia del Instituto. </w:t>
      </w:r>
      <w:r w:rsidR="008A6CBD" w:rsidRPr="00BD71D3">
        <w:rPr>
          <w:rFonts w:ascii="ITC Avant Garde" w:eastAsia="Calibri" w:hAnsi="ITC Avant Garde" w:cs="Arial"/>
          <w:bCs/>
        </w:rPr>
        <w:t>De conformidad con el artículo 28, párrafos décimo quinto y décimo sexto de la C</w:t>
      </w:r>
      <w:r w:rsidR="006522CD" w:rsidRPr="00B63266">
        <w:rPr>
          <w:rFonts w:ascii="ITC Avant Garde" w:eastAsia="Calibri" w:hAnsi="ITC Avant Garde" w:cs="Arial"/>
        </w:rPr>
        <w:t>onstitución, el Instituto tiene</w:t>
      </w:r>
      <w:r w:rsidR="008A6CBD" w:rsidRPr="001D3B3E">
        <w:rPr>
          <w:rFonts w:ascii="ITC Avant Garde" w:eastAsia="Calibri" w:hAnsi="ITC Avant Garde" w:cs="Arial"/>
        </w:rPr>
        <w:t xml:space="preserve"> a su cargo la regulación, promoción y supervisión del uso, aprovechamiento y explotación del espectro radioeléctrico, las redes y la prestación de los servicios de radiodifusión y telecomunicaciones, así como del acceso a Infraestructura activa, pasiva y </w:t>
      </w:r>
      <w:r w:rsidR="008A6CBD" w:rsidRPr="0040321A">
        <w:rPr>
          <w:rFonts w:ascii="ITC Avant Garde" w:eastAsia="Calibri" w:hAnsi="ITC Avant Garde" w:cs="Arial"/>
        </w:rPr>
        <w:t>otros insumos esenciales. Asimismo, es autoridad en materia de competencia económica de los sectores de radiodifusión y telecomunicaciones, por lo que en éstos regulará de forma asimétrica a los participantes en estos mercados con el objeto de eliminar efi</w:t>
      </w:r>
      <w:r w:rsidR="008A6CBD" w:rsidRPr="00181856">
        <w:rPr>
          <w:rFonts w:ascii="ITC Avant Garde" w:eastAsia="Calibri" w:hAnsi="ITC Avant Garde" w:cs="Arial"/>
        </w:rPr>
        <w:t>cazmente las barreras a la competencia y la libre concurrencia; impondrá límites a la concentración nacional y regional de frecuencias, al concesionamiento y a la propiedad cru</w:t>
      </w:r>
      <w:r w:rsidR="008A6CBD" w:rsidRPr="00A71F25">
        <w:rPr>
          <w:rFonts w:ascii="ITC Avant Garde" w:eastAsia="Calibri" w:hAnsi="ITC Avant Garde" w:cs="Arial"/>
        </w:rPr>
        <w:t xml:space="preserve">zada que controle varios medios de comunicación que sean </w:t>
      </w:r>
      <w:r w:rsidR="0073274B" w:rsidRPr="004926A1">
        <w:rPr>
          <w:rFonts w:ascii="ITC Avant Garde" w:eastAsia="Calibri" w:hAnsi="ITC Avant Garde" w:cs="Arial"/>
        </w:rPr>
        <w:t xml:space="preserve">concesionarios </w:t>
      </w:r>
      <w:r w:rsidR="008A6CBD" w:rsidRPr="00CA5ADA">
        <w:rPr>
          <w:rFonts w:ascii="ITC Avant Garde" w:eastAsia="Calibri" w:hAnsi="ITC Avant Garde" w:cs="Arial"/>
        </w:rPr>
        <w:t>de radiodifusión y telecomunicaciones que sirvan a un mismo mercado o zona de cobertura geográfica, y ordenará la desincorporación de activos, derechos o partes necesarias para asegurar el cumplimiento de estos límites, garantizando con ello lo dispuesto en los ar</w:t>
      </w:r>
      <w:r w:rsidR="008A6CBD" w:rsidRPr="004926A1">
        <w:rPr>
          <w:rFonts w:ascii="ITC Avant Garde" w:eastAsia="Calibri" w:hAnsi="ITC Avant Garde" w:cs="Arial"/>
        </w:rPr>
        <w:t>tículos 6o. y 7o. de la Constitución.</w:t>
      </w:r>
    </w:p>
    <w:p w14:paraId="182A50DE" w14:textId="1CA227AD" w:rsidR="004F575C" w:rsidRDefault="006522CD" w:rsidP="004F575C">
      <w:pPr>
        <w:spacing w:before="240" w:after="0" w:line="276" w:lineRule="auto"/>
        <w:ind w:right="49"/>
        <w:jc w:val="both"/>
        <w:rPr>
          <w:rFonts w:ascii="ITC Avant Garde" w:eastAsia="Calibri" w:hAnsi="ITC Avant Garde" w:cs="Arial"/>
        </w:rPr>
      </w:pPr>
      <w:r w:rsidRPr="00BD71D3">
        <w:rPr>
          <w:rFonts w:ascii="ITC Avant Garde" w:eastAsia="Calibri" w:hAnsi="ITC Avant Garde" w:cs="Arial"/>
          <w:bCs/>
        </w:rPr>
        <w:t>Ahora bien, e</w:t>
      </w:r>
      <w:r w:rsidR="008A6CBD" w:rsidRPr="00BD71D3">
        <w:rPr>
          <w:rFonts w:ascii="ITC Avant Garde" w:eastAsia="Calibri" w:hAnsi="ITC Avant Garde" w:cs="Arial"/>
          <w:bCs/>
        </w:rPr>
        <w:t xml:space="preserve">n cumplimiento a lo establecido en el artículo Octavo </w:t>
      </w:r>
      <w:r w:rsidR="000348A8" w:rsidRPr="00BD71D3">
        <w:rPr>
          <w:rFonts w:ascii="ITC Avant Garde" w:eastAsia="Calibri" w:hAnsi="ITC Avant Garde" w:cs="Arial"/>
          <w:bCs/>
        </w:rPr>
        <w:t>Transitorio</w:t>
      </w:r>
      <w:r w:rsidR="008A6CBD" w:rsidRPr="00BD71D3">
        <w:rPr>
          <w:rFonts w:ascii="ITC Avant Garde" w:eastAsia="Calibri" w:hAnsi="ITC Avant Garde" w:cs="Arial"/>
          <w:bCs/>
        </w:rPr>
        <w:t>, fracción III del Decreto y mediante la Resolución AEP, el Instituto determinó la existencia de Agentes Económicos Prep</w:t>
      </w:r>
      <w:r w:rsidR="008A6CBD" w:rsidRPr="00032E2C">
        <w:rPr>
          <w:rFonts w:ascii="ITC Avant Garde" w:eastAsia="Calibri" w:hAnsi="ITC Avant Garde" w:cs="Arial"/>
        </w:rPr>
        <w:t>onderantes en los s</w:t>
      </w:r>
      <w:r w:rsidR="008A6CBD" w:rsidRPr="00B63266">
        <w:rPr>
          <w:rFonts w:ascii="ITC Avant Garde" w:eastAsia="Calibri" w:hAnsi="ITC Avant Garde" w:cs="Arial"/>
        </w:rPr>
        <w:t>ectores de radiodifusión y de telecomunicaciones, e impuso las medidas necesarias para evitar que se afecte la competencia y la libre concurrencia y, con ello, a los usuarios f</w:t>
      </w:r>
      <w:r w:rsidR="008A6CBD" w:rsidRPr="001D3B3E">
        <w:rPr>
          <w:rFonts w:ascii="ITC Avant Garde" w:eastAsia="Calibri" w:hAnsi="ITC Avant Garde" w:cs="Arial"/>
        </w:rPr>
        <w:t>inales.</w:t>
      </w:r>
      <w:r w:rsidR="00AD2141" w:rsidRPr="001D3B3E">
        <w:rPr>
          <w:rFonts w:ascii="ITC Avant Garde" w:eastAsia="Calibri" w:hAnsi="ITC Avant Garde" w:cs="Arial"/>
        </w:rPr>
        <w:t xml:space="preserve"> </w:t>
      </w:r>
    </w:p>
    <w:p w14:paraId="3322ADB4" w14:textId="77777777" w:rsidR="004F575C" w:rsidRDefault="00AD2141" w:rsidP="004F575C">
      <w:pPr>
        <w:spacing w:before="240" w:after="0" w:line="276" w:lineRule="auto"/>
        <w:ind w:right="49"/>
        <w:jc w:val="both"/>
        <w:rPr>
          <w:rFonts w:ascii="ITC Avant Garde" w:eastAsia="Calibri" w:hAnsi="ITC Avant Garde" w:cs="Arial"/>
        </w:rPr>
      </w:pPr>
      <w:r w:rsidRPr="001D3B3E">
        <w:rPr>
          <w:rFonts w:ascii="ITC Avant Garde" w:eastAsia="Calibri" w:hAnsi="ITC Avant Garde" w:cs="Arial"/>
        </w:rPr>
        <w:t xml:space="preserve">Dichas medidas incluyen las </w:t>
      </w:r>
      <w:r w:rsidRPr="00CD4F22">
        <w:rPr>
          <w:rFonts w:ascii="ITC Avant Garde" w:eastAsia="Calibri" w:hAnsi="ITC Avant Garde" w:cs="Arial"/>
        </w:rPr>
        <w:t>Medidas Fijas</w:t>
      </w:r>
      <w:r w:rsidR="008D77A4" w:rsidRPr="00236E01">
        <w:rPr>
          <w:rFonts w:ascii="ITC Avant Garde" w:eastAsia="Calibri" w:hAnsi="ITC Avant Garde" w:cs="Arial"/>
        </w:rPr>
        <w:t xml:space="preserve">, </w:t>
      </w:r>
      <w:r w:rsidR="008A6CBD" w:rsidRPr="0040321A">
        <w:rPr>
          <w:rFonts w:ascii="ITC Avant Garde" w:eastAsia="Calibri" w:hAnsi="ITC Avant Garde" w:cs="Arial"/>
        </w:rPr>
        <w:t>mismas que están relacionadas con información, oferta y calidad de servicios, acuerdos en exclusiva, limitaciones al uso de equipos terminales entre redes, regulación asimétrica en tarifas e infraestructuras de red, incluyendo la desagregación de sus elementos esenci</w:t>
      </w:r>
      <w:r w:rsidR="008A6CBD" w:rsidRPr="00181856">
        <w:rPr>
          <w:rFonts w:ascii="ITC Avant Garde" w:eastAsia="Calibri" w:hAnsi="ITC Avant Garde" w:cs="Arial"/>
        </w:rPr>
        <w:t>ales y, en su caso, la separación contable, funcional o estructural de dichos agentes.</w:t>
      </w:r>
    </w:p>
    <w:p w14:paraId="34A7070C" w14:textId="77777777" w:rsidR="004F575C" w:rsidRDefault="006522CD" w:rsidP="004F575C">
      <w:pPr>
        <w:spacing w:before="240" w:after="0" w:line="276" w:lineRule="auto"/>
        <w:ind w:right="49"/>
        <w:jc w:val="both"/>
        <w:rPr>
          <w:rFonts w:ascii="ITC Avant Garde" w:eastAsia="Calibri" w:hAnsi="ITC Avant Garde" w:cs="Arial"/>
        </w:rPr>
      </w:pPr>
      <w:r w:rsidRPr="00BD71D3">
        <w:rPr>
          <w:rFonts w:ascii="ITC Avant Garde" w:eastAsia="Calibri" w:hAnsi="ITC Avant Garde" w:cs="Arial"/>
          <w:bCs/>
        </w:rPr>
        <w:t>Asimismo, e</w:t>
      </w:r>
      <w:r w:rsidR="008A6CBD" w:rsidRPr="00BD71D3">
        <w:rPr>
          <w:rFonts w:ascii="ITC Avant Garde" w:eastAsia="Calibri" w:hAnsi="ITC Avant Garde" w:cs="Arial"/>
          <w:bCs/>
        </w:rPr>
        <w:t xml:space="preserve">l artículo Trigésimo Quinto </w:t>
      </w:r>
      <w:r w:rsidR="00DE27E0" w:rsidRPr="00BD71D3">
        <w:rPr>
          <w:rFonts w:ascii="ITC Avant Garde" w:eastAsia="Calibri" w:hAnsi="ITC Avant Garde" w:cs="Arial"/>
          <w:bCs/>
        </w:rPr>
        <w:t xml:space="preserve">Transitorio </w:t>
      </w:r>
      <w:r w:rsidR="008A6CBD" w:rsidRPr="00BD71D3">
        <w:rPr>
          <w:rFonts w:ascii="ITC Avant Garde" w:eastAsia="Calibri" w:hAnsi="ITC Avant Garde" w:cs="Arial"/>
          <w:bCs/>
        </w:rPr>
        <w:t xml:space="preserve">del Decreto de Ley dispone que las resoluciones administrativas que el Instituto hubiere emitido </w:t>
      </w:r>
      <w:r w:rsidR="008A6CBD" w:rsidRPr="00032E2C">
        <w:rPr>
          <w:rFonts w:ascii="ITC Avant Garde" w:eastAsia="Calibri" w:hAnsi="ITC Avant Garde" w:cs="Arial"/>
        </w:rPr>
        <w:t>previamente a la ent</w:t>
      </w:r>
      <w:r w:rsidR="008A6CBD" w:rsidRPr="00B63266">
        <w:rPr>
          <w:rFonts w:ascii="ITC Avant Garde" w:eastAsia="Calibri" w:hAnsi="ITC Avant Garde" w:cs="Arial"/>
        </w:rPr>
        <w:t>rada en vigor del mismo en materia de preponderancia, continuarán surtiendo todos sus efectos</w:t>
      </w:r>
      <w:r w:rsidR="00D60176" w:rsidRPr="0040321A">
        <w:rPr>
          <w:rFonts w:ascii="ITC Avant Garde" w:eastAsia="Calibri" w:hAnsi="ITC Avant Garde" w:cs="Arial"/>
        </w:rPr>
        <w:t>, por lo que la Resolución AEP y sus anexos se encuentran vigentes</w:t>
      </w:r>
      <w:r w:rsidR="004B2B64" w:rsidRPr="00181856">
        <w:rPr>
          <w:rFonts w:ascii="ITC Avant Garde" w:eastAsia="Calibri" w:hAnsi="ITC Avant Garde" w:cs="Arial"/>
        </w:rPr>
        <w:t>.</w:t>
      </w:r>
    </w:p>
    <w:p w14:paraId="7A0CFDB5" w14:textId="77777777" w:rsidR="004F575C" w:rsidRDefault="00821F0B" w:rsidP="004F575C">
      <w:pPr>
        <w:spacing w:before="240" w:after="0"/>
        <w:jc w:val="both"/>
        <w:rPr>
          <w:rFonts w:ascii="ITC Avant Garde" w:eastAsia="Times New Roman" w:hAnsi="ITC Avant Garde" w:cs="Arial"/>
        </w:rPr>
      </w:pPr>
      <w:r w:rsidRPr="002E7726">
        <w:rPr>
          <w:rFonts w:ascii="ITC Avant Garde" w:eastAsia="Times New Roman" w:hAnsi="ITC Avant Garde" w:cs="Arial"/>
          <w:b/>
          <w:iCs/>
        </w:rPr>
        <w:lastRenderedPageBreak/>
        <w:t>SEGUNDO.- Medidas.</w:t>
      </w:r>
      <w:r w:rsidRPr="00F71EA0">
        <w:rPr>
          <w:rFonts w:ascii="ITC Avant Garde" w:eastAsia="Times New Roman" w:hAnsi="ITC Avant Garde" w:cs="Arial"/>
        </w:rPr>
        <w:t xml:space="preserve"> </w:t>
      </w:r>
      <w:r w:rsidRPr="45A590F1">
        <w:rPr>
          <w:rFonts w:ascii="ITC Avant Garde" w:eastAsia="Times New Roman" w:hAnsi="ITC Avant Garde" w:cs="Arial"/>
        </w:rPr>
        <w:t>L</w:t>
      </w:r>
      <w:r w:rsidR="00F82257" w:rsidRPr="00F61A2B">
        <w:rPr>
          <w:rFonts w:ascii="ITC Avant Garde" w:eastAsia="Times New Roman" w:hAnsi="ITC Avant Garde" w:cs="Arial"/>
        </w:rPr>
        <w:t xml:space="preserve">os concesionarios </w:t>
      </w:r>
      <w:r w:rsidR="00F3608E" w:rsidRPr="00533D15">
        <w:rPr>
          <w:rFonts w:ascii="ITC Avant Garde" w:eastAsia="Times New Roman" w:hAnsi="ITC Avant Garde" w:cs="Arial"/>
        </w:rPr>
        <w:t xml:space="preserve">y autorizados </w:t>
      </w:r>
      <w:r w:rsidRPr="00533D15">
        <w:rPr>
          <w:rFonts w:ascii="ITC Avant Garde" w:eastAsia="Times New Roman" w:hAnsi="ITC Avant Garde" w:cs="Arial"/>
        </w:rPr>
        <w:t xml:space="preserve">de telecomunicaciones demandan el </w:t>
      </w:r>
      <w:r w:rsidR="004869A3">
        <w:rPr>
          <w:rFonts w:ascii="ITC Avant Garde" w:eastAsia="Times New Roman" w:hAnsi="ITC Avant Garde" w:cs="Arial"/>
        </w:rPr>
        <w:t>S</w:t>
      </w:r>
      <w:r w:rsidRPr="00533D15">
        <w:rPr>
          <w:rFonts w:ascii="ITC Avant Garde" w:eastAsia="Times New Roman" w:hAnsi="ITC Avant Garde" w:cs="Arial"/>
        </w:rPr>
        <w:t xml:space="preserve">ervicio </w:t>
      </w:r>
      <w:r w:rsidR="004869A3">
        <w:rPr>
          <w:rFonts w:ascii="ITC Avant Garde" w:eastAsia="Times New Roman" w:hAnsi="ITC Avant Garde" w:cs="Arial"/>
        </w:rPr>
        <w:t xml:space="preserve">Mayorista </w:t>
      </w:r>
      <w:r w:rsidRPr="00533D15">
        <w:rPr>
          <w:rFonts w:ascii="ITC Avant Garde" w:eastAsia="Times New Roman" w:hAnsi="ITC Avant Garde" w:cs="Arial"/>
        </w:rPr>
        <w:t xml:space="preserve">de </w:t>
      </w:r>
      <w:r w:rsidR="004869A3">
        <w:rPr>
          <w:rFonts w:ascii="ITC Avant Garde" w:eastAsia="Times New Roman" w:hAnsi="ITC Avant Garde" w:cs="Arial"/>
        </w:rPr>
        <w:t>A</w:t>
      </w:r>
      <w:r w:rsidRPr="00533D15">
        <w:rPr>
          <w:rFonts w:ascii="ITC Avant Garde" w:eastAsia="Times New Roman" w:hAnsi="ITC Avant Garde" w:cs="Arial"/>
        </w:rPr>
        <w:t xml:space="preserve">rrendamiento de </w:t>
      </w:r>
      <w:r w:rsidR="004869A3">
        <w:rPr>
          <w:rFonts w:ascii="ITC Avant Garde" w:eastAsia="Times New Roman" w:hAnsi="ITC Avant Garde" w:cs="Arial"/>
        </w:rPr>
        <w:t>E</w:t>
      </w:r>
      <w:r w:rsidRPr="00533D15">
        <w:rPr>
          <w:rFonts w:ascii="ITC Avant Garde" w:eastAsia="Times New Roman" w:hAnsi="ITC Avant Garde" w:cs="Arial"/>
        </w:rPr>
        <w:t xml:space="preserve">nlaces </w:t>
      </w:r>
      <w:r w:rsidR="004869A3">
        <w:rPr>
          <w:rFonts w:ascii="ITC Avant Garde" w:eastAsia="Times New Roman" w:hAnsi="ITC Avant Garde" w:cs="Arial"/>
        </w:rPr>
        <w:t>D</w:t>
      </w:r>
      <w:r w:rsidRPr="00533D15">
        <w:rPr>
          <w:rFonts w:ascii="ITC Avant Garde" w:eastAsia="Times New Roman" w:hAnsi="ITC Avant Garde" w:cs="Arial"/>
        </w:rPr>
        <w:t>edicados</w:t>
      </w:r>
      <w:r w:rsidR="004869A3">
        <w:rPr>
          <w:rFonts w:ascii="ITC Avant Garde" w:eastAsia="Times New Roman" w:hAnsi="ITC Avant Garde" w:cs="Arial"/>
        </w:rPr>
        <w:t xml:space="preserve"> Locales, entre Localidades y de Larga Distancia Internacional (en lo sucesivo, “Servicio Mayorista de Enlaces Dedicados) </w:t>
      </w:r>
      <w:r w:rsidR="004B5FED">
        <w:rPr>
          <w:rFonts w:ascii="ITC Avant Garde" w:eastAsia="Times New Roman" w:hAnsi="ITC Avant Garde" w:cs="Arial"/>
        </w:rPr>
        <w:t>para</w:t>
      </w:r>
      <w:r w:rsidRPr="00F61A2B">
        <w:rPr>
          <w:rFonts w:ascii="ITC Avant Garde" w:eastAsia="Times New Roman" w:hAnsi="ITC Avant Garde" w:cs="Arial"/>
        </w:rPr>
        <w:t xml:space="preserve"> </w:t>
      </w:r>
      <w:r w:rsidR="001D3AC1" w:rsidRPr="00533D15">
        <w:rPr>
          <w:rFonts w:ascii="ITC Avant Garde" w:eastAsia="Times New Roman" w:hAnsi="ITC Avant Garde" w:cs="Arial"/>
        </w:rPr>
        <w:t xml:space="preserve">(i) </w:t>
      </w:r>
      <w:r w:rsidRPr="00533D15">
        <w:rPr>
          <w:rFonts w:ascii="ITC Avant Garde" w:eastAsia="Times New Roman" w:hAnsi="ITC Avant Garde" w:cs="Arial"/>
        </w:rPr>
        <w:t xml:space="preserve">conectar elementos de su infraestructura de telecomunicaciones </w:t>
      </w:r>
      <w:r w:rsidRPr="002E7726">
        <w:rPr>
          <w:rFonts w:ascii="ITC Avant Garde" w:eastAsia="Times New Roman" w:hAnsi="ITC Avant Garde" w:cs="Arial"/>
          <w:iCs/>
        </w:rPr>
        <w:t xml:space="preserve">para </w:t>
      </w:r>
      <w:r w:rsidR="00C00D3D" w:rsidRPr="00F71EA0">
        <w:rPr>
          <w:rFonts w:ascii="ITC Avant Garde" w:eastAsia="Times New Roman" w:hAnsi="ITC Avant Garde" w:cs="Arial"/>
        </w:rPr>
        <w:t>s</w:t>
      </w:r>
      <w:r w:rsidR="00C00D3D" w:rsidRPr="45A590F1">
        <w:rPr>
          <w:rFonts w:ascii="ITC Avant Garde" w:eastAsia="Times New Roman" w:hAnsi="ITC Avant Garde" w:cs="Arial"/>
        </w:rPr>
        <w:t>atisfacer sus propias necesidades de</w:t>
      </w:r>
      <w:r w:rsidRPr="00F61A2B">
        <w:rPr>
          <w:rFonts w:ascii="ITC Avant Garde" w:eastAsia="Times New Roman" w:hAnsi="ITC Avant Garde" w:cs="Arial"/>
        </w:rPr>
        <w:t xml:space="preserve"> servicios </w:t>
      </w:r>
      <w:r w:rsidR="001D3AC1" w:rsidRPr="00490F66">
        <w:rPr>
          <w:rFonts w:ascii="ITC Avant Garde" w:eastAsia="Times New Roman" w:hAnsi="ITC Avant Garde" w:cs="Arial"/>
        </w:rPr>
        <w:t>y</w:t>
      </w:r>
      <w:r w:rsidRPr="002E7726">
        <w:rPr>
          <w:rFonts w:ascii="ITC Avant Garde" w:eastAsia="Times New Roman" w:hAnsi="ITC Avant Garde" w:cs="Arial"/>
          <w:iCs/>
        </w:rPr>
        <w:t xml:space="preserve"> </w:t>
      </w:r>
      <w:r w:rsidR="001D3AC1" w:rsidRPr="00F71EA0">
        <w:rPr>
          <w:rFonts w:ascii="ITC Avant Garde" w:eastAsia="Times New Roman" w:hAnsi="ITC Avant Garde" w:cs="Arial"/>
        </w:rPr>
        <w:t xml:space="preserve">(ii) </w:t>
      </w:r>
      <w:r w:rsidRPr="00F61A2B">
        <w:rPr>
          <w:rFonts w:ascii="ITC Avant Garde" w:eastAsia="Times New Roman" w:hAnsi="ITC Avant Garde" w:cs="Arial"/>
        </w:rPr>
        <w:t>para proporcionar servicios al usuario final</w:t>
      </w:r>
      <w:r w:rsidR="001D3AC1" w:rsidRPr="00533D15">
        <w:rPr>
          <w:rFonts w:ascii="ITC Avant Garde" w:eastAsia="Times New Roman" w:hAnsi="ITC Avant Garde" w:cs="Arial"/>
        </w:rPr>
        <w:t>, en aquellas rutas en las cuales no cuentan con medios de transmisión</w:t>
      </w:r>
      <w:r w:rsidR="001C70CC" w:rsidRPr="00533D15">
        <w:rPr>
          <w:rFonts w:ascii="ITC Avant Garde" w:eastAsia="Times New Roman" w:hAnsi="ITC Avant Garde" w:cs="Arial"/>
        </w:rPr>
        <w:t xml:space="preserve">. Asimismo, </w:t>
      </w:r>
      <w:r w:rsidR="004B5FED">
        <w:rPr>
          <w:rFonts w:ascii="ITC Avant Garde" w:eastAsia="Times New Roman" w:hAnsi="ITC Avant Garde" w:cs="Arial"/>
        </w:rPr>
        <w:t>la prestación</w:t>
      </w:r>
      <w:r w:rsidR="001C70CC" w:rsidRPr="00F61A2B">
        <w:rPr>
          <w:rFonts w:ascii="ITC Avant Garde" w:eastAsia="Times New Roman" w:hAnsi="ITC Avant Garde" w:cs="Arial"/>
        </w:rPr>
        <w:t xml:space="preserve"> de estos servicios debe </w:t>
      </w:r>
      <w:r w:rsidR="004B5FED">
        <w:rPr>
          <w:rFonts w:ascii="ITC Avant Garde" w:eastAsia="Times New Roman" w:hAnsi="ITC Avant Garde" w:cs="Arial"/>
        </w:rPr>
        <w:t>garantizarse</w:t>
      </w:r>
      <w:r w:rsidR="004B5FED" w:rsidRPr="00F61A2B">
        <w:rPr>
          <w:rFonts w:ascii="ITC Avant Garde" w:eastAsia="Times New Roman" w:hAnsi="ITC Avant Garde" w:cs="Arial"/>
        </w:rPr>
        <w:t xml:space="preserve"> </w:t>
      </w:r>
      <w:r w:rsidR="001C70CC" w:rsidRPr="00533D15">
        <w:rPr>
          <w:rFonts w:ascii="ITC Avant Garde" w:eastAsia="Times New Roman" w:hAnsi="ITC Avant Garde" w:cs="Arial"/>
        </w:rPr>
        <w:t xml:space="preserve">bajo </w:t>
      </w:r>
      <w:r w:rsidR="00490EE7" w:rsidRPr="00533D15">
        <w:rPr>
          <w:rFonts w:ascii="ITC Avant Garde" w:eastAsia="Times New Roman" w:hAnsi="ITC Avant Garde" w:cs="Arial"/>
        </w:rPr>
        <w:t xml:space="preserve">estándares de calidad aceptables, </w:t>
      </w:r>
      <w:r w:rsidR="00103FA0" w:rsidRPr="004C273B">
        <w:rPr>
          <w:rFonts w:ascii="ITC Avant Garde" w:eastAsia="Times New Roman" w:hAnsi="ITC Avant Garde" w:cs="Arial"/>
        </w:rPr>
        <w:t>a efecto de</w:t>
      </w:r>
      <w:r w:rsidR="00490EE7">
        <w:rPr>
          <w:rFonts w:ascii="ITC Avant Garde" w:eastAsia="Times New Roman" w:hAnsi="ITC Avant Garde" w:cs="Arial"/>
          <w:iCs/>
        </w:rPr>
        <w:t xml:space="preserve"> evitar</w:t>
      </w:r>
      <w:r w:rsidR="00815794" w:rsidRPr="45A590F1">
        <w:rPr>
          <w:rFonts w:ascii="ITC Avant Garde" w:eastAsia="Times New Roman" w:hAnsi="ITC Avant Garde" w:cs="Arial"/>
        </w:rPr>
        <w:t xml:space="preserve"> </w:t>
      </w:r>
      <w:r w:rsidRPr="002E7726">
        <w:rPr>
          <w:rFonts w:ascii="ITC Avant Garde" w:eastAsia="Times New Roman" w:hAnsi="ITC Avant Garde" w:cs="Arial"/>
          <w:iCs/>
        </w:rPr>
        <w:t>que una falla o degradación de la misma se</w:t>
      </w:r>
      <w:r w:rsidR="00103FA0" w:rsidRPr="00F71EA0">
        <w:rPr>
          <w:rFonts w:ascii="ITC Avant Garde" w:eastAsia="Times New Roman" w:hAnsi="ITC Avant Garde" w:cs="Arial"/>
        </w:rPr>
        <w:t>a</w:t>
      </w:r>
      <w:r w:rsidRPr="00F61A2B">
        <w:rPr>
          <w:rFonts w:ascii="ITC Avant Garde" w:eastAsia="Times New Roman" w:hAnsi="ITC Avant Garde" w:cs="Arial"/>
        </w:rPr>
        <w:t xml:space="preserve"> traslada a la pre</w:t>
      </w:r>
      <w:r w:rsidRPr="00533D15">
        <w:rPr>
          <w:rFonts w:ascii="ITC Avant Garde" w:eastAsia="Times New Roman" w:hAnsi="ITC Avant Garde" w:cs="Arial"/>
        </w:rPr>
        <w:t>stación de otros servicios de telecomunicaciones.</w:t>
      </w:r>
    </w:p>
    <w:p w14:paraId="1B68D008" w14:textId="77777777" w:rsidR="004F575C" w:rsidRDefault="00ED1B04" w:rsidP="004F575C">
      <w:pPr>
        <w:spacing w:before="240" w:after="0"/>
        <w:jc w:val="both"/>
        <w:rPr>
          <w:rFonts w:ascii="ITC Avant Garde" w:eastAsia="Times New Roman" w:hAnsi="ITC Avant Garde" w:cs="Arial"/>
        </w:rPr>
      </w:pPr>
      <w:r>
        <w:rPr>
          <w:rFonts w:ascii="ITC Avant Garde" w:eastAsia="Times New Roman" w:hAnsi="ITC Avant Garde" w:cs="Arial"/>
          <w:iCs/>
        </w:rPr>
        <w:t xml:space="preserve">Toda vez que </w:t>
      </w:r>
      <w:r w:rsidR="00821F0B" w:rsidRPr="002E7726">
        <w:rPr>
          <w:rFonts w:ascii="ITC Avant Garde" w:eastAsia="Times New Roman" w:hAnsi="ITC Avant Garde" w:cs="Arial"/>
          <w:iCs/>
        </w:rPr>
        <w:t xml:space="preserve">Telmex y Teléfonos de Noroeste, S.A. de C.V. cuentan con la red de mayor capilaridad en el país, tanto en transporte de tráfico entre ciudades como al </w:t>
      </w:r>
      <w:r w:rsidR="00821F0B" w:rsidRPr="00032E2C">
        <w:rPr>
          <w:rFonts w:ascii="ITC Avant Garde" w:eastAsia="Times New Roman" w:hAnsi="ITC Avant Garde" w:cs="Arial"/>
        </w:rPr>
        <w:t>interior de una misma</w:t>
      </w:r>
      <w:r w:rsidR="00821F0B" w:rsidRPr="00B63266">
        <w:rPr>
          <w:rFonts w:ascii="ITC Avant Garde" w:eastAsia="Times New Roman" w:hAnsi="ITC Avant Garde" w:cs="Arial"/>
        </w:rPr>
        <w:t xml:space="preserve"> ciudad, </w:t>
      </w:r>
      <w:r w:rsidR="001F0AFF" w:rsidRPr="00E41385">
        <w:rPr>
          <w:rFonts w:ascii="ITC Avant Garde" w:eastAsia="Times New Roman" w:hAnsi="ITC Avant Garde" w:cs="Arial"/>
        </w:rPr>
        <w:t xml:space="preserve">éstas </w:t>
      </w:r>
      <w:r w:rsidR="00821F0B" w:rsidRPr="0040321A">
        <w:rPr>
          <w:rFonts w:ascii="ITC Avant Garde" w:eastAsia="Times New Roman" w:hAnsi="ITC Avant Garde" w:cs="Arial"/>
        </w:rPr>
        <w:t>son las empresas que permitirían a otras complementar sus redes públicas de telecomunicaciones.</w:t>
      </w:r>
    </w:p>
    <w:p w14:paraId="393CC4D4" w14:textId="77777777" w:rsidR="004F575C" w:rsidRDefault="00563C27" w:rsidP="004F575C">
      <w:pPr>
        <w:spacing w:before="240" w:after="0"/>
        <w:jc w:val="both"/>
        <w:rPr>
          <w:rFonts w:ascii="ITC Avant Garde" w:eastAsia="Times New Roman" w:hAnsi="ITC Avant Garde" w:cs="Arial"/>
        </w:rPr>
      </w:pPr>
      <w:r>
        <w:rPr>
          <w:rFonts w:ascii="ITC Avant Garde" w:eastAsia="Times New Roman" w:hAnsi="ITC Avant Garde" w:cs="Arial"/>
          <w:iCs/>
        </w:rPr>
        <w:t>Entre</w:t>
      </w:r>
      <w:r w:rsidR="00821F0B" w:rsidRPr="00F71EA0">
        <w:rPr>
          <w:rFonts w:ascii="ITC Avant Garde" w:eastAsia="Times New Roman" w:hAnsi="ITC Avant Garde" w:cs="Arial"/>
        </w:rPr>
        <w:t xml:space="preserve"> las dificultades que han e</w:t>
      </w:r>
      <w:r w:rsidR="00821F0B" w:rsidRPr="45A590F1">
        <w:rPr>
          <w:rFonts w:ascii="ITC Avant Garde" w:eastAsia="Times New Roman" w:hAnsi="ITC Avant Garde" w:cs="Arial"/>
        </w:rPr>
        <w:t xml:space="preserve">nfrentado </w:t>
      </w:r>
      <w:r w:rsidR="004B5FED">
        <w:rPr>
          <w:rFonts w:ascii="ITC Avant Garde" w:eastAsia="Times New Roman" w:hAnsi="ITC Avant Garde" w:cs="Arial"/>
        </w:rPr>
        <w:t>los</w:t>
      </w:r>
      <w:r w:rsidR="004B5FED" w:rsidRPr="45A590F1">
        <w:rPr>
          <w:rFonts w:ascii="ITC Avant Garde" w:eastAsia="Times New Roman" w:hAnsi="ITC Avant Garde" w:cs="Arial"/>
        </w:rPr>
        <w:t xml:space="preserve"> </w:t>
      </w:r>
      <w:r w:rsidR="00821F0B" w:rsidRPr="45A590F1">
        <w:rPr>
          <w:rFonts w:ascii="ITC Avant Garde" w:eastAsia="Times New Roman" w:hAnsi="ITC Avant Garde" w:cs="Arial"/>
        </w:rPr>
        <w:t xml:space="preserve">operadores </w:t>
      </w:r>
      <w:r w:rsidR="004B5FED">
        <w:rPr>
          <w:rFonts w:ascii="ITC Avant Garde" w:eastAsia="Times New Roman" w:hAnsi="ITC Avant Garde" w:cs="Arial"/>
        </w:rPr>
        <w:t xml:space="preserve">entrantes </w:t>
      </w:r>
      <w:r w:rsidR="00821F0B" w:rsidRPr="45A590F1">
        <w:rPr>
          <w:rFonts w:ascii="ITC Avant Garde" w:eastAsia="Times New Roman" w:hAnsi="ITC Avant Garde" w:cs="Arial"/>
        </w:rPr>
        <w:t>para posicionarse en la prestación de otros servicios de telecomunicaciones es la falta de acceso a una red de transporte a precios competitivos, que les permita conectar sus redes de acceso y que pueda ser viable adicionar servicios a sus planes de negocios.</w:t>
      </w:r>
    </w:p>
    <w:p w14:paraId="3A537A5B" w14:textId="7FBAB849" w:rsidR="004F575C" w:rsidRDefault="00821F0B" w:rsidP="004F575C">
      <w:pPr>
        <w:spacing w:before="240" w:after="0"/>
        <w:jc w:val="both"/>
        <w:rPr>
          <w:rFonts w:ascii="ITC Avant Garde" w:eastAsia="Times New Roman" w:hAnsi="ITC Avant Garde" w:cs="Arial"/>
        </w:rPr>
      </w:pPr>
      <w:r w:rsidRPr="002E7726">
        <w:rPr>
          <w:rFonts w:ascii="ITC Avant Garde" w:eastAsia="Times New Roman" w:hAnsi="ITC Avant Garde" w:cs="Arial"/>
          <w:iCs/>
        </w:rPr>
        <w:t xml:space="preserve">Por lo anterior, es que el Instituto consideró necesario el establecimiento de medidas que </w:t>
      </w:r>
      <w:r w:rsidRPr="00032E2C">
        <w:rPr>
          <w:rFonts w:ascii="ITC Avant Garde" w:eastAsia="Times New Roman" w:hAnsi="ITC Avant Garde" w:cs="Arial"/>
        </w:rPr>
        <w:t>obligaran al AEP a ofrecer el</w:t>
      </w:r>
      <w:r w:rsidRPr="000C73BD">
        <w:rPr>
          <w:rFonts w:ascii="ITC Avant Garde" w:eastAsia="Times New Roman" w:hAnsi="ITC Avant Garde" w:cs="Arial"/>
        </w:rPr>
        <w:t xml:space="preserve"> </w:t>
      </w:r>
      <w:r w:rsidR="004869A3">
        <w:rPr>
          <w:rFonts w:ascii="ITC Avant Garde" w:eastAsia="Times New Roman" w:hAnsi="ITC Avant Garde" w:cs="Arial"/>
        </w:rPr>
        <w:t>Servicio Mayorista de Enlaces Dedicados</w:t>
      </w:r>
      <w:r w:rsidRPr="000C73BD">
        <w:rPr>
          <w:rFonts w:ascii="ITC Avant Garde" w:eastAsia="Times New Roman" w:hAnsi="ITC Avant Garde" w:cs="Arial"/>
        </w:rPr>
        <w:t xml:space="preserve"> en condiciones no discriminatorias y a precios que permitieran la entrada eficiente de otros operadores a la prestación de servicios de telecomunicac</w:t>
      </w:r>
      <w:r w:rsidRPr="00B63266">
        <w:rPr>
          <w:rFonts w:ascii="ITC Avant Garde" w:eastAsia="Times New Roman" w:hAnsi="ITC Avant Garde" w:cs="Arial"/>
        </w:rPr>
        <w:t xml:space="preserve">iones y que se </w:t>
      </w:r>
      <w:r w:rsidRPr="001D3B3E">
        <w:rPr>
          <w:rFonts w:ascii="ITC Avant Garde" w:eastAsia="Times New Roman" w:hAnsi="ITC Avant Garde" w:cs="Arial"/>
        </w:rPr>
        <w:t>garantizara</w:t>
      </w:r>
      <w:r w:rsidRPr="00B63266">
        <w:rPr>
          <w:rFonts w:ascii="ITC Avant Garde" w:eastAsia="Times New Roman" w:hAnsi="ITC Avant Garde" w:cs="Arial"/>
        </w:rPr>
        <w:t xml:space="preserve"> el contar con niveles de calidad adecuados.</w:t>
      </w:r>
    </w:p>
    <w:p w14:paraId="5188F095" w14:textId="77777777" w:rsidR="004F575C" w:rsidRDefault="00821F0B" w:rsidP="004F575C">
      <w:pPr>
        <w:spacing w:before="240" w:after="0"/>
        <w:jc w:val="both"/>
        <w:rPr>
          <w:rFonts w:ascii="ITC Avant Garde" w:eastAsia="Times New Roman" w:hAnsi="ITC Avant Garde" w:cs="Arial"/>
        </w:rPr>
      </w:pPr>
      <w:r w:rsidRPr="002E7726">
        <w:rPr>
          <w:rFonts w:ascii="ITC Avant Garde" w:eastAsia="Times New Roman" w:hAnsi="ITC Avant Garde" w:cs="Arial"/>
          <w:iCs/>
        </w:rPr>
        <w:t xml:space="preserve">En este </w:t>
      </w:r>
      <w:r w:rsidR="00A92B4D" w:rsidRPr="00F71EA0">
        <w:rPr>
          <w:rFonts w:ascii="ITC Avant Garde" w:eastAsia="Times New Roman" w:hAnsi="ITC Avant Garde" w:cs="Arial"/>
        </w:rPr>
        <w:t>orde</w:t>
      </w:r>
      <w:r w:rsidR="00A92B4D" w:rsidRPr="45A590F1">
        <w:rPr>
          <w:rFonts w:ascii="ITC Avant Garde" w:eastAsia="Times New Roman" w:hAnsi="ITC Avant Garde" w:cs="Arial"/>
        </w:rPr>
        <w:t>n de ideas</w:t>
      </w:r>
      <w:r w:rsidRPr="00F61A2B">
        <w:rPr>
          <w:rFonts w:ascii="ITC Avant Garde" w:eastAsia="Times New Roman" w:hAnsi="ITC Avant Garde" w:cs="Arial"/>
        </w:rPr>
        <w:t xml:space="preserve">, el </w:t>
      </w:r>
      <w:r w:rsidR="004869A3">
        <w:rPr>
          <w:rFonts w:ascii="ITC Avant Garde" w:eastAsia="Times New Roman" w:hAnsi="ITC Avant Garde" w:cs="Arial"/>
        </w:rPr>
        <w:t>Servicio Mayorista de Enlaces Dedicados</w:t>
      </w:r>
      <w:r w:rsidRPr="00F61A2B">
        <w:rPr>
          <w:rFonts w:ascii="ITC Avant Garde" w:eastAsia="Times New Roman" w:hAnsi="ITC Avant Garde" w:cs="Arial"/>
        </w:rPr>
        <w:t xml:space="preserve"> es crucial para el desarrollo de la competenc</w:t>
      </w:r>
      <w:r w:rsidRPr="00533D15">
        <w:rPr>
          <w:rFonts w:ascii="ITC Avant Garde" w:eastAsia="Times New Roman" w:hAnsi="ITC Avant Garde" w:cs="Arial"/>
        </w:rPr>
        <w:t xml:space="preserve">ia, </w:t>
      </w:r>
      <w:r w:rsidR="00A92B4D" w:rsidRPr="00533D15">
        <w:rPr>
          <w:rFonts w:ascii="ITC Avant Garde" w:eastAsia="Times New Roman" w:hAnsi="ITC Avant Garde" w:cs="Arial"/>
        </w:rPr>
        <w:t>toda vez</w:t>
      </w:r>
      <w:r w:rsidRPr="004C273B">
        <w:rPr>
          <w:rFonts w:ascii="ITC Avant Garde" w:eastAsia="Times New Roman" w:hAnsi="ITC Avant Garde" w:cs="Arial"/>
        </w:rPr>
        <w:t xml:space="preserve"> que es un insumo utilizado por el resto de los competidores para complementar sus propias redes de telecomunicaciones.</w:t>
      </w:r>
    </w:p>
    <w:p w14:paraId="5ED173F4" w14:textId="77777777" w:rsidR="004F575C" w:rsidRDefault="00471DBE" w:rsidP="004F575C">
      <w:pPr>
        <w:spacing w:before="240" w:after="0"/>
        <w:jc w:val="both"/>
        <w:rPr>
          <w:rFonts w:ascii="ITC Avant Garde" w:eastAsia="Times New Roman" w:hAnsi="ITC Avant Garde" w:cs="Arial"/>
        </w:rPr>
      </w:pPr>
      <w:r>
        <w:rPr>
          <w:rFonts w:ascii="ITC Avant Garde" w:eastAsia="Times New Roman" w:hAnsi="ITC Avant Garde" w:cs="Arial"/>
          <w:iCs/>
        </w:rPr>
        <w:t>A su vez</w:t>
      </w:r>
      <w:r w:rsidR="00821F0B" w:rsidRPr="002E7726">
        <w:rPr>
          <w:rFonts w:ascii="ITC Avant Garde" w:eastAsia="Times New Roman" w:hAnsi="ITC Avant Garde" w:cs="Arial"/>
          <w:iCs/>
        </w:rPr>
        <w:t xml:space="preserve">, al ser un elemento fundamental de las redes de telecomunicaciones, fue necesario establecer la obligación a cargo del </w:t>
      </w:r>
      <w:r w:rsidR="00821F0B" w:rsidRPr="00B63266">
        <w:rPr>
          <w:rFonts w:ascii="ITC Avant Garde" w:eastAsia="Times New Roman" w:hAnsi="ITC Avant Garde" w:cs="Arial"/>
        </w:rPr>
        <w:t xml:space="preserve">AEP de prestar </w:t>
      </w:r>
      <w:r w:rsidR="004869A3">
        <w:rPr>
          <w:rFonts w:ascii="ITC Avant Garde" w:eastAsia="Times New Roman" w:hAnsi="ITC Avant Garde" w:cs="Arial"/>
        </w:rPr>
        <w:t>el Servicio Mayorista de Enlaces Dedicados</w:t>
      </w:r>
      <w:r w:rsidR="00821F0B" w:rsidRPr="00E41385">
        <w:rPr>
          <w:rFonts w:ascii="ITC Avant Garde" w:eastAsia="Times New Roman" w:hAnsi="ITC Avant Garde" w:cs="Arial"/>
        </w:rPr>
        <w:t>, y que el mismo se realice bajo condiciones competitivas facilitando que los proveedores alternativos desplieguen con mayor celeridad su infraestructura propia, al evitar incurrir en elevados costos</w:t>
      </w:r>
      <w:r w:rsidR="00821F0B" w:rsidRPr="006536F5">
        <w:rPr>
          <w:rFonts w:ascii="ITC Avant Garde" w:eastAsia="Times New Roman" w:hAnsi="ITC Avant Garde" w:cs="Arial"/>
        </w:rPr>
        <w:t xml:space="preserve"> hundidos para conectar puntos de presencia para los cuales no se han generado las suficientes economías de densidad que les permitan la recuperación de la inversión de una manera rentable. Lo anterior, en los casos en que los concesion</w:t>
      </w:r>
      <w:r w:rsidR="00821F0B" w:rsidRPr="0040321A">
        <w:rPr>
          <w:rFonts w:ascii="ITC Avant Garde" w:eastAsia="Times New Roman" w:hAnsi="ITC Avant Garde" w:cs="Arial"/>
        </w:rPr>
        <w:t>arios se encuentren interesados en desplegar su propia infraestructura y que les sea técnicamente viable.</w:t>
      </w:r>
    </w:p>
    <w:p w14:paraId="334B8BCE" w14:textId="77777777" w:rsidR="004F575C" w:rsidRDefault="00821F0B" w:rsidP="004F575C">
      <w:pPr>
        <w:pStyle w:val="IFTnormal"/>
        <w:spacing w:before="240" w:after="0"/>
        <w:rPr>
          <w:rFonts w:eastAsia="Times New Roman"/>
          <w:i/>
          <w:sz w:val="18"/>
          <w:szCs w:val="18"/>
          <w:lang w:val="es-ES"/>
        </w:rPr>
      </w:pPr>
      <w:r w:rsidRPr="002E7726">
        <w:lastRenderedPageBreak/>
        <w:t xml:space="preserve">En ese sentido, la Medida Primera contenida en las Medidas Fijas establece que las mismas serán aplicables al AEP en el sector de telecomunicaciones a través de sus integrantes que cuenten con títulos de concesión de red pública de telecomunicaciones. En el caso de Telmex, </w:t>
      </w:r>
      <w:r w:rsidR="00B12CE6">
        <w:t>e</w:t>
      </w:r>
      <w:r w:rsidR="00B12CE6" w:rsidRPr="002E7726">
        <w:t xml:space="preserve">ste </w:t>
      </w:r>
      <w:r w:rsidRPr="002E7726">
        <w:t>es concesionario de una Red Pública de Telecomunicaciones y por tanto se encuentra obligado al cumplimiento de las medidas a que se refieren las Medidas Fijas</w:t>
      </w:r>
      <w:r w:rsidR="00DE27E0">
        <w:t>.</w:t>
      </w:r>
      <w:r w:rsidRPr="002E7726">
        <w:t xml:space="preserve"> </w:t>
      </w:r>
    </w:p>
    <w:p w14:paraId="368D0D70" w14:textId="77777777" w:rsidR="004F575C" w:rsidRDefault="00DE27E0" w:rsidP="004F575C">
      <w:pPr>
        <w:spacing w:before="240" w:after="0" w:line="276" w:lineRule="auto"/>
        <w:jc w:val="both"/>
        <w:rPr>
          <w:rFonts w:ascii="ITC Avant Garde" w:eastAsia="Times New Roman" w:hAnsi="ITC Avant Garde" w:cs="Arial"/>
          <w:lang w:val="es-ES"/>
        </w:rPr>
      </w:pPr>
      <w:r w:rsidRPr="00AE6682">
        <w:rPr>
          <w:rFonts w:ascii="ITC Avant Garde" w:eastAsia="Times New Roman" w:hAnsi="ITC Avant Garde" w:cs="Arial"/>
          <w:iCs/>
        </w:rPr>
        <w:t xml:space="preserve">Es así que en las Medidas </w:t>
      </w:r>
      <w:r>
        <w:rPr>
          <w:rFonts w:ascii="ITC Avant Garde" w:eastAsia="Times New Roman" w:hAnsi="ITC Avant Garde" w:cs="Arial"/>
          <w:iCs/>
        </w:rPr>
        <w:t>Fijas</w:t>
      </w:r>
      <w:r w:rsidRPr="00AE6682">
        <w:rPr>
          <w:rFonts w:ascii="ITC Avant Garde" w:eastAsia="Times New Roman" w:hAnsi="ITC Avant Garde" w:cs="Arial"/>
          <w:iCs/>
        </w:rPr>
        <w:t xml:space="preserve"> de la Resolución Bienal, el Instituto estableció en la Medida Decimotercera</w:t>
      </w:r>
      <w:r w:rsidRPr="00AE6682">
        <w:rPr>
          <w:rFonts w:ascii="ITC Avant Garde" w:eastAsia="Times New Roman" w:hAnsi="ITC Avant Garde" w:cs="Arial"/>
          <w:iCs/>
          <w:lang w:val="es-ES_tradnl"/>
        </w:rPr>
        <w:t xml:space="preserve"> la obligación del AEP </w:t>
      </w:r>
      <w:r w:rsidR="00821F0B" w:rsidRPr="004A0D00">
        <w:rPr>
          <w:rFonts w:ascii="ITC Avant Garde" w:eastAsia="Times New Roman" w:hAnsi="ITC Avant Garde" w:cs="Arial"/>
          <w:lang w:val="es-ES"/>
        </w:rPr>
        <w:t>de prestar el Servicio Mayorista de Enlaces Dedicados.</w:t>
      </w:r>
    </w:p>
    <w:p w14:paraId="02973AC2" w14:textId="77777777" w:rsidR="004F575C" w:rsidRDefault="00821F0B" w:rsidP="004F575C">
      <w:pPr>
        <w:pStyle w:val="IFTTexto"/>
        <w:spacing w:before="240"/>
        <w:rPr>
          <w:color w:val="auto"/>
        </w:rPr>
      </w:pPr>
      <w:r w:rsidRPr="002E7726">
        <w:rPr>
          <w:color w:val="auto"/>
        </w:rPr>
        <w:t>Cabe destacar que las concesiones únicas surgen como figura legal en la LFTR, y estas pueden sustituir a los títulos de concesión de red pública de telecomunicaciones, por lo que los servicios ofertados por el AEP deberán hacerse extensivos a los sujetos que cuenten con concesiones únicas.</w:t>
      </w:r>
      <w:r w:rsidR="00687CA8">
        <w:rPr>
          <w:color w:val="auto"/>
        </w:rPr>
        <w:t xml:space="preserve"> También esos servicios estarán disponibles para los sujetos que cuenten con una autorización emitida por este Instituto.</w:t>
      </w:r>
    </w:p>
    <w:p w14:paraId="1FD74C94" w14:textId="77777777" w:rsidR="004F575C" w:rsidRDefault="00B45F07" w:rsidP="004F575C">
      <w:pPr>
        <w:spacing w:before="240" w:after="0"/>
        <w:jc w:val="both"/>
        <w:rPr>
          <w:rFonts w:ascii="ITC Avant Garde" w:hAnsi="ITC Avant Garde" w:cs="Arial"/>
          <w:b/>
          <w:bCs/>
        </w:rPr>
      </w:pPr>
      <w:r w:rsidRPr="004A0D00">
        <w:rPr>
          <w:rFonts w:ascii="ITC Avant Garde" w:eastAsia="Times New Roman" w:hAnsi="ITC Avant Garde" w:cs="Arial"/>
          <w:b/>
          <w:lang w:val="es-ES"/>
        </w:rPr>
        <w:t>TERCERO.-</w:t>
      </w:r>
      <w:r w:rsidRPr="004A0D00">
        <w:rPr>
          <w:rFonts w:ascii="ITC Avant Garde" w:eastAsia="Times New Roman" w:hAnsi="ITC Avant Garde" w:cs="Arial"/>
          <w:lang w:val="es-ES"/>
        </w:rPr>
        <w:t xml:space="preserve"> </w:t>
      </w:r>
      <w:r w:rsidRPr="004A0D00">
        <w:rPr>
          <w:rFonts w:ascii="ITC Avant Garde" w:eastAsia="Times New Roman" w:hAnsi="ITC Avant Garde" w:cs="Arial"/>
          <w:b/>
          <w:lang w:val="es-ES"/>
        </w:rPr>
        <w:t xml:space="preserve">Oferta de Referencia </w:t>
      </w:r>
      <w:r w:rsidR="007428BC">
        <w:rPr>
          <w:rFonts w:ascii="ITC Avant Garde" w:hAnsi="ITC Avant Garde"/>
          <w:b/>
        </w:rPr>
        <w:t>para la prestación del Servicio Mayorista de Arrendamiento de Enlaces Dedicados Locales, entre Localidades, y de Larga Distancia internacional.-</w:t>
      </w:r>
      <w:r w:rsidR="007428BC" w:rsidRPr="00AE6682">
        <w:t xml:space="preserve"> </w:t>
      </w:r>
      <w:r w:rsidR="007428BC" w:rsidRPr="00AE6682">
        <w:rPr>
          <w:rFonts w:ascii="ITC Avant Garde" w:hAnsi="ITC Avant Garde" w:cs="Arial"/>
          <w:bCs/>
        </w:rPr>
        <w:t>El artículo 6, apartado B, fracción II de la Constitución establece que las telecomunicaciones son servicios públicos de interés general, y es el deber del Estado garantizar que se presten en condiciones de competencia, calidad, pluralidad, cobertura universal, interconexión, convergencia, continuidad, acceso libre y sin injerencias arbitrarias.</w:t>
      </w:r>
    </w:p>
    <w:p w14:paraId="4CD5739B" w14:textId="77777777" w:rsidR="004F575C" w:rsidRDefault="007428BC" w:rsidP="004F575C">
      <w:pPr>
        <w:spacing w:before="240" w:after="0"/>
        <w:jc w:val="both"/>
        <w:rPr>
          <w:rFonts w:ascii="ITC Avant Garde" w:hAnsi="ITC Avant Garde" w:cs="Arial"/>
          <w:bCs/>
        </w:rPr>
      </w:pPr>
      <w:r w:rsidRPr="00AE6682">
        <w:rPr>
          <w:rFonts w:ascii="ITC Avant Garde" w:hAnsi="ITC Avant Garde" w:cs="Arial"/>
          <w:bCs/>
        </w:rPr>
        <w:t>Es así que, uno de los objetivos de la LFTR es regular el uso y aprovechamiento de las redes públicas de telecomunicaciones, así como la prestación de los servicios públicos de interés general de telecomunicaciones.</w:t>
      </w:r>
    </w:p>
    <w:p w14:paraId="0AD1B964" w14:textId="77777777" w:rsidR="004F575C" w:rsidRDefault="007428BC" w:rsidP="004F575C">
      <w:pPr>
        <w:spacing w:before="240" w:after="0"/>
        <w:jc w:val="both"/>
        <w:rPr>
          <w:rFonts w:ascii="ITC Avant Garde" w:eastAsia="Times New Roman" w:hAnsi="ITC Avant Garde"/>
        </w:rPr>
      </w:pPr>
      <w:r w:rsidRPr="00AE6682">
        <w:rPr>
          <w:rFonts w:ascii="ITC Avant Garde" w:eastAsia="Times New Roman" w:hAnsi="ITC Avant Garde"/>
          <w:szCs w:val="20"/>
        </w:rPr>
        <w:t xml:space="preserve">En este sentido, </w:t>
      </w:r>
      <w:r w:rsidRPr="007428BC">
        <w:rPr>
          <w:rFonts w:ascii="ITC Avant Garde" w:eastAsia="Times New Roman" w:hAnsi="ITC Avant Garde"/>
          <w:szCs w:val="20"/>
        </w:rPr>
        <w:t xml:space="preserve">la Medida Cuadragésima Primera de las Medidas Fijas </w:t>
      </w:r>
      <w:r w:rsidRPr="00AE6682">
        <w:rPr>
          <w:rFonts w:ascii="ITC Avant Garde" w:eastAsia="Times New Roman" w:hAnsi="ITC Avant Garde"/>
          <w:szCs w:val="20"/>
        </w:rPr>
        <w:t xml:space="preserve">determinadas por la Resolución AEP y </w:t>
      </w:r>
      <w:r w:rsidRPr="00AE6682">
        <w:rPr>
          <w:rFonts w:ascii="ITC Avant Garde" w:eastAsia="Times New Roman" w:hAnsi="ITC Avant Garde"/>
        </w:rPr>
        <w:t xml:space="preserve">la Resolución Bienal, establecen que el AEP deberá, en el mes de julio de cada año, presentar para aprobación del Instituto una propuesta de Oferta de Referencia para la prestación del Servicio Mayorista </w:t>
      </w:r>
      <w:r w:rsidRPr="007428BC">
        <w:rPr>
          <w:rFonts w:ascii="ITC Avant Garde" w:eastAsia="Times New Roman" w:hAnsi="ITC Avant Garde"/>
        </w:rPr>
        <w:t>de Enlaces Dedicados.</w:t>
      </w:r>
    </w:p>
    <w:p w14:paraId="6C4DFAAD" w14:textId="77777777" w:rsidR="004F575C" w:rsidRDefault="007428BC" w:rsidP="004F575C">
      <w:pPr>
        <w:spacing w:before="240" w:after="0"/>
        <w:jc w:val="both"/>
        <w:rPr>
          <w:rFonts w:ascii="ITC Avant Garde" w:eastAsia="Times New Roman" w:hAnsi="ITC Avant Garde"/>
          <w:szCs w:val="20"/>
        </w:rPr>
      </w:pPr>
      <w:r w:rsidRPr="00AE6682">
        <w:rPr>
          <w:rFonts w:ascii="ITC Avant Garde" w:eastAsia="Times New Roman" w:hAnsi="ITC Avant Garde"/>
          <w:szCs w:val="20"/>
        </w:rPr>
        <w:t xml:space="preserve">Asimismo, se estableció que la vigencia de la Oferta de </w:t>
      </w:r>
      <w:r w:rsidRPr="00AE6682">
        <w:rPr>
          <w:rFonts w:ascii="ITC Avant Garde" w:eastAsia="Times New Roman" w:hAnsi="ITC Avant Garde"/>
        </w:rPr>
        <w:t xml:space="preserve">Referencia para la prestación del </w:t>
      </w:r>
      <w:r w:rsidRPr="007428BC">
        <w:rPr>
          <w:rFonts w:ascii="ITC Avant Garde" w:eastAsia="Times New Roman" w:hAnsi="ITC Avant Garde"/>
        </w:rPr>
        <w:t xml:space="preserve">Servicio Mayorista de </w:t>
      </w:r>
      <w:r w:rsidR="004869A3">
        <w:rPr>
          <w:rFonts w:ascii="ITC Avant Garde" w:eastAsia="Times New Roman" w:hAnsi="ITC Avant Garde"/>
        </w:rPr>
        <w:t>Enlaces Dedicados</w:t>
      </w:r>
      <w:r w:rsidRPr="00AE6682">
        <w:rPr>
          <w:rFonts w:ascii="ITC Avant Garde" w:eastAsia="Times New Roman" w:hAnsi="ITC Avant Garde"/>
          <w:szCs w:val="20"/>
        </w:rPr>
        <w:t>, el procedimiento para su presentación y aprobación, así como las fechas para su publicación serán aquellas especificadas en la LFTR vigente o aquella que la sustituya. En este sentido, el procedimiento para la aprobación establecido en la LFTR, es el señalado en el artículo 268.</w:t>
      </w:r>
    </w:p>
    <w:p w14:paraId="5F29731B" w14:textId="77777777" w:rsidR="004F575C" w:rsidRDefault="007428BC" w:rsidP="004F575C">
      <w:pPr>
        <w:spacing w:before="240" w:after="0"/>
        <w:jc w:val="both"/>
        <w:rPr>
          <w:rFonts w:ascii="ITC Avant Garde" w:eastAsia="Times New Roman" w:hAnsi="ITC Avant Garde"/>
          <w:szCs w:val="20"/>
        </w:rPr>
      </w:pPr>
      <w:r w:rsidRPr="00AE6682">
        <w:rPr>
          <w:rFonts w:ascii="ITC Avant Garde" w:eastAsia="Times New Roman" w:hAnsi="ITC Avant Garde"/>
          <w:szCs w:val="20"/>
        </w:rPr>
        <w:lastRenderedPageBreak/>
        <w:t xml:space="preserve">En este sentido la Medida </w:t>
      </w:r>
      <w:r w:rsidRPr="007428BC">
        <w:rPr>
          <w:rFonts w:ascii="ITC Avant Garde" w:eastAsia="Times New Roman" w:hAnsi="ITC Avant Garde"/>
          <w:szCs w:val="20"/>
        </w:rPr>
        <w:t xml:space="preserve">Cuadragésima Primera de las Medidas Fijas </w:t>
      </w:r>
      <w:r w:rsidRPr="00AE6682">
        <w:rPr>
          <w:rFonts w:ascii="ITC Avant Garde" w:eastAsia="Times New Roman" w:hAnsi="ITC Avant Garde"/>
          <w:szCs w:val="20"/>
        </w:rPr>
        <w:t>en correspondencia con el artículo 268 de la LFTR establece que el Instituto someterá a consulta pública por un periodo de treinta días naturales las ofertas públicas, y que una vez terminada la misma, el Instituto contará con 30 días naturales para aprobar o modificar la oferta, plazo dentro del cual dará vista al agente económico preponderante.</w:t>
      </w:r>
    </w:p>
    <w:p w14:paraId="158A5680" w14:textId="77777777" w:rsidR="004F575C" w:rsidRDefault="007428BC" w:rsidP="004F575C">
      <w:pPr>
        <w:spacing w:before="240" w:after="0"/>
        <w:jc w:val="both"/>
        <w:rPr>
          <w:rFonts w:ascii="ITC Avant Garde" w:eastAsia="Times New Roman" w:hAnsi="ITC Avant Garde"/>
          <w:szCs w:val="20"/>
        </w:rPr>
      </w:pPr>
      <w:r w:rsidRPr="00AE6682">
        <w:rPr>
          <w:rFonts w:ascii="ITC Avant Garde" w:eastAsia="Times New Roman" w:hAnsi="ITC Avant Garde"/>
          <w:szCs w:val="20"/>
        </w:rPr>
        <w:t>En tal virtud, y toda vez que la consulta pública de mérito se llevó a cabo del 24 de agosto al 2</w:t>
      </w:r>
      <w:r>
        <w:rPr>
          <w:rFonts w:ascii="ITC Avant Garde" w:eastAsia="Times New Roman" w:hAnsi="ITC Avant Garde"/>
          <w:szCs w:val="20"/>
        </w:rPr>
        <w:t>5</w:t>
      </w:r>
      <w:r w:rsidRPr="00AE6682">
        <w:rPr>
          <w:rFonts w:ascii="ITC Avant Garde" w:eastAsia="Times New Roman" w:hAnsi="ITC Avant Garde"/>
          <w:szCs w:val="20"/>
        </w:rPr>
        <w:t xml:space="preserve"> de septiembre de 2017, el Instituto cuenta con 30 días naturales para aprobar la oferta o en su caso modificarla; y de ser éste el caso deberá darse vista al agente económico preponderante en el plazo señalado.</w:t>
      </w:r>
    </w:p>
    <w:p w14:paraId="65BBB1D4" w14:textId="77777777" w:rsidR="004F575C" w:rsidRDefault="007428BC" w:rsidP="004F575C">
      <w:pPr>
        <w:spacing w:before="240" w:after="0"/>
        <w:jc w:val="both"/>
        <w:rPr>
          <w:rFonts w:ascii="ITC Avant Garde" w:eastAsia="Times New Roman" w:hAnsi="ITC Avant Garde"/>
          <w:szCs w:val="20"/>
        </w:rPr>
      </w:pPr>
      <w:r w:rsidRPr="00AE6682">
        <w:rPr>
          <w:rFonts w:ascii="ITC Avant Garde" w:eastAsia="Times New Roman" w:hAnsi="ITC Avant Garde"/>
          <w:szCs w:val="20"/>
        </w:rPr>
        <w:t xml:space="preserve">Ahora bien, toda vez que el presente Acuerdo modifica al Agente Económico Preponderante los términos y condiciones de la Oferta de </w:t>
      </w:r>
      <w:r w:rsidRPr="00AE6682">
        <w:rPr>
          <w:rFonts w:ascii="ITC Avant Garde" w:eastAsia="Times New Roman" w:hAnsi="ITC Avant Garde"/>
        </w:rPr>
        <w:t xml:space="preserve">Referencia de </w:t>
      </w:r>
      <w:r>
        <w:rPr>
          <w:rFonts w:ascii="ITC Avant Garde" w:eastAsia="Times New Roman" w:hAnsi="ITC Avant Garde"/>
        </w:rPr>
        <w:t xml:space="preserve">Enlaces Dedicados </w:t>
      </w:r>
      <w:r w:rsidRPr="00AE6682">
        <w:rPr>
          <w:rFonts w:ascii="ITC Avant Garde" w:eastAsia="Times New Roman" w:hAnsi="ITC Avant Garde"/>
          <w:szCs w:val="20"/>
        </w:rPr>
        <w:t xml:space="preserve">al darse vista del mismo al AEP, se tiene por cumplido el plazo de 30 días naturales establecido en la </w:t>
      </w:r>
      <w:r w:rsidRPr="007428BC">
        <w:rPr>
          <w:rFonts w:ascii="ITC Avant Garde" w:eastAsia="Times New Roman" w:hAnsi="ITC Avant Garde"/>
          <w:szCs w:val="20"/>
        </w:rPr>
        <w:t xml:space="preserve">Medida Cuadragésima Primera de las Medidas Fijas </w:t>
      </w:r>
      <w:r w:rsidRPr="00AE6682">
        <w:rPr>
          <w:rFonts w:ascii="ITC Avant Garde" w:eastAsia="Times New Roman" w:hAnsi="ITC Avant Garde"/>
          <w:szCs w:val="20"/>
        </w:rPr>
        <w:t>así como en el artículo 268 de la LFTR.</w:t>
      </w:r>
    </w:p>
    <w:p w14:paraId="1C57B16C" w14:textId="77777777" w:rsidR="004F575C" w:rsidRDefault="00BB3B05" w:rsidP="004F575C">
      <w:pPr>
        <w:pStyle w:val="IFTnormal"/>
        <w:spacing w:before="240" w:after="0"/>
        <w:rPr>
          <w:rFonts w:eastAsia="Times New Roman"/>
          <w:b/>
          <w:bCs/>
          <w:iCs/>
        </w:rPr>
      </w:pPr>
      <w:r>
        <w:rPr>
          <w:rFonts w:eastAsia="Times New Roman"/>
          <w:b/>
          <w:lang w:val="es-ES"/>
        </w:rPr>
        <w:t>CUARTO</w:t>
      </w:r>
      <w:r w:rsidR="00533D15" w:rsidRPr="0042639A">
        <w:rPr>
          <w:rFonts w:eastAsia="Times New Roman"/>
          <w:b/>
          <w:lang w:val="es-ES"/>
        </w:rPr>
        <w:t xml:space="preserve">.- Análisis de la propuesta de la Oferta de Referencia </w:t>
      </w:r>
      <w:r w:rsidR="008B2423">
        <w:rPr>
          <w:b/>
        </w:rPr>
        <w:t xml:space="preserve">para la prestación del Servicio Mayorista de Arrendamiento de Enlaces Dedicados Locales, entre Localidades, y de Larga Distancia </w:t>
      </w:r>
      <w:r w:rsidR="003231E5">
        <w:rPr>
          <w:b/>
        </w:rPr>
        <w:t>internacional</w:t>
      </w:r>
      <w:r w:rsidR="003231E5" w:rsidRPr="0042639A">
        <w:rPr>
          <w:rFonts w:eastAsia="Times New Roman"/>
          <w:b/>
          <w:lang w:val="es-ES"/>
        </w:rPr>
        <w:t xml:space="preserve"> y</w:t>
      </w:r>
      <w:r w:rsidR="003845C3">
        <w:rPr>
          <w:rFonts w:eastAsia="Times New Roman"/>
          <w:b/>
          <w:lang w:val="es-ES"/>
        </w:rPr>
        <w:t xml:space="preserve"> su modelo de convenio.</w:t>
      </w:r>
      <w:r w:rsidR="008F440B">
        <w:rPr>
          <w:lang w:val="es-ES"/>
        </w:rPr>
        <w:t xml:space="preserve"> </w:t>
      </w:r>
      <w:r w:rsidR="00283DC0" w:rsidRPr="00283DC0">
        <w:rPr>
          <w:lang w:val="es-ES"/>
        </w:rPr>
        <w:t xml:space="preserve">En cumplimiento </w:t>
      </w:r>
      <w:r w:rsidR="00283DC0">
        <w:rPr>
          <w:lang w:val="es-ES"/>
        </w:rPr>
        <w:t>a lo establecido en</w:t>
      </w:r>
      <w:r w:rsidR="004E4FB9">
        <w:t xml:space="preserve"> el</w:t>
      </w:r>
      <w:r w:rsidR="00533D15" w:rsidRPr="00BD71D3">
        <w:rPr>
          <w:shd w:val="clear" w:color="auto" w:fill="FFFFFF"/>
        </w:rPr>
        <w:t xml:space="preserve"> artículo 268 de la </w:t>
      </w:r>
      <w:r w:rsidR="00533D15">
        <w:rPr>
          <w:shd w:val="clear" w:color="auto" w:fill="FFFFFF"/>
        </w:rPr>
        <w:t>LFTR</w:t>
      </w:r>
      <w:r w:rsidR="00533D15" w:rsidRPr="00BD71D3">
        <w:rPr>
          <w:shd w:val="clear" w:color="auto" w:fill="FFFFFF"/>
        </w:rPr>
        <w:t>, terminada la consulta pública el Instituto contará con 30</w:t>
      </w:r>
      <w:r w:rsidR="00283DC0">
        <w:rPr>
          <w:shd w:val="clear" w:color="auto" w:fill="FFFFFF"/>
        </w:rPr>
        <w:t xml:space="preserve"> (treinta)</w:t>
      </w:r>
      <w:r w:rsidR="00533D15" w:rsidRPr="00BD71D3">
        <w:rPr>
          <w:shd w:val="clear" w:color="auto" w:fill="FFFFFF"/>
        </w:rPr>
        <w:t xml:space="preserve"> días naturales para aprobar o modificar </w:t>
      </w:r>
      <w:r w:rsidR="00BA48C7">
        <w:rPr>
          <w:shd w:val="clear" w:color="auto" w:fill="FFFFFF"/>
        </w:rPr>
        <w:t xml:space="preserve">la Oferta de Referencia </w:t>
      </w:r>
      <w:r w:rsidR="00283DC0">
        <w:rPr>
          <w:shd w:val="clear" w:color="auto" w:fill="FFFFFF"/>
        </w:rPr>
        <w:t xml:space="preserve"> </w:t>
      </w:r>
      <w:r w:rsidR="00283DC0" w:rsidRPr="00E5793A">
        <w:t>para la prestación del Servicio Mayorista de Enlaces Dedicados</w:t>
      </w:r>
      <w:r w:rsidR="00533D15" w:rsidRPr="00BD71D3">
        <w:rPr>
          <w:shd w:val="clear" w:color="auto" w:fill="FFFFFF"/>
        </w:rPr>
        <w:t>,</w:t>
      </w:r>
      <w:r>
        <w:rPr>
          <w:shd w:val="clear" w:color="auto" w:fill="FFFFFF"/>
        </w:rPr>
        <w:t xml:space="preserve"> en tal virtud </w:t>
      </w:r>
      <w:r w:rsidRPr="00BB3B05">
        <w:rPr>
          <w:shd w:val="clear" w:color="auto" w:fill="FFFFFF"/>
        </w:rPr>
        <w:t xml:space="preserve">se actualiza el segundo supuesto, ya que a fin de que la Oferta de Referencia de </w:t>
      </w:r>
      <w:r w:rsidR="00292806">
        <w:rPr>
          <w:shd w:val="clear" w:color="auto" w:fill="FFFFFF"/>
        </w:rPr>
        <w:t xml:space="preserve">Enlaces Dedicados </w:t>
      </w:r>
      <w:r w:rsidR="00292806" w:rsidRPr="00292806">
        <w:rPr>
          <w:shd w:val="clear" w:color="auto" w:fill="FFFFFF"/>
        </w:rPr>
        <w:t>pueda ser aprobada por el Instituto, se debe atender a la obligación de</w:t>
      </w:r>
      <w:r w:rsidR="00533D15" w:rsidRPr="00BD71D3">
        <w:rPr>
          <w:shd w:val="clear" w:color="auto" w:fill="FFFFFF"/>
        </w:rPr>
        <w:t xml:space="preserve"> </w:t>
      </w:r>
      <w:r w:rsidR="006C550E" w:rsidRPr="00BD71D3">
        <w:rPr>
          <w:shd w:val="clear" w:color="auto" w:fill="FFFFFF"/>
        </w:rPr>
        <w:t xml:space="preserve">vigilar </w:t>
      </w:r>
      <w:r w:rsidR="00292806">
        <w:rPr>
          <w:shd w:val="clear" w:color="auto" w:fill="FFFFFF"/>
        </w:rPr>
        <w:t xml:space="preserve"> </w:t>
      </w:r>
      <w:r w:rsidR="00292806" w:rsidRPr="00292806">
        <w:rPr>
          <w:shd w:val="clear" w:color="auto" w:fill="FFFFFF"/>
        </w:rPr>
        <w:t xml:space="preserve">en todo momento </w:t>
      </w:r>
      <w:r w:rsidR="004E4FB9" w:rsidRPr="00BD71D3">
        <w:rPr>
          <w:shd w:val="clear" w:color="auto" w:fill="FFFFFF"/>
        </w:rPr>
        <w:t>que los documentos autorizados cumplan con lo establecido en la legislación aplicable, en la Resolución AEP</w:t>
      </w:r>
      <w:r w:rsidR="008D294F">
        <w:rPr>
          <w:shd w:val="clear" w:color="auto" w:fill="FFFFFF"/>
        </w:rPr>
        <w:t xml:space="preserve"> y</w:t>
      </w:r>
      <w:r w:rsidR="004E4FB9" w:rsidRPr="00BD71D3">
        <w:rPr>
          <w:shd w:val="clear" w:color="auto" w:fill="FFFFFF"/>
        </w:rPr>
        <w:t xml:space="preserve"> la Resolución Bienal</w:t>
      </w:r>
      <w:r w:rsidR="00292806">
        <w:rPr>
          <w:shd w:val="clear" w:color="auto" w:fill="FFFFFF"/>
        </w:rPr>
        <w:t xml:space="preserve">, </w:t>
      </w:r>
      <w:r w:rsidR="00292806" w:rsidRPr="00292806">
        <w:rPr>
          <w:color w:val="auto"/>
        </w:rPr>
        <w:t xml:space="preserve"> </w:t>
      </w:r>
      <w:r w:rsidR="00292806" w:rsidRPr="00AE6682">
        <w:rPr>
          <w:color w:val="auto"/>
        </w:rPr>
        <w:t>y ofrezcan condiciones que favorezcan la competencia en el sector</w:t>
      </w:r>
      <w:r w:rsidR="00292806" w:rsidRPr="00AE6682">
        <w:rPr>
          <w:shd w:val="clear" w:color="auto" w:fill="FFFFFF"/>
        </w:rPr>
        <w:t xml:space="preserve">. </w:t>
      </w:r>
    </w:p>
    <w:p w14:paraId="4BDBA93D" w14:textId="77777777" w:rsidR="004F575C" w:rsidRDefault="00292806" w:rsidP="004F575C">
      <w:pPr>
        <w:spacing w:before="240" w:after="0" w:line="276" w:lineRule="auto"/>
        <w:jc w:val="both"/>
        <w:rPr>
          <w:rFonts w:ascii="ITC Avant Garde" w:hAnsi="ITC Avant Garde"/>
          <w:shd w:val="clear" w:color="auto" w:fill="FFFFFF"/>
        </w:rPr>
      </w:pPr>
      <w:r w:rsidRPr="00292806">
        <w:rPr>
          <w:rFonts w:ascii="ITC Avant Garde" w:hAnsi="ITC Avant Garde"/>
          <w:shd w:val="clear" w:color="auto" w:fill="FFFFFF"/>
        </w:rPr>
        <w:t>Por ello a continuación se procede a analizar aquellas condiciones contenidas en la Oferta de Referencia</w:t>
      </w:r>
      <w:r>
        <w:rPr>
          <w:rFonts w:ascii="ITC Avant Garde" w:hAnsi="ITC Avant Garde"/>
          <w:shd w:val="clear" w:color="auto" w:fill="FFFFFF"/>
        </w:rPr>
        <w:t xml:space="preserve"> de Enlaces Dedicados y en el modelo de convenio </w:t>
      </w:r>
      <w:r w:rsidRPr="00292806">
        <w:rPr>
          <w:rFonts w:ascii="ITC Avant Garde" w:hAnsi="ITC Avant Garde"/>
          <w:shd w:val="clear" w:color="auto" w:fill="FFFFFF"/>
        </w:rPr>
        <w:t xml:space="preserve">presentados por el AEP, por lo que hace a aquellas situaciones que no se ajustan a lo establecido en las Medidas </w:t>
      </w:r>
      <w:r w:rsidR="00076BDD">
        <w:rPr>
          <w:rFonts w:ascii="ITC Avant Garde" w:hAnsi="ITC Avant Garde"/>
          <w:shd w:val="clear" w:color="auto" w:fill="FFFFFF"/>
        </w:rPr>
        <w:t>Fijas</w:t>
      </w:r>
      <w:r w:rsidR="00076BDD" w:rsidRPr="00292806">
        <w:rPr>
          <w:rFonts w:ascii="ITC Avant Garde" w:hAnsi="ITC Avant Garde"/>
          <w:shd w:val="clear" w:color="auto" w:fill="FFFFFF"/>
        </w:rPr>
        <w:t xml:space="preserve"> </w:t>
      </w:r>
      <w:r w:rsidRPr="00292806">
        <w:rPr>
          <w:rFonts w:ascii="ITC Avant Garde" w:hAnsi="ITC Avant Garde"/>
          <w:shd w:val="clear" w:color="auto" w:fill="FFFFFF"/>
        </w:rPr>
        <w:t xml:space="preserve">o que a juicio del Instituto no ofrecen condiciones favorables para la competencia en el sector, así como que no se establezcan condiciones que inhiban la competencia, ni que solicite requisitos que no sean necesarios para la eficiente prestación del servicio, que no existan condiciones discriminatorias y/o abusivas en la prestación de los mismos. </w:t>
      </w:r>
    </w:p>
    <w:p w14:paraId="0645DC55" w14:textId="77777777" w:rsidR="004F575C" w:rsidRDefault="008B537A" w:rsidP="004F575C">
      <w:pPr>
        <w:spacing w:before="240" w:after="0" w:line="240" w:lineRule="auto"/>
        <w:jc w:val="both"/>
        <w:rPr>
          <w:rFonts w:ascii="ITC Avant Garde" w:hAnsi="ITC Avant Garde"/>
          <w:shd w:val="clear" w:color="auto" w:fill="FFFFFF"/>
        </w:rPr>
      </w:pPr>
      <w:r w:rsidRPr="004D50BA">
        <w:rPr>
          <w:rFonts w:ascii="ITC Avant Garde" w:hAnsi="ITC Avant Garde"/>
          <w:shd w:val="clear" w:color="auto" w:fill="FFFFFF"/>
        </w:rPr>
        <w:t xml:space="preserve">Dentro de la Oferta de Referencia de </w:t>
      </w:r>
      <w:r w:rsidR="00971F62">
        <w:rPr>
          <w:rFonts w:ascii="ITC Avant Garde" w:hAnsi="ITC Avant Garde"/>
          <w:shd w:val="clear" w:color="auto" w:fill="FFFFFF"/>
        </w:rPr>
        <w:t>Enlaces Dedicados</w:t>
      </w:r>
      <w:r w:rsidR="00971F62" w:rsidRPr="004D50BA">
        <w:rPr>
          <w:rFonts w:ascii="ITC Avant Garde" w:hAnsi="ITC Avant Garde"/>
          <w:shd w:val="clear" w:color="auto" w:fill="FFFFFF"/>
        </w:rPr>
        <w:t xml:space="preserve"> </w:t>
      </w:r>
      <w:r w:rsidRPr="004D50BA">
        <w:rPr>
          <w:rFonts w:ascii="ITC Avant Garde" w:hAnsi="ITC Avant Garde"/>
          <w:shd w:val="clear" w:color="auto" w:fill="FFFFFF"/>
        </w:rPr>
        <w:t>está la siguiente información relevante:</w:t>
      </w:r>
    </w:p>
    <w:p w14:paraId="0A34CDB8" w14:textId="44F8579C" w:rsidR="008B537A" w:rsidRPr="00E5793A" w:rsidRDefault="008B537A" w:rsidP="00B04B36">
      <w:pPr>
        <w:pStyle w:val="Prrafodelista"/>
        <w:numPr>
          <w:ilvl w:val="0"/>
          <w:numId w:val="10"/>
        </w:numPr>
        <w:spacing w:before="240" w:after="0" w:line="240" w:lineRule="auto"/>
        <w:jc w:val="both"/>
        <w:rPr>
          <w:rFonts w:ascii="ITC Avant Garde" w:hAnsi="ITC Avant Garde"/>
          <w:shd w:val="clear" w:color="auto" w:fill="FFFFFF"/>
        </w:rPr>
      </w:pPr>
      <w:r w:rsidRPr="00E5793A">
        <w:rPr>
          <w:rFonts w:ascii="ITC Avant Garde" w:hAnsi="ITC Avant Garde"/>
          <w:shd w:val="clear" w:color="auto" w:fill="FFFFFF"/>
        </w:rPr>
        <w:lastRenderedPageBreak/>
        <w:t>Oferta de Servicios</w:t>
      </w:r>
    </w:p>
    <w:p w14:paraId="26C4CB3C" w14:textId="6AEC1887" w:rsidR="008B537A" w:rsidRDefault="0031452E" w:rsidP="00B04B36">
      <w:pPr>
        <w:pStyle w:val="Prrafodelista"/>
        <w:numPr>
          <w:ilvl w:val="0"/>
          <w:numId w:val="10"/>
        </w:numPr>
        <w:spacing w:before="240" w:after="0" w:line="240" w:lineRule="auto"/>
        <w:jc w:val="both"/>
        <w:rPr>
          <w:rFonts w:ascii="ITC Avant Garde" w:hAnsi="ITC Avant Garde"/>
          <w:shd w:val="clear" w:color="auto" w:fill="FFFFFF"/>
        </w:rPr>
      </w:pPr>
      <w:r w:rsidRPr="00E5793A">
        <w:rPr>
          <w:rFonts w:ascii="ITC Avant Garde" w:hAnsi="ITC Avant Garde"/>
          <w:shd w:val="clear" w:color="auto" w:fill="FFFFFF"/>
        </w:rPr>
        <w:t>Servicio Comercial de Telecomunicaciones</w:t>
      </w:r>
    </w:p>
    <w:p w14:paraId="76000FAA" w14:textId="096A2F58" w:rsidR="00CF577C" w:rsidRDefault="00CF577C" w:rsidP="00B04B36">
      <w:pPr>
        <w:pStyle w:val="Prrafodelista"/>
        <w:numPr>
          <w:ilvl w:val="0"/>
          <w:numId w:val="10"/>
        </w:numPr>
        <w:spacing w:before="240" w:after="0" w:line="240" w:lineRule="auto"/>
        <w:jc w:val="both"/>
        <w:rPr>
          <w:rFonts w:ascii="ITC Avant Garde" w:hAnsi="ITC Avant Garde"/>
          <w:shd w:val="clear" w:color="auto" w:fill="FFFFFF"/>
        </w:rPr>
      </w:pPr>
      <w:r>
        <w:rPr>
          <w:rFonts w:ascii="ITC Avant Garde" w:hAnsi="ITC Avant Garde"/>
          <w:shd w:val="clear" w:color="auto" w:fill="FFFFFF"/>
        </w:rPr>
        <w:t xml:space="preserve">Capacidad de servicios y </w:t>
      </w:r>
      <w:r w:rsidR="00B24500">
        <w:rPr>
          <w:rFonts w:ascii="ITC Avant Garde" w:hAnsi="ITC Avant Garde"/>
          <w:shd w:val="clear" w:color="auto" w:fill="FFFFFF"/>
        </w:rPr>
        <w:t xml:space="preserve">Plazos </w:t>
      </w:r>
      <w:r>
        <w:rPr>
          <w:rFonts w:ascii="ITC Avant Garde" w:hAnsi="ITC Avant Garde"/>
          <w:shd w:val="clear" w:color="auto" w:fill="FFFFFF"/>
        </w:rPr>
        <w:t xml:space="preserve">de </w:t>
      </w:r>
      <w:r w:rsidR="00B24500">
        <w:rPr>
          <w:rFonts w:ascii="ITC Avant Garde" w:hAnsi="ITC Avant Garde"/>
          <w:shd w:val="clear" w:color="auto" w:fill="FFFFFF"/>
        </w:rPr>
        <w:t>Entrega</w:t>
      </w:r>
    </w:p>
    <w:p w14:paraId="0F4C162F" w14:textId="4F753E9C" w:rsidR="00CF577C" w:rsidRPr="00E5793A" w:rsidRDefault="00CF577C" w:rsidP="00B04B36">
      <w:pPr>
        <w:pStyle w:val="Prrafodelista"/>
        <w:numPr>
          <w:ilvl w:val="0"/>
          <w:numId w:val="10"/>
        </w:numPr>
        <w:spacing w:before="240" w:after="0" w:line="240" w:lineRule="auto"/>
        <w:jc w:val="both"/>
        <w:rPr>
          <w:rFonts w:ascii="ITC Avant Garde" w:hAnsi="ITC Avant Garde"/>
          <w:shd w:val="clear" w:color="auto" w:fill="FFFFFF"/>
        </w:rPr>
      </w:pPr>
      <w:r>
        <w:rPr>
          <w:rFonts w:ascii="ITC Avant Garde" w:hAnsi="ITC Avant Garde"/>
          <w:shd w:val="clear" w:color="auto" w:fill="FFFFFF"/>
        </w:rPr>
        <w:t xml:space="preserve">Tiempos de reparación de </w:t>
      </w:r>
      <w:r w:rsidR="00B24500">
        <w:rPr>
          <w:rFonts w:ascii="ITC Avant Garde" w:hAnsi="ITC Avant Garde"/>
          <w:shd w:val="clear" w:color="auto" w:fill="FFFFFF"/>
        </w:rPr>
        <w:t>fallas</w:t>
      </w:r>
    </w:p>
    <w:p w14:paraId="66B589E5" w14:textId="7E75F318" w:rsidR="008B537A" w:rsidRPr="00E5793A" w:rsidRDefault="0098091D" w:rsidP="00B04B36">
      <w:pPr>
        <w:pStyle w:val="Prrafodelista"/>
        <w:numPr>
          <w:ilvl w:val="0"/>
          <w:numId w:val="10"/>
        </w:numPr>
        <w:spacing w:before="240" w:after="0" w:line="240" w:lineRule="auto"/>
        <w:jc w:val="both"/>
        <w:rPr>
          <w:rFonts w:ascii="ITC Avant Garde" w:hAnsi="ITC Avant Garde"/>
          <w:shd w:val="clear" w:color="auto" w:fill="FFFFFF"/>
        </w:rPr>
      </w:pPr>
      <w:r w:rsidRPr="00E5793A">
        <w:rPr>
          <w:rFonts w:ascii="ITC Avant Garde" w:hAnsi="ITC Avant Garde"/>
          <w:shd w:val="clear" w:color="auto" w:fill="FFFFFF"/>
        </w:rPr>
        <w:t>Fianza</w:t>
      </w:r>
    </w:p>
    <w:p w14:paraId="600F8BC7" w14:textId="77777777" w:rsidR="004F575C" w:rsidRDefault="0098091D" w:rsidP="00B04B36">
      <w:pPr>
        <w:pStyle w:val="Prrafodelista"/>
        <w:numPr>
          <w:ilvl w:val="0"/>
          <w:numId w:val="10"/>
        </w:numPr>
        <w:spacing w:before="240" w:after="0" w:line="240" w:lineRule="auto"/>
        <w:jc w:val="both"/>
        <w:rPr>
          <w:rFonts w:ascii="ITC Avant Garde" w:hAnsi="ITC Avant Garde"/>
          <w:shd w:val="clear" w:color="auto" w:fill="FFFFFF"/>
        </w:rPr>
      </w:pPr>
      <w:r w:rsidRPr="00E5793A">
        <w:rPr>
          <w:rFonts w:ascii="ITC Avant Garde" w:hAnsi="ITC Avant Garde"/>
          <w:shd w:val="clear" w:color="auto" w:fill="FFFFFF"/>
        </w:rPr>
        <w:t>Formalización</w:t>
      </w:r>
    </w:p>
    <w:p w14:paraId="6D4BE239" w14:textId="77777777" w:rsidR="004F575C" w:rsidRDefault="00241B92" w:rsidP="004F575C">
      <w:pPr>
        <w:pStyle w:val="IFT1"/>
        <w:spacing w:before="240" w:after="0"/>
        <w:ind w:right="49"/>
        <w:rPr>
          <w:rFonts w:cs="Arial"/>
        </w:rPr>
      </w:pPr>
      <w:r w:rsidRPr="00BD71D3">
        <w:rPr>
          <w:rFonts w:cs="Arial"/>
        </w:rPr>
        <w:t xml:space="preserve">Asimismo, como parte integrante de la </w:t>
      </w:r>
      <w:r w:rsidR="00023988">
        <w:rPr>
          <w:rFonts w:cs="Arial"/>
        </w:rPr>
        <w:t xml:space="preserve">Oferta de Referencia </w:t>
      </w:r>
      <w:r w:rsidR="00971F62">
        <w:rPr>
          <w:rFonts w:cs="Arial"/>
        </w:rPr>
        <w:t>de Enlaces Dedicados</w:t>
      </w:r>
      <w:r w:rsidRPr="00BD71D3">
        <w:rPr>
          <w:rFonts w:cs="Arial"/>
        </w:rPr>
        <w:t>, se incluyen los siguientes anexos:</w:t>
      </w:r>
    </w:p>
    <w:p w14:paraId="0FE04A39" w14:textId="4F72419C" w:rsidR="00BB4498" w:rsidRPr="00E5793A" w:rsidRDefault="00241B92" w:rsidP="00B04B36">
      <w:pPr>
        <w:pStyle w:val="Prrafodelista"/>
        <w:numPr>
          <w:ilvl w:val="0"/>
          <w:numId w:val="11"/>
        </w:numPr>
        <w:spacing w:before="240" w:after="0" w:line="240" w:lineRule="auto"/>
        <w:ind w:left="709"/>
        <w:jc w:val="both"/>
        <w:rPr>
          <w:rFonts w:ascii="ITC Avant Garde" w:hAnsi="ITC Avant Garde"/>
          <w:shd w:val="clear" w:color="auto" w:fill="FFFFFF"/>
        </w:rPr>
      </w:pPr>
      <w:r w:rsidRPr="00E5793A">
        <w:rPr>
          <w:rFonts w:ascii="ITC Avant Garde" w:hAnsi="ITC Avant Garde"/>
          <w:shd w:val="clear" w:color="auto" w:fill="FFFFFF"/>
        </w:rPr>
        <w:t xml:space="preserve">Anexo </w:t>
      </w:r>
      <w:r w:rsidR="00BB4498" w:rsidRPr="00E5793A">
        <w:rPr>
          <w:rFonts w:ascii="ITC Avant Garde" w:hAnsi="ITC Avant Garde"/>
          <w:shd w:val="clear" w:color="auto" w:fill="FFFFFF"/>
        </w:rPr>
        <w:t>“A” Acta de Recepción</w:t>
      </w:r>
    </w:p>
    <w:p w14:paraId="2A8C1A91" w14:textId="4CC6B680" w:rsidR="00BB4498" w:rsidRPr="00E5793A" w:rsidRDefault="00241B92" w:rsidP="00B04B36">
      <w:pPr>
        <w:pStyle w:val="Prrafodelista"/>
        <w:numPr>
          <w:ilvl w:val="0"/>
          <w:numId w:val="11"/>
        </w:numPr>
        <w:spacing w:before="240" w:after="0" w:line="240" w:lineRule="auto"/>
        <w:ind w:left="709"/>
        <w:jc w:val="both"/>
        <w:rPr>
          <w:rFonts w:ascii="ITC Avant Garde" w:hAnsi="ITC Avant Garde"/>
          <w:shd w:val="clear" w:color="auto" w:fill="FFFFFF"/>
        </w:rPr>
      </w:pPr>
      <w:r w:rsidRPr="00E5793A">
        <w:rPr>
          <w:rFonts w:ascii="ITC Avant Garde" w:hAnsi="ITC Avant Garde"/>
          <w:shd w:val="clear" w:color="auto" w:fill="FFFFFF"/>
        </w:rPr>
        <w:t xml:space="preserve">Anexo </w:t>
      </w:r>
      <w:r w:rsidR="00BB4498" w:rsidRPr="00E5793A">
        <w:rPr>
          <w:rFonts w:ascii="ITC Avant Garde" w:hAnsi="ITC Avant Garde"/>
          <w:shd w:val="clear" w:color="auto" w:fill="FFFFFF"/>
        </w:rPr>
        <w:t>“B” Formato de Solicitud de Servicio</w:t>
      </w:r>
    </w:p>
    <w:p w14:paraId="5BE3E672" w14:textId="05FDA5D0" w:rsidR="00BB4498" w:rsidRPr="00E5793A" w:rsidRDefault="00241B92" w:rsidP="00B04B36">
      <w:pPr>
        <w:pStyle w:val="Prrafodelista"/>
        <w:numPr>
          <w:ilvl w:val="0"/>
          <w:numId w:val="11"/>
        </w:numPr>
        <w:spacing w:before="240" w:after="0" w:line="240" w:lineRule="auto"/>
        <w:ind w:left="709"/>
        <w:jc w:val="both"/>
        <w:rPr>
          <w:rFonts w:ascii="ITC Avant Garde" w:hAnsi="ITC Avant Garde"/>
        </w:rPr>
      </w:pPr>
      <w:r w:rsidRPr="00E5793A">
        <w:rPr>
          <w:rFonts w:ascii="ITC Avant Garde" w:hAnsi="ITC Avant Garde"/>
          <w:shd w:val="clear" w:color="auto" w:fill="FFFFFF"/>
        </w:rPr>
        <w:t xml:space="preserve">Anexo </w:t>
      </w:r>
      <w:r w:rsidR="00BB4498" w:rsidRPr="00E5793A">
        <w:rPr>
          <w:rFonts w:ascii="ITC Avant Garde" w:hAnsi="ITC Avant Garde"/>
          <w:shd w:val="clear" w:color="auto" w:fill="FFFFFF"/>
        </w:rPr>
        <w:t>“C” Acuerdo de Calidad y Suministro de Servicio</w:t>
      </w:r>
    </w:p>
    <w:p w14:paraId="510C7EFA" w14:textId="55FD1C6E" w:rsidR="00BB4498" w:rsidRPr="00E5793A" w:rsidRDefault="00241B92" w:rsidP="00B04B36">
      <w:pPr>
        <w:pStyle w:val="Prrafodelista"/>
        <w:numPr>
          <w:ilvl w:val="0"/>
          <w:numId w:val="11"/>
        </w:numPr>
        <w:spacing w:before="240" w:after="0" w:line="240" w:lineRule="auto"/>
        <w:ind w:left="709"/>
        <w:jc w:val="both"/>
        <w:rPr>
          <w:rFonts w:ascii="ITC Avant Garde" w:hAnsi="ITC Avant Garde"/>
        </w:rPr>
      </w:pPr>
      <w:r w:rsidRPr="00E5793A">
        <w:rPr>
          <w:rFonts w:ascii="ITC Avant Garde" w:hAnsi="ITC Avant Garde"/>
          <w:shd w:val="clear" w:color="auto" w:fill="FFFFFF"/>
        </w:rPr>
        <w:t xml:space="preserve">Anexo </w:t>
      </w:r>
      <w:r w:rsidR="00BB4498" w:rsidRPr="00E5793A">
        <w:rPr>
          <w:rFonts w:ascii="ITC Avant Garde" w:hAnsi="ITC Avant Garde"/>
          <w:shd w:val="clear" w:color="auto" w:fill="FFFFFF"/>
        </w:rPr>
        <w:t>“D” Procedimiento de Entrega/Recepción</w:t>
      </w:r>
    </w:p>
    <w:p w14:paraId="6770154F" w14:textId="37E91B19" w:rsidR="00BB4498" w:rsidRPr="00E5793A" w:rsidRDefault="00241B92" w:rsidP="00B04B36">
      <w:pPr>
        <w:pStyle w:val="Prrafodelista"/>
        <w:numPr>
          <w:ilvl w:val="0"/>
          <w:numId w:val="11"/>
        </w:numPr>
        <w:spacing w:before="240" w:after="0" w:line="240" w:lineRule="auto"/>
        <w:ind w:left="709"/>
        <w:jc w:val="both"/>
        <w:rPr>
          <w:rFonts w:ascii="ITC Avant Garde" w:hAnsi="ITC Avant Garde"/>
        </w:rPr>
      </w:pPr>
      <w:r w:rsidRPr="00E5793A">
        <w:rPr>
          <w:rFonts w:ascii="ITC Avant Garde" w:hAnsi="ITC Avant Garde"/>
          <w:shd w:val="clear" w:color="auto" w:fill="FFFFFF"/>
        </w:rPr>
        <w:t xml:space="preserve">Anexo </w:t>
      </w:r>
      <w:r w:rsidR="00BB4498" w:rsidRPr="00E5793A">
        <w:rPr>
          <w:rFonts w:ascii="ITC Avant Garde" w:hAnsi="ITC Avant Garde"/>
          <w:shd w:val="clear" w:color="auto" w:fill="FFFFFF"/>
        </w:rPr>
        <w:t>“E” Norma y Especificaciones de Construcción Local-Cliente para su Conexión a la Red Digital de Acceso</w:t>
      </w:r>
    </w:p>
    <w:p w14:paraId="51EE6565" w14:textId="0DCBEAA7" w:rsidR="00BB4498" w:rsidRPr="00E5793A" w:rsidRDefault="00241B92" w:rsidP="00B04B36">
      <w:pPr>
        <w:pStyle w:val="Prrafodelista"/>
        <w:numPr>
          <w:ilvl w:val="0"/>
          <w:numId w:val="11"/>
        </w:numPr>
        <w:spacing w:before="240" w:after="0" w:line="240" w:lineRule="auto"/>
        <w:ind w:left="709"/>
        <w:jc w:val="both"/>
        <w:rPr>
          <w:rFonts w:ascii="ITC Avant Garde" w:hAnsi="ITC Avant Garde"/>
        </w:rPr>
      </w:pPr>
      <w:r w:rsidRPr="00E5793A">
        <w:rPr>
          <w:rFonts w:ascii="ITC Avant Garde" w:hAnsi="ITC Avant Garde"/>
          <w:shd w:val="clear" w:color="auto" w:fill="FFFFFF"/>
        </w:rPr>
        <w:t xml:space="preserve">Anexo </w:t>
      </w:r>
      <w:r w:rsidR="00BB4498" w:rsidRPr="00E5793A">
        <w:rPr>
          <w:rFonts w:ascii="ITC Avant Garde" w:hAnsi="ITC Avant Garde"/>
          <w:shd w:val="clear" w:color="auto" w:fill="FFFFFF"/>
        </w:rPr>
        <w:t>“F” Procedimiento de Acceso a Sitios</w:t>
      </w:r>
    </w:p>
    <w:p w14:paraId="41B4AA89" w14:textId="168A84D6" w:rsidR="00BB4498" w:rsidRPr="00E5793A" w:rsidRDefault="00A478DC" w:rsidP="00B04B36">
      <w:pPr>
        <w:pStyle w:val="Prrafodelista"/>
        <w:numPr>
          <w:ilvl w:val="0"/>
          <w:numId w:val="11"/>
        </w:numPr>
        <w:spacing w:before="240" w:after="0" w:line="240" w:lineRule="auto"/>
        <w:ind w:left="709"/>
        <w:jc w:val="both"/>
        <w:rPr>
          <w:rFonts w:ascii="ITC Avant Garde" w:hAnsi="ITC Avant Garde"/>
        </w:rPr>
      </w:pPr>
      <w:r w:rsidRPr="00E5793A">
        <w:rPr>
          <w:rFonts w:ascii="ITC Avant Garde" w:hAnsi="ITC Avant Garde"/>
          <w:shd w:val="clear" w:color="auto" w:fill="FFFFFF"/>
        </w:rPr>
        <w:t xml:space="preserve">Anexo </w:t>
      </w:r>
      <w:r w:rsidR="00BB4498" w:rsidRPr="00E5793A">
        <w:rPr>
          <w:rFonts w:ascii="ITC Avant Garde" w:hAnsi="ITC Avant Garde"/>
          <w:shd w:val="clear" w:color="auto" w:fill="FFFFFF"/>
        </w:rPr>
        <w:t>“G” Formato de Pronóstico de Requerimientos de Servicios</w:t>
      </w:r>
    </w:p>
    <w:p w14:paraId="4AFF1140" w14:textId="22EC8A9A" w:rsidR="00BB4498" w:rsidRPr="00E5793A" w:rsidRDefault="00A478DC" w:rsidP="00B04B36">
      <w:pPr>
        <w:pStyle w:val="Prrafodelista"/>
        <w:numPr>
          <w:ilvl w:val="0"/>
          <w:numId w:val="11"/>
        </w:numPr>
        <w:spacing w:before="240" w:after="0" w:line="240" w:lineRule="auto"/>
        <w:ind w:left="709"/>
        <w:jc w:val="both"/>
        <w:rPr>
          <w:rFonts w:ascii="ITC Avant Garde" w:hAnsi="ITC Avant Garde"/>
        </w:rPr>
      </w:pPr>
      <w:r w:rsidRPr="00E5793A">
        <w:rPr>
          <w:rFonts w:ascii="ITC Avant Garde" w:hAnsi="ITC Avant Garde"/>
          <w:shd w:val="clear" w:color="auto" w:fill="FFFFFF"/>
        </w:rPr>
        <w:t xml:space="preserve">Anexo </w:t>
      </w:r>
      <w:r w:rsidR="00BB4498" w:rsidRPr="00E5793A">
        <w:rPr>
          <w:rFonts w:ascii="ITC Avant Garde" w:hAnsi="ITC Avant Garde"/>
          <w:shd w:val="clear" w:color="auto" w:fill="FFFFFF"/>
        </w:rPr>
        <w:t>“H” Tiempos de traslado para atención a fallas</w:t>
      </w:r>
    </w:p>
    <w:p w14:paraId="1247A63B" w14:textId="7BC63C75" w:rsidR="00855563" w:rsidRPr="00E5793A" w:rsidRDefault="00855563" w:rsidP="00B04B36">
      <w:pPr>
        <w:pStyle w:val="Prrafodelista"/>
        <w:numPr>
          <w:ilvl w:val="0"/>
          <w:numId w:val="11"/>
        </w:numPr>
        <w:spacing w:before="240" w:after="0" w:line="240" w:lineRule="auto"/>
        <w:ind w:left="709"/>
        <w:jc w:val="both"/>
        <w:rPr>
          <w:rFonts w:ascii="ITC Avant Garde" w:hAnsi="ITC Avant Garde"/>
        </w:rPr>
      </w:pPr>
      <w:r w:rsidRPr="00E5793A">
        <w:rPr>
          <w:rFonts w:ascii="ITC Avant Garde" w:hAnsi="ITC Avant Garde"/>
          <w:shd w:val="clear" w:color="auto" w:fill="FFFFFF"/>
        </w:rPr>
        <w:t>Modelo de Convenio</w:t>
      </w:r>
    </w:p>
    <w:p w14:paraId="178EA02C" w14:textId="77777777" w:rsidR="004F575C" w:rsidRDefault="00855563" w:rsidP="00B04B36">
      <w:pPr>
        <w:pStyle w:val="Prrafodelista"/>
        <w:numPr>
          <w:ilvl w:val="2"/>
          <w:numId w:val="11"/>
        </w:numPr>
        <w:spacing w:before="240" w:after="0" w:line="240" w:lineRule="auto"/>
        <w:jc w:val="both"/>
        <w:rPr>
          <w:rFonts w:ascii="ITC Avant Garde" w:hAnsi="ITC Avant Garde"/>
        </w:rPr>
      </w:pPr>
      <w:r w:rsidRPr="00E5793A">
        <w:rPr>
          <w:rFonts w:ascii="ITC Avant Garde" w:hAnsi="ITC Avant Garde"/>
          <w:shd w:val="clear" w:color="auto" w:fill="FFFFFF"/>
        </w:rPr>
        <w:t>Anexo A “Tarifas”</w:t>
      </w:r>
    </w:p>
    <w:p w14:paraId="7AF3AD4D" w14:textId="77777777" w:rsidR="004F575C" w:rsidRDefault="008B537A" w:rsidP="004F575C">
      <w:pPr>
        <w:pStyle w:val="IFTnormal"/>
        <w:spacing w:before="240" w:after="0"/>
        <w:rPr>
          <w:color w:val="auto"/>
          <w:lang w:val="es-MX"/>
        </w:rPr>
      </w:pPr>
      <w:r w:rsidRPr="00BD71D3">
        <w:rPr>
          <w:rFonts w:eastAsia="Times New Roman"/>
          <w:bCs/>
          <w:iCs/>
        </w:rPr>
        <w:t>Visto lo anterior, a continuación</w:t>
      </w:r>
      <w:r w:rsidR="009C1F2D" w:rsidRPr="00A478DC">
        <w:rPr>
          <w:rFonts w:eastAsia="Times New Roman"/>
        </w:rPr>
        <w:t>,</w:t>
      </w:r>
      <w:r w:rsidRPr="00BD71D3">
        <w:rPr>
          <w:rFonts w:eastAsia="Times New Roman"/>
          <w:bCs/>
          <w:iCs/>
        </w:rPr>
        <w:t xml:space="preserve"> se procede al análisis de la</w:t>
      </w:r>
      <w:r>
        <w:rPr>
          <w:rFonts w:eastAsia="Times New Roman"/>
          <w:bCs/>
          <w:iCs/>
        </w:rPr>
        <w:t xml:space="preserve">s condiciones contenidas en la </w:t>
      </w:r>
      <w:r w:rsidRPr="00BD71D3">
        <w:rPr>
          <w:rFonts w:eastAsia="Times New Roman"/>
          <w:bCs/>
          <w:iCs/>
        </w:rPr>
        <w:t xml:space="preserve">de </w:t>
      </w:r>
      <w:r w:rsidR="00CF3199">
        <w:rPr>
          <w:rFonts w:eastAsia="Times New Roman"/>
        </w:rPr>
        <w:t>Oferta de Referencia de Enlaces Dedicados</w:t>
      </w:r>
      <w:r w:rsidRPr="00032E2C">
        <w:rPr>
          <w:rFonts w:eastAsia="Times New Roman"/>
        </w:rPr>
        <w:t xml:space="preserve"> de</w:t>
      </w:r>
      <w:r w:rsidRPr="00CB36AF">
        <w:rPr>
          <w:rFonts w:eastAsia="Times New Roman"/>
        </w:rPr>
        <w:t xml:space="preserve"> </w:t>
      </w:r>
      <w:r w:rsidR="00A478DC">
        <w:rPr>
          <w:rFonts w:eastAsia="Times New Roman"/>
          <w:bCs/>
          <w:iCs/>
        </w:rPr>
        <w:t>Telmex</w:t>
      </w:r>
      <w:r w:rsidRPr="00BD71D3">
        <w:rPr>
          <w:rFonts w:eastAsia="Times New Roman"/>
          <w:bCs/>
          <w:iCs/>
        </w:rPr>
        <w:t xml:space="preserve">. </w:t>
      </w:r>
      <w:r w:rsidRPr="00BD71D3">
        <w:rPr>
          <w:color w:val="auto"/>
          <w:lang w:val="es-MX"/>
        </w:rPr>
        <w:t xml:space="preserve"> Por lo que hace a aquellas situaciones que no se ajustan a lo establecido en las Medidas </w:t>
      </w:r>
      <w:r w:rsidR="009C1F2D">
        <w:rPr>
          <w:color w:val="auto"/>
          <w:lang w:val="es-MX"/>
        </w:rPr>
        <w:t>Fijas</w:t>
      </w:r>
      <w:r w:rsidRPr="00BD71D3">
        <w:rPr>
          <w:color w:val="auto"/>
          <w:lang w:val="es-MX"/>
        </w:rPr>
        <w:t xml:space="preserve"> </w:t>
      </w:r>
      <w:r w:rsidR="00AD4071" w:rsidRPr="00AE6682">
        <w:rPr>
          <w:color w:val="auto"/>
          <w:lang w:val="es-MX"/>
        </w:rPr>
        <w:t>o que a juicio del Instituto no favorezcan la competencia</w:t>
      </w:r>
      <w:r w:rsidR="00FD5A47">
        <w:rPr>
          <w:color w:val="auto"/>
          <w:lang w:val="es-MX"/>
        </w:rPr>
        <w:t>.</w:t>
      </w:r>
    </w:p>
    <w:p w14:paraId="199CB1A6" w14:textId="77777777" w:rsidR="004F575C" w:rsidRDefault="004A0D00" w:rsidP="004F575C">
      <w:pPr>
        <w:pStyle w:val="IFTnormal"/>
        <w:spacing w:before="240" w:after="0"/>
        <w:ind w:right="49"/>
        <w:rPr>
          <w:color w:val="auto"/>
          <w:lang w:val="es-MX"/>
        </w:rPr>
      </w:pPr>
      <w:r>
        <w:rPr>
          <w:color w:val="auto"/>
          <w:lang w:val="es-MX"/>
        </w:rPr>
        <w:t>En relación con el</w:t>
      </w:r>
      <w:r w:rsidR="00C6232C">
        <w:rPr>
          <w:color w:val="auto"/>
          <w:lang w:val="es-MX"/>
        </w:rPr>
        <w:t xml:space="preserve"> numeral 1</w:t>
      </w:r>
      <w:r w:rsidR="00E81A0E">
        <w:rPr>
          <w:color w:val="auto"/>
          <w:lang w:val="es-MX"/>
        </w:rPr>
        <w:t xml:space="preserve"> de la </w:t>
      </w:r>
      <w:r w:rsidR="00CF3199">
        <w:rPr>
          <w:color w:val="auto"/>
          <w:lang w:val="es-MX"/>
        </w:rPr>
        <w:t>Oferta de Referencia de Enlaces Dedicados</w:t>
      </w:r>
      <w:r w:rsidR="00C6232C">
        <w:rPr>
          <w:color w:val="auto"/>
          <w:lang w:val="es-MX"/>
        </w:rPr>
        <w:t xml:space="preserve">, se </w:t>
      </w:r>
      <w:r w:rsidR="00732173">
        <w:rPr>
          <w:color w:val="auto"/>
          <w:lang w:val="es-MX"/>
        </w:rPr>
        <w:t>incorpora la definición Autorizado Solicitante para incluir</w:t>
      </w:r>
      <w:r w:rsidR="00C6232C">
        <w:rPr>
          <w:color w:val="auto"/>
          <w:lang w:val="es-MX"/>
        </w:rPr>
        <w:t xml:space="preserve"> a los titulares de autorizaciones de servicios de telecomunicaciones, como potenciales arrendatarios de los servicios de la oferta en comento. </w:t>
      </w:r>
      <w:r w:rsidR="00CB36AF">
        <w:rPr>
          <w:color w:val="auto"/>
          <w:lang w:val="es-MX"/>
        </w:rPr>
        <w:t xml:space="preserve">Asimismo, en el </w:t>
      </w:r>
      <w:r w:rsidR="00B24500">
        <w:rPr>
          <w:color w:val="auto"/>
          <w:lang w:val="es-MX"/>
        </w:rPr>
        <w:t xml:space="preserve">Proemio </w:t>
      </w:r>
      <w:r w:rsidR="00CB36AF">
        <w:rPr>
          <w:color w:val="auto"/>
          <w:lang w:val="es-MX"/>
        </w:rPr>
        <w:t xml:space="preserve">y a lo largo del </w:t>
      </w:r>
      <w:r w:rsidR="001A71DA">
        <w:rPr>
          <w:color w:val="auto"/>
          <w:lang w:val="es-MX"/>
        </w:rPr>
        <w:t>proyecto</w:t>
      </w:r>
      <w:r w:rsidR="00CB36AF">
        <w:rPr>
          <w:color w:val="auto"/>
          <w:lang w:val="es-MX"/>
        </w:rPr>
        <w:t xml:space="preserve"> de la </w:t>
      </w:r>
      <w:r w:rsidR="00CF3199">
        <w:rPr>
          <w:color w:val="auto"/>
          <w:lang w:val="es-MX"/>
        </w:rPr>
        <w:t>Oferta de Referencia de Enlaces Dedicados</w:t>
      </w:r>
      <w:r w:rsidR="00CB36AF">
        <w:rPr>
          <w:color w:val="auto"/>
          <w:lang w:val="es-MX"/>
        </w:rPr>
        <w:t xml:space="preserve">, se incorpora al Autorizado Solicitando como un usuario de la misma. </w:t>
      </w:r>
      <w:r w:rsidR="00C6232C">
        <w:rPr>
          <w:color w:val="auto"/>
          <w:lang w:val="es-MX"/>
        </w:rPr>
        <w:t xml:space="preserve">Ello, con el propósito de ajustarse a lo establecido a la Medida </w:t>
      </w:r>
      <w:r w:rsidR="002661F5">
        <w:rPr>
          <w:color w:val="auto"/>
          <w:lang w:val="es-MX"/>
        </w:rPr>
        <w:t xml:space="preserve">Decimotercera, que establece que el AEP deberá prestar tanto a los </w:t>
      </w:r>
      <w:r w:rsidR="00BF6F0B">
        <w:rPr>
          <w:color w:val="auto"/>
          <w:lang w:val="es-MX"/>
        </w:rPr>
        <w:t xml:space="preserve">Concesionarios Solicitantes </w:t>
      </w:r>
      <w:r w:rsidR="002661F5">
        <w:rPr>
          <w:color w:val="auto"/>
          <w:lang w:val="es-MX"/>
        </w:rPr>
        <w:t xml:space="preserve">como a los </w:t>
      </w:r>
      <w:r w:rsidR="00BF6F0B">
        <w:rPr>
          <w:color w:val="auto"/>
          <w:lang w:val="es-MX"/>
        </w:rPr>
        <w:t>A</w:t>
      </w:r>
      <w:r w:rsidR="002661F5">
        <w:rPr>
          <w:color w:val="auto"/>
          <w:lang w:val="es-MX"/>
        </w:rPr>
        <w:t xml:space="preserve">utorizados </w:t>
      </w:r>
      <w:r w:rsidR="00BF6F0B">
        <w:rPr>
          <w:color w:val="auto"/>
          <w:lang w:val="es-MX"/>
        </w:rPr>
        <w:t>S</w:t>
      </w:r>
      <w:r w:rsidR="002661F5">
        <w:rPr>
          <w:color w:val="auto"/>
          <w:lang w:val="es-MX"/>
        </w:rPr>
        <w:t xml:space="preserve">olicitantes, el </w:t>
      </w:r>
      <w:r w:rsidR="00BF6F0B">
        <w:rPr>
          <w:color w:val="auto"/>
          <w:lang w:val="es-MX"/>
        </w:rPr>
        <w:t xml:space="preserve">Servicio Mayorista </w:t>
      </w:r>
      <w:r w:rsidR="002661F5">
        <w:rPr>
          <w:color w:val="auto"/>
          <w:lang w:val="es-MX"/>
        </w:rPr>
        <w:t xml:space="preserve">de </w:t>
      </w:r>
      <w:r w:rsidR="00BF6F0B">
        <w:rPr>
          <w:color w:val="auto"/>
          <w:lang w:val="es-MX"/>
        </w:rPr>
        <w:t>Enlaces Dedicados</w:t>
      </w:r>
      <w:r w:rsidR="002661F5">
        <w:rPr>
          <w:color w:val="auto"/>
          <w:lang w:val="es-MX"/>
        </w:rPr>
        <w:t>.</w:t>
      </w:r>
      <w:r w:rsidR="000A3355">
        <w:rPr>
          <w:color w:val="auto"/>
          <w:lang w:val="es-MX"/>
        </w:rPr>
        <w:t xml:space="preserve"> </w:t>
      </w:r>
      <w:r w:rsidR="000A292D">
        <w:rPr>
          <w:color w:val="auto"/>
          <w:lang w:val="es-MX"/>
        </w:rPr>
        <w:t>Derivado de este ajuste, se elimina la definición de “Concesionario Solicitante”</w:t>
      </w:r>
      <w:r w:rsidR="00CB44DF">
        <w:rPr>
          <w:color w:val="auto"/>
          <w:lang w:val="es-MX"/>
        </w:rPr>
        <w:t xml:space="preserve"> del numeral 1.4, ya que fue </w:t>
      </w:r>
      <w:r w:rsidR="002E66E9">
        <w:rPr>
          <w:color w:val="auto"/>
          <w:lang w:val="es-MX"/>
        </w:rPr>
        <w:t>sustituida</w:t>
      </w:r>
      <w:r w:rsidR="00CB44DF">
        <w:rPr>
          <w:color w:val="auto"/>
          <w:lang w:val="es-MX"/>
        </w:rPr>
        <w:t xml:space="preserve"> por “Concesionario Solicitante o Autorizado Solicitante” en el documento que se modifica.</w:t>
      </w:r>
    </w:p>
    <w:p w14:paraId="65A7A6B4" w14:textId="77777777" w:rsidR="004F575C" w:rsidRDefault="00AB117C" w:rsidP="004F575C">
      <w:pPr>
        <w:pStyle w:val="IFTnormal"/>
        <w:spacing w:before="240" w:after="0"/>
        <w:ind w:right="49"/>
        <w:rPr>
          <w:color w:val="auto"/>
          <w:lang w:val="es-MX"/>
        </w:rPr>
      </w:pPr>
      <w:r>
        <w:rPr>
          <w:color w:val="auto"/>
          <w:lang w:val="es-MX"/>
        </w:rPr>
        <w:t>Al final de</w:t>
      </w:r>
      <w:r w:rsidR="008A1D89">
        <w:rPr>
          <w:color w:val="auto"/>
          <w:lang w:val="es-MX"/>
        </w:rPr>
        <w:t>l primer párrafo del numeral 1</w:t>
      </w:r>
      <w:r w:rsidR="00E81A0E" w:rsidRPr="00E81A0E">
        <w:rPr>
          <w:color w:val="auto"/>
          <w:lang w:val="es-MX"/>
        </w:rPr>
        <w:t xml:space="preserve"> </w:t>
      </w:r>
      <w:r w:rsidR="00E81A0E">
        <w:rPr>
          <w:color w:val="auto"/>
          <w:lang w:val="es-MX"/>
        </w:rPr>
        <w:t>de</w:t>
      </w:r>
      <w:r w:rsidR="00174C53">
        <w:rPr>
          <w:color w:val="auto"/>
          <w:lang w:val="es-MX"/>
        </w:rPr>
        <w:t xml:space="preserve"> </w:t>
      </w:r>
      <w:r w:rsidR="00E81A0E">
        <w:rPr>
          <w:color w:val="auto"/>
          <w:lang w:val="es-MX"/>
        </w:rPr>
        <w:t xml:space="preserve">la </w:t>
      </w:r>
      <w:r w:rsidR="00CF3199">
        <w:rPr>
          <w:color w:val="auto"/>
          <w:lang w:val="es-MX"/>
        </w:rPr>
        <w:t>Oferta de Referencia de Enlaces Dedicados</w:t>
      </w:r>
      <w:r w:rsidR="008A1D89">
        <w:rPr>
          <w:color w:val="auto"/>
          <w:lang w:val="es-MX"/>
        </w:rPr>
        <w:t>, se define el concepto “Servicio</w:t>
      </w:r>
      <w:r w:rsidR="00466E63">
        <w:rPr>
          <w:color w:val="auto"/>
          <w:lang w:val="es-MX"/>
        </w:rPr>
        <w:t>s</w:t>
      </w:r>
      <w:r w:rsidR="008A1D89">
        <w:rPr>
          <w:color w:val="auto"/>
          <w:lang w:val="es-MX"/>
        </w:rPr>
        <w:t xml:space="preserve">” para referirse de forma </w:t>
      </w:r>
      <w:r w:rsidR="005C7F27">
        <w:rPr>
          <w:color w:val="auto"/>
          <w:lang w:val="es-MX"/>
        </w:rPr>
        <w:t>abreviada</w:t>
      </w:r>
      <w:r w:rsidR="008A1D89">
        <w:rPr>
          <w:color w:val="auto"/>
          <w:lang w:val="es-MX"/>
        </w:rPr>
        <w:t xml:space="preserve"> a </w:t>
      </w:r>
      <w:r w:rsidR="008A1D89">
        <w:rPr>
          <w:color w:val="auto"/>
          <w:lang w:val="es-MX"/>
        </w:rPr>
        <w:lastRenderedPageBreak/>
        <w:t xml:space="preserve">lo largo de la Oferta de Referencia de Enlaces </w:t>
      </w:r>
      <w:r w:rsidR="00FC560B">
        <w:rPr>
          <w:color w:val="auto"/>
          <w:lang w:val="es-MX"/>
        </w:rPr>
        <w:t>Dedicados</w:t>
      </w:r>
      <w:r w:rsidR="008A1D89">
        <w:rPr>
          <w:color w:val="auto"/>
          <w:lang w:val="es-MX"/>
        </w:rPr>
        <w:t>, a los Servicios Mayoristas de Enlaces Dedicados</w:t>
      </w:r>
      <w:r w:rsidR="00FC560B">
        <w:rPr>
          <w:color w:val="auto"/>
          <w:lang w:val="es-MX"/>
        </w:rPr>
        <w:t>.</w:t>
      </w:r>
    </w:p>
    <w:p w14:paraId="57B1A52F" w14:textId="77777777" w:rsidR="004F575C" w:rsidRDefault="00000101" w:rsidP="004F575C">
      <w:pPr>
        <w:pStyle w:val="IFTnormal"/>
        <w:spacing w:before="240" w:after="0"/>
        <w:ind w:right="49"/>
        <w:rPr>
          <w:color w:val="auto"/>
          <w:lang w:val="es-MX"/>
        </w:rPr>
      </w:pPr>
      <w:r>
        <w:rPr>
          <w:color w:val="auto"/>
          <w:lang w:val="es-MX"/>
        </w:rPr>
        <w:t xml:space="preserve">En los numerales 1.1, 1.2 y 1.3 </w:t>
      </w:r>
      <w:r w:rsidR="00E81A0E">
        <w:rPr>
          <w:color w:val="auto"/>
          <w:lang w:val="es-MX"/>
        </w:rPr>
        <w:t xml:space="preserve">de la </w:t>
      </w:r>
      <w:r w:rsidR="00CF3199">
        <w:rPr>
          <w:color w:val="auto"/>
          <w:lang w:val="es-MX"/>
        </w:rPr>
        <w:t>Oferta de Referencia de Enlaces Dedicados</w:t>
      </w:r>
      <w:r w:rsidR="00E81A0E">
        <w:rPr>
          <w:color w:val="auto"/>
          <w:lang w:val="es-MX"/>
        </w:rPr>
        <w:t xml:space="preserve"> </w:t>
      </w:r>
      <w:r>
        <w:rPr>
          <w:color w:val="auto"/>
          <w:lang w:val="es-MX"/>
        </w:rPr>
        <w:t xml:space="preserve">se </w:t>
      </w:r>
      <w:r w:rsidR="00C91E5F">
        <w:rPr>
          <w:color w:val="auto"/>
          <w:lang w:val="es-MX"/>
        </w:rPr>
        <w:t>aclara</w:t>
      </w:r>
      <w:r>
        <w:rPr>
          <w:color w:val="auto"/>
          <w:lang w:val="es-MX"/>
        </w:rPr>
        <w:t xml:space="preserve"> que el servicio mayorista de arrendamiento de enlaces dedicados se presta en </w:t>
      </w:r>
      <w:r w:rsidR="00C91E5F">
        <w:rPr>
          <w:color w:val="auto"/>
          <w:lang w:val="es-MX"/>
        </w:rPr>
        <w:t xml:space="preserve">todo </w:t>
      </w:r>
      <w:r>
        <w:rPr>
          <w:color w:val="auto"/>
          <w:lang w:val="es-MX"/>
        </w:rPr>
        <w:t>el territorio nacional, dentro de las áreas de cobertura establecidas en los títulos de concesión del AEP</w:t>
      </w:r>
      <w:r w:rsidR="00E32555">
        <w:rPr>
          <w:color w:val="auto"/>
          <w:lang w:val="es-MX"/>
        </w:rPr>
        <w:t xml:space="preserve">, lo anterior con el fin de dar claridad </w:t>
      </w:r>
      <w:r w:rsidR="00C91E5F">
        <w:rPr>
          <w:color w:val="auto"/>
          <w:lang w:val="es-MX"/>
        </w:rPr>
        <w:t xml:space="preserve">de que los servicios mayoristas </w:t>
      </w:r>
      <w:r w:rsidR="00E32555">
        <w:rPr>
          <w:color w:val="auto"/>
          <w:lang w:val="es-MX"/>
        </w:rPr>
        <w:t>deberán ser</w:t>
      </w:r>
      <w:r w:rsidR="00C91E5F">
        <w:rPr>
          <w:color w:val="auto"/>
          <w:lang w:val="es-MX"/>
        </w:rPr>
        <w:t xml:space="preserve"> </w:t>
      </w:r>
      <w:r w:rsidR="00E32555">
        <w:rPr>
          <w:color w:val="auto"/>
          <w:lang w:val="es-MX"/>
        </w:rPr>
        <w:t>prestados</w:t>
      </w:r>
      <w:r w:rsidR="00C91E5F">
        <w:rPr>
          <w:color w:val="auto"/>
          <w:lang w:val="es-MX"/>
        </w:rPr>
        <w:t xml:space="preserve"> en todo el territorio nacional, sólo limitado </w:t>
      </w:r>
      <w:r w:rsidR="0068033D">
        <w:rPr>
          <w:color w:val="auto"/>
          <w:lang w:val="es-MX"/>
        </w:rPr>
        <w:t xml:space="preserve">por </w:t>
      </w:r>
      <w:r w:rsidR="00C91E5F">
        <w:rPr>
          <w:color w:val="auto"/>
          <w:lang w:val="es-MX"/>
        </w:rPr>
        <w:t>las áreas de cobertura establecidas en los diversos títulos de concesión</w:t>
      </w:r>
      <w:r w:rsidR="005E2A05">
        <w:rPr>
          <w:color w:val="auto"/>
          <w:lang w:val="es-MX"/>
        </w:rPr>
        <w:t xml:space="preserve"> </w:t>
      </w:r>
      <w:r w:rsidR="00C91E5F">
        <w:rPr>
          <w:color w:val="auto"/>
          <w:lang w:val="es-MX"/>
        </w:rPr>
        <w:t>con los que cuenta el AEP</w:t>
      </w:r>
      <w:r w:rsidR="00BA12B1">
        <w:rPr>
          <w:color w:val="auto"/>
          <w:lang w:val="es-MX"/>
        </w:rPr>
        <w:t>, en este caso, con los que cuenta Telmex</w:t>
      </w:r>
      <w:r w:rsidR="00C91E5F">
        <w:rPr>
          <w:color w:val="auto"/>
          <w:lang w:val="es-MX"/>
        </w:rPr>
        <w:t>.</w:t>
      </w:r>
    </w:p>
    <w:p w14:paraId="01E93F8C" w14:textId="77777777" w:rsidR="004F575C" w:rsidRDefault="00A81748" w:rsidP="004F575C">
      <w:pPr>
        <w:pStyle w:val="IFTnormal"/>
        <w:spacing w:before="240" w:after="0"/>
        <w:ind w:right="49"/>
        <w:rPr>
          <w:color w:val="auto"/>
          <w:lang w:val="es-MX"/>
        </w:rPr>
      </w:pPr>
      <w:r>
        <w:rPr>
          <w:color w:val="auto"/>
          <w:lang w:val="es-MX"/>
        </w:rPr>
        <w:t>Con relación al numeral 1</w:t>
      </w:r>
      <w:r w:rsidR="00E81A0E" w:rsidRPr="00E81A0E">
        <w:rPr>
          <w:color w:val="auto"/>
          <w:lang w:val="es-MX"/>
        </w:rPr>
        <w:t xml:space="preserve"> </w:t>
      </w:r>
      <w:r w:rsidR="00E81A0E">
        <w:rPr>
          <w:color w:val="auto"/>
          <w:lang w:val="es-MX"/>
        </w:rPr>
        <w:t xml:space="preserve">de la </w:t>
      </w:r>
      <w:r w:rsidR="00CF3199">
        <w:rPr>
          <w:color w:val="auto"/>
          <w:lang w:val="es-MX"/>
        </w:rPr>
        <w:t>Oferta de Referencia de Enlaces Dedicados</w:t>
      </w:r>
      <w:r>
        <w:rPr>
          <w:color w:val="auto"/>
          <w:lang w:val="es-MX"/>
        </w:rPr>
        <w:t xml:space="preserve">, se incorpora a la lista de anexos que integran la Oferta, el </w:t>
      </w:r>
      <w:r w:rsidR="002402C2">
        <w:rPr>
          <w:color w:val="auto"/>
          <w:lang w:val="es-MX"/>
        </w:rPr>
        <w:t xml:space="preserve">modelo </w:t>
      </w:r>
      <w:r>
        <w:rPr>
          <w:color w:val="auto"/>
          <w:lang w:val="es-MX"/>
        </w:rPr>
        <w:t xml:space="preserve">de </w:t>
      </w:r>
      <w:r w:rsidR="00111C05">
        <w:rPr>
          <w:color w:val="auto"/>
          <w:lang w:val="es-MX"/>
        </w:rPr>
        <w:t>“</w:t>
      </w:r>
      <w:r w:rsidR="005E38D9">
        <w:rPr>
          <w:color w:val="auto"/>
          <w:lang w:val="es-MX"/>
        </w:rPr>
        <w:t>Modelo de Convenio</w:t>
      </w:r>
      <w:r w:rsidR="00111C05">
        <w:rPr>
          <w:color w:val="auto"/>
          <w:lang w:val="es-MX"/>
        </w:rPr>
        <w:t>”</w:t>
      </w:r>
      <w:r>
        <w:rPr>
          <w:color w:val="auto"/>
          <w:lang w:val="es-MX"/>
        </w:rPr>
        <w:t xml:space="preserve">, así como su respectivo </w:t>
      </w:r>
      <w:r w:rsidR="00F867E4">
        <w:rPr>
          <w:color w:val="auto"/>
          <w:lang w:val="es-MX"/>
        </w:rPr>
        <w:t>A</w:t>
      </w:r>
      <w:r>
        <w:rPr>
          <w:color w:val="auto"/>
          <w:lang w:val="es-MX"/>
        </w:rPr>
        <w:t>nexo</w:t>
      </w:r>
      <w:r w:rsidR="00F867E4">
        <w:rPr>
          <w:color w:val="auto"/>
          <w:lang w:val="es-MX"/>
        </w:rPr>
        <w:t xml:space="preserve"> “A”</w:t>
      </w:r>
      <w:r>
        <w:rPr>
          <w:color w:val="auto"/>
          <w:lang w:val="es-MX"/>
        </w:rPr>
        <w:t xml:space="preserve"> de </w:t>
      </w:r>
      <w:r w:rsidR="00F867E4">
        <w:rPr>
          <w:color w:val="auto"/>
          <w:lang w:val="es-MX"/>
        </w:rPr>
        <w:t>Tarifas</w:t>
      </w:r>
      <w:r>
        <w:rPr>
          <w:color w:val="auto"/>
          <w:lang w:val="es-MX"/>
        </w:rPr>
        <w:t xml:space="preserve">. Con ello, </w:t>
      </w:r>
      <w:r w:rsidR="00785A3B">
        <w:rPr>
          <w:color w:val="auto"/>
          <w:lang w:val="es-MX"/>
        </w:rPr>
        <w:t xml:space="preserve">la Oferta se ajusta a lo establecido en las Medidas Cuadragésima Primera y Cuadragésima Tercera, en el sentido que la misma </w:t>
      </w:r>
      <w:r w:rsidR="00993EDE">
        <w:rPr>
          <w:color w:val="auto"/>
          <w:lang w:val="es-MX"/>
        </w:rPr>
        <w:t xml:space="preserve">debe </w:t>
      </w:r>
      <w:r w:rsidR="002402C2">
        <w:rPr>
          <w:color w:val="auto"/>
          <w:lang w:val="es-MX"/>
        </w:rPr>
        <w:t xml:space="preserve">contener </w:t>
      </w:r>
      <w:r w:rsidR="00785A3B">
        <w:rPr>
          <w:color w:val="auto"/>
          <w:lang w:val="es-MX"/>
        </w:rPr>
        <w:t xml:space="preserve">las tarifas de los </w:t>
      </w:r>
      <w:r w:rsidR="002402C2">
        <w:rPr>
          <w:color w:val="auto"/>
          <w:lang w:val="es-MX"/>
        </w:rPr>
        <w:t>S</w:t>
      </w:r>
      <w:r w:rsidR="00785A3B">
        <w:rPr>
          <w:color w:val="auto"/>
          <w:lang w:val="es-MX"/>
        </w:rPr>
        <w:t xml:space="preserve">ervicios </w:t>
      </w:r>
      <w:r w:rsidR="002402C2">
        <w:rPr>
          <w:color w:val="auto"/>
          <w:lang w:val="es-MX"/>
        </w:rPr>
        <w:t>M</w:t>
      </w:r>
      <w:r w:rsidR="00785A3B">
        <w:rPr>
          <w:color w:val="auto"/>
          <w:lang w:val="es-MX"/>
        </w:rPr>
        <w:t xml:space="preserve">ayoristas de </w:t>
      </w:r>
      <w:r w:rsidR="002402C2">
        <w:rPr>
          <w:color w:val="auto"/>
          <w:lang w:val="es-MX"/>
        </w:rPr>
        <w:t>E</w:t>
      </w:r>
      <w:r w:rsidR="00785A3B">
        <w:rPr>
          <w:color w:val="auto"/>
          <w:lang w:val="es-MX"/>
        </w:rPr>
        <w:t xml:space="preserve">nlaces </w:t>
      </w:r>
      <w:r w:rsidR="002402C2">
        <w:rPr>
          <w:color w:val="auto"/>
          <w:lang w:val="es-MX"/>
        </w:rPr>
        <w:t>D</w:t>
      </w:r>
      <w:r w:rsidR="00785A3B">
        <w:rPr>
          <w:color w:val="auto"/>
          <w:lang w:val="es-MX"/>
        </w:rPr>
        <w:t xml:space="preserve">edicados, así como el </w:t>
      </w:r>
      <w:r w:rsidR="002402C2">
        <w:rPr>
          <w:color w:val="auto"/>
          <w:lang w:val="es-MX"/>
        </w:rPr>
        <w:t xml:space="preserve">modelo </w:t>
      </w:r>
      <w:r w:rsidR="00785A3B">
        <w:rPr>
          <w:color w:val="auto"/>
          <w:lang w:val="es-MX"/>
        </w:rPr>
        <w:t xml:space="preserve">de Convenio </w:t>
      </w:r>
      <w:r w:rsidR="002402C2">
        <w:rPr>
          <w:color w:val="auto"/>
          <w:lang w:val="es-MX"/>
        </w:rPr>
        <w:t>a</w:t>
      </w:r>
      <w:r w:rsidR="00993EDE">
        <w:rPr>
          <w:color w:val="auto"/>
          <w:lang w:val="es-MX"/>
        </w:rPr>
        <w:t xml:space="preserve"> suscribirse entre las partes.</w:t>
      </w:r>
    </w:p>
    <w:p w14:paraId="283A3FAA" w14:textId="77777777" w:rsidR="004F575C" w:rsidRDefault="00E43E4C" w:rsidP="004F575C">
      <w:pPr>
        <w:pStyle w:val="IFTnormal"/>
        <w:spacing w:before="240" w:after="0"/>
        <w:ind w:right="49"/>
        <w:rPr>
          <w:color w:val="auto"/>
          <w:lang w:val="es-MX"/>
        </w:rPr>
      </w:pPr>
      <w:r>
        <w:rPr>
          <w:color w:val="auto"/>
          <w:lang w:val="es-MX"/>
        </w:rPr>
        <w:t xml:space="preserve">A efecto de </w:t>
      </w:r>
      <w:r w:rsidR="00F52576">
        <w:rPr>
          <w:color w:val="auto"/>
          <w:lang w:val="es-MX"/>
        </w:rPr>
        <w:t xml:space="preserve">garantizar </w:t>
      </w:r>
      <w:r w:rsidR="00050D3D">
        <w:rPr>
          <w:color w:val="auto"/>
          <w:lang w:val="es-MX"/>
        </w:rPr>
        <w:t xml:space="preserve">una adecuada comunicación entre Telmex y los Concesionarios </w:t>
      </w:r>
      <w:r w:rsidR="00F52576">
        <w:rPr>
          <w:color w:val="auto"/>
          <w:lang w:val="es-MX"/>
        </w:rPr>
        <w:t xml:space="preserve"> </w:t>
      </w:r>
      <w:r w:rsidR="00050D3D">
        <w:rPr>
          <w:color w:val="auto"/>
          <w:lang w:val="es-MX"/>
        </w:rPr>
        <w:t xml:space="preserve">Solicitantes o Autorizados Solicitantes durante la contratación y prestación </w:t>
      </w:r>
      <w:r w:rsidR="004E18FF">
        <w:rPr>
          <w:color w:val="auto"/>
          <w:lang w:val="es-MX"/>
        </w:rPr>
        <w:t xml:space="preserve">de los Servicios Mayoristas de Enlaces Dedicados, </w:t>
      </w:r>
      <w:r w:rsidR="00050D3D">
        <w:rPr>
          <w:color w:val="auto"/>
          <w:lang w:val="es-MX"/>
        </w:rPr>
        <w:t xml:space="preserve">así como </w:t>
      </w:r>
      <w:r w:rsidR="004E18FF">
        <w:rPr>
          <w:color w:val="auto"/>
          <w:lang w:val="es-MX"/>
        </w:rPr>
        <w:t>realizar cualquier consulta sobre el estado de los trámites</w:t>
      </w:r>
      <w:r w:rsidR="00F52576">
        <w:rPr>
          <w:color w:val="auto"/>
          <w:lang w:val="es-MX"/>
        </w:rPr>
        <w:t xml:space="preserve"> e información </w:t>
      </w:r>
      <w:r w:rsidR="00050D3D">
        <w:rPr>
          <w:color w:val="auto"/>
          <w:lang w:val="es-MX"/>
        </w:rPr>
        <w:t>sobre</w:t>
      </w:r>
      <w:r w:rsidR="00F52576">
        <w:rPr>
          <w:color w:val="auto"/>
          <w:lang w:val="es-MX"/>
        </w:rPr>
        <w:t xml:space="preserve"> la infraestructura del AEP</w:t>
      </w:r>
      <w:r w:rsidR="004E18FF">
        <w:rPr>
          <w:color w:val="auto"/>
          <w:lang w:val="es-MX"/>
        </w:rPr>
        <w:t xml:space="preserve">, </w:t>
      </w:r>
      <w:r w:rsidR="00050D3D">
        <w:rPr>
          <w:color w:val="auto"/>
          <w:lang w:val="es-MX"/>
        </w:rPr>
        <w:t xml:space="preserve">a lo largo de la Oferta de </w:t>
      </w:r>
      <w:r w:rsidR="00FD1090">
        <w:rPr>
          <w:color w:val="auto"/>
          <w:lang w:val="es-MX"/>
        </w:rPr>
        <w:t>Referencia de Enlaces Dedicados</w:t>
      </w:r>
      <w:r w:rsidR="00050D3D">
        <w:rPr>
          <w:color w:val="auto"/>
          <w:lang w:val="es-MX"/>
        </w:rPr>
        <w:t xml:space="preserve"> </w:t>
      </w:r>
      <w:r w:rsidR="000A306E">
        <w:rPr>
          <w:color w:val="auto"/>
          <w:lang w:val="es-MX"/>
        </w:rPr>
        <w:t xml:space="preserve">se incorpora </w:t>
      </w:r>
      <w:r w:rsidR="00B62CEA">
        <w:rPr>
          <w:color w:val="auto"/>
          <w:lang w:val="es-MX"/>
        </w:rPr>
        <w:t>la obligatoriedad</w:t>
      </w:r>
      <w:r w:rsidR="0020748D">
        <w:rPr>
          <w:color w:val="auto"/>
          <w:lang w:val="es-MX"/>
        </w:rPr>
        <w:t xml:space="preserve"> </w:t>
      </w:r>
      <w:r w:rsidR="00C62EBB">
        <w:rPr>
          <w:color w:val="auto"/>
          <w:lang w:val="es-MX"/>
        </w:rPr>
        <w:t xml:space="preserve">por parte de </w:t>
      </w:r>
      <w:r w:rsidR="0020748D">
        <w:rPr>
          <w:color w:val="auto"/>
          <w:lang w:val="es-MX"/>
        </w:rPr>
        <w:t xml:space="preserve">TELMEX, </w:t>
      </w:r>
      <w:r w:rsidR="00F867E4">
        <w:rPr>
          <w:color w:val="auto"/>
          <w:lang w:val="es-MX"/>
        </w:rPr>
        <w:t xml:space="preserve">así como </w:t>
      </w:r>
      <w:r w:rsidR="00B4197D">
        <w:rPr>
          <w:color w:val="auto"/>
          <w:lang w:val="es-MX"/>
        </w:rPr>
        <w:t>d</w:t>
      </w:r>
      <w:r w:rsidR="0020748D">
        <w:rPr>
          <w:color w:val="auto"/>
          <w:lang w:val="es-MX"/>
        </w:rPr>
        <w:t xml:space="preserve">el Concesionario Solicitante y </w:t>
      </w:r>
      <w:r w:rsidR="00B4197D">
        <w:rPr>
          <w:color w:val="auto"/>
          <w:lang w:val="es-MX"/>
        </w:rPr>
        <w:t>d</w:t>
      </w:r>
      <w:r w:rsidR="0020748D">
        <w:rPr>
          <w:color w:val="auto"/>
          <w:lang w:val="es-MX"/>
        </w:rPr>
        <w:t>el Autorizado Solicitante</w:t>
      </w:r>
      <w:r w:rsidR="00B823E0">
        <w:rPr>
          <w:color w:val="auto"/>
          <w:lang w:val="es-MX"/>
        </w:rPr>
        <w:t>,</w:t>
      </w:r>
      <w:r w:rsidR="0020748D">
        <w:rPr>
          <w:color w:val="auto"/>
          <w:lang w:val="es-MX"/>
        </w:rPr>
        <w:t xml:space="preserve"> </w:t>
      </w:r>
      <w:r w:rsidR="00DD3C7E">
        <w:rPr>
          <w:color w:val="auto"/>
          <w:lang w:val="es-MX"/>
        </w:rPr>
        <w:t>para usar</w:t>
      </w:r>
      <w:r w:rsidR="00B62CEA">
        <w:rPr>
          <w:color w:val="auto"/>
          <w:lang w:val="es-MX"/>
        </w:rPr>
        <w:t xml:space="preserve"> </w:t>
      </w:r>
      <w:r w:rsidR="000A306E">
        <w:rPr>
          <w:color w:val="auto"/>
          <w:lang w:val="es-MX"/>
        </w:rPr>
        <w:t xml:space="preserve">el Sistema </w:t>
      </w:r>
      <w:r w:rsidR="00B62CEA">
        <w:rPr>
          <w:color w:val="auto"/>
          <w:lang w:val="es-MX"/>
        </w:rPr>
        <w:t xml:space="preserve">Electrónico de </w:t>
      </w:r>
      <w:r w:rsidR="00DD3C7E">
        <w:rPr>
          <w:color w:val="auto"/>
          <w:lang w:val="es-MX"/>
        </w:rPr>
        <w:t>Gestión</w:t>
      </w:r>
      <w:r w:rsidR="004E18FF">
        <w:rPr>
          <w:color w:val="auto"/>
          <w:lang w:val="es-MX"/>
        </w:rPr>
        <w:t xml:space="preserve"> (en lo sucesivo, el “SEG”)</w:t>
      </w:r>
      <w:r w:rsidR="00DD3C7E">
        <w:rPr>
          <w:color w:val="auto"/>
          <w:lang w:val="es-MX"/>
        </w:rPr>
        <w:t xml:space="preserve">, </w:t>
      </w:r>
      <w:r w:rsidR="0020748D" w:rsidRPr="00C55054">
        <w:rPr>
          <w:color w:val="auto"/>
          <w:lang w:val="es-MX"/>
        </w:rPr>
        <w:t>salvo que exista la imposibilidad técnica para su acceso y operación en el mismo</w:t>
      </w:r>
      <w:r w:rsidR="0010149E">
        <w:rPr>
          <w:color w:val="auto"/>
          <w:lang w:val="es-MX"/>
        </w:rPr>
        <w:t>, y se reitera la obligación del AEP de que pueda dar continuidad a los procedimientos a través de dicho sistema una vez restablecido</w:t>
      </w:r>
      <w:r w:rsidR="0020748D" w:rsidRPr="00C55054">
        <w:rPr>
          <w:color w:val="auto"/>
          <w:lang w:val="es-MX"/>
        </w:rPr>
        <w:t>.</w:t>
      </w:r>
      <w:r w:rsidR="004E18FF">
        <w:rPr>
          <w:color w:val="auto"/>
          <w:lang w:val="es-MX"/>
        </w:rPr>
        <w:t xml:space="preserve"> Ello, de conformidad con lo establecido en la Medida Cuadragésima Segunda de las Medidas Fijas, en el sentido de que el SEG es el mecanismo de comunicación del AEP con los Concesionarios Solicitantes y Autorizados Solicitantes, </w:t>
      </w:r>
      <w:r w:rsidR="003231E5">
        <w:rPr>
          <w:color w:val="auto"/>
          <w:lang w:val="es-MX"/>
        </w:rPr>
        <w:t>incluidos</w:t>
      </w:r>
      <w:r w:rsidR="004E18FF">
        <w:rPr>
          <w:color w:val="auto"/>
          <w:lang w:val="es-MX"/>
        </w:rPr>
        <w:t xml:space="preserve"> el</w:t>
      </w:r>
      <w:r w:rsidR="00FD1090">
        <w:rPr>
          <w:color w:val="auto"/>
          <w:lang w:val="es-MX"/>
        </w:rPr>
        <w:t xml:space="preserve"> p</w:t>
      </w:r>
      <w:r w:rsidR="004E18FF">
        <w:rPr>
          <w:color w:val="auto"/>
          <w:lang w:val="es-MX"/>
        </w:rPr>
        <w:t>r</w:t>
      </w:r>
      <w:r w:rsidR="00FD1090">
        <w:rPr>
          <w:color w:val="auto"/>
          <w:lang w:val="es-MX"/>
        </w:rPr>
        <w:t>o</w:t>
      </w:r>
      <w:r w:rsidR="004E18FF">
        <w:rPr>
          <w:color w:val="auto"/>
          <w:lang w:val="es-MX"/>
        </w:rPr>
        <w:t xml:space="preserve">pio AEP y las empresas </w:t>
      </w:r>
      <w:r w:rsidR="00223040">
        <w:rPr>
          <w:color w:val="auto"/>
          <w:lang w:val="es-MX"/>
        </w:rPr>
        <w:t>pertenecientes</w:t>
      </w:r>
      <w:r w:rsidR="004E18FF">
        <w:rPr>
          <w:color w:val="auto"/>
          <w:lang w:val="es-MX"/>
        </w:rPr>
        <w:t xml:space="preserve"> y relacionadas con éste.</w:t>
      </w:r>
    </w:p>
    <w:p w14:paraId="3B958BD0" w14:textId="77777777" w:rsidR="004F575C" w:rsidRDefault="00481177" w:rsidP="004F575C">
      <w:pPr>
        <w:pStyle w:val="IFTnormal"/>
        <w:spacing w:before="240" w:after="0"/>
        <w:ind w:right="49"/>
        <w:rPr>
          <w:color w:val="auto"/>
          <w:lang w:val="es-MX"/>
        </w:rPr>
      </w:pPr>
      <w:r>
        <w:rPr>
          <w:color w:val="auto"/>
          <w:lang w:val="es-MX"/>
        </w:rPr>
        <w:t xml:space="preserve">Para que el Concesionario Solicitante o Autorizado Solicitante </w:t>
      </w:r>
      <w:r w:rsidR="00B166D9">
        <w:rPr>
          <w:color w:val="auto"/>
          <w:lang w:val="es-MX"/>
        </w:rPr>
        <w:t xml:space="preserve">estén en condiciones de </w:t>
      </w:r>
      <w:r>
        <w:rPr>
          <w:color w:val="auto"/>
          <w:lang w:val="es-MX"/>
        </w:rPr>
        <w:t>comercializar las mismas velocidades que Telmex oferta a sus usuarios finales, e</w:t>
      </w:r>
      <w:r w:rsidR="00AE44E4">
        <w:rPr>
          <w:color w:val="auto"/>
          <w:lang w:val="es-MX"/>
        </w:rPr>
        <w:t xml:space="preserve">n </w:t>
      </w:r>
      <w:r w:rsidR="00451D94">
        <w:rPr>
          <w:color w:val="auto"/>
          <w:lang w:val="es-MX"/>
        </w:rPr>
        <w:t>los</w:t>
      </w:r>
      <w:r w:rsidR="00AE44E4">
        <w:rPr>
          <w:color w:val="auto"/>
          <w:lang w:val="es-MX"/>
        </w:rPr>
        <w:t xml:space="preserve"> numeral</w:t>
      </w:r>
      <w:r w:rsidR="00451D94">
        <w:rPr>
          <w:color w:val="auto"/>
          <w:lang w:val="es-MX"/>
        </w:rPr>
        <w:t>es</w:t>
      </w:r>
      <w:r w:rsidR="00AE44E4">
        <w:rPr>
          <w:color w:val="auto"/>
          <w:lang w:val="es-MX"/>
        </w:rPr>
        <w:t xml:space="preserve"> 2.1</w:t>
      </w:r>
      <w:r w:rsidR="00FD3990">
        <w:rPr>
          <w:color w:val="auto"/>
          <w:lang w:val="es-MX"/>
        </w:rPr>
        <w:t>,</w:t>
      </w:r>
      <w:r w:rsidR="00451D94">
        <w:rPr>
          <w:color w:val="auto"/>
          <w:lang w:val="es-MX"/>
        </w:rPr>
        <w:t xml:space="preserve"> 2.3 </w:t>
      </w:r>
      <w:r w:rsidR="00FD3990">
        <w:rPr>
          <w:color w:val="auto"/>
          <w:lang w:val="es-MX"/>
        </w:rPr>
        <w:t xml:space="preserve">y 2.4.1.1 </w:t>
      </w:r>
      <w:r w:rsidR="00E81A0E">
        <w:rPr>
          <w:color w:val="auto"/>
          <w:lang w:val="es-MX"/>
        </w:rPr>
        <w:t xml:space="preserve">de la </w:t>
      </w:r>
      <w:r w:rsidR="00CF3199">
        <w:rPr>
          <w:color w:val="auto"/>
          <w:lang w:val="es-MX"/>
        </w:rPr>
        <w:t>Oferta de Referencia de Enlaces Dedicados</w:t>
      </w:r>
      <w:r w:rsidR="00E81A0E">
        <w:rPr>
          <w:color w:val="auto"/>
          <w:lang w:val="es-MX"/>
        </w:rPr>
        <w:t xml:space="preserve"> </w:t>
      </w:r>
      <w:r w:rsidR="00AE44E4">
        <w:rPr>
          <w:color w:val="auto"/>
          <w:lang w:val="es-MX"/>
        </w:rPr>
        <w:t>se incorpora</w:t>
      </w:r>
      <w:r w:rsidR="00451D94">
        <w:rPr>
          <w:color w:val="auto"/>
          <w:lang w:val="es-MX"/>
        </w:rPr>
        <w:t>n</w:t>
      </w:r>
      <w:r w:rsidR="00AE44E4">
        <w:rPr>
          <w:color w:val="auto"/>
          <w:lang w:val="es-MX"/>
        </w:rPr>
        <w:t xml:space="preserve"> en el listado de capacidades de enlaces, la capacidad de 100 </w:t>
      </w:r>
      <w:proofErr w:type="spellStart"/>
      <w:r w:rsidR="00AE44E4">
        <w:rPr>
          <w:color w:val="auto"/>
          <w:lang w:val="es-MX"/>
        </w:rPr>
        <w:t>Gbps</w:t>
      </w:r>
      <w:proofErr w:type="spellEnd"/>
      <w:r w:rsidR="00AE44E4">
        <w:rPr>
          <w:color w:val="auto"/>
          <w:lang w:val="es-MX"/>
        </w:rPr>
        <w:t xml:space="preserve"> para enlaces Ethernet, </w:t>
      </w:r>
      <w:r w:rsidR="00451D94">
        <w:rPr>
          <w:color w:val="auto"/>
          <w:lang w:val="es-MX"/>
        </w:rPr>
        <w:t xml:space="preserve">ya que esta </w:t>
      </w:r>
      <w:r w:rsidR="00AE44E4">
        <w:rPr>
          <w:color w:val="auto"/>
          <w:lang w:val="es-MX"/>
        </w:rPr>
        <w:t xml:space="preserve">velocidad actualmente </w:t>
      </w:r>
      <w:r w:rsidR="00451D94">
        <w:rPr>
          <w:color w:val="auto"/>
          <w:lang w:val="es-MX"/>
        </w:rPr>
        <w:t xml:space="preserve">está siendo </w:t>
      </w:r>
      <w:r>
        <w:rPr>
          <w:color w:val="auto"/>
          <w:lang w:val="es-MX"/>
        </w:rPr>
        <w:t xml:space="preserve">ofertada </w:t>
      </w:r>
      <w:r w:rsidR="00451D94">
        <w:rPr>
          <w:color w:val="auto"/>
          <w:lang w:val="es-MX"/>
        </w:rPr>
        <w:t xml:space="preserve">por </w:t>
      </w:r>
      <w:r w:rsidR="00AE44E4">
        <w:rPr>
          <w:color w:val="auto"/>
          <w:lang w:val="es-MX"/>
        </w:rPr>
        <w:t>el AEP</w:t>
      </w:r>
      <w:r>
        <w:rPr>
          <w:color w:val="auto"/>
          <w:lang w:val="es-MX"/>
        </w:rPr>
        <w:t xml:space="preserve"> en el mercado minorista</w:t>
      </w:r>
      <w:r w:rsidR="00AE44E4">
        <w:rPr>
          <w:color w:val="auto"/>
          <w:lang w:val="es-MX"/>
        </w:rPr>
        <w:t>.</w:t>
      </w:r>
    </w:p>
    <w:p w14:paraId="65ED0B97" w14:textId="77777777" w:rsidR="004F575C" w:rsidRDefault="004B6305" w:rsidP="004F575C">
      <w:pPr>
        <w:pStyle w:val="IFTnormal"/>
        <w:spacing w:before="240" w:after="0"/>
        <w:ind w:right="49"/>
        <w:rPr>
          <w:color w:val="auto"/>
          <w:lang w:val="es-MX"/>
        </w:rPr>
      </w:pPr>
      <w:r>
        <w:rPr>
          <w:color w:val="auto"/>
          <w:lang w:val="es-MX"/>
        </w:rPr>
        <w:lastRenderedPageBreak/>
        <w:t xml:space="preserve">En el penúltimo párrafo del numeral 2.2 </w:t>
      </w:r>
      <w:r w:rsidR="00E81A0E">
        <w:rPr>
          <w:color w:val="auto"/>
          <w:lang w:val="es-MX"/>
        </w:rPr>
        <w:t xml:space="preserve">de la </w:t>
      </w:r>
      <w:r w:rsidR="00CF3199">
        <w:rPr>
          <w:color w:val="auto"/>
          <w:lang w:val="es-MX"/>
        </w:rPr>
        <w:t>Oferta de Referencia de Enlaces Dedicados</w:t>
      </w:r>
      <w:r>
        <w:rPr>
          <w:color w:val="auto"/>
          <w:lang w:val="es-MX"/>
        </w:rPr>
        <w:t xml:space="preserve">, se define el concepto “Instituto” </w:t>
      </w:r>
      <w:r w:rsidR="001177B8">
        <w:rPr>
          <w:color w:val="auto"/>
          <w:lang w:val="es-MX"/>
        </w:rPr>
        <w:t xml:space="preserve">e “IFT” </w:t>
      </w:r>
      <w:r>
        <w:rPr>
          <w:color w:val="auto"/>
          <w:lang w:val="es-MX"/>
        </w:rPr>
        <w:t xml:space="preserve">para referirse </w:t>
      </w:r>
      <w:r w:rsidR="001177B8">
        <w:rPr>
          <w:color w:val="auto"/>
          <w:lang w:val="es-MX"/>
        </w:rPr>
        <w:t xml:space="preserve">indistintamente </w:t>
      </w:r>
      <w:r>
        <w:rPr>
          <w:color w:val="auto"/>
          <w:lang w:val="es-MX"/>
        </w:rPr>
        <w:t xml:space="preserve">de forma abreviada a lo largo de la Oferta de Referencia de Enlaces </w:t>
      </w:r>
      <w:r w:rsidR="00B166D9">
        <w:rPr>
          <w:color w:val="auto"/>
          <w:lang w:val="es-MX"/>
        </w:rPr>
        <w:t>Dedicados</w:t>
      </w:r>
      <w:r>
        <w:rPr>
          <w:color w:val="auto"/>
          <w:lang w:val="es-MX"/>
        </w:rPr>
        <w:t xml:space="preserve">, al Instituto Federal de Telecomunicaciones, </w:t>
      </w:r>
      <w:r w:rsidR="00B823E0">
        <w:rPr>
          <w:color w:val="auto"/>
          <w:lang w:val="es-MX"/>
        </w:rPr>
        <w:t xml:space="preserve">lo anterior con el fin de homologar el uso o </w:t>
      </w:r>
      <w:r w:rsidR="00EB4E9B">
        <w:rPr>
          <w:color w:val="auto"/>
          <w:lang w:val="es-MX"/>
        </w:rPr>
        <w:t>mención</w:t>
      </w:r>
      <w:r w:rsidR="00B823E0">
        <w:rPr>
          <w:color w:val="auto"/>
          <w:lang w:val="es-MX"/>
        </w:rPr>
        <w:t xml:space="preserve"> de “IFT” </w:t>
      </w:r>
      <w:r w:rsidR="00EB4E9B">
        <w:rPr>
          <w:color w:val="auto"/>
          <w:lang w:val="es-MX"/>
        </w:rPr>
        <w:t>o</w:t>
      </w:r>
      <w:r w:rsidR="00B823E0">
        <w:rPr>
          <w:color w:val="auto"/>
          <w:lang w:val="es-MX"/>
        </w:rPr>
        <w:t xml:space="preserve"> “Instituto” a lo largo de la Oferta</w:t>
      </w:r>
      <w:r w:rsidR="00971F62">
        <w:rPr>
          <w:color w:val="auto"/>
          <w:lang w:val="es-MX"/>
        </w:rPr>
        <w:t xml:space="preserve"> de Referencia de Enlaces Dedicados</w:t>
      </w:r>
      <w:r w:rsidR="00B823E0">
        <w:rPr>
          <w:color w:val="auto"/>
          <w:lang w:val="es-MX"/>
        </w:rPr>
        <w:t>.</w:t>
      </w:r>
    </w:p>
    <w:p w14:paraId="7C4BC654" w14:textId="77777777" w:rsidR="004F575C" w:rsidRDefault="0048543F" w:rsidP="004F575C">
      <w:pPr>
        <w:pStyle w:val="IFTnormal"/>
        <w:spacing w:before="240" w:after="0"/>
        <w:ind w:right="49"/>
        <w:rPr>
          <w:color w:val="auto"/>
          <w:lang w:val="es-MX"/>
        </w:rPr>
      </w:pPr>
      <w:r>
        <w:rPr>
          <w:color w:val="auto"/>
          <w:lang w:val="es-MX"/>
        </w:rPr>
        <w:t>Dado que</w:t>
      </w:r>
      <w:r w:rsidR="00DA44A6">
        <w:rPr>
          <w:color w:val="auto"/>
          <w:lang w:val="es-MX"/>
        </w:rPr>
        <w:t xml:space="preserve"> los </w:t>
      </w:r>
      <w:r>
        <w:rPr>
          <w:color w:val="auto"/>
          <w:lang w:val="es-MX"/>
        </w:rPr>
        <w:t xml:space="preserve">Concesionarios Solicitantes pueden </w:t>
      </w:r>
      <w:r w:rsidR="007D5AD3">
        <w:rPr>
          <w:color w:val="auto"/>
          <w:lang w:val="es-MX"/>
        </w:rPr>
        <w:t>contar</w:t>
      </w:r>
      <w:r>
        <w:rPr>
          <w:color w:val="auto"/>
          <w:lang w:val="es-MX"/>
        </w:rPr>
        <w:t xml:space="preserve"> infraestructura </w:t>
      </w:r>
      <w:r w:rsidR="007D5AD3">
        <w:rPr>
          <w:color w:val="auto"/>
          <w:lang w:val="es-MX"/>
        </w:rPr>
        <w:t>propia</w:t>
      </w:r>
      <w:r>
        <w:rPr>
          <w:color w:val="auto"/>
          <w:lang w:val="es-MX"/>
        </w:rPr>
        <w:t xml:space="preserve"> o arrendada en los </w:t>
      </w:r>
      <w:r w:rsidR="007D5AD3">
        <w:rPr>
          <w:color w:val="auto"/>
          <w:lang w:val="es-MX"/>
        </w:rPr>
        <w:t>puntos de conexión para la entrega del Servicio Mayorista de Enlaces Dedicados, y a efecto de que ésta se utilice de una forma más eficiente, en el</w:t>
      </w:r>
      <w:r w:rsidR="007F2380" w:rsidRPr="00D030B5">
        <w:rPr>
          <w:color w:val="auto"/>
          <w:lang w:val="es-MX"/>
        </w:rPr>
        <w:t xml:space="preserve"> segundo </w:t>
      </w:r>
      <w:r w:rsidR="000071D4">
        <w:rPr>
          <w:color w:val="auto"/>
          <w:lang w:val="es-MX"/>
        </w:rPr>
        <w:t xml:space="preserve">y tercer </w:t>
      </w:r>
      <w:r w:rsidR="007F2380" w:rsidRPr="00D030B5">
        <w:rPr>
          <w:color w:val="auto"/>
          <w:lang w:val="es-MX"/>
        </w:rPr>
        <w:t>párrafo del numeral 2.3</w:t>
      </w:r>
      <w:r w:rsidR="00E81A0E" w:rsidRPr="00E81A0E">
        <w:rPr>
          <w:color w:val="auto"/>
          <w:lang w:val="es-MX"/>
        </w:rPr>
        <w:t xml:space="preserve"> </w:t>
      </w:r>
      <w:r w:rsidR="00E81A0E">
        <w:rPr>
          <w:color w:val="auto"/>
          <w:lang w:val="es-MX"/>
        </w:rPr>
        <w:t xml:space="preserve">de la </w:t>
      </w:r>
      <w:r w:rsidR="00CF3199">
        <w:rPr>
          <w:color w:val="auto"/>
          <w:lang w:val="es-MX"/>
        </w:rPr>
        <w:t>Oferta de Referencia de Enlaces Dedicados</w:t>
      </w:r>
      <w:r w:rsidR="007F2380" w:rsidRPr="00D030B5">
        <w:rPr>
          <w:color w:val="auto"/>
          <w:lang w:val="es-MX"/>
        </w:rPr>
        <w:t>,</w:t>
      </w:r>
      <w:r w:rsidR="005E38D9">
        <w:rPr>
          <w:color w:val="auto"/>
          <w:lang w:val="es-MX"/>
        </w:rPr>
        <w:t xml:space="preserve"> se establece la posibilidad </w:t>
      </w:r>
      <w:r w:rsidR="007F2380" w:rsidRPr="00D030B5">
        <w:rPr>
          <w:color w:val="auto"/>
          <w:lang w:val="es-MX"/>
        </w:rPr>
        <w:t xml:space="preserve"> </w:t>
      </w:r>
      <w:r w:rsidR="00AB40F1" w:rsidRPr="00D030B5">
        <w:rPr>
          <w:color w:val="auto"/>
          <w:lang w:val="es-MX"/>
        </w:rPr>
        <w:t>de que los S</w:t>
      </w:r>
      <w:r w:rsidR="007F2380" w:rsidRPr="00D030B5">
        <w:rPr>
          <w:color w:val="auto"/>
          <w:lang w:val="es-MX"/>
        </w:rPr>
        <w:t xml:space="preserve">ervicios </w:t>
      </w:r>
      <w:r w:rsidR="00AB40F1" w:rsidRPr="00D030B5">
        <w:rPr>
          <w:color w:val="auto"/>
          <w:lang w:val="es-MX"/>
        </w:rPr>
        <w:t>Mayoristas de Enlaces Dedicados</w:t>
      </w:r>
      <w:r w:rsidR="007F2380" w:rsidRPr="00D030B5">
        <w:rPr>
          <w:color w:val="auto"/>
          <w:lang w:val="es-MX"/>
        </w:rPr>
        <w:t xml:space="preserve"> puedan entregarse al Concesionario </w:t>
      </w:r>
      <w:r w:rsidR="00146138" w:rsidRPr="00D030B5">
        <w:rPr>
          <w:color w:val="auto"/>
          <w:lang w:val="es-MX"/>
        </w:rPr>
        <w:t>Solicitante</w:t>
      </w:r>
      <w:r w:rsidR="007F2380" w:rsidRPr="00D030B5">
        <w:rPr>
          <w:color w:val="auto"/>
          <w:lang w:val="es-MX"/>
        </w:rPr>
        <w:t xml:space="preserve"> </w:t>
      </w:r>
      <w:r w:rsidR="00CC42E2">
        <w:rPr>
          <w:color w:val="auto"/>
          <w:lang w:val="es-MX"/>
        </w:rPr>
        <w:t xml:space="preserve">o Autorizado Solicitante </w:t>
      </w:r>
      <w:r w:rsidR="007F2380" w:rsidRPr="00D030B5">
        <w:rPr>
          <w:color w:val="auto"/>
          <w:lang w:val="es-MX"/>
        </w:rPr>
        <w:t xml:space="preserve">en los </w:t>
      </w:r>
      <w:r w:rsidR="00A15370">
        <w:rPr>
          <w:color w:val="auto"/>
          <w:lang w:val="es-MX"/>
        </w:rPr>
        <w:t>puntos de conexión para la entrega de dicho servicio, incluyendo aquellos p</w:t>
      </w:r>
      <w:r w:rsidR="007F2380" w:rsidRPr="00D030B5">
        <w:rPr>
          <w:color w:val="auto"/>
          <w:lang w:val="es-MX"/>
        </w:rPr>
        <w:t>untos de Interconexión</w:t>
      </w:r>
      <w:r w:rsidR="00E128F1">
        <w:rPr>
          <w:color w:val="auto"/>
          <w:lang w:val="es-MX"/>
        </w:rPr>
        <w:t xml:space="preserve"> definidos por el Instituto</w:t>
      </w:r>
      <w:r w:rsidR="00A15370">
        <w:rPr>
          <w:color w:val="auto"/>
          <w:lang w:val="es-MX"/>
        </w:rPr>
        <w:t xml:space="preserve"> en el Acuerdo de </w:t>
      </w:r>
      <w:r w:rsidR="00D344DC">
        <w:rPr>
          <w:color w:val="auto"/>
          <w:lang w:val="es-MX"/>
        </w:rPr>
        <w:t>P</w:t>
      </w:r>
      <w:r w:rsidR="00A15370">
        <w:rPr>
          <w:color w:val="auto"/>
          <w:lang w:val="es-MX"/>
        </w:rPr>
        <w:t xml:space="preserve">untos de </w:t>
      </w:r>
      <w:r w:rsidR="00D344DC">
        <w:rPr>
          <w:color w:val="auto"/>
          <w:lang w:val="es-MX"/>
        </w:rPr>
        <w:t>I</w:t>
      </w:r>
      <w:r w:rsidR="00A15370">
        <w:rPr>
          <w:color w:val="auto"/>
          <w:lang w:val="es-MX"/>
        </w:rPr>
        <w:t>nterconexión</w:t>
      </w:r>
      <w:r w:rsidR="007F2380" w:rsidRPr="00D030B5">
        <w:rPr>
          <w:color w:val="auto"/>
          <w:lang w:val="es-MX"/>
        </w:rPr>
        <w:t xml:space="preserve">, </w:t>
      </w:r>
      <w:r w:rsidR="005E38D9">
        <w:rPr>
          <w:color w:val="auto"/>
          <w:lang w:val="es-MX"/>
        </w:rPr>
        <w:t>asimismo se establece la posibilidad de que pueda</w:t>
      </w:r>
      <w:r w:rsidR="00A64886">
        <w:rPr>
          <w:color w:val="auto"/>
          <w:lang w:val="es-MX"/>
        </w:rPr>
        <w:t xml:space="preserve"> ser reutilizada la infraestructura arrendada en dichos sitos;</w:t>
      </w:r>
      <w:r w:rsidR="00F158B9" w:rsidRPr="00D030B5">
        <w:rPr>
          <w:color w:val="auto"/>
          <w:lang w:val="es-MX"/>
        </w:rPr>
        <w:t xml:space="preserve"> ello, en estri</w:t>
      </w:r>
      <w:r w:rsidR="007F2380" w:rsidRPr="00D030B5">
        <w:rPr>
          <w:color w:val="auto"/>
          <w:lang w:val="es-MX"/>
        </w:rPr>
        <w:t xml:space="preserve">cto cumplimiento </w:t>
      </w:r>
      <w:r w:rsidR="00924667" w:rsidRPr="00D030B5">
        <w:rPr>
          <w:color w:val="auto"/>
          <w:lang w:val="es-MX"/>
        </w:rPr>
        <w:t xml:space="preserve">a lo establecido en </w:t>
      </w:r>
      <w:r w:rsidR="008535C8" w:rsidRPr="00D030B5">
        <w:rPr>
          <w:color w:val="auto"/>
          <w:lang w:val="es-MX"/>
        </w:rPr>
        <w:t>la</w:t>
      </w:r>
      <w:r w:rsidR="00FB3140">
        <w:rPr>
          <w:color w:val="auto"/>
          <w:lang w:val="es-MX"/>
        </w:rPr>
        <w:t>s Medidas</w:t>
      </w:r>
      <w:r w:rsidR="00E128F1">
        <w:rPr>
          <w:color w:val="auto"/>
          <w:lang w:val="es-MX"/>
        </w:rPr>
        <w:t xml:space="preserve"> </w:t>
      </w:r>
      <w:r w:rsidR="00E97BFF" w:rsidRPr="00D030B5">
        <w:rPr>
          <w:color w:val="auto"/>
          <w:lang w:val="es-MX"/>
        </w:rPr>
        <w:t>Quinta</w:t>
      </w:r>
      <w:r w:rsidR="00CC42E2" w:rsidRPr="00D030B5">
        <w:rPr>
          <w:color w:val="auto"/>
          <w:lang w:val="es-MX"/>
        </w:rPr>
        <w:t xml:space="preserve"> y Vigésima Segunda</w:t>
      </w:r>
      <w:r w:rsidR="00F6327D">
        <w:rPr>
          <w:color w:val="auto"/>
          <w:lang w:val="es-MX"/>
        </w:rPr>
        <w:t xml:space="preserve"> de las Medidas Fijas</w:t>
      </w:r>
      <w:r w:rsidR="00CC42E2" w:rsidRPr="00D030B5">
        <w:rPr>
          <w:color w:val="auto"/>
          <w:lang w:val="es-MX"/>
        </w:rPr>
        <w:t>.</w:t>
      </w:r>
    </w:p>
    <w:p w14:paraId="001FB2B8" w14:textId="77777777" w:rsidR="004F575C" w:rsidRDefault="008D0F79" w:rsidP="004F575C">
      <w:pPr>
        <w:pStyle w:val="IFTnormal"/>
        <w:spacing w:before="240" w:after="0"/>
        <w:ind w:right="49"/>
        <w:rPr>
          <w:color w:val="auto"/>
          <w:lang w:val="es-MX"/>
        </w:rPr>
      </w:pPr>
      <w:r>
        <w:rPr>
          <w:color w:val="auto"/>
          <w:lang w:val="es-MX"/>
        </w:rPr>
        <w:t>Con el p</w:t>
      </w:r>
      <w:r w:rsidR="00BC7463">
        <w:rPr>
          <w:color w:val="auto"/>
          <w:lang w:val="es-MX"/>
        </w:rPr>
        <w:t>r</w:t>
      </w:r>
      <w:r>
        <w:rPr>
          <w:color w:val="auto"/>
          <w:lang w:val="es-MX"/>
        </w:rPr>
        <w:t xml:space="preserve">opósito de no </w:t>
      </w:r>
      <w:r w:rsidR="00233FED">
        <w:rPr>
          <w:color w:val="auto"/>
          <w:lang w:val="es-MX"/>
        </w:rPr>
        <w:t>otorgar</w:t>
      </w:r>
      <w:r>
        <w:rPr>
          <w:color w:val="auto"/>
          <w:lang w:val="es-MX"/>
        </w:rPr>
        <w:t xml:space="preserve"> a los Concesionarios Solicitantes y Autorizados Sol</w:t>
      </w:r>
      <w:r w:rsidR="007A3DF4">
        <w:rPr>
          <w:color w:val="auto"/>
          <w:lang w:val="es-MX"/>
        </w:rPr>
        <w:t>ic</w:t>
      </w:r>
      <w:r>
        <w:rPr>
          <w:color w:val="auto"/>
          <w:lang w:val="es-MX"/>
        </w:rPr>
        <w:t xml:space="preserve">itantes condiciones menos favorables a las vigentes, </w:t>
      </w:r>
      <w:r w:rsidR="003D0652">
        <w:rPr>
          <w:color w:val="auto"/>
          <w:lang w:val="es-MX"/>
        </w:rPr>
        <w:t xml:space="preserve">mismas que ocasionarían un retroceso en la regulación, </w:t>
      </w:r>
      <w:r w:rsidR="007A3DF4">
        <w:rPr>
          <w:color w:val="auto"/>
          <w:lang w:val="es-MX"/>
        </w:rPr>
        <w:t xml:space="preserve">los </w:t>
      </w:r>
      <w:r w:rsidR="00885DD8">
        <w:rPr>
          <w:color w:val="auto"/>
          <w:lang w:val="es-MX"/>
        </w:rPr>
        <w:t xml:space="preserve">plazos máximos de instalación de los Servicios </w:t>
      </w:r>
      <w:r w:rsidR="002E66E9">
        <w:rPr>
          <w:color w:val="auto"/>
          <w:lang w:val="es-MX"/>
        </w:rPr>
        <w:t xml:space="preserve">Mayoristas </w:t>
      </w:r>
      <w:r w:rsidR="00885DD8">
        <w:rPr>
          <w:color w:val="auto"/>
          <w:lang w:val="es-MX"/>
        </w:rPr>
        <w:t xml:space="preserve">de Enlaces Dedicados </w:t>
      </w:r>
      <w:r w:rsidR="007A3DF4">
        <w:rPr>
          <w:color w:val="auto"/>
          <w:lang w:val="es-MX"/>
        </w:rPr>
        <w:t xml:space="preserve">contenidos en la tabla </w:t>
      </w:r>
      <w:r w:rsidR="00885DD8">
        <w:rPr>
          <w:color w:val="auto"/>
          <w:lang w:val="es-MX"/>
        </w:rPr>
        <w:t>descrita en el numeral 2.4.1.1</w:t>
      </w:r>
      <w:r w:rsidR="00E81A0E">
        <w:rPr>
          <w:color w:val="auto"/>
          <w:lang w:val="es-MX"/>
        </w:rPr>
        <w:t xml:space="preserve"> de la </w:t>
      </w:r>
      <w:r w:rsidR="00CF3199">
        <w:rPr>
          <w:color w:val="auto"/>
          <w:lang w:val="es-MX"/>
        </w:rPr>
        <w:t>Oferta de Referencia de Enlaces Dedicados</w:t>
      </w:r>
      <w:r w:rsidR="00885DD8">
        <w:rPr>
          <w:color w:val="auto"/>
          <w:lang w:val="es-MX"/>
        </w:rPr>
        <w:t xml:space="preserve">, se modifican </w:t>
      </w:r>
      <w:r w:rsidR="00CB0DD6">
        <w:rPr>
          <w:color w:val="auto"/>
          <w:lang w:val="es-MX"/>
        </w:rPr>
        <w:t>para quedar de conformidad con los</w:t>
      </w:r>
      <w:r w:rsidR="00BE774E">
        <w:rPr>
          <w:color w:val="auto"/>
          <w:lang w:val="es-MX"/>
        </w:rPr>
        <w:t xml:space="preserve"> establecidos en la Medida </w:t>
      </w:r>
      <w:r w:rsidR="002E66E9">
        <w:rPr>
          <w:color w:val="auto"/>
          <w:lang w:val="es-MX"/>
        </w:rPr>
        <w:t>Decimosexta</w:t>
      </w:r>
      <w:r w:rsidR="00CB0DD6">
        <w:rPr>
          <w:color w:val="auto"/>
          <w:lang w:val="es-MX"/>
        </w:rPr>
        <w:t xml:space="preserve"> </w:t>
      </w:r>
      <w:r w:rsidR="00A258F1">
        <w:rPr>
          <w:color w:val="auto"/>
          <w:lang w:val="es-MX"/>
        </w:rPr>
        <w:t xml:space="preserve">de las Medidas Fijas, </w:t>
      </w:r>
      <w:r w:rsidR="00CB0DD6">
        <w:rPr>
          <w:color w:val="auto"/>
          <w:lang w:val="es-MX"/>
        </w:rPr>
        <w:t>así como en la Oferta de Referencia de Enlaces aprobada para el periodo 2016 y 2017</w:t>
      </w:r>
      <w:r w:rsidR="009469D5">
        <w:rPr>
          <w:color w:val="auto"/>
          <w:lang w:val="es-MX"/>
        </w:rPr>
        <w:t>.</w:t>
      </w:r>
    </w:p>
    <w:p w14:paraId="3FAACB20" w14:textId="77777777" w:rsidR="004F575C" w:rsidRDefault="00BF415C" w:rsidP="004F575C">
      <w:pPr>
        <w:pStyle w:val="IFTnormal"/>
        <w:spacing w:before="240" w:after="0"/>
        <w:ind w:right="49"/>
        <w:rPr>
          <w:color w:val="auto"/>
          <w:lang w:val="es-MX"/>
        </w:rPr>
      </w:pPr>
      <w:r>
        <w:rPr>
          <w:color w:val="auto"/>
          <w:lang w:val="es-MX"/>
        </w:rPr>
        <w:t>Adicionalmente</w:t>
      </w:r>
      <w:r w:rsidR="0098033C">
        <w:rPr>
          <w:color w:val="auto"/>
          <w:lang w:val="es-MX"/>
        </w:rPr>
        <w:t xml:space="preserve">, </w:t>
      </w:r>
      <w:r w:rsidR="00841BFC">
        <w:rPr>
          <w:color w:val="auto"/>
          <w:lang w:val="es-MX"/>
        </w:rPr>
        <w:t xml:space="preserve">a efecto </w:t>
      </w:r>
      <w:r w:rsidR="00FD438A">
        <w:rPr>
          <w:color w:val="auto"/>
          <w:lang w:val="es-MX"/>
        </w:rPr>
        <w:t>garantizar que el AEP otorgue a</w:t>
      </w:r>
      <w:r w:rsidR="00841BFC">
        <w:rPr>
          <w:color w:val="auto"/>
          <w:lang w:val="es-MX"/>
        </w:rPr>
        <w:t xml:space="preserve"> </w:t>
      </w:r>
      <w:r w:rsidR="00FD438A">
        <w:rPr>
          <w:color w:val="auto"/>
          <w:lang w:val="es-MX"/>
        </w:rPr>
        <w:t xml:space="preserve">Concesionarios Solicitantes y Autorizados </w:t>
      </w:r>
      <w:r w:rsidR="003231E5">
        <w:rPr>
          <w:color w:val="auto"/>
          <w:lang w:val="es-MX"/>
        </w:rPr>
        <w:t>Solicitantes</w:t>
      </w:r>
      <w:r w:rsidR="00FD438A">
        <w:rPr>
          <w:color w:val="auto"/>
          <w:lang w:val="es-MX"/>
        </w:rPr>
        <w:t xml:space="preserve"> </w:t>
      </w:r>
      <w:r w:rsidR="00841BFC">
        <w:rPr>
          <w:color w:val="auto"/>
          <w:lang w:val="es-MX"/>
        </w:rPr>
        <w:t xml:space="preserve">plazos más </w:t>
      </w:r>
      <w:r w:rsidR="00C85822">
        <w:rPr>
          <w:color w:val="auto"/>
          <w:lang w:val="es-MX"/>
        </w:rPr>
        <w:t xml:space="preserve">favorables en caso de que el propio AEP aplique esos tiempos en su propia operación o </w:t>
      </w:r>
      <w:r w:rsidR="00841BFC">
        <w:rPr>
          <w:color w:val="auto"/>
          <w:lang w:val="es-MX"/>
        </w:rPr>
        <w:t xml:space="preserve"> se los otorgue a sus empresas filiales o subsidiarias, </w:t>
      </w:r>
      <w:r w:rsidR="0098033C">
        <w:rPr>
          <w:color w:val="auto"/>
          <w:lang w:val="es-MX"/>
        </w:rPr>
        <w:t xml:space="preserve">en el numeral 2.4.1.1 se </w:t>
      </w:r>
      <w:r>
        <w:rPr>
          <w:color w:val="auto"/>
          <w:lang w:val="es-MX"/>
        </w:rPr>
        <w:t>incorpor</w:t>
      </w:r>
      <w:r w:rsidR="0001573C">
        <w:rPr>
          <w:color w:val="auto"/>
          <w:lang w:val="es-MX"/>
        </w:rPr>
        <w:t>a</w:t>
      </w:r>
      <w:r>
        <w:rPr>
          <w:color w:val="auto"/>
          <w:lang w:val="es-MX"/>
        </w:rPr>
        <w:t xml:space="preserve"> </w:t>
      </w:r>
      <w:r w:rsidR="0098033C">
        <w:rPr>
          <w:color w:val="auto"/>
          <w:lang w:val="es-MX"/>
        </w:rPr>
        <w:t xml:space="preserve">como último párrafo </w:t>
      </w:r>
      <w:r w:rsidR="0001573C">
        <w:rPr>
          <w:color w:val="auto"/>
          <w:lang w:val="es-MX"/>
        </w:rPr>
        <w:t xml:space="preserve">que los plazos máximos establecidos en dicho numeral se establecen </w:t>
      </w:r>
      <w:r w:rsidR="0001573C" w:rsidRPr="0001573C">
        <w:rPr>
          <w:color w:val="auto"/>
          <w:lang w:val="es-MX"/>
        </w:rPr>
        <w:t xml:space="preserve">sin perjuicio de lo establecido en las </w:t>
      </w:r>
      <w:r w:rsidR="007A3DF4">
        <w:rPr>
          <w:color w:val="auto"/>
          <w:lang w:val="es-MX"/>
        </w:rPr>
        <w:t>M</w:t>
      </w:r>
      <w:r w:rsidR="0001573C" w:rsidRPr="0001573C">
        <w:rPr>
          <w:color w:val="auto"/>
          <w:lang w:val="es-MX"/>
        </w:rPr>
        <w:t xml:space="preserve">edidas </w:t>
      </w:r>
      <w:r w:rsidR="0010149E" w:rsidRPr="0001573C">
        <w:rPr>
          <w:color w:val="auto"/>
          <w:lang w:val="es-MX"/>
        </w:rPr>
        <w:t xml:space="preserve">Decimosexta </w:t>
      </w:r>
      <w:r w:rsidR="0001573C" w:rsidRPr="0001573C">
        <w:rPr>
          <w:color w:val="auto"/>
          <w:lang w:val="es-MX"/>
        </w:rPr>
        <w:t xml:space="preserve">y </w:t>
      </w:r>
      <w:r w:rsidR="0010149E" w:rsidRPr="0001573C">
        <w:rPr>
          <w:color w:val="auto"/>
          <w:lang w:val="es-MX"/>
        </w:rPr>
        <w:t>Trig</w:t>
      </w:r>
      <w:r w:rsidR="00BC7463">
        <w:rPr>
          <w:color w:val="auto"/>
          <w:lang w:val="es-MX"/>
        </w:rPr>
        <w:t>é</w:t>
      </w:r>
      <w:r w:rsidR="0010149E" w:rsidRPr="0001573C">
        <w:rPr>
          <w:color w:val="auto"/>
          <w:lang w:val="es-MX"/>
        </w:rPr>
        <w:t xml:space="preserve">sima Quinta </w:t>
      </w:r>
      <w:r w:rsidR="0001573C">
        <w:rPr>
          <w:color w:val="auto"/>
          <w:lang w:val="es-MX"/>
        </w:rPr>
        <w:t>de las Medidas Fijas</w:t>
      </w:r>
      <w:r w:rsidR="0001573C" w:rsidRPr="0001573C">
        <w:rPr>
          <w:color w:val="auto"/>
          <w:lang w:val="es-MX"/>
        </w:rPr>
        <w:t xml:space="preserve"> en materia de equivalencia de insumos.</w:t>
      </w:r>
      <w:r w:rsidR="0001573C">
        <w:rPr>
          <w:color w:val="auto"/>
          <w:lang w:val="es-MX"/>
        </w:rPr>
        <w:t xml:space="preserve"> </w:t>
      </w:r>
    </w:p>
    <w:p w14:paraId="16437A55" w14:textId="77777777" w:rsidR="004F575C" w:rsidRDefault="00A77FFB" w:rsidP="004F575C">
      <w:pPr>
        <w:pStyle w:val="IFTnormal"/>
        <w:spacing w:before="240" w:after="0"/>
        <w:ind w:right="49"/>
        <w:rPr>
          <w:color w:val="auto"/>
          <w:lang w:val="es-MX"/>
        </w:rPr>
      </w:pPr>
      <w:r>
        <w:rPr>
          <w:color w:val="auto"/>
          <w:lang w:val="es-MX"/>
        </w:rPr>
        <w:t>En los numeral</w:t>
      </w:r>
      <w:r w:rsidR="00E34970">
        <w:rPr>
          <w:color w:val="auto"/>
          <w:lang w:val="es-MX"/>
        </w:rPr>
        <w:t>es 2.4.1.2,</w:t>
      </w:r>
      <w:r>
        <w:rPr>
          <w:color w:val="auto"/>
          <w:lang w:val="es-MX"/>
        </w:rPr>
        <w:t xml:space="preserve"> 2.4.1.3 </w:t>
      </w:r>
      <w:r w:rsidR="00E34970">
        <w:rPr>
          <w:color w:val="auto"/>
          <w:lang w:val="es-MX"/>
        </w:rPr>
        <w:t xml:space="preserve">y 2.4.1.4 </w:t>
      </w:r>
      <w:r w:rsidR="00E81A0E">
        <w:rPr>
          <w:color w:val="auto"/>
          <w:lang w:val="es-MX"/>
        </w:rPr>
        <w:t xml:space="preserve">de la </w:t>
      </w:r>
      <w:r w:rsidR="00CF3199">
        <w:rPr>
          <w:color w:val="auto"/>
          <w:lang w:val="es-MX"/>
        </w:rPr>
        <w:t>Oferta de Referencia de Enlaces Dedicados</w:t>
      </w:r>
      <w:r w:rsidR="00BF415C">
        <w:rPr>
          <w:color w:val="auto"/>
          <w:lang w:val="es-MX"/>
        </w:rPr>
        <w:t xml:space="preserve"> </w:t>
      </w:r>
      <w:r>
        <w:rPr>
          <w:color w:val="auto"/>
          <w:lang w:val="es-MX"/>
        </w:rPr>
        <w:t>se especificó que los plazos de entrega de referencia</w:t>
      </w:r>
      <w:r w:rsidR="00CB0DD6">
        <w:rPr>
          <w:color w:val="auto"/>
          <w:lang w:val="es-MX"/>
        </w:rPr>
        <w:t>:</w:t>
      </w:r>
      <w:r w:rsidR="0001573C">
        <w:rPr>
          <w:color w:val="auto"/>
          <w:lang w:val="es-MX"/>
        </w:rPr>
        <w:t xml:space="preserve"> </w:t>
      </w:r>
      <w:r>
        <w:rPr>
          <w:color w:val="auto"/>
          <w:lang w:val="es-MX"/>
        </w:rPr>
        <w:t xml:space="preserve">cuando la instalación es en un punto donde previamente se tenga contratado el </w:t>
      </w:r>
      <w:r w:rsidR="00CF3199">
        <w:rPr>
          <w:color w:val="auto"/>
          <w:lang w:val="es-MX"/>
        </w:rPr>
        <w:t>servicio, cuando</w:t>
      </w:r>
      <w:r>
        <w:rPr>
          <w:color w:val="auto"/>
          <w:lang w:val="es-MX"/>
        </w:rPr>
        <w:t xml:space="preserve"> es una entrega anticipada</w:t>
      </w:r>
      <w:r w:rsidR="00E34970">
        <w:rPr>
          <w:color w:val="auto"/>
          <w:lang w:val="es-MX"/>
        </w:rPr>
        <w:t xml:space="preserve"> o cuando se instala un enlace de larga </w:t>
      </w:r>
      <w:r w:rsidR="00E34970">
        <w:rPr>
          <w:color w:val="auto"/>
          <w:lang w:val="es-MX"/>
        </w:rPr>
        <w:lastRenderedPageBreak/>
        <w:t>distancia internacional</w:t>
      </w:r>
      <w:r>
        <w:rPr>
          <w:color w:val="auto"/>
          <w:lang w:val="es-MX"/>
        </w:rPr>
        <w:t xml:space="preserve">, </w:t>
      </w:r>
      <w:r w:rsidR="006663EB">
        <w:rPr>
          <w:color w:val="auto"/>
          <w:lang w:val="es-MX"/>
        </w:rPr>
        <w:t>deben</w:t>
      </w:r>
      <w:r w:rsidR="00CB0DD6">
        <w:rPr>
          <w:color w:val="auto"/>
          <w:lang w:val="es-MX"/>
        </w:rPr>
        <w:t xml:space="preserve"> ser aplicado</w:t>
      </w:r>
      <w:r w:rsidR="006663EB">
        <w:rPr>
          <w:color w:val="auto"/>
          <w:lang w:val="es-MX"/>
        </w:rPr>
        <w:t>s</w:t>
      </w:r>
      <w:r w:rsidR="00CB0DD6">
        <w:rPr>
          <w:color w:val="auto"/>
          <w:lang w:val="es-MX"/>
        </w:rPr>
        <w:t xml:space="preserve"> conforme </w:t>
      </w:r>
      <w:r>
        <w:rPr>
          <w:color w:val="auto"/>
          <w:lang w:val="es-MX"/>
        </w:rPr>
        <w:t xml:space="preserve">a los descritos en la tabla del numeral 2.4.1.1; con ello, se elimina cualquier ambigüedad sobre los plazos de referencia y proporciona tanto a Telmex como al Concesionario Solicitante o Autorizado Solicitante, </w:t>
      </w:r>
      <w:r w:rsidR="002E66E9">
        <w:rPr>
          <w:color w:val="auto"/>
          <w:lang w:val="es-MX"/>
        </w:rPr>
        <w:t>certidumbre</w:t>
      </w:r>
      <w:r>
        <w:rPr>
          <w:color w:val="auto"/>
          <w:lang w:val="es-MX"/>
        </w:rPr>
        <w:t xml:space="preserve"> de los plazos máximos a considerar para aplicar los porcentajes</w:t>
      </w:r>
      <w:r w:rsidR="00CA7869">
        <w:rPr>
          <w:color w:val="auto"/>
          <w:lang w:val="es-MX"/>
        </w:rPr>
        <w:t xml:space="preserve"> a que se refieren los numerales en comento</w:t>
      </w:r>
      <w:r>
        <w:rPr>
          <w:color w:val="auto"/>
          <w:lang w:val="es-MX"/>
        </w:rPr>
        <w:t>.</w:t>
      </w:r>
    </w:p>
    <w:p w14:paraId="0C8C08A8" w14:textId="77777777" w:rsidR="004F575C" w:rsidRDefault="005916DF" w:rsidP="004F575C">
      <w:pPr>
        <w:pStyle w:val="IFTnormal"/>
        <w:spacing w:before="240" w:after="0"/>
        <w:ind w:right="49"/>
        <w:rPr>
          <w:color w:val="auto"/>
          <w:lang w:val="es-MX"/>
        </w:rPr>
      </w:pPr>
      <w:r>
        <w:rPr>
          <w:color w:val="auto"/>
          <w:lang w:val="es-MX"/>
        </w:rPr>
        <w:t xml:space="preserve">Adicionalmente, en el último párrafo del numeral 2.4.1.2 </w:t>
      </w:r>
      <w:r w:rsidR="00E81A0E">
        <w:rPr>
          <w:color w:val="auto"/>
          <w:lang w:val="es-MX"/>
        </w:rPr>
        <w:t xml:space="preserve">de la </w:t>
      </w:r>
      <w:r w:rsidR="00CF3199">
        <w:rPr>
          <w:color w:val="auto"/>
          <w:lang w:val="es-MX"/>
        </w:rPr>
        <w:t>Oferta de Referencia de Enlaces Dedicados</w:t>
      </w:r>
      <w:r w:rsidR="00E81A0E">
        <w:rPr>
          <w:color w:val="auto"/>
          <w:lang w:val="es-MX"/>
        </w:rPr>
        <w:t xml:space="preserve"> </w:t>
      </w:r>
      <w:r>
        <w:rPr>
          <w:color w:val="auto"/>
          <w:lang w:val="es-MX"/>
        </w:rPr>
        <w:t>se modificó para que el correo electrónico no sea considerado como un medio de validación de entrega de los servicios, sino que mediara exclusivamente el Acta de Entrega en la cual se ace</w:t>
      </w:r>
      <w:r w:rsidR="002E66E9">
        <w:rPr>
          <w:color w:val="auto"/>
          <w:lang w:val="es-MX"/>
        </w:rPr>
        <w:t>p</w:t>
      </w:r>
      <w:r>
        <w:rPr>
          <w:color w:val="auto"/>
          <w:lang w:val="es-MX"/>
        </w:rPr>
        <w:t xml:space="preserve">tara la </w:t>
      </w:r>
      <w:r w:rsidR="00252463">
        <w:rPr>
          <w:color w:val="auto"/>
          <w:lang w:val="es-MX"/>
        </w:rPr>
        <w:t xml:space="preserve">recepción y conformidad con </w:t>
      </w:r>
      <w:r w:rsidR="0026643C">
        <w:rPr>
          <w:color w:val="auto"/>
          <w:lang w:val="es-MX"/>
        </w:rPr>
        <w:t>los servicios</w:t>
      </w:r>
      <w:r w:rsidR="00252463">
        <w:rPr>
          <w:color w:val="auto"/>
          <w:lang w:val="es-MX"/>
        </w:rPr>
        <w:t xml:space="preserve"> prestados</w:t>
      </w:r>
      <w:r>
        <w:rPr>
          <w:color w:val="auto"/>
          <w:lang w:val="es-MX"/>
        </w:rPr>
        <w:t>, utilizando el formato contenido en el Anexo “A” de la Oferta</w:t>
      </w:r>
      <w:r w:rsidR="00D136CA">
        <w:rPr>
          <w:color w:val="auto"/>
          <w:lang w:val="es-MX"/>
        </w:rPr>
        <w:t xml:space="preserve"> en donde </w:t>
      </w:r>
      <w:r w:rsidR="00D136CA" w:rsidRPr="00D136CA">
        <w:rPr>
          <w:color w:val="auto"/>
          <w:lang w:val="es-MX"/>
        </w:rPr>
        <w:t xml:space="preserve">Telmex </w:t>
      </w:r>
      <w:r w:rsidR="00D136CA">
        <w:rPr>
          <w:color w:val="auto"/>
          <w:lang w:val="es-MX"/>
        </w:rPr>
        <w:t>deberá adjuntar</w:t>
      </w:r>
      <w:r w:rsidR="00D136CA" w:rsidRPr="00D136CA">
        <w:rPr>
          <w:color w:val="auto"/>
          <w:lang w:val="es-MX"/>
        </w:rPr>
        <w:t xml:space="preserve"> dicho documento en el SEG, una vez entregado el servicio</w:t>
      </w:r>
      <w:r>
        <w:rPr>
          <w:color w:val="auto"/>
          <w:lang w:val="es-MX"/>
        </w:rPr>
        <w:t xml:space="preserve">. </w:t>
      </w:r>
      <w:r w:rsidR="00355CF5">
        <w:rPr>
          <w:color w:val="auto"/>
          <w:lang w:val="es-MX"/>
        </w:rPr>
        <w:t xml:space="preserve">Con este procedimiento, se da </w:t>
      </w:r>
      <w:r w:rsidR="00EE3D63">
        <w:rPr>
          <w:color w:val="auto"/>
          <w:lang w:val="es-MX"/>
        </w:rPr>
        <w:t>cumplimiento</w:t>
      </w:r>
      <w:r w:rsidR="00355CF5">
        <w:rPr>
          <w:color w:val="auto"/>
          <w:lang w:val="es-MX"/>
        </w:rPr>
        <w:t xml:space="preserve"> a lo establecido en la Medida Cuadragésima Primera de las Medidas Fijas, en el sentido de que la oferta </w:t>
      </w:r>
      <w:r w:rsidR="00C73330">
        <w:rPr>
          <w:color w:val="auto"/>
          <w:lang w:val="es-MX"/>
        </w:rPr>
        <w:t>contenga</w:t>
      </w:r>
      <w:r w:rsidR="00355CF5">
        <w:rPr>
          <w:color w:val="auto"/>
          <w:lang w:val="es-MX"/>
        </w:rPr>
        <w:t xml:space="preserve"> procedimientos necesarios para la eficiente prestación del servicio.</w:t>
      </w:r>
    </w:p>
    <w:p w14:paraId="4AA3D8E8" w14:textId="77777777" w:rsidR="004F575C" w:rsidRDefault="00176886" w:rsidP="004F575C">
      <w:pPr>
        <w:pStyle w:val="IFTnormal"/>
        <w:spacing w:before="240" w:after="0"/>
        <w:ind w:right="49"/>
        <w:rPr>
          <w:color w:val="auto"/>
          <w:lang w:val="es-MX"/>
        </w:rPr>
      </w:pPr>
      <w:r>
        <w:rPr>
          <w:color w:val="auto"/>
          <w:lang w:val="es-MX"/>
        </w:rPr>
        <w:t xml:space="preserve">En el numeral 2.4.1.4 de </w:t>
      </w:r>
      <w:r w:rsidR="006373AA">
        <w:rPr>
          <w:color w:val="auto"/>
          <w:lang w:val="es-MX"/>
        </w:rPr>
        <w:t xml:space="preserve">la </w:t>
      </w:r>
      <w:r w:rsidR="00CF3199">
        <w:rPr>
          <w:color w:val="auto"/>
          <w:lang w:val="es-MX"/>
        </w:rPr>
        <w:t>Oferta de Referencia de Enlaces Dedicados</w:t>
      </w:r>
      <w:r>
        <w:rPr>
          <w:color w:val="auto"/>
          <w:lang w:val="es-MX"/>
        </w:rPr>
        <w:t xml:space="preserve">, </w:t>
      </w:r>
      <w:r w:rsidR="00D8756C">
        <w:rPr>
          <w:color w:val="auto"/>
          <w:lang w:val="es-MX"/>
        </w:rPr>
        <w:t xml:space="preserve">se elimina el texto mediante el cual </w:t>
      </w:r>
      <w:r>
        <w:rPr>
          <w:color w:val="auto"/>
          <w:lang w:val="es-MX"/>
        </w:rPr>
        <w:t xml:space="preserve">el AEP </w:t>
      </w:r>
      <w:r w:rsidR="00C814BD">
        <w:rPr>
          <w:color w:val="auto"/>
          <w:lang w:val="es-MX"/>
        </w:rPr>
        <w:t>queda deslindado</w:t>
      </w:r>
      <w:r w:rsidR="00D8756C">
        <w:rPr>
          <w:color w:val="auto"/>
          <w:lang w:val="es-MX"/>
        </w:rPr>
        <w:t xml:space="preserve"> </w:t>
      </w:r>
      <w:r>
        <w:rPr>
          <w:color w:val="auto"/>
          <w:lang w:val="es-MX"/>
        </w:rPr>
        <w:t xml:space="preserve">de </w:t>
      </w:r>
      <w:r w:rsidR="00C814BD">
        <w:rPr>
          <w:color w:val="auto"/>
          <w:lang w:val="es-MX"/>
        </w:rPr>
        <w:t xml:space="preserve">cualquier </w:t>
      </w:r>
      <w:r w:rsidR="0031068F">
        <w:rPr>
          <w:color w:val="auto"/>
          <w:lang w:val="es-MX"/>
        </w:rPr>
        <w:t>responsabilidad</w:t>
      </w:r>
      <w:r>
        <w:rPr>
          <w:color w:val="auto"/>
          <w:lang w:val="es-MX"/>
        </w:rPr>
        <w:t xml:space="preserve"> para </w:t>
      </w:r>
      <w:r w:rsidR="00C814BD">
        <w:rPr>
          <w:color w:val="auto"/>
          <w:lang w:val="es-MX"/>
        </w:rPr>
        <w:t>el cumplimiento de</w:t>
      </w:r>
      <w:r>
        <w:rPr>
          <w:color w:val="auto"/>
          <w:lang w:val="es-MX"/>
        </w:rPr>
        <w:t xml:space="preserve"> los plazos de instalación de los enlace</w:t>
      </w:r>
      <w:r w:rsidR="002E66E9">
        <w:rPr>
          <w:color w:val="auto"/>
          <w:lang w:val="es-MX"/>
        </w:rPr>
        <w:t>s</w:t>
      </w:r>
      <w:r>
        <w:rPr>
          <w:color w:val="auto"/>
          <w:lang w:val="es-MX"/>
        </w:rPr>
        <w:t xml:space="preserve"> suministrados por un operador internacional. </w:t>
      </w:r>
      <w:r w:rsidR="00C814BD">
        <w:rPr>
          <w:color w:val="auto"/>
          <w:lang w:val="es-MX"/>
        </w:rPr>
        <w:t>Toda</w:t>
      </w:r>
      <w:r w:rsidR="0070446F">
        <w:rPr>
          <w:color w:val="auto"/>
          <w:lang w:val="es-MX"/>
        </w:rPr>
        <w:t xml:space="preserve"> vez que</w:t>
      </w:r>
      <w:r w:rsidR="00EE669D">
        <w:rPr>
          <w:color w:val="auto"/>
          <w:lang w:val="es-MX"/>
        </w:rPr>
        <w:t xml:space="preserve"> </w:t>
      </w:r>
      <w:r w:rsidR="00C25317">
        <w:rPr>
          <w:color w:val="auto"/>
          <w:lang w:val="es-MX"/>
        </w:rPr>
        <w:t xml:space="preserve">solo </w:t>
      </w:r>
      <w:r w:rsidR="00EE669D">
        <w:rPr>
          <w:color w:val="auto"/>
          <w:lang w:val="es-MX"/>
        </w:rPr>
        <w:t xml:space="preserve">se trata únicamente de una declaración del </w:t>
      </w:r>
      <w:r w:rsidR="0070446F">
        <w:rPr>
          <w:color w:val="auto"/>
          <w:lang w:val="es-MX"/>
        </w:rPr>
        <w:t>AEP</w:t>
      </w:r>
      <w:r w:rsidR="00EE669D">
        <w:rPr>
          <w:color w:val="auto"/>
          <w:lang w:val="es-MX"/>
        </w:rPr>
        <w:t>, y en última instancia ante el cliente en México</w:t>
      </w:r>
      <w:r w:rsidR="0070446F">
        <w:rPr>
          <w:color w:val="auto"/>
          <w:lang w:val="es-MX"/>
        </w:rPr>
        <w:t xml:space="preserve"> es el responsable de la provisión de los servicios que presta, aunque éstos o una parte de éstos sean arrendados a terceros</w:t>
      </w:r>
      <w:r w:rsidR="00C814BD">
        <w:rPr>
          <w:color w:val="auto"/>
          <w:lang w:val="es-MX"/>
        </w:rPr>
        <w:t>.</w:t>
      </w:r>
      <w:r w:rsidR="006373AA">
        <w:rPr>
          <w:color w:val="auto"/>
          <w:lang w:val="es-MX"/>
        </w:rPr>
        <w:t xml:space="preserve"> </w:t>
      </w:r>
    </w:p>
    <w:p w14:paraId="47C5DFB9" w14:textId="77777777" w:rsidR="004F575C" w:rsidRDefault="00023988" w:rsidP="004F575C">
      <w:pPr>
        <w:pStyle w:val="IFTnormal"/>
        <w:spacing w:before="240" w:after="0"/>
        <w:ind w:right="49"/>
        <w:rPr>
          <w:color w:val="auto"/>
          <w:lang w:val="es-MX"/>
        </w:rPr>
      </w:pPr>
      <w:r>
        <w:rPr>
          <w:color w:val="auto"/>
          <w:lang w:val="es-MX"/>
        </w:rPr>
        <w:t xml:space="preserve">Al numeral 2.4.2.2 </w:t>
      </w:r>
      <w:r w:rsidR="00E81A0E">
        <w:rPr>
          <w:color w:val="auto"/>
          <w:lang w:val="es-MX"/>
        </w:rPr>
        <w:t xml:space="preserve">de la </w:t>
      </w:r>
      <w:r w:rsidR="00CF3199">
        <w:rPr>
          <w:color w:val="auto"/>
          <w:lang w:val="es-MX"/>
        </w:rPr>
        <w:t>Oferta de Referencia de Enlaces Dedicados</w:t>
      </w:r>
      <w:r w:rsidR="00E81A0E">
        <w:rPr>
          <w:color w:val="auto"/>
          <w:lang w:val="es-MX"/>
        </w:rPr>
        <w:t xml:space="preserve"> </w:t>
      </w:r>
      <w:r>
        <w:rPr>
          <w:color w:val="auto"/>
          <w:lang w:val="es-MX"/>
        </w:rPr>
        <w:t>se adicionó un segundo párrafo para asegurar que los plazos de entrega compromiso</w:t>
      </w:r>
      <w:r w:rsidR="00C25317">
        <w:rPr>
          <w:color w:val="auto"/>
          <w:lang w:val="es-MX"/>
        </w:rPr>
        <w:t>,</w:t>
      </w:r>
      <w:r>
        <w:rPr>
          <w:color w:val="auto"/>
          <w:lang w:val="es-MX"/>
        </w:rPr>
        <w:t xml:space="preserve"> </w:t>
      </w:r>
      <w:r w:rsidR="00C25317">
        <w:rPr>
          <w:color w:val="auto"/>
          <w:lang w:val="es-MX"/>
        </w:rPr>
        <w:t xml:space="preserve">cuando se solicite una reprogramación o modificación de la entrega vinculante, </w:t>
      </w:r>
      <w:r>
        <w:rPr>
          <w:color w:val="auto"/>
          <w:lang w:val="es-MX"/>
        </w:rPr>
        <w:t xml:space="preserve">no puedan exceder el doble de los plazos señalados en </w:t>
      </w:r>
      <w:r w:rsidR="002E19CA">
        <w:rPr>
          <w:color w:val="auto"/>
          <w:lang w:val="es-MX"/>
        </w:rPr>
        <w:t>la tabla</w:t>
      </w:r>
      <w:r>
        <w:rPr>
          <w:color w:val="auto"/>
          <w:lang w:val="es-MX"/>
        </w:rPr>
        <w:t xml:space="preserve"> del numeral 2.4.1</w:t>
      </w:r>
      <w:r w:rsidR="00F17804">
        <w:rPr>
          <w:color w:val="auto"/>
          <w:lang w:val="es-MX"/>
        </w:rPr>
        <w:t>.1</w:t>
      </w:r>
      <w:r>
        <w:rPr>
          <w:color w:val="auto"/>
          <w:lang w:val="es-MX"/>
        </w:rPr>
        <w:t xml:space="preserve">, tal y como lo establece la Medida </w:t>
      </w:r>
      <w:r w:rsidR="00286161">
        <w:rPr>
          <w:color w:val="auto"/>
          <w:lang w:val="es-MX"/>
        </w:rPr>
        <w:t xml:space="preserve">Fija Decimosexta. Cabe señalar que este texto ya se encontraba en la Oferta de Referencia de enlaces 2016-2017, por lo que retirarlo, además de no garantizar el cumplimiento de lo establecido en la Medida Fija </w:t>
      </w:r>
      <w:r w:rsidR="002E19CA">
        <w:rPr>
          <w:color w:val="auto"/>
          <w:lang w:val="es-MX"/>
        </w:rPr>
        <w:t>Decimosexta</w:t>
      </w:r>
      <w:r w:rsidR="00286161">
        <w:rPr>
          <w:color w:val="auto"/>
          <w:lang w:val="es-MX"/>
        </w:rPr>
        <w:t xml:space="preserve">, ocasionaría </w:t>
      </w:r>
      <w:r w:rsidR="002E19CA">
        <w:rPr>
          <w:color w:val="auto"/>
          <w:lang w:val="es-MX"/>
        </w:rPr>
        <w:t>un retroceso</w:t>
      </w:r>
      <w:r w:rsidR="00286161">
        <w:rPr>
          <w:color w:val="auto"/>
          <w:lang w:val="es-MX"/>
        </w:rPr>
        <w:t xml:space="preserve"> en la regulación, </w:t>
      </w:r>
      <w:r w:rsidR="00AC0DD2">
        <w:rPr>
          <w:color w:val="auto"/>
          <w:lang w:val="es-MX"/>
        </w:rPr>
        <w:t xml:space="preserve">causando </w:t>
      </w:r>
      <w:r w:rsidR="00286161">
        <w:rPr>
          <w:color w:val="auto"/>
          <w:lang w:val="es-MX"/>
        </w:rPr>
        <w:t>una afectación a los Concesionarios Solicitantes y Autorizados Solicitantes.</w:t>
      </w:r>
    </w:p>
    <w:p w14:paraId="51BF4375" w14:textId="77777777" w:rsidR="004F575C" w:rsidRDefault="00356E39" w:rsidP="004F575C">
      <w:pPr>
        <w:pStyle w:val="IFTnormal"/>
        <w:spacing w:before="240" w:after="0"/>
        <w:ind w:right="49"/>
        <w:rPr>
          <w:color w:val="auto"/>
          <w:lang w:val="es-MX"/>
        </w:rPr>
      </w:pPr>
      <w:r>
        <w:rPr>
          <w:color w:val="auto"/>
          <w:lang w:val="es-MX"/>
        </w:rPr>
        <w:t xml:space="preserve">En </w:t>
      </w:r>
      <w:r w:rsidR="002D5602">
        <w:rPr>
          <w:color w:val="auto"/>
          <w:lang w:val="es-MX"/>
        </w:rPr>
        <w:t>los</w:t>
      </w:r>
      <w:r>
        <w:rPr>
          <w:color w:val="auto"/>
          <w:lang w:val="es-MX"/>
        </w:rPr>
        <w:t xml:space="preserve"> numeral</w:t>
      </w:r>
      <w:r w:rsidR="002D5602">
        <w:rPr>
          <w:color w:val="auto"/>
          <w:lang w:val="es-MX"/>
        </w:rPr>
        <w:t>es</w:t>
      </w:r>
      <w:r>
        <w:rPr>
          <w:color w:val="auto"/>
          <w:lang w:val="es-MX"/>
        </w:rPr>
        <w:t xml:space="preserve"> 2.4.3.1 inciso a)</w:t>
      </w:r>
      <w:r w:rsidR="002D5602">
        <w:rPr>
          <w:color w:val="auto"/>
          <w:lang w:val="es-MX"/>
        </w:rPr>
        <w:t xml:space="preserve"> y 2.6.4</w:t>
      </w:r>
      <w:r>
        <w:rPr>
          <w:color w:val="auto"/>
          <w:lang w:val="es-MX"/>
        </w:rPr>
        <w:t xml:space="preserve">, </w:t>
      </w:r>
      <w:r w:rsidRPr="00356E39">
        <w:rPr>
          <w:color w:val="auto"/>
          <w:lang w:val="es-MX"/>
        </w:rPr>
        <w:t xml:space="preserve">se </w:t>
      </w:r>
      <w:r w:rsidR="00B20FBA">
        <w:rPr>
          <w:color w:val="auto"/>
          <w:lang w:val="es-MX"/>
        </w:rPr>
        <w:t>reducen</w:t>
      </w:r>
      <w:r>
        <w:rPr>
          <w:color w:val="auto"/>
          <w:lang w:val="es-MX"/>
        </w:rPr>
        <w:t xml:space="preserve"> las causas por caso fortuito o fuerza mayor,</w:t>
      </w:r>
      <w:r w:rsidRPr="00356E39">
        <w:rPr>
          <w:color w:val="auto"/>
          <w:lang w:val="es-MX"/>
        </w:rPr>
        <w:t xml:space="preserve"> eliminando los términos de accidente, actos de gobierno y</w:t>
      </w:r>
      <w:r>
        <w:rPr>
          <w:color w:val="auto"/>
          <w:lang w:val="es-MX"/>
        </w:rPr>
        <w:t xml:space="preserve"> </w:t>
      </w:r>
      <w:r w:rsidRPr="00356E39">
        <w:rPr>
          <w:color w:val="auto"/>
          <w:lang w:val="es-MX"/>
        </w:rPr>
        <w:t>embargo, ya que los mismos resultaban ambiguos y otorgaban un grado de</w:t>
      </w:r>
      <w:r>
        <w:rPr>
          <w:color w:val="auto"/>
          <w:lang w:val="es-MX"/>
        </w:rPr>
        <w:t xml:space="preserve"> </w:t>
      </w:r>
      <w:r w:rsidRPr="00356E39">
        <w:rPr>
          <w:color w:val="auto"/>
          <w:lang w:val="es-MX"/>
        </w:rPr>
        <w:t xml:space="preserve">discrecionalidad en su aplicación al AEP; </w:t>
      </w:r>
      <w:r>
        <w:rPr>
          <w:color w:val="auto"/>
          <w:lang w:val="es-MX"/>
        </w:rPr>
        <w:t>a</w:t>
      </w:r>
      <w:r w:rsidR="00E370D9">
        <w:rPr>
          <w:color w:val="auto"/>
          <w:lang w:val="es-MX"/>
        </w:rPr>
        <w:t>simismo, en el numeral 2</w:t>
      </w:r>
      <w:r>
        <w:rPr>
          <w:color w:val="auto"/>
          <w:lang w:val="es-MX"/>
        </w:rPr>
        <w:t>.4.</w:t>
      </w:r>
      <w:r w:rsidR="00E370D9">
        <w:rPr>
          <w:color w:val="auto"/>
          <w:lang w:val="es-MX"/>
        </w:rPr>
        <w:t>3.</w:t>
      </w:r>
      <w:r>
        <w:rPr>
          <w:color w:val="auto"/>
          <w:lang w:val="es-MX"/>
        </w:rPr>
        <w:t xml:space="preserve">1 inciso b), se especifica que </w:t>
      </w:r>
      <w:r w:rsidRPr="00C55054">
        <w:rPr>
          <w:color w:val="auto"/>
          <w:lang w:val="es-MX"/>
        </w:rPr>
        <w:t xml:space="preserve">Telmex solo está obligado a gestionar los permisos necesarios </w:t>
      </w:r>
      <w:r w:rsidRPr="00C55054">
        <w:rPr>
          <w:color w:val="auto"/>
          <w:lang w:val="es-MX"/>
        </w:rPr>
        <w:lastRenderedPageBreak/>
        <w:t>para llevar los servicios a través de la vía pública, siendo responsabilidad del Concesionario Solicitante o Autorizado Solicitante tramitar los permisos necesarios una vez que inicia la propiedad privada.</w:t>
      </w:r>
      <w:r w:rsidRPr="00356E39">
        <w:rPr>
          <w:color w:val="auto"/>
          <w:lang w:val="es-MX"/>
        </w:rPr>
        <w:t xml:space="preserve"> </w:t>
      </w:r>
      <w:r>
        <w:rPr>
          <w:color w:val="auto"/>
          <w:lang w:val="es-MX"/>
        </w:rPr>
        <w:t>Con estas modificaciones se</w:t>
      </w:r>
      <w:r w:rsidRPr="00356E39">
        <w:rPr>
          <w:color w:val="auto"/>
          <w:lang w:val="es-MX"/>
        </w:rPr>
        <w:t xml:space="preserve"> propor</w:t>
      </w:r>
      <w:r>
        <w:rPr>
          <w:color w:val="auto"/>
          <w:lang w:val="es-MX"/>
        </w:rPr>
        <w:t xml:space="preserve">ciona mayor certeza con </w:t>
      </w:r>
      <w:r w:rsidRPr="00356E39">
        <w:rPr>
          <w:color w:val="auto"/>
          <w:lang w:val="es-MX"/>
        </w:rPr>
        <w:t>respecto a los event</w:t>
      </w:r>
      <w:r>
        <w:rPr>
          <w:color w:val="auto"/>
          <w:lang w:val="es-MX"/>
        </w:rPr>
        <w:t xml:space="preserve">os que se considerarán cuando se caiga en estos supuestos, favoreciendo </w:t>
      </w:r>
      <w:r w:rsidRPr="00356E39">
        <w:rPr>
          <w:color w:val="auto"/>
          <w:lang w:val="es-MX"/>
        </w:rPr>
        <w:t>la eficiente prestación de los servicios</w:t>
      </w:r>
      <w:r>
        <w:rPr>
          <w:color w:val="auto"/>
          <w:lang w:val="es-MX"/>
        </w:rPr>
        <w:t>.</w:t>
      </w:r>
    </w:p>
    <w:p w14:paraId="5BA5105C" w14:textId="77777777" w:rsidR="004F575C" w:rsidRDefault="00905545" w:rsidP="004F575C">
      <w:pPr>
        <w:pStyle w:val="IFTnormal"/>
        <w:spacing w:before="240" w:after="0"/>
        <w:ind w:right="49"/>
        <w:rPr>
          <w:color w:val="auto"/>
          <w:lang w:val="es-MX"/>
        </w:rPr>
      </w:pPr>
      <w:r>
        <w:rPr>
          <w:color w:val="auto"/>
          <w:lang w:val="es-MX"/>
        </w:rPr>
        <w:t>Con relación al segundo párrafo del numeral 2.4.3.5</w:t>
      </w:r>
      <w:r w:rsidR="00E81A0E" w:rsidRPr="00E81A0E">
        <w:rPr>
          <w:color w:val="auto"/>
          <w:lang w:val="es-MX"/>
        </w:rPr>
        <w:t xml:space="preserve"> </w:t>
      </w:r>
      <w:r w:rsidR="00E81A0E">
        <w:rPr>
          <w:color w:val="auto"/>
          <w:lang w:val="es-MX"/>
        </w:rPr>
        <w:t xml:space="preserve">de la </w:t>
      </w:r>
      <w:r w:rsidR="00CF3199">
        <w:rPr>
          <w:color w:val="auto"/>
          <w:lang w:val="es-MX"/>
        </w:rPr>
        <w:t>Oferta de Referencia de Enlaces Dedicados</w:t>
      </w:r>
      <w:r>
        <w:rPr>
          <w:color w:val="auto"/>
          <w:lang w:val="es-MX"/>
        </w:rPr>
        <w:t xml:space="preserve">, </w:t>
      </w:r>
      <w:r w:rsidR="00735588">
        <w:rPr>
          <w:color w:val="auto"/>
          <w:lang w:val="es-MX"/>
        </w:rPr>
        <w:t xml:space="preserve">se mantiene la condición de que la instalación de los enlaces Ethernet, aún en los casos </w:t>
      </w:r>
      <w:r w:rsidR="002E19CA">
        <w:rPr>
          <w:color w:val="auto"/>
          <w:lang w:val="es-MX"/>
        </w:rPr>
        <w:t>cuando</w:t>
      </w:r>
      <w:r w:rsidR="00735588">
        <w:rPr>
          <w:color w:val="auto"/>
          <w:lang w:val="es-MX"/>
        </w:rPr>
        <w:t xml:space="preserve"> se exceda de los </w:t>
      </w:r>
      <w:r w:rsidR="002E19CA">
        <w:rPr>
          <w:color w:val="auto"/>
          <w:lang w:val="es-MX"/>
        </w:rPr>
        <w:t>pronósticos</w:t>
      </w:r>
      <w:r w:rsidR="00735588">
        <w:rPr>
          <w:color w:val="auto"/>
          <w:lang w:val="es-MX"/>
        </w:rPr>
        <w:t xml:space="preserve">, no debe exceder de 60 días hábiles; ello, toda vez que </w:t>
      </w:r>
      <w:r w:rsidR="002E19CA">
        <w:rPr>
          <w:color w:val="auto"/>
          <w:lang w:val="es-MX"/>
        </w:rPr>
        <w:t>incrementar</w:t>
      </w:r>
      <w:r w:rsidR="00735588">
        <w:rPr>
          <w:color w:val="auto"/>
          <w:lang w:val="es-MX"/>
        </w:rPr>
        <w:t xml:space="preserve"> el plazo a 120 días como lo propone el AEP,</w:t>
      </w:r>
      <w:r w:rsidR="009B3CC1">
        <w:rPr>
          <w:color w:val="auto"/>
          <w:lang w:val="es-MX"/>
        </w:rPr>
        <w:t xml:space="preserve"> así como limitar los beneficios de plazos máximos solo a velocidades menores a E2,</w:t>
      </w:r>
      <w:r w:rsidR="00735588">
        <w:rPr>
          <w:color w:val="auto"/>
          <w:lang w:val="es-MX"/>
        </w:rPr>
        <w:t xml:space="preserve"> implicaría un</w:t>
      </w:r>
      <w:r w:rsidR="00EE669D">
        <w:rPr>
          <w:color w:val="auto"/>
          <w:lang w:val="es-MX"/>
        </w:rPr>
        <w:t xml:space="preserve"> trato diferenciado con respecto a otros convenios que el AEP </w:t>
      </w:r>
      <w:r w:rsidR="00B1790B">
        <w:rPr>
          <w:color w:val="auto"/>
          <w:lang w:val="es-MX"/>
        </w:rPr>
        <w:t>h</w:t>
      </w:r>
      <w:r w:rsidR="00EE669D">
        <w:rPr>
          <w:color w:val="auto"/>
          <w:lang w:val="es-MX"/>
        </w:rPr>
        <w:t>a firmado en donde no requiere de pronósticos para la entrega de los servicios</w:t>
      </w:r>
      <w:r w:rsidR="00735588">
        <w:rPr>
          <w:color w:val="auto"/>
          <w:lang w:val="es-MX"/>
        </w:rPr>
        <w:t>.</w:t>
      </w:r>
      <w:r w:rsidR="009B3CC1">
        <w:rPr>
          <w:color w:val="auto"/>
          <w:lang w:val="es-MX"/>
        </w:rPr>
        <w:t xml:space="preserve"> </w:t>
      </w:r>
      <w:r w:rsidR="002C2402">
        <w:rPr>
          <w:color w:val="auto"/>
          <w:lang w:val="es-MX"/>
        </w:rPr>
        <w:t xml:space="preserve">En este orden de ideas, a lo largo de la Oferta de Referencia de Enlaces de Dedicados, se han adicionado y modificado las referencias a este numeral. </w:t>
      </w:r>
      <w:r w:rsidR="009B3CC1">
        <w:rPr>
          <w:color w:val="auto"/>
          <w:lang w:val="es-MX"/>
        </w:rPr>
        <w:t xml:space="preserve">Lo anterior, en concordancia con lo </w:t>
      </w:r>
      <w:r w:rsidR="00B4197D">
        <w:rPr>
          <w:color w:val="auto"/>
          <w:lang w:val="es-MX"/>
        </w:rPr>
        <w:t>dispuesto</w:t>
      </w:r>
      <w:r w:rsidR="009B3CC1">
        <w:rPr>
          <w:color w:val="auto"/>
          <w:lang w:val="es-MX"/>
        </w:rPr>
        <w:t xml:space="preserve"> en la Medida Cuadragésima Primera de las Medidas Fijas, que establece que la oferta propuesta por el AEP, deberá reflejar al menos condiciones equivalentes a las de la Oferta de Referencia vigente.</w:t>
      </w:r>
    </w:p>
    <w:p w14:paraId="2A795657" w14:textId="77777777" w:rsidR="004F575C" w:rsidRDefault="00605E82" w:rsidP="004F575C">
      <w:pPr>
        <w:pStyle w:val="IFTnormal"/>
        <w:spacing w:before="240" w:after="0"/>
        <w:ind w:right="49"/>
        <w:rPr>
          <w:color w:val="auto"/>
          <w:lang w:val="es-MX"/>
        </w:rPr>
      </w:pPr>
      <w:r>
        <w:rPr>
          <w:color w:val="auto"/>
          <w:lang w:val="es-MX"/>
        </w:rPr>
        <w:t xml:space="preserve">La </w:t>
      </w:r>
      <w:r w:rsidR="00973F83">
        <w:rPr>
          <w:color w:val="auto"/>
          <w:lang w:val="es-MX"/>
        </w:rPr>
        <w:t>demanda</w:t>
      </w:r>
      <w:r>
        <w:rPr>
          <w:color w:val="auto"/>
          <w:lang w:val="es-MX"/>
        </w:rPr>
        <w:t xml:space="preserve"> de Servicios Mayoristas de Enlaces Dedicados</w:t>
      </w:r>
      <w:r w:rsidR="00973F83">
        <w:rPr>
          <w:color w:val="auto"/>
          <w:lang w:val="es-MX"/>
        </w:rPr>
        <w:t>,</w:t>
      </w:r>
      <w:r>
        <w:rPr>
          <w:color w:val="auto"/>
          <w:lang w:val="es-MX"/>
        </w:rPr>
        <w:t xml:space="preserve"> </w:t>
      </w:r>
      <w:r w:rsidR="00973F83">
        <w:rPr>
          <w:color w:val="auto"/>
          <w:lang w:val="es-MX"/>
        </w:rPr>
        <w:t xml:space="preserve">por parte de los Concesionarios Solicitantes y Autorizados Solicitantes, en áreas donde el </w:t>
      </w:r>
      <w:r>
        <w:rPr>
          <w:color w:val="auto"/>
          <w:lang w:val="es-MX"/>
        </w:rPr>
        <w:t>Telmex</w:t>
      </w:r>
      <w:r w:rsidR="00973F83">
        <w:rPr>
          <w:color w:val="auto"/>
          <w:lang w:val="es-MX"/>
        </w:rPr>
        <w:t xml:space="preserve"> no cuenta con infraestructura</w:t>
      </w:r>
      <w:r>
        <w:rPr>
          <w:color w:val="auto"/>
          <w:lang w:val="es-MX"/>
        </w:rPr>
        <w:t xml:space="preserve">, </w:t>
      </w:r>
      <w:r w:rsidR="00973F83">
        <w:rPr>
          <w:color w:val="auto"/>
          <w:lang w:val="es-MX"/>
        </w:rPr>
        <w:t>requiere de reglas más claras sobre los casos donde aplican los Proyectos Especiales, así como claridad respecto de los costos asociados a los mismos. En razón de ello, en</w:t>
      </w:r>
      <w:r w:rsidR="00DF6661">
        <w:rPr>
          <w:color w:val="auto"/>
          <w:lang w:val="es-MX"/>
        </w:rPr>
        <w:t xml:space="preserve"> el numeral 2.5.6</w:t>
      </w:r>
      <w:r w:rsidR="00DF6661" w:rsidRPr="00E81A0E">
        <w:rPr>
          <w:color w:val="auto"/>
          <w:lang w:val="es-MX"/>
        </w:rPr>
        <w:t xml:space="preserve"> </w:t>
      </w:r>
      <w:r w:rsidR="00DF6661">
        <w:rPr>
          <w:color w:val="auto"/>
          <w:lang w:val="es-MX"/>
        </w:rPr>
        <w:t xml:space="preserve">de la Oferta de Referencia de Enlaces Dedicados, a partir del segundo párrafo, se especifica </w:t>
      </w:r>
      <w:r w:rsidR="00E01B20">
        <w:rPr>
          <w:color w:val="auto"/>
          <w:lang w:val="es-MX"/>
        </w:rPr>
        <w:t xml:space="preserve">que el para el caso de los </w:t>
      </w:r>
      <w:r w:rsidR="00973F83">
        <w:rPr>
          <w:color w:val="auto"/>
          <w:lang w:val="es-MX"/>
        </w:rPr>
        <w:t>P</w:t>
      </w:r>
      <w:r w:rsidR="00E01B20">
        <w:rPr>
          <w:color w:val="auto"/>
          <w:lang w:val="es-MX"/>
        </w:rPr>
        <w:t xml:space="preserve">royectos </w:t>
      </w:r>
      <w:r w:rsidR="00973F83">
        <w:rPr>
          <w:color w:val="auto"/>
          <w:lang w:val="es-MX"/>
        </w:rPr>
        <w:t>E</w:t>
      </w:r>
      <w:r w:rsidR="00E01B20">
        <w:rPr>
          <w:color w:val="auto"/>
          <w:lang w:val="es-MX"/>
        </w:rPr>
        <w:t xml:space="preserve">speciales Telmex deberá </w:t>
      </w:r>
      <w:r w:rsidR="00E01B20" w:rsidRPr="00E01B20">
        <w:rPr>
          <w:color w:val="auto"/>
          <w:lang w:val="es-MX"/>
        </w:rPr>
        <w:t>señalar expresamente las razones por las cuales se considera un proyecto especial e identificar claramente los elementos de costo adicionales a aquellos considerados dentro de la Oferta</w:t>
      </w:r>
      <w:r w:rsidR="00E01B20">
        <w:rPr>
          <w:color w:val="auto"/>
          <w:lang w:val="es-MX"/>
        </w:rPr>
        <w:t xml:space="preserve"> de</w:t>
      </w:r>
      <w:r w:rsidR="00111690">
        <w:rPr>
          <w:color w:val="auto"/>
          <w:lang w:val="es-MX"/>
        </w:rPr>
        <w:t xml:space="preserve"> Referencia de</w:t>
      </w:r>
      <w:r w:rsidR="00E01B20">
        <w:rPr>
          <w:color w:val="auto"/>
          <w:lang w:val="es-MX"/>
        </w:rPr>
        <w:t xml:space="preserve"> Enlaces Dedicados, lo anterior a fin de cumplir con lo establecido en la medida Decimosé</w:t>
      </w:r>
      <w:r w:rsidR="00977E9B">
        <w:rPr>
          <w:color w:val="auto"/>
          <w:lang w:val="es-MX"/>
        </w:rPr>
        <w:t>p</w:t>
      </w:r>
      <w:r w:rsidR="00E01B20">
        <w:rPr>
          <w:color w:val="auto"/>
          <w:lang w:val="es-MX"/>
        </w:rPr>
        <w:t>tima</w:t>
      </w:r>
      <w:r w:rsidR="00977E9B">
        <w:rPr>
          <w:color w:val="auto"/>
          <w:lang w:val="es-MX"/>
        </w:rPr>
        <w:t xml:space="preserve"> así como lo señalado en la</w:t>
      </w:r>
      <w:r w:rsidR="00E01B20">
        <w:rPr>
          <w:color w:val="auto"/>
          <w:lang w:val="es-MX"/>
        </w:rPr>
        <w:t xml:space="preserve"> </w:t>
      </w:r>
      <w:r w:rsidR="00DF6661">
        <w:rPr>
          <w:color w:val="auto"/>
          <w:lang w:val="es-MX"/>
        </w:rPr>
        <w:t>Medida Cuadragésima Primera de las Medidas Fijas, que establece la obligación para que la oferta contenga los servicios establecidos de manera específica y condiciones aplicables a los mismos, así como las características de los servicios incluidos y de los servicios auxiliares en caso de ser necesarios.</w:t>
      </w:r>
    </w:p>
    <w:p w14:paraId="5FE087C7" w14:textId="77777777" w:rsidR="004F575C" w:rsidRDefault="00567615" w:rsidP="004F575C">
      <w:pPr>
        <w:pStyle w:val="IFTnormal"/>
        <w:spacing w:before="240" w:after="0"/>
        <w:ind w:right="49"/>
        <w:rPr>
          <w:color w:val="auto"/>
          <w:lang w:val="es-MX"/>
        </w:rPr>
      </w:pPr>
      <w:r>
        <w:rPr>
          <w:color w:val="auto"/>
          <w:lang w:val="es-MX"/>
        </w:rPr>
        <w:t xml:space="preserve">Con relación al numeral 2.5.7 se especifica que en el caso de requerirse aumentos de velocidad </w:t>
      </w:r>
      <w:r w:rsidRPr="00467921">
        <w:rPr>
          <w:color w:val="auto"/>
          <w:lang w:val="es-MX"/>
        </w:rPr>
        <w:t>que no impliquen cambio de tecnología sino solamente cambio o modificación en los equipos terminales, no existirá penalidad por el incumplimiento del plazo forzoso del enlace anterior</w:t>
      </w:r>
      <w:r>
        <w:rPr>
          <w:color w:val="auto"/>
          <w:lang w:val="es-MX"/>
        </w:rPr>
        <w:t xml:space="preserve">, asimismo dicho cambio se ve reflejado dentro </w:t>
      </w:r>
      <w:r>
        <w:rPr>
          <w:color w:val="auto"/>
          <w:lang w:val="es-MX"/>
        </w:rPr>
        <w:lastRenderedPageBreak/>
        <w:t xml:space="preserve">del Anexo C suministro de servicios. Dicha modificación obedece a que no existe una cancelación del servicio o modificación que implique una nueva solicitud de alta, de igual forma dicho punto es aplicable </w:t>
      </w:r>
      <w:r w:rsidRPr="00467921">
        <w:rPr>
          <w:color w:val="auto"/>
          <w:lang w:val="es-MX"/>
        </w:rPr>
        <w:t>en tanto el plazo forzoso del nuevo enlace que lo sustituye sea mayor al tiempo remanente del enlace anterior</w:t>
      </w:r>
      <w:r>
        <w:rPr>
          <w:color w:val="auto"/>
          <w:lang w:val="es-MX"/>
        </w:rPr>
        <w:t>.</w:t>
      </w:r>
    </w:p>
    <w:p w14:paraId="16B87ADE" w14:textId="77777777" w:rsidR="004F575C" w:rsidRDefault="00B51D13" w:rsidP="004F575C">
      <w:pPr>
        <w:pStyle w:val="IFTnormal"/>
        <w:spacing w:before="240" w:after="0"/>
        <w:ind w:right="49"/>
        <w:rPr>
          <w:color w:val="auto"/>
          <w:lang w:val="es-MX"/>
        </w:rPr>
      </w:pPr>
      <w:r>
        <w:rPr>
          <w:color w:val="auto"/>
          <w:lang w:val="es-MX"/>
        </w:rPr>
        <w:t xml:space="preserve">Con relación a la operación y mantenimiento, en el numeral 2.6.2, los plazos máximos </w:t>
      </w:r>
      <w:r w:rsidR="00FB3C48">
        <w:rPr>
          <w:color w:val="auto"/>
          <w:lang w:val="es-MX"/>
        </w:rPr>
        <w:t xml:space="preserve">para la solución de las fallas reportadas, se </w:t>
      </w:r>
      <w:r w:rsidR="00180DB6">
        <w:rPr>
          <w:color w:val="auto"/>
          <w:lang w:val="es-MX"/>
        </w:rPr>
        <w:t>ajustan a 10 horas para la Prioridad 3; ello, conforme lo establecido en la Medida Vigésima de las Medidas Fijas.</w:t>
      </w:r>
      <w:r w:rsidR="00C705C9">
        <w:rPr>
          <w:color w:val="auto"/>
          <w:lang w:val="es-MX"/>
        </w:rPr>
        <w:t xml:space="preserve"> </w:t>
      </w:r>
      <w:r w:rsidR="001A402D">
        <w:rPr>
          <w:color w:val="auto"/>
          <w:lang w:val="es-MX"/>
        </w:rPr>
        <w:t>Adicionalmente</w:t>
      </w:r>
      <w:r w:rsidR="00C705C9">
        <w:rPr>
          <w:color w:val="auto"/>
          <w:lang w:val="es-MX"/>
        </w:rPr>
        <w:t>,</w:t>
      </w:r>
      <w:r w:rsidR="00DA0FBE">
        <w:rPr>
          <w:color w:val="auto"/>
          <w:lang w:val="es-MX"/>
        </w:rPr>
        <w:t xml:space="preserve"> en el numeral 2.6.3 se especifica para el caso de la prioridad 2,</w:t>
      </w:r>
      <w:r w:rsidR="00B26D8C">
        <w:rPr>
          <w:color w:val="auto"/>
          <w:lang w:val="es-MX"/>
        </w:rPr>
        <w:t xml:space="preserve"> “</w:t>
      </w:r>
      <w:r w:rsidR="00DA0FBE" w:rsidRPr="009B4733">
        <w:rPr>
          <w:i/>
        </w:rPr>
        <w:t>corte permanente de circuito con redundancia</w:t>
      </w:r>
      <w:r w:rsidR="00B26D8C">
        <w:rPr>
          <w:color w:val="auto"/>
          <w:lang w:val="es-MX"/>
        </w:rPr>
        <w:t>”</w:t>
      </w:r>
      <w:r w:rsidR="00DA0FBE">
        <w:rPr>
          <w:color w:val="auto"/>
          <w:lang w:val="es-MX"/>
        </w:rPr>
        <w:t>, s</w:t>
      </w:r>
      <w:r w:rsidR="00DA0FBE" w:rsidRPr="00201390">
        <w:rPr>
          <w:color w:val="auto"/>
          <w:lang w:val="es-MX"/>
        </w:rPr>
        <w:t>i un circuito tiene afectadas ambas rutas, principal y redundancia, se considera</w:t>
      </w:r>
      <w:r w:rsidR="00B26D8C">
        <w:rPr>
          <w:color w:val="auto"/>
          <w:lang w:val="es-MX"/>
        </w:rPr>
        <w:t>rá</w:t>
      </w:r>
      <w:r w:rsidR="00DA0FBE" w:rsidRPr="00201390">
        <w:rPr>
          <w:color w:val="auto"/>
          <w:lang w:val="es-MX"/>
        </w:rPr>
        <w:t xml:space="preserve"> </w:t>
      </w:r>
      <w:r w:rsidR="00B26D8C">
        <w:rPr>
          <w:color w:val="auto"/>
          <w:lang w:val="es-MX"/>
        </w:rPr>
        <w:t xml:space="preserve">como </w:t>
      </w:r>
      <w:r w:rsidR="00DA0FBE" w:rsidRPr="00201390">
        <w:rPr>
          <w:color w:val="auto"/>
          <w:lang w:val="es-MX"/>
        </w:rPr>
        <w:t>Prioridad 1.</w:t>
      </w:r>
      <w:r w:rsidR="00DA0FBE">
        <w:rPr>
          <w:color w:val="auto"/>
          <w:lang w:val="es-MX"/>
        </w:rPr>
        <w:t xml:space="preserve"> </w:t>
      </w:r>
      <w:r w:rsidR="00FC4F97">
        <w:rPr>
          <w:color w:val="auto"/>
          <w:lang w:val="es-MX"/>
        </w:rPr>
        <w:t>Asimismo,</w:t>
      </w:r>
      <w:r w:rsidR="00C705C9">
        <w:rPr>
          <w:color w:val="auto"/>
          <w:lang w:val="es-MX"/>
        </w:rPr>
        <w:t xml:space="preserve"> una vez concluidas las pruebas realizadas para corroborar la debida reparación de fallas, para asegurar una eficiente prestación de los servicios solicitados, se considera necesario </w:t>
      </w:r>
      <w:r w:rsidR="00D7005B">
        <w:rPr>
          <w:color w:val="auto"/>
          <w:lang w:val="es-MX"/>
        </w:rPr>
        <w:t>incorporar en el numeral 2.6.5.</w:t>
      </w:r>
      <w:r w:rsidR="003231E5">
        <w:rPr>
          <w:color w:val="auto"/>
          <w:lang w:val="es-MX"/>
        </w:rPr>
        <w:t>,</w:t>
      </w:r>
      <w:r w:rsidR="00D7005B">
        <w:rPr>
          <w:color w:val="auto"/>
          <w:lang w:val="es-MX"/>
        </w:rPr>
        <w:t xml:space="preserve"> </w:t>
      </w:r>
      <w:r w:rsidR="00C705C9">
        <w:rPr>
          <w:color w:val="auto"/>
          <w:lang w:val="es-MX"/>
        </w:rPr>
        <w:t xml:space="preserve">que para el cierre </w:t>
      </w:r>
      <w:r w:rsidR="00D7005B">
        <w:rPr>
          <w:color w:val="auto"/>
          <w:lang w:val="es-MX"/>
        </w:rPr>
        <w:t>del ti</w:t>
      </w:r>
      <w:r w:rsidR="00C705C9">
        <w:rPr>
          <w:color w:val="auto"/>
          <w:lang w:val="es-MX"/>
        </w:rPr>
        <w:t xml:space="preserve">cket levantado por tal motivo, el Concesionario Solicitante y Autorizado Solicitante </w:t>
      </w:r>
      <w:r w:rsidR="00B308C9">
        <w:rPr>
          <w:color w:val="auto"/>
          <w:lang w:val="es-MX"/>
        </w:rPr>
        <w:t xml:space="preserve">a través del SEG </w:t>
      </w:r>
      <w:r w:rsidR="00C705C9">
        <w:rPr>
          <w:color w:val="auto"/>
          <w:lang w:val="es-MX"/>
        </w:rPr>
        <w:t>otorguen su conformidad</w:t>
      </w:r>
      <w:r w:rsidR="009B4733">
        <w:rPr>
          <w:color w:val="auto"/>
          <w:lang w:val="es-MX"/>
        </w:rPr>
        <w:t xml:space="preserve"> en la reparación</w:t>
      </w:r>
      <w:r w:rsidR="00C705C9">
        <w:rPr>
          <w:color w:val="auto"/>
          <w:lang w:val="es-MX"/>
        </w:rPr>
        <w:t>.</w:t>
      </w:r>
      <w:r w:rsidR="00A36084">
        <w:rPr>
          <w:color w:val="auto"/>
          <w:lang w:val="es-MX"/>
        </w:rPr>
        <w:t xml:space="preserve"> </w:t>
      </w:r>
      <w:r w:rsidR="009B4733">
        <w:rPr>
          <w:color w:val="auto"/>
          <w:lang w:val="es-MX"/>
        </w:rPr>
        <w:t>De igual forma, dentro</w:t>
      </w:r>
      <w:r w:rsidR="00E71E76">
        <w:rPr>
          <w:color w:val="auto"/>
          <w:lang w:val="es-MX"/>
        </w:rPr>
        <w:t xml:space="preserve"> del numeral 2.6.5, así como en el modelo de convenio</w:t>
      </w:r>
      <w:r w:rsidR="00A36084">
        <w:rPr>
          <w:color w:val="auto"/>
          <w:lang w:val="es-MX"/>
        </w:rPr>
        <w:t xml:space="preserve">, se elimina el párrafo </w:t>
      </w:r>
      <w:r w:rsidR="00F03172">
        <w:rPr>
          <w:color w:val="auto"/>
          <w:lang w:val="es-MX"/>
        </w:rPr>
        <w:t>relacionado con la pé</w:t>
      </w:r>
      <w:r w:rsidR="00A36084">
        <w:rPr>
          <w:color w:val="auto"/>
          <w:lang w:val="es-MX"/>
        </w:rPr>
        <w:t xml:space="preserve">rdida de paquetes en última milla y </w:t>
      </w:r>
      <w:r w:rsidR="009B4733">
        <w:rPr>
          <w:color w:val="auto"/>
          <w:lang w:val="es-MX"/>
        </w:rPr>
        <w:t>mediante</w:t>
      </w:r>
      <w:r w:rsidR="00A36084">
        <w:rPr>
          <w:color w:val="auto"/>
          <w:lang w:val="es-MX"/>
        </w:rPr>
        <w:t xml:space="preserve"> conexión con fibra óptica</w:t>
      </w:r>
      <w:r w:rsidR="009B4733">
        <w:rPr>
          <w:color w:val="auto"/>
          <w:lang w:val="es-MX"/>
        </w:rPr>
        <w:t>,</w:t>
      </w:r>
      <w:r w:rsidR="00A36084">
        <w:rPr>
          <w:color w:val="auto"/>
          <w:lang w:val="es-MX"/>
        </w:rPr>
        <w:t xml:space="preserve"> ya que e</w:t>
      </w:r>
      <w:r w:rsidR="00BD1707">
        <w:rPr>
          <w:color w:val="auto"/>
          <w:lang w:val="es-MX"/>
        </w:rPr>
        <w:t>ste supuesto no fue considerado dentro de las Medidas Fijas</w:t>
      </w:r>
      <w:r w:rsidR="00F03172">
        <w:rPr>
          <w:color w:val="auto"/>
          <w:lang w:val="es-MX"/>
        </w:rPr>
        <w:t>.</w:t>
      </w:r>
    </w:p>
    <w:p w14:paraId="5C50815D" w14:textId="77777777" w:rsidR="004F575C" w:rsidRDefault="00FE4522" w:rsidP="004F575C">
      <w:pPr>
        <w:pStyle w:val="IFTnormal"/>
        <w:spacing w:before="240" w:after="0"/>
        <w:ind w:right="49"/>
        <w:rPr>
          <w:color w:val="auto"/>
          <w:lang w:val="es-MX"/>
        </w:rPr>
      </w:pPr>
      <w:r>
        <w:rPr>
          <w:color w:val="auto"/>
          <w:lang w:val="es-MX"/>
        </w:rPr>
        <w:t xml:space="preserve">En el numeral 2.7 de la </w:t>
      </w:r>
      <w:r w:rsidR="00CF3199">
        <w:rPr>
          <w:color w:val="auto"/>
          <w:lang w:val="es-MX"/>
        </w:rPr>
        <w:t>Oferta de Referencia de Enlaces Dedicados</w:t>
      </w:r>
      <w:r>
        <w:rPr>
          <w:color w:val="auto"/>
          <w:lang w:val="es-MX"/>
        </w:rPr>
        <w:t xml:space="preserve">, </w:t>
      </w:r>
      <w:r w:rsidR="00892175">
        <w:rPr>
          <w:color w:val="auto"/>
          <w:lang w:val="es-MX"/>
        </w:rPr>
        <w:t xml:space="preserve">se incorporan penalizaciones por incumplimiento del AEP </w:t>
      </w:r>
      <w:r w:rsidR="005A2950">
        <w:rPr>
          <w:color w:val="auto"/>
          <w:lang w:val="es-MX"/>
        </w:rPr>
        <w:t xml:space="preserve">a los niveles de servicio, como lo son por </w:t>
      </w:r>
      <w:r w:rsidR="00892175">
        <w:rPr>
          <w:color w:val="auto"/>
          <w:lang w:val="es-MX"/>
        </w:rPr>
        <w:t xml:space="preserve">entrega </w:t>
      </w:r>
      <w:r w:rsidR="001D281F">
        <w:rPr>
          <w:color w:val="auto"/>
          <w:lang w:val="es-MX"/>
        </w:rPr>
        <w:t xml:space="preserve">tardía de los enlaces conforme a la fecha aplicable, </w:t>
      </w:r>
      <w:r w:rsidR="000F6EEE">
        <w:rPr>
          <w:color w:val="auto"/>
          <w:lang w:val="es-MX"/>
        </w:rPr>
        <w:t xml:space="preserve">así como </w:t>
      </w:r>
      <w:r w:rsidR="00892175">
        <w:rPr>
          <w:color w:val="auto"/>
          <w:lang w:val="es-MX"/>
        </w:rPr>
        <w:t xml:space="preserve">por incumplimiento </w:t>
      </w:r>
      <w:r w:rsidR="001D281F">
        <w:rPr>
          <w:color w:val="auto"/>
          <w:lang w:val="es-MX"/>
        </w:rPr>
        <w:t>en los parámetros de disponibilidad</w:t>
      </w:r>
      <w:r w:rsidR="000F6EEE">
        <w:rPr>
          <w:color w:val="auto"/>
          <w:lang w:val="es-MX"/>
        </w:rPr>
        <w:t>. Asimismo,</w:t>
      </w:r>
      <w:r w:rsidR="00111690">
        <w:rPr>
          <w:color w:val="auto"/>
          <w:lang w:val="es-MX"/>
        </w:rPr>
        <w:t xml:space="preserve"> </w:t>
      </w:r>
      <w:r w:rsidR="00892175">
        <w:rPr>
          <w:color w:val="auto"/>
          <w:lang w:val="es-MX"/>
        </w:rPr>
        <w:t xml:space="preserve">se incorpora el método de cálculo de las penalizaciones. </w:t>
      </w:r>
      <w:r w:rsidR="00513C89">
        <w:rPr>
          <w:color w:val="auto"/>
          <w:lang w:val="es-MX"/>
        </w:rPr>
        <w:t xml:space="preserve">Ello de </w:t>
      </w:r>
      <w:r w:rsidR="005A2950">
        <w:rPr>
          <w:color w:val="auto"/>
          <w:lang w:val="es-MX"/>
        </w:rPr>
        <w:t>conformidad con lo establecido en la Medida Cuadragésima Primera</w:t>
      </w:r>
      <w:r w:rsidR="00DC4BB9">
        <w:rPr>
          <w:color w:val="auto"/>
          <w:lang w:val="es-MX"/>
        </w:rPr>
        <w:t xml:space="preserve"> de las Medidas Fijas</w:t>
      </w:r>
      <w:r w:rsidR="005A2950">
        <w:rPr>
          <w:color w:val="auto"/>
          <w:lang w:val="es-MX"/>
        </w:rPr>
        <w:t>.</w:t>
      </w:r>
      <w:r w:rsidR="00F405F2">
        <w:rPr>
          <w:color w:val="auto"/>
          <w:lang w:val="es-MX"/>
        </w:rPr>
        <w:t xml:space="preserve"> Asimismo para 2.7.2</w:t>
      </w:r>
      <w:r w:rsidR="00D835C6">
        <w:rPr>
          <w:color w:val="auto"/>
          <w:lang w:val="es-MX"/>
        </w:rPr>
        <w:t xml:space="preserve"> se establecen una mayor penalización por incumplimiento en los parámetros de disponibilidad, en este sentido se establece el </w:t>
      </w:r>
      <w:r w:rsidR="00D835C6" w:rsidRPr="00D835C6">
        <w:rPr>
          <w:color w:val="auto"/>
          <w:lang w:val="es-MX"/>
        </w:rPr>
        <w:t xml:space="preserve">6% de la renta mensual del enlace por cada hora o fracción </w:t>
      </w:r>
      <w:r w:rsidR="00D835C6">
        <w:rPr>
          <w:color w:val="auto"/>
          <w:lang w:val="es-MX"/>
        </w:rPr>
        <w:t>en el</w:t>
      </w:r>
      <w:r w:rsidR="00D835C6" w:rsidRPr="00D835C6">
        <w:rPr>
          <w:color w:val="auto"/>
          <w:lang w:val="es-MX"/>
        </w:rPr>
        <w:t xml:space="preserve"> incumplimiento </w:t>
      </w:r>
      <w:r w:rsidR="00D835C6">
        <w:rPr>
          <w:color w:val="auto"/>
          <w:lang w:val="es-MX"/>
        </w:rPr>
        <w:t>de</w:t>
      </w:r>
      <w:r w:rsidR="00D835C6" w:rsidRPr="00D835C6">
        <w:rPr>
          <w:color w:val="auto"/>
          <w:lang w:val="es-MX"/>
        </w:rPr>
        <w:t xml:space="preserve"> los parámetros de disponibilidad</w:t>
      </w:r>
      <w:r w:rsidR="00D835C6">
        <w:rPr>
          <w:color w:val="auto"/>
          <w:lang w:val="es-MX"/>
        </w:rPr>
        <w:t>, lo anterior con el fin de asegurar el mayor esfuerzo para la continuidad en la prestación de los servicios.</w:t>
      </w:r>
    </w:p>
    <w:p w14:paraId="1B38AAFC" w14:textId="77777777" w:rsidR="004F575C" w:rsidRDefault="00695B5F" w:rsidP="004F575C">
      <w:pPr>
        <w:pStyle w:val="IFTnormal"/>
        <w:spacing w:before="240" w:after="0"/>
        <w:ind w:right="49"/>
        <w:rPr>
          <w:color w:val="auto"/>
          <w:lang w:val="es-MX"/>
        </w:rPr>
      </w:pPr>
      <w:r>
        <w:rPr>
          <w:color w:val="auto"/>
          <w:lang w:val="es-MX"/>
        </w:rPr>
        <w:t xml:space="preserve">Con relación a </w:t>
      </w:r>
      <w:r w:rsidR="008A0DBB">
        <w:rPr>
          <w:color w:val="auto"/>
          <w:lang w:val="es-MX"/>
        </w:rPr>
        <w:t xml:space="preserve">la penalización de aplicar 1.2% sobre la renta mensual del servicio contratado, cuando se demuestre que el Concesionario Solicitante hubiese reportado un falso negativo, ésta es eliminada </w:t>
      </w:r>
      <w:r w:rsidR="00686174">
        <w:rPr>
          <w:color w:val="auto"/>
          <w:lang w:val="es-MX"/>
        </w:rPr>
        <w:t xml:space="preserve">de la </w:t>
      </w:r>
      <w:r w:rsidR="000F6EEE">
        <w:rPr>
          <w:color w:val="auto"/>
          <w:lang w:val="es-MX"/>
        </w:rPr>
        <w:t xml:space="preserve">Oferta de Referencia de Enlaces Dedicados, </w:t>
      </w:r>
      <w:r w:rsidR="008A0DBB">
        <w:rPr>
          <w:color w:val="auto"/>
          <w:lang w:val="es-MX"/>
        </w:rPr>
        <w:t xml:space="preserve">toda vez que en el cobro de la renta mensual de los servicios prestados están </w:t>
      </w:r>
      <w:r w:rsidR="00B4197D">
        <w:rPr>
          <w:color w:val="auto"/>
          <w:lang w:val="es-MX"/>
        </w:rPr>
        <w:t>incluidos</w:t>
      </w:r>
      <w:r w:rsidR="008A0DBB">
        <w:rPr>
          <w:color w:val="auto"/>
          <w:lang w:val="es-MX"/>
        </w:rPr>
        <w:t xml:space="preserve"> este tipo de gastos de operación, por lo que no resulta procedente </w:t>
      </w:r>
      <w:r w:rsidR="00686174">
        <w:rPr>
          <w:color w:val="auto"/>
          <w:lang w:val="es-MX"/>
        </w:rPr>
        <w:t>su</w:t>
      </w:r>
      <w:r w:rsidR="008A0DBB">
        <w:rPr>
          <w:color w:val="auto"/>
          <w:lang w:val="es-MX"/>
        </w:rPr>
        <w:t xml:space="preserve"> aplicación</w:t>
      </w:r>
      <w:r w:rsidR="00686174">
        <w:rPr>
          <w:color w:val="auto"/>
          <w:lang w:val="es-MX"/>
        </w:rPr>
        <w:t xml:space="preserve"> por ser desproporcionada al incumplimiento</w:t>
      </w:r>
      <w:r w:rsidR="008A0DBB">
        <w:rPr>
          <w:color w:val="auto"/>
          <w:lang w:val="es-MX"/>
        </w:rPr>
        <w:t xml:space="preserve">. </w:t>
      </w:r>
      <w:r w:rsidR="002D5602">
        <w:rPr>
          <w:color w:val="auto"/>
          <w:lang w:val="es-MX"/>
        </w:rPr>
        <w:t xml:space="preserve">Asimismo, </w:t>
      </w:r>
      <w:r w:rsidR="00B534A8">
        <w:rPr>
          <w:color w:val="auto"/>
          <w:lang w:val="es-MX"/>
        </w:rPr>
        <w:t xml:space="preserve">toda vez que </w:t>
      </w:r>
      <w:r w:rsidR="002D5602">
        <w:rPr>
          <w:color w:val="auto"/>
          <w:lang w:val="es-MX"/>
        </w:rPr>
        <w:t>en la propia Oferta de Referencia se establ</w:t>
      </w:r>
      <w:r w:rsidR="002445D3">
        <w:rPr>
          <w:color w:val="auto"/>
          <w:lang w:val="es-MX"/>
        </w:rPr>
        <w:t>e</w:t>
      </w:r>
      <w:r w:rsidR="002D5602">
        <w:rPr>
          <w:color w:val="auto"/>
          <w:lang w:val="es-MX"/>
        </w:rPr>
        <w:t xml:space="preserve">ce que </w:t>
      </w:r>
      <w:r w:rsidR="00845EBC" w:rsidRPr="00B534A8">
        <w:rPr>
          <w:color w:val="auto"/>
          <w:lang w:val="es-MX"/>
        </w:rPr>
        <w:t>t</w:t>
      </w:r>
      <w:r w:rsidR="00845EBC" w:rsidRPr="003231E5">
        <w:rPr>
          <w:color w:val="auto"/>
          <w:lang w:val="es-MX"/>
        </w:rPr>
        <w:t>odas aquellas actividades e</w:t>
      </w:r>
      <w:r w:rsidR="00B534A8" w:rsidRPr="00B534A8">
        <w:rPr>
          <w:color w:val="auto"/>
          <w:lang w:val="es-MX"/>
        </w:rPr>
        <w:t>fectuadas por Telmex tales como</w:t>
      </w:r>
      <w:r w:rsidR="00845EBC" w:rsidRPr="003231E5">
        <w:rPr>
          <w:color w:val="auto"/>
          <w:lang w:val="es-MX"/>
        </w:rPr>
        <w:t xml:space="preserve"> pruebas, desplazamientos, y </w:t>
      </w:r>
      <w:r w:rsidR="00845EBC" w:rsidRPr="003231E5">
        <w:rPr>
          <w:color w:val="auto"/>
          <w:lang w:val="es-MX"/>
        </w:rPr>
        <w:lastRenderedPageBreak/>
        <w:t>trabajos necesarios para la reparación de fallas reportadas por el Concesionario Solicitante o Autorizado Solicitante que le resulten imputables a este último, serán facturadas con cargo al Concesionario Solicitante o Autorizado</w:t>
      </w:r>
      <w:r w:rsidR="00B534A8">
        <w:rPr>
          <w:color w:val="auto"/>
          <w:lang w:val="es-MX"/>
        </w:rPr>
        <w:t xml:space="preserve">, no se justifica penalización </w:t>
      </w:r>
      <w:r w:rsidR="001376F6">
        <w:rPr>
          <w:color w:val="auto"/>
          <w:lang w:val="es-MX"/>
        </w:rPr>
        <w:t xml:space="preserve">alguna </w:t>
      </w:r>
      <w:r w:rsidR="00B534A8">
        <w:rPr>
          <w:color w:val="auto"/>
          <w:lang w:val="es-MX"/>
        </w:rPr>
        <w:t xml:space="preserve">por falso negativo. </w:t>
      </w:r>
      <w:r w:rsidR="00686174">
        <w:rPr>
          <w:color w:val="auto"/>
          <w:lang w:val="es-MX"/>
        </w:rPr>
        <w:t xml:space="preserve">Ello, en concordancia con la Medida Cuadragésima Primera de las Medidas Fijas, que establece que las penas aplicables </w:t>
      </w:r>
      <w:r w:rsidR="00B4197D">
        <w:rPr>
          <w:color w:val="auto"/>
          <w:lang w:val="es-MX"/>
        </w:rPr>
        <w:t>incluidas</w:t>
      </w:r>
      <w:r w:rsidR="00686174">
        <w:rPr>
          <w:color w:val="auto"/>
          <w:lang w:val="es-MX"/>
        </w:rPr>
        <w:t xml:space="preserve"> en la oferta deben ser proporcionales a su incumplimiento.</w:t>
      </w:r>
    </w:p>
    <w:p w14:paraId="05A1E621" w14:textId="77777777" w:rsidR="004F575C" w:rsidRDefault="00143CEA" w:rsidP="004F575C">
      <w:pPr>
        <w:pStyle w:val="IFTnormal"/>
        <w:spacing w:before="240" w:after="0"/>
        <w:ind w:right="49"/>
        <w:rPr>
          <w:color w:val="auto"/>
          <w:lang w:val="es-MX"/>
        </w:rPr>
      </w:pPr>
      <w:r>
        <w:rPr>
          <w:color w:val="auto"/>
          <w:lang w:val="es-MX"/>
        </w:rPr>
        <w:t xml:space="preserve">Asimismo, en el numeral 2.8 de la Oferta Referencia </w:t>
      </w:r>
      <w:r w:rsidR="001379E7">
        <w:rPr>
          <w:color w:val="auto"/>
          <w:lang w:val="es-MX"/>
        </w:rPr>
        <w:t>de Enlaces Dedicados</w:t>
      </w:r>
      <w:r w:rsidR="008364FF">
        <w:rPr>
          <w:color w:val="auto"/>
          <w:lang w:val="es-MX"/>
        </w:rPr>
        <w:t xml:space="preserve">, se incorpora el plazo con el que cuenta </w:t>
      </w:r>
      <w:r w:rsidR="006C2721">
        <w:rPr>
          <w:color w:val="auto"/>
          <w:lang w:val="es-MX"/>
        </w:rPr>
        <w:t xml:space="preserve">el AEP para responder al Concesionario </w:t>
      </w:r>
      <w:r w:rsidR="00964612">
        <w:rPr>
          <w:color w:val="auto"/>
          <w:lang w:val="es-MX"/>
        </w:rPr>
        <w:t>Solicitante</w:t>
      </w:r>
      <w:r w:rsidR="006C2721">
        <w:rPr>
          <w:color w:val="auto"/>
          <w:lang w:val="es-MX"/>
        </w:rPr>
        <w:t xml:space="preserve"> o Autorizado Solicitante sobre la procedencia de la Factura Objetada, con el </w:t>
      </w:r>
      <w:r w:rsidR="00964612">
        <w:rPr>
          <w:color w:val="auto"/>
          <w:lang w:val="es-MX"/>
        </w:rPr>
        <w:t>propósito</w:t>
      </w:r>
      <w:r w:rsidR="006C2721">
        <w:rPr>
          <w:color w:val="auto"/>
          <w:lang w:val="es-MX"/>
        </w:rPr>
        <w:t xml:space="preserve"> de que el plazo sea equitativo respecto del mismo con el que cuenta el Concesionario </w:t>
      </w:r>
      <w:r w:rsidR="00964612">
        <w:rPr>
          <w:color w:val="auto"/>
          <w:lang w:val="es-MX"/>
        </w:rPr>
        <w:t>Solicitante</w:t>
      </w:r>
      <w:r w:rsidR="006C2721">
        <w:rPr>
          <w:color w:val="auto"/>
          <w:lang w:val="es-MX"/>
        </w:rPr>
        <w:t xml:space="preserve"> o Autorizado para realizar objeciones.</w:t>
      </w:r>
    </w:p>
    <w:p w14:paraId="1E415343" w14:textId="77777777" w:rsidR="004F575C" w:rsidRDefault="009A511E" w:rsidP="004F575C">
      <w:pPr>
        <w:pStyle w:val="IFTnormal"/>
        <w:spacing w:before="240" w:after="0"/>
        <w:ind w:right="49"/>
        <w:rPr>
          <w:color w:val="auto"/>
          <w:lang w:val="es-MX"/>
        </w:rPr>
      </w:pPr>
      <w:r>
        <w:rPr>
          <w:color w:val="auto"/>
          <w:lang w:val="es-MX"/>
        </w:rPr>
        <w:t>A efecto de que las partes cuenten con plazos razonables para llevar a cabo sus actividades, c</w:t>
      </w:r>
      <w:r w:rsidR="00F71BDB">
        <w:rPr>
          <w:color w:val="auto"/>
          <w:lang w:val="es-MX"/>
        </w:rPr>
        <w:t>on relación al procedimiento de Trabajos Programados establecido en el numeral 2.10, se especifica que</w:t>
      </w:r>
      <w:r w:rsidR="000F6EEE">
        <w:rPr>
          <w:color w:val="auto"/>
          <w:lang w:val="es-MX"/>
        </w:rPr>
        <w:t xml:space="preserve"> Telmex deberá notificar con 72 horas de anticipación y en casos excepcionales con 48 horas de anticipación los mantenimientos programados. Asimismo,</w:t>
      </w:r>
      <w:r w:rsidR="00F71BDB">
        <w:rPr>
          <w:color w:val="auto"/>
          <w:lang w:val="es-MX"/>
        </w:rPr>
        <w:t xml:space="preserve"> el acuse de recibo remitido </w:t>
      </w:r>
      <w:r w:rsidR="006A72F1">
        <w:rPr>
          <w:color w:val="auto"/>
          <w:lang w:val="es-MX"/>
        </w:rPr>
        <w:t xml:space="preserve">por el </w:t>
      </w:r>
      <w:r w:rsidR="006A72F1" w:rsidRPr="00792B9F">
        <w:rPr>
          <w:color w:val="auto"/>
          <w:lang w:val="es-MX"/>
        </w:rPr>
        <w:t>Concesionario Solicitante o Autorizado Solicitante</w:t>
      </w:r>
      <w:r w:rsidR="006A72F1">
        <w:rPr>
          <w:color w:val="auto"/>
          <w:lang w:val="es-MX"/>
        </w:rPr>
        <w:t xml:space="preserve"> debe hacerse en las 4 horas </w:t>
      </w:r>
      <w:r w:rsidR="006A72F1" w:rsidRPr="00473CEE">
        <w:rPr>
          <w:color w:val="auto"/>
          <w:lang w:val="es-MX"/>
        </w:rPr>
        <w:t>hábiles siguientes de recibido.</w:t>
      </w:r>
    </w:p>
    <w:p w14:paraId="3FFEBEB2" w14:textId="77777777" w:rsidR="004F575C" w:rsidRDefault="008A0719" w:rsidP="004F575C">
      <w:pPr>
        <w:pStyle w:val="IFTnormal"/>
        <w:spacing w:before="240" w:after="0"/>
        <w:ind w:right="49"/>
        <w:rPr>
          <w:color w:val="auto"/>
          <w:lang w:val="es-MX"/>
        </w:rPr>
      </w:pPr>
      <w:r w:rsidRPr="00ED78B2">
        <w:rPr>
          <w:color w:val="auto"/>
          <w:lang w:val="es-MX"/>
        </w:rPr>
        <w:t xml:space="preserve">En el Anexo “F” Procedimiento de Acceso </w:t>
      </w:r>
      <w:r w:rsidR="00450E79" w:rsidRPr="00ED78B2">
        <w:rPr>
          <w:color w:val="auto"/>
          <w:lang w:val="es-MX"/>
        </w:rPr>
        <w:t>a Sitios, numeral</w:t>
      </w:r>
      <w:r w:rsidR="00553D48" w:rsidRPr="00DD3C7E">
        <w:rPr>
          <w:color w:val="auto"/>
          <w:lang w:val="es-MX"/>
        </w:rPr>
        <w:t xml:space="preserve"> 1</w:t>
      </w:r>
      <w:r w:rsidR="00450E79" w:rsidRPr="00DD3C7E">
        <w:rPr>
          <w:color w:val="auto"/>
          <w:lang w:val="es-MX"/>
        </w:rPr>
        <w:t xml:space="preserve"> Condiciones Generales, numeral 1.1. Acceso, se </w:t>
      </w:r>
      <w:r w:rsidR="00197FD7" w:rsidRPr="00111690">
        <w:rPr>
          <w:color w:val="auto"/>
          <w:lang w:val="es-MX"/>
        </w:rPr>
        <w:t>establece que</w:t>
      </w:r>
      <w:r w:rsidR="00553D48" w:rsidRPr="00111690">
        <w:rPr>
          <w:color w:val="auto"/>
          <w:lang w:val="es-MX"/>
        </w:rPr>
        <w:t xml:space="preserve"> </w:t>
      </w:r>
      <w:r w:rsidR="00831145" w:rsidRPr="00473CEE">
        <w:rPr>
          <w:color w:val="auto"/>
          <w:lang w:val="es-MX"/>
        </w:rPr>
        <w:t>el Concesionario Solicitante o Autorizado Solicitante proporcionará en sus instalaciones un sitio de fácil acceso preferentemente</w:t>
      </w:r>
      <w:r w:rsidR="009C3EA2" w:rsidRPr="00473CEE">
        <w:rPr>
          <w:color w:val="auto"/>
          <w:lang w:val="es-MX"/>
        </w:rPr>
        <w:t xml:space="preserve"> </w:t>
      </w:r>
      <w:r w:rsidR="00831145" w:rsidRPr="00473CEE">
        <w:rPr>
          <w:color w:val="auto"/>
          <w:lang w:val="es-MX"/>
        </w:rPr>
        <w:t xml:space="preserve">las 24 horas los 365 días del año </w:t>
      </w:r>
      <w:r w:rsidR="009C3EA2" w:rsidRPr="00473CEE">
        <w:rPr>
          <w:color w:val="auto"/>
          <w:lang w:val="es-MX"/>
        </w:rPr>
        <w:t>en lugar de</w:t>
      </w:r>
      <w:r w:rsidR="00553D48" w:rsidRPr="00473CEE">
        <w:rPr>
          <w:color w:val="auto"/>
          <w:lang w:val="es-MX"/>
        </w:rPr>
        <w:t xml:space="preserve"> la obligación permanente </w:t>
      </w:r>
      <w:r w:rsidR="001C4D80" w:rsidRPr="00473CEE">
        <w:rPr>
          <w:color w:val="auto"/>
          <w:lang w:val="es-MX"/>
        </w:rPr>
        <w:t xml:space="preserve">de acceso que se establecía con </w:t>
      </w:r>
      <w:r w:rsidR="000B3D37" w:rsidRPr="00473CEE">
        <w:rPr>
          <w:color w:val="auto"/>
          <w:lang w:val="es-MX"/>
        </w:rPr>
        <w:t xml:space="preserve">la preposición </w:t>
      </w:r>
      <w:r w:rsidR="006A43E9">
        <w:rPr>
          <w:color w:val="auto"/>
          <w:lang w:val="es-MX"/>
        </w:rPr>
        <w:t>“</w:t>
      </w:r>
      <w:r w:rsidR="000B3D37" w:rsidRPr="00473CEE">
        <w:rPr>
          <w:color w:val="auto"/>
          <w:lang w:val="es-MX"/>
        </w:rPr>
        <w:t>durante</w:t>
      </w:r>
      <w:r w:rsidR="006A43E9">
        <w:rPr>
          <w:color w:val="auto"/>
          <w:lang w:val="es-MX"/>
        </w:rPr>
        <w:t>”</w:t>
      </w:r>
      <w:r w:rsidR="000B3D37" w:rsidRPr="00473CEE">
        <w:rPr>
          <w:color w:val="auto"/>
          <w:lang w:val="es-MX"/>
        </w:rPr>
        <w:t>.</w:t>
      </w:r>
      <w:r w:rsidR="007B4491">
        <w:rPr>
          <w:color w:val="auto"/>
          <w:lang w:val="es-MX"/>
        </w:rPr>
        <w:t xml:space="preserve"> Con </w:t>
      </w:r>
      <w:r w:rsidR="0029530B">
        <w:rPr>
          <w:color w:val="auto"/>
          <w:lang w:val="es-MX"/>
        </w:rPr>
        <w:t>esta modificación</w:t>
      </w:r>
      <w:r w:rsidR="007B4491">
        <w:rPr>
          <w:color w:val="auto"/>
          <w:lang w:val="es-MX"/>
        </w:rPr>
        <w:t xml:space="preserve"> se</w:t>
      </w:r>
      <w:r w:rsidR="007B4491" w:rsidRPr="00356E39">
        <w:rPr>
          <w:color w:val="auto"/>
          <w:lang w:val="es-MX"/>
        </w:rPr>
        <w:t xml:space="preserve"> </w:t>
      </w:r>
      <w:r w:rsidR="007B4491">
        <w:rPr>
          <w:color w:val="auto"/>
          <w:lang w:val="es-MX"/>
        </w:rPr>
        <w:t xml:space="preserve">favorece </w:t>
      </w:r>
      <w:r w:rsidR="007B4491" w:rsidRPr="00356E39">
        <w:rPr>
          <w:color w:val="auto"/>
          <w:lang w:val="es-MX"/>
        </w:rPr>
        <w:t>la eficiente prestación de los servicios</w:t>
      </w:r>
      <w:bookmarkStart w:id="1" w:name="_Hlk495881679"/>
      <w:r w:rsidR="007B4491">
        <w:rPr>
          <w:color w:val="auto"/>
          <w:lang w:val="es-MX"/>
        </w:rPr>
        <w:t>.</w:t>
      </w:r>
      <w:r w:rsidR="002445D3">
        <w:rPr>
          <w:color w:val="auto"/>
          <w:lang w:val="es-MX"/>
        </w:rPr>
        <w:t xml:space="preserve"> </w:t>
      </w:r>
      <w:bookmarkEnd w:id="1"/>
    </w:p>
    <w:p w14:paraId="50714553" w14:textId="77777777" w:rsidR="004F575C" w:rsidRDefault="00C66F1E" w:rsidP="004F575C">
      <w:pPr>
        <w:pStyle w:val="IFTnormal"/>
        <w:spacing w:before="240" w:after="0"/>
        <w:ind w:right="49"/>
        <w:rPr>
          <w:color w:val="auto"/>
          <w:lang w:val="es-MX"/>
        </w:rPr>
      </w:pPr>
      <w:r w:rsidRPr="00F300C3">
        <w:rPr>
          <w:color w:val="auto"/>
          <w:lang w:val="es-MX"/>
        </w:rPr>
        <w:t xml:space="preserve">Con relación a la </w:t>
      </w:r>
      <w:r w:rsidR="00CD37A1" w:rsidRPr="00C66F1E">
        <w:rPr>
          <w:color w:val="auto"/>
          <w:lang w:val="es-MX"/>
        </w:rPr>
        <w:t>Cl</w:t>
      </w:r>
      <w:r w:rsidR="00224A50" w:rsidRPr="00C66F1E">
        <w:rPr>
          <w:color w:val="auto"/>
          <w:lang w:val="es-MX"/>
        </w:rPr>
        <w:t>áusula</w:t>
      </w:r>
      <w:r w:rsidR="00D112F9" w:rsidRPr="00C66F1E">
        <w:rPr>
          <w:color w:val="auto"/>
          <w:lang w:val="es-MX"/>
        </w:rPr>
        <w:t xml:space="preserve"> </w:t>
      </w:r>
      <w:r w:rsidR="00B44D0F" w:rsidRPr="00C66F1E">
        <w:rPr>
          <w:color w:val="auto"/>
          <w:lang w:val="es-MX"/>
        </w:rPr>
        <w:t>Primera</w:t>
      </w:r>
      <w:r w:rsidRPr="00F300C3">
        <w:rPr>
          <w:color w:val="auto"/>
          <w:lang w:val="es-MX"/>
        </w:rPr>
        <w:t xml:space="preserve"> </w:t>
      </w:r>
      <w:r>
        <w:rPr>
          <w:color w:val="auto"/>
          <w:lang w:val="es-MX"/>
        </w:rPr>
        <w:t>“</w:t>
      </w:r>
      <w:r w:rsidR="00B44D0F" w:rsidRPr="00C66F1E">
        <w:rPr>
          <w:color w:val="auto"/>
          <w:lang w:val="es-MX"/>
        </w:rPr>
        <w:t>Definiciones</w:t>
      </w:r>
      <w:r>
        <w:rPr>
          <w:color w:val="auto"/>
          <w:lang w:val="es-MX"/>
        </w:rPr>
        <w:t>”</w:t>
      </w:r>
      <w:r w:rsidR="00152EF1">
        <w:rPr>
          <w:color w:val="auto"/>
          <w:lang w:val="es-MX"/>
        </w:rPr>
        <w:t xml:space="preserve"> del modelo de Convenio</w:t>
      </w:r>
      <w:r>
        <w:rPr>
          <w:color w:val="auto"/>
          <w:lang w:val="es-MX"/>
        </w:rPr>
        <w:t>,</w:t>
      </w:r>
      <w:r w:rsidR="00B44D0F">
        <w:rPr>
          <w:color w:val="auto"/>
          <w:lang w:val="es-MX"/>
        </w:rPr>
        <w:t xml:space="preserve"> </w:t>
      </w:r>
      <w:r>
        <w:rPr>
          <w:color w:val="auto"/>
          <w:lang w:val="es-MX"/>
        </w:rPr>
        <w:t>e</w:t>
      </w:r>
      <w:r w:rsidR="00DB5C4A">
        <w:rPr>
          <w:color w:val="auto"/>
          <w:lang w:val="es-MX"/>
        </w:rPr>
        <w:t>n cumplimiento con las Medidas Fijas y en congruencia con las inserciones previas, se incorpora en todo el texto del Convenio</w:t>
      </w:r>
      <w:r w:rsidR="00FB5A59">
        <w:rPr>
          <w:color w:val="auto"/>
          <w:lang w:val="es-MX"/>
        </w:rPr>
        <w:t>, la definición de Autorizado Solici</w:t>
      </w:r>
      <w:r w:rsidR="00B44D0F">
        <w:rPr>
          <w:color w:val="auto"/>
          <w:lang w:val="es-MX"/>
        </w:rPr>
        <w:t xml:space="preserve">tante misma que procede de la Medida Tercera de las Medidas Fijas. </w:t>
      </w:r>
      <w:r w:rsidR="000F6EEE">
        <w:rPr>
          <w:color w:val="auto"/>
          <w:lang w:val="es-MX"/>
        </w:rPr>
        <w:t xml:space="preserve">De igual forma se </w:t>
      </w:r>
      <w:r w:rsidR="000F6EEE" w:rsidRPr="00111690">
        <w:rPr>
          <w:color w:val="auto"/>
          <w:lang w:val="es-MX"/>
        </w:rPr>
        <w:t xml:space="preserve">agrega la definición de </w:t>
      </w:r>
      <w:r w:rsidR="00473CEE" w:rsidRPr="00111690">
        <w:rPr>
          <w:color w:val="auto"/>
          <w:lang w:val="es-MX"/>
        </w:rPr>
        <w:t xml:space="preserve">Paro de Reloj </w:t>
      </w:r>
      <w:r w:rsidR="00473CEE" w:rsidRPr="00E5793A">
        <w:rPr>
          <w:color w:val="auto"/>
          <w:lang w:val="es-MX"/>
        </w:rPr>
        <w:t>para los casos en donde se detiene la contabilización de los plazos. Esta definición otorga certidumbre tanto a Telmex como al Concesionario Solicitante y Autorizado Solicitante.</w:t>
      </w:r>
    </w:p>
    <w:p w14:paraId="7BEFA7B6" w14:textId="77777777" w:rsidR="004F575C" w:rsidRDefault="00B44D0F" w:rsidP="004F575C">
      <w:pPr>
        <w:pStyle w:val="IFTnormal"/>
        <w:spacing w:before="240" w:after="0"/>
        <w:ind w:right="49"/>
        <w:rPr>
          <w:color w:val="auto"/>
          <w:lang w:val="es-MX"/>
        </w:rPr>
      </w:pPr>
      <w:r w:rsidRPr="00E5793A">
        <w:rPr>
          <w:color w:val="auto"/>
          <w:lang w:val="es-MX"/>
        </w:rPr>
        <w:t xml:space="preserve">Asimismo, </w:t>
      </w:r>
      <w:r w:rsidR="006A43E9">
        <w:rPr>
          <w:color w:val="auto"/>
          <w:lang w:val="es-MX"/>
        </w:rPr>
        <w:t>a efecto de</w:t>
      </w:r>
      <w:r w:rsidR="006A43E9" w:rsidRPr="00E5793A">
        <w:rPr>
          <w:color w:val="auto"/>
          <w:lang w:val="es-MX"/>
        </w:rPr>
        <w:t xml:space="preserve"> da</w:t>
      </w:r>
      <w:r w:rsidR="006A43E9">
        <w:rPr>
          <w:color w:val="auto"/>
          <w:lang w:val="es-MX"/>
        </w:rPr>
        <w:t>r</w:t>
      </w:r>
      <w:r w:rsidR="006A43E9" w:rsidRPr="00E5793A">
        <w:rPr>
          <w:color w:val="auto"/>
          <w:lang w:val="es-MX"/>
        </w:rPr>
        <w:t xml:space="preserve"> certidumbre </w:t>
      </w:r>
      <w:r w:rsidR="006A43E9">
        <w:rPr>
          <w:color w:val="auto"/>
          <w:lang w:val="es-MX"/>
        </w:rPr>
        <w:t xml:space="preserve">tanto a Telmex como </w:t>
      </w:r>
      <w:r w:rsidR="006A43E9" w:rsidRPr="00E5793A">
        <w:rPr>
          <w:color w:val="auto"/>
          <w:lang w:val="es-MX"/>
        </w:rPr>
        <w:t>a los Concesionarios Solicitantes y Autorizados Solicitantes</w:t>
      </w:r>
      <w:r w:rsidR="006A43E9">
        <w:rPr>
          <w:color w:val="auto"/>
          <w:lang w:val="es-MX"/>
        </w:rPr>
        <w:t>, respecto</w:t>
      </w:r>
      <w:r w:rsidR="006A43E9" w:rsidRPr="00E5793A">
        <w:rPr>
          <w:color w:val="auto"/>
          <w:lang w:val="es-MX"/>
        </w:rPr>
        <w:t xml:space="preserve"> de cuándo aplica</w:t>
      </w:r>
      <w:r w:rsidR="006A43E9">
        <w:rPr>
          <w:color w:val="auto"/>
          <w:lang w:val="es-MX"/>
        </w:rPr>
        <w:t>r</w:t>
      </w:r>
      <w:r w:rsidR="006A43E9" w:rsidRPr="00E5793A">
        <w:rPr>
          <w:color w:val="auto"/>
          <w:lang w:val="es-MX"/>
        </w:rPr>
        <w:t xml:space="preserve"> los </w:t>
      </w:r>
      <w:r w:rsidR="006A43E9">
        <w:rPr>
          <w:color w:val="auto"/>
          <w:lang w:val="es-MX"/>
        </w:rPr>
        <w:t xml:space="preserve">términos y </w:t>
      </w:r>
      <w:r w:rsidR="006A43E9" w:rsidRPr="00E5793A">
        <w:rPr>
          <w:color w:val="auto"/>
          <w:lang w:val="es-MX"/>
        </w:rPr>
        <w:t>precios de Enlaces Dedicados Locales y cuándo los de Enlaces Dedicados entre Localidades</w:t>
      </w:r>
      <w:r w:rsidR="006A43E9">
        <w:rPr>
          <w:color w:val="auto"/>
          <w:lang w:val="es-MX"/>
        </w:rPr>
        <w:t xml:space="preserve">, en la Cláusula Primera “Definiciones” del modelo de Convenio, </w:t>
      </w:r>
      <w:r w:rsidRPr="00E5793A">
        <w:rPr>
          <w:color w:val="auto"/>
          <w:lang w:val="es-MX"/>
        </w:rPr>
        <w:t>se define</w:t>
      </w:r>
      <w:r w:rsidR="006A43E9">
        <w:rPr>
          <w:color w:val="auto"/>
          <w:lang w:val="es-MX"/>
        </w:rPr>
        <w:t xml:space="preserve"> el concepto</w:t>
      </w:r>
      <w:r w:rsidRPr="00E5793A">
        <w:rPr>
          <w:color w:val="auto"/>
          <w:lang w:val="es-MX"/>
        </w:rPr>
        <w:t xml:space="preserve"> Localidad como </w:t>
      </w:r>
      <w:r w:rsidR="009574AD" w:rsidRPr="00E5793A">
        <w:rPr>
          <w:color w:val="auto"/>
          <w:lang w:val="es-MX"/>
        </w:rPr>
        <w:t>z</w:t>
      </w:r>
      <w:r w:rsidR="00373E56" w:rsidRPr="00E5793A">
        <w:rPr>
          <w:color w:val="auto"/>
          <w:lang w:val="es-MX"/>
        </w:rPr>
        <w:t xml:space="preserve">ona geográfica que es atendida por una </w:t>
      </w:r>
      <w:r w:rsidR="00373E56" w:rsidRPr="00E5793A">
        <w:rPr>
          <w:color w:val="auto"/>
          <w:lang w:val="es-MX"/>
        </w:rPr>
        <w:lastRenderedPageBreak/>
        <w:t>central o grupo de centrales de</w:t>
      </w:r>
      <w:r w:rsidR="009574AD" w:rsidRPr="00E5793A">
        <w:rPr>
          <w:color w:val="auto"/>
          <w:lang w:val="es-MX"/>
        </w:rPr>
        <w:t xml:space="preserve"> </w:t>
      </w:r>
      <w:r w:rsidR="00373E56" w:rsidRPr="00E5793A">
        <w:rPr>
          <w:color w:val="auto"/>
          <w:lang w:val="es-MX"/>
        </w:rPr>
        <w:t>la</w:t>
      </w:r>
      <w:r w:rsidR="009574AD" w:rsidRPr="00E5793A">
        <w:rPr>
          <w:color w:val="auto"/>
          <w:lang w:val="es-MX"/>
        </w:rPr>
        <w:t xml:space="preserve"> </w:t>
      </w:r>
      <w:r w:rsidR="00373E56" w:rsidRPr="00E5793A">
        <w:rPr>
          <w:color w:val="auto"/>
          <w:lang w:val="es-MX"/>
        </w:rPr>
        <w:t>red</w:t>
      </w:r>
      <w:r w:rsidR="009574AD" w:rsidRPr="00E5793A">
        <w:rPr>
          <w:color w:val="auto"/>
          <w:lang w:val="es-MX"/>
        </w:rPr>
        <w:t xml:space="preserve"> </w:t>
      </w:r>
      <w:r w:rsidR="00373E56" w:rsidRPr="00E5793A">
        <w:rPr>
          <w:color w:val="auto"/>
          <w:lang w:val="es-MX"/>
        </w:rPr>
        <w:t>pública</w:t>
      </w:r>
      <w:r w:rsidR="009574AD" w:rsidRPr="00E5793A">
        <w:rPr>
          <w:color w:val="auto"/>
          <w:lang w:val="es-MX"/>
        </w:rPr>
        <w:t xml:space="preserve"> </w:t>
      </w:r>
      <w:r w:rsidR="00373E56" w:rsidRPr="00E5793A">
        <w:rPr>
          <w:color w:val="auto"/>
          <w:lang w:val="es-MX"/>
        </w:rPr>
        <w:t>de</w:t>
      </w:r>
      <w:r w:rsidR="009574AD" w:rsidRPr="00E5793A">
        <w:rPr>
          <w:color w:val="auto"/>
          <w:lang w:val="es-MX"/>
        </w:rPr>
        <w:t xml:space="preserve"> </w:t>
      </w:r>
      <w:r w:rsidR="00373E56" w:rsidRPr="00E5793A">
        <w:rPr>
          <w:color w:val="auto"/>
          <w:lang w:val="es-MX"/>
        </w:rPr>
        <w:t>telecomunicaciones</w:t>
      </w:r>
      <w:r w:rsidR="009574AD" w:rsidRPr="00E5793A">
        <w:rPr>
          <w:color w:val="auto"/>
          <w:lang w:val="es-MX"/>
        </w:rPr>
        <w:t xml:space="preserve"> </w:t>
      </w:r>
      <w:r w:rsidR="00373E56" w:rsidRPr="00E5793A">
        <w:rPr>
          <w:color w:val="auto"/>
          <w:lang w:val="es-MX"/>
        </w:rPr>
        <w:t>de Telmex, las cuales están asociadas a uno o más Puntos de Interconexión de una misma ciudad, de las definidas en el Resolutivo Tercero del “ACUERDO</w:t>
      </w:r>
      <w:r w:rsidR="009574AD" w:rsidRPr="00E5793A">
        <w:rPr>
          <w:color w:val="auto"/>
          <w:lang w:val="es-MX"/>
        </w:rPr>
        <w:t xml:space="preserve"> </w:t>
      </w:r>
      <w:r w:rsidR="00373E56" w:rsidRPr="00E5793A">
        <w:rPr>
          <w:color w:val="auto"/>
          <w:lang w:val="es-MX"/>
        </w:rPr>
        <w:t>mediante el cual el Pleno del Instituto Federal de Telecomunicaciones define los puntos de</w:t>
      </w:r>
      <w:r w:rsidR="009574AD" w:rsidRPr="00E5793A">
        <w:rPr>
          <w:color w:val="auto"/>
          <w:lang w:val="es-MX"/>
        </w:rPr>
        <w:t xml:space="preserve"> </w:t>
      </w:r>
      <w:r w:rsidR="00373E56" w:rsidRPr="00E5793A">
        <w:rPr>
          <w:color w:val="auto"/>
          <w:lang w:val="es-MX"/>
        </w:rPr>
        <w:t xml:space="preserve">interconexión a la red pública de telecomunicaciones del Agente Económico Preponderante” publicado en el Diario Oficial de la Federación el 17 de febrero de 2015. </w:t>
      </w:r>
    </w:p>
    <w:p w14:paraId="4B0397FB" w14:textId="77777777" w:rsidR="004F575C" w:rsidRDefault="00F754AB" w:rsidP="004F575C">
      <w:pPr>
        <w:pStyle w:val="IFTnormal"/>
        <w:spacing w:before="240" w:after="0"/>
        <w:ind w:right="49"/>
        <w:rPr>
          <w:color w:val="auto"/>
          <w:lang w:val="es-MX"/>
        </w:rPr>
      </w:pPr>
      <w:r>
        <w:rPr>
          <w:color w:val="auto"/>
          <w:lang w:val="es-MX"/>
        </w:rPr>
        <w:t xml:space="preserve">En esta misma </w:t>
      </w:r>
      <w:r w:rsidR="00792F33">
        <w:rPr>
          <w:color w:val="auto"/>
          <w:lang w:val="es-MX"/>
        </w:rPr>
        <w:t>Cláusula</w:t>
      </w:r>
      <w:r>
        <w:rPr>
          <w:color w:val="auto"/>
          <w:lang w:val="es-MX"/>
        </w:rPr>
        <w:t xml:space="preserve"> Primera, tambi</w:t>
      </w:r>
      <w:r w:rsidR="002A6DDB">
        <w:rPr>
          <w:color w:val="auto"/>
          <w:lang w:val="es-MX"/>
        </w:rPr>
        <w:t>é</w:t>
      </w:r>
      <w:r>
        <w:rPr>
          <w:color w:val="auto"/>
          <w:lang w:val="es-MX"/>
        </w:rPr>
        <w:t>n s</w:t>
      </w:r>
      <w:r w:rsidR="0040412F">
        <w:rPr>
          <w:color w:val="auto"/>
          <w:lang w:val="es-MX"/>
        </w:rPr>
        <w:t xml:space="preserve">e </w:t>
      </w:r>
      <w:r w:rsidR="003231E5">
        <w:rPr>
          <w:color w:val="auto"/>
          <w:lang w:val="es-MX"/>
        </w:rPr>
        <w:t>incluye la</w:t>
      </w:r>
      <w:r w:rsidR="0040412F">
        <w:rPr>
          <w:color w:val="auto"/>
          <w:lang w:val="es-MX"/>
        </w:rPr>
        <w:t xml:space="preserve"> definición de SEG, como el sistema </w:t>
      </w:r>
      <w:r w:rsidR="006A43E9">
        <w:rPr>
          <w:color w:val="auto"/>
          <w:lang w:val="es-MX"/>
        </w:rPr>
        <w:t xml:space="preserve">electrónico </w:t>
      </w:r>
      <w:r w:rsidR="0040412F">
        <w:rPr>
          <w:color w:val="auto"/>
          <w:lang w:val="es-MX"/>
        </w:rPr>
        <w:t>de gestión</w:t>
      </w:r>
      <w:r>
        <w:rPr>
          <w:color w:val="auto"/>
          <w:lang w:val="es-MX"/>
        </w:rPr>
        <w:t>, t</w:t>
      </w:r>
      <w:r w:rsidR="00EB10ED">
        <w:rPr>
          <w:color w:val="auto"/>
          <w:lang w:val="es-MX"/>
        </w:rPr>
        <w:t xml:space="preserve">al y como lo </w:t>
      </w:r>
      <w:r w:rsidR="00792F33">
        <w:rPr>
          <w:color w:val="auto"/>
          <w:lang w:val="es-MX"/>
        </w:rPr>
        <w:t>establece</w:t>
      </w:r>
      <w:r w:rsidR="00EB10ED">
        <w:rPr>
          <w:color w:val="auto"/>
          <w:lang w:val="es-MX"/>
        </w:rPr>
        <w:t xml:space="preserve"> la Medida </w:t>
      </w:r>
      <w:r w:rsidRPr="00F300C3">
        <w:rPr>
          <w:color w:val="auto"/>
          <w:lang w:val="es-MX"/>
        </w:rPr>
        <w:t>Cuadragésima Segunda</w:t>
      </w:r>
      <w:r w:rsidR="00AF0ABC">
        <w:rPr>
          <w:color w:val="auto"/>
          <w:lang w:val="es-MX"/>
        </w:rPr>
        <w:t xml:space="preserve"> de las Medidas Fijas</w:t>
      </w:r>
      <w:r w:rsidRPr="00F300C3">
        <w:rPr>
          <w:color w:val="auto"/>
          <w:lang w:val="es-MX"/>
        </w:rPr>
        <w:t>.</w:t>
      </w:r>
    </w:p>
    <w:p w14:paraId="31C3860C" w14:textId="77777777" w:rsidR="004F575C" w:rsidRDefault="00152EF1" w:rsidP="004F575C">
      <w:pPr>
        <w:pStyle w:val="IFTnormal"/>
        <w:spacing w:before="240" w:after="0"/>
        <w:ind w:right="49"/>
        <w:rPr>
          <w:color w:val="auto"/>
          <w:lang w:val="es-MX"/>
        </w:rPr>
      </w:pPr>
      <w:r w:rsidRPr="00F300C3">
        <w:rPr>
          <w:color w:val="auto"/>
          <w:lang w:val="es-MX"/>
        </w:rPr>
        <w:t xml:space="preserve">Respecto a la </w:t>
      </w:r>
      <w:r w:rsidR="0040412F" w:rsidRPr="004E3BA3">
        <w:rPr>
          <w:color w:val="auto"/>
          <w:lang w:val="es-MX"/>
        </w:rPr>
        <w:t>Cláusula Segunda</w:t>
      </w:r>
      <w:r w:rsidR="00E90445">
        <w:rPr>
          <w:color w:val="auto"/>
          <w:lang w:val="es-MX"/>
        </w:rPr>
        <w:t xml:space="preserve"> ”</w:t>
      </w:r>
      <w:r w:rsidR="0040412F" w:rsidRPr="004E3BA3">
        <w:rPr>
          <w:color w:val="auto"/>
          <w:lang w:val="es-MX"/>
        </w:rPr>
        <w:t>Objeto</w:t>
      </w:r>
      <w:r w:rsidRPr="00F300C3">
        <w:rPr>
          <w:color w:val="auto"/>
          <w:lang w:val="es-MX"/>
        </w:rPr>
        <w:t xml:space="preserve">” </w:t>
      </w:r>
      <w:r w:rsidR="004E3BA3">
        <w:rPr>
          <w:color w:val="auto"/>
          <w:lang w:val="es-MX"/>
        </w:rPr>
        <w:t xml:space="preserve">del modelo de </w:t>
      </w:r>
      <w:r w:rsidR="00790D88">
        <w:rPr>
          <w:color w:val="auto"/>
          <w:lang w:val="es-MX"/>
        </w:rPr>
        <w:t>Convenio y</w:t>
      </w:r>
      <w:r w:rsidR="004E3BA3">
        <w:rPr>
          <w:color w:val="auto"/>
          <w:lang w:val="es-MX"/>
        </w:rPr>
        <w:t xml:space="preserve"> en</w:t>
      </w:r>
      <w:r w:rsidR="0040412F" w:rsidRPr="004E3BA3">
        <w:rPr>
          <w:color w:val="auto"/>
          <w:lang w:val="es-MX"/>
        </w:rPr>
        <w:t xml:space="preserve"> </w:t>
      </w:r>
      <w:r w:rsidR="00790D88">
        <w:rPr>
          <w:color w:val="auto"/>
          <w:lang w:val="es-MX"/>
        </w:rPr>
        <w:t xml:space="preserve">cumplimiento a la Medida Cuadragésima </w:t>
      </w:r>
      <w:r w:rsidR="00AA219D">
        <w:rPr>
          <w:color w:val="auto"/>
          <w:lang w:val="es-MX"/>
        </w:rPr>
        <w:t xml:space="preserve">Tercera de las Medidas Fijas, se establece que Telmex prestará los servicios </w:t>
      </w:r>
      <w:r w:rsidR="00E90445">
        <w:rPr>
          <w:color w:val="auto"/>
          <w:lang w:val="es-MX"/>
        </w:rPr>
        <w:t xml:space="preserve">no solo </w:t>
      </w:r>
      <w:r w:rsidR="00AA219D">
        <w:rPr>
          <w:color w:val="auto"/>
          <w:lang w:val="es-MX"/>
        </w:rPr>
        <w:t xml:space="preserve">acorde con el Convenio y su Anexo A, sino que se sujetarán también a las Medidas </w:t>
      </w:r>
      <w:r w:rsidR="00F97FDA">
        <w:rPr>
          <w:color w:val="auto"/>
          <w:lang w:val="es-MX"/>
        </w:rPr>
        <w:t xml:space="preserve">y a la Oferta de Referencia </w:t>
      </w:r>
      <w:r w:rsidR="00FF16AA">
        <w:rPr>
          <w:color w:val="auto"/>
          <w:lang w:val="es-MX"/>
        </w:rPr>
        <w:t>vigentes y aplicables.</w:t>
      </w:r>
      <w:r w:rsidR="002445D3">
        <w:rPr>
          <w:color w:val="auto"/>
          <w:lang w:val="es-MX"/>
        </w:rPr>
        <w:t xml:space="preserve"> </w:t>
      </w:r>
    </w:p>
    <w:p w14:paraId="01DEE151" w14:textId="77777777" w:rsidR="004F575C" w:rsidRDefault="00BD32EC" w:rsidP="004F575C">
      <w:pPr>
        <w:pStyle w:val="IFTnormal"/>
        <w:spacing w:before="240" w:after="0"/>
        <w:ind w:right="49"/>
        <w:rPr>
          <w:color w:val="auto"/>
          <w:lang w:val="es-MX"/>
        </w:rPr>
      </w:pPr>
      <w:r w:rsidRPr="00F300C3">
        <w:rPr>
          <w:color w:val="auto"/>
          <w:lang w:val="es-MX"/>
        </w:rPr>
        <w:t xml:space="preserve">Con relación a la </w:t>
      </w:r>
      <w:r w:rsidR="007174F2" w:rsidRPr="001B0373">
        <w:rPr>
          <w:color w:val="auto"/>
          <w:lang w:val="es-MX"/>
        </w:rPr>
        <w:t xml:space="preserve">Cláusula Tercera </w:t>
      </w:r>
      <w:r w:rsidRPr="00F300C3">
        <w:rPr>
          <w:color w:val="auto"/>
          <w:lang w:val="es-MX"/>
        </w:rPr>
        <w:t>“</w:t>
      </w:r>
      <w:r w:rsidR="007174F2" w:rsidRPr="001B0373">
        <w:rPr>
          <w:color w:val="auto"/>
          <w:lang w:val="es-MX"/>
        </w:rPr>
        <w:t>Precio y Condiciones de Pago</w:t>
      </w:r>
      <w:r w:rsidRPr="00F300C3">
        <w:rPr>
          <w:color w:val="auto"/>
          <w:lang w:val="es-MX"/>
        </w:rPr>
        <w:t>”</w:t>
      </w:r>
      <w:r w:rsidR="001B0373">
        <w:rPr>
          <w:color w:val="auto"/>
          <w:lang w:val="es-MX"/>
        </w:rPr>
        <w:t xml:space="preserve"> del modelo de Convenio</w:t>
      </w:r>
      <w:r w:rsidR="001B0373" w:rsidRPr="00F300C3">
        <w:rPr>
          <w:color w:val="auto"/>
          <w:lang w:val="es-MX"/>
        </w:rPr>
        <w:t>,</w:t>
      </w:r>
      <w:r w:rsidR="007174F2" w:rsidRPr="001B0373">
        <w:rPr>
          <w:color w:val="auto"/>
          <w:lang w:val="es-MX"/>
        </w:rPr>
        <w:t xml:space="preserve"> Inciso b)</w:t>
      </w:r>
      <w:r w:rsidR="002A1E8F" w:rsidRPr="001B0373">
        <w:rPr>
          <w:color w:val="auto"/>
          <w:lang w:val="es-MX"/>
        </w:rPr>
        <w:t xml:space="preserve"> último párrafo</w:t>
      </w:r>
      <w:r w:rsidR="001B0373" w:rsidRPr="00F300C3">
        <w:rPr>
          <w:color w:val="auto"/>
          <w:lang w:val="es-MX"/>
        </w:rPr>
        <w:t>,</w:t>
      </w:r>
      <w:r w:rsidR="007174F2" w:rsidRPr="001B0373">
        <w:rPr>
          <w:color w:val="auto"/>
          <w:lang w:val="es-MX"/>
        </w:rPr>
        <w:t xml:space="preserve"> se</w:t>
      </w:r>
      <w:r w:rsidR="007174F2">
        <w:rPr>
          <w:color w:val="auto"/>
          <w:lang w:val="es-MX"/>
        </w:rPr>
        <w:t xml:space="preserve"> </w:t>
      </w:r>
      <w:r w:rsidR="0088404E">
        <w:rPr>
          <w:color w:val="auto"/>
          <w:lang w:val="es-MX"/>
        </w:rPr>
        <w:t xml:space="preserve">elimina </w:t>
      </w:r>
      <w:r w:rsidR="005723F2">
        <w:rPr>
          <w:color w:val="auto"/>
          <w:lang w:val="es-MX"/>
        </w:rPr>
        <w:t>el penúltimo párrafo dado que es nueva su inserción</w:t>
      </w:r>
      <w:r w:rsidR="0011406F">
        <w:rPr>
          <w:color w:val="auto"/>
          <w:lang w:val="es-MX"/>
        </w:rPr>
        <w:t xml:space="preserve"> y constituye una </w:t>
      </w:r>
      <w:r w:rsidR="00D82656">
        <w:rPr>
          <w:color w:val="auto"/>
          <w:lang w:val="es-MX"/>
        </w:rPr>
        <w:t xml:space="preserve">condición </w:t>
      </w:r>
      <w:r w:rsidR="003C67E7">
        <w:rPr>
          <w:color w:val="auto"/>
          <w:lang w:val="es-MX"/>
        </w:rPr>
        <w:t>discriminatoria</w:t>
      </w:r>
      <w:r w:rsidR="00806CC9">
        <w:rPr>
          <w:color w:val="auto"/>
          <w:lang w:val="es-MX"/>
        </w:rPr>
        <w:t xml:space="preserve"> en contra de los Concesionarios Solicitantes y Autorizados Solicitantes</w:t>
      </w:r>
      <w:r w:rsidR="005723F2">
        <w:rPr>
          <w:color w:val="auto"/>
          <w:lang w:val="es-MX"/>
        </w:rPr>
        <w:t>, lo que contraviene l</w:t>
      </w:r>
      <w:r w:rsidR="00032BF1">
        <w:rPr>
          <w:color w:val="auto"/>
          <w:lang w:val="es-MX"/>
        </w:rPr>
        <w:t>a</w:t>
      </w:r>
      <w:r w:rsidR="005723F2">
        <w:rPr>
          <w:color w:val="auto"/>
          <w:lang w:val="es-MX"/>
        </w:rPr>
        <w:t xml:space="preserve"> Medida</w:t>
      </w:r>
      <w:r w:rsidR="00032BF1">
        <w:rPr>
          <w:color w:val="auto"/>
          <w:lang w:val="es-MX"/>
        </w:rPr>
        <w:t xml:space="preserve"> Decimotercera y la Medida</w:t>
      </w:r>
      <w:r w:rsidR="005723F2">
        <w:rPr>
          <w:color w:val="auto"/>
          <w:lang w:val="es-MX"/>
        </w:rPr>
        <w:t xml:space="preserve"> Cuadragésima Primera</w:t>
      </w:r>
      <w:r w:rsidR="00972DB2">
        <w:rPr>
          <w:color w:val="auto"/>
          <w:lang w:val="es-MX"/>
        </w:rPr>
        <w:t xml:space="preserve">, </w:t>
      </w:r>
      <w:r w:rsidR="00473CEE">
        <w:rPr>
          <w:color w:val="auto"/>
          <w:lang w:val="es-MX"/>
        </w:rPr>
        <w:t xml:space="preserve">de igual forma </w:t>
      </w:r>
      <w:r w:rsidR="00972DB2">
        <w:rPr>
          <w:color w:val="auto"/>
          <w:lang w:val="es-MX"/>
        </w:rPr>
        <w:t>derivado del párrafo en comento</w:t>
      </w:r>
      <w:r w:rsidR="00806CC9">
        <w:rPr>
          <w:color w:val="auto"/>
          <w:lang w:val="es-MX"/>
        </w:rPr>
        <w:t xml:space="preserve"> podría advertirse un trato preferente </w:t>
      </w:r>
      <w:r w:rsidR="00FD5E81">
        <w:rPr>
          <w:color w:val="auto"/>
          <w:lang w:val="es-MX"/>
        </w:rPr>
        <w:t>a las subsidiarias, filiales o empresas que pertenezcan al mismo grupo de interés económico del AEP</w:t>
      </w:r>
      <w:r w:rsidR="003370B4">
        <w:rPr>
          <w:color w:val="auto"/>
          <w:lang w:val="es-MX"/>
        </w:rPr>
        <w:t>,</w:t>
      </w:r>
      <w:r w:rsidR="00B77D3B">
        <w:rPr>
          <w:color w:val="auto"/>
          <w:lang w:val="es-MX"/>
        </w:rPr>
        <w:t xml:space="preserve"> puesto que no existiría tal prohibición de compensación, reducción o deducción entre dichas entidades y el AEP</w:t>
      </w:r>
      <w:r w:rsidR="002D7A3B">
        <w:rPr>
          <w:color w:val="auto"/>
          <w:lang w:val="es-MX"/>
        </w:rPr>
        <w:t>.</w:t>
      </w:r>
    </w:p>
    <w:p w14:paraId="057C7D73" w14:textId="77777777" w:rsidR="004F575C" w:rsidRDefault="00D87EDA" w:rsidP="004F575C">
      <w:pPr>
        <w:pStyle w:val="IFTnormal"/>
        <w:spacing w:before="240" w:after="0"/>
        <w:ind w:right="49"/>
        <w:rPr>
          <w:color w:val="auto"/>
          <w:lang w:val="es-MX"/>
        </w:rPr>
      </w:pPr>
      <w:r w:rsidRPr="00E5793A">
        <w:rPr>
          <w:color w:val="auto"/>
          <w:lang w:val="es-MX"/>
        </w:rPr>
        <w:t xml:space="preserve">Asimismo, se </w:t>
      </w:r>
      <w:r w:rsidR="00867EBB" w:rsidRPr="00E5793A">
        <w:rPr>
          <w:color w:val="auto"/>
          <w:lang w:val="es-MX"/>
        </w:rPr>
        <w:t xml:space="preserve">modifica </w:t>
      </w:r>
      <w:r w:rsidRPr="00E5793A">
        <w:rPr>
          <w:color w:val="auto"/>
          <w:lang w:val="es-MX"/>
        </w:rPr>
        <w:t>el último párrafo del Inciso b)</w:t>
      </w:r>
      <w:r w:rsidR="00FB0D47" w:rsidRPr="00E5793A">
        <w:rPr>
          <w:color w:val="auto"/>
          <w:lang w:val="es-MX"/>
        </w:rPr>
        <w:t xml:space="preserve">, </w:t>
      </w:r>
      <w:r w:rsidR="00B3607D" w:rsidRPr="00E5793A">
        <w:rPr>
          <w:color w:val="auto"/>
          <w:lang w:val="es-MX"/>
        </w:rPr>
        <w:t xml:space="preserve">para </w:t>
      </w:r>
      <w:r w:rsidR="007A6FA2" w:rsidRPr="00E5793A">
        <w:rPr>
          <w:color w:val="auto"/>
          <w:lang w:val="es-MX"/>
        </w:rPr>
        <w:t>que el Concesionario Solicitante y el Autorizado Solicitante cuente</w:t>
      </w:r>
      <w:r w:rsidR="00B4619D" w:rsidRPr="00E5793A">
        <w:rPr>
          <w:color w:val="auto"/>
          <w:lang w:val="es-MX"/>
        </w:rPr>
        <w:t>n</w:t>
      </w:r>
      <w:r w:rsidR="007A6FA2" w:rsidRPr="00E5793A">
        <w:rPr>
          <w:color w:val="auto"/>
          <w:lang w:val="es-MX"/>
        </w:rPr>
        <w:t xml:space="preserve"> con </w:t>
      </w:r>
      <w:r w:rsidR="008C6825" w:rsidRPr="00E5793A">
        <w:rPr>
          <w:color w:val="auto"/>
          <w:lang w:val="es-MX"/>
        </w:rPr>
        <w:t>un plazo</w:t>
      </w:r>
      <w:r w:rsidR="007A6FA2" w:rsidRPr="00E5793A">
        <w:rPr>
          <w:color w:val="auto"/>
          <w:lang w:val="es-MX"/>
        </w:rPr>
        <w:t xml:space="preserve"> para subsanar el incumplimiento de pago</w:t>
      </w:r>
      <w:r w:rsidR="008C6825" w:rsidRPr="00E5793A">
        <w:rPr>
          <w:color w:val="auto"/>
          <w:lang w:val="es-MX"/>
        </w:rPr>
        <w:t>.</w:t>
      </w:r>
      <w:r w:rsidR="00DF71C5" w:rsidRPr="00E5793A">
        <w:rPr>
          <w:color w:val="auto"/>
          <w:lang w:val="es-MX"/>
        </w:rPr>
        <w:t xml:space="preserve"> </w:t>
      </w:r>
      <w:r w:rsidR="00435C21" w:rsidRPr="00E5793A">
        <w:rPr>
          <w:color w:val="auto"/>
          <w:lang w:val="es-MX"/>
        </w:rPr>
        <w:t>Expirado</w:t>
      </w:r>
      <w:r w:rsidR="00DF71C5" w:rsidRPr="00E5793A">
        <w:rPr>
          <w:color w:val="auto"/>
          <w:lang w:val="es-MX"/>
        </w:rPr>
        <w:t xml:space="preserve"> </w:t>
      </w:r>
      <w:r w:rsidR="00435C21" w:rsidRPr="00E5793A">
        <w:rPr>
          <w:color w:val="auto"/>
          <w:lang w:val="es-MX"/>
        </w:rPr>
        <w:t>ese término</w:t>
      </w:r>
      <w:r w:rsidR="00DF71C5" w:rsidRPr="00E5793A">
        <w:rPr>
          <w:color w:val="auto"/>
          <w:lang w:val="es-MX"/>
        </w:rPr>
        <w:t>, Telmex ya podr</w:t>
      </w:r>
      <w:r w:rsidR="00B4619D" w:rsidRPr="00E5793A">
        <w:rPr>
          <w:color w:val="auto"/>
          <w:lang w:val="es-MX"/>
        </w:rPr>
        <w:t>ía</w:t>
      </w:r>
      <w:r w:rsidR="00DF71C5" w:rsidRPr="00E5793A">
        <w:rPr>
          <w:color w:val="auto"/>
          <w:lang w:val="es-MX"/>
        </w:rPr>
        <w:t xml:space="preserve"> dar por rescindido el Convenio</w:t>
      </w:r>
      <w:r w:rsidR="00B4619D" w:rsidRPr="00E5793A">
        <w:rPr>
          <w:color w:val="auto"/>
          <w:lang w:val="es-MX"/>
        </w:rPr>
        <w:t xml:space="preserve"> por incumplimiento a obligaciones de pago</w:t>
      </w:r>
      <w:r w:rsidR="00DF71C5" w:rsidRPr="00E5793A">
        <w:rPr>
          <w:color w:val="auto"/>
          <w:lang w:val="es-MX"/>
        </w:rPr>
        <w:t>. Con las inserciones expuestas</w:t>
      </w:r>
      <w:r w:rsidR="00435C21" w:rsidRPr="00E5793A">
        <w:rPr>
          <w:color w:val="auto"/>
          <w:lang w:val="es-MX"/>
        </w:rPr>
        <w:t xml:space="preserve"> se evita </w:t>
      </w:r>
      <w:r w:rsidR="003962C0" w:rsidRPr="00E5793A">
        <w:rPr>
          <w:color w:val="auto"/>
          <w:lang w:val="es-MX"/>
        </w:rPr>
        <w:t xml:space="preserve">la </w:t>
      </w:r>
      <w:r w:rsidR="007B0430" w:rsidRPr="00E5793A">
        <w:rPr>
          <w:color w:val="auto"/>
          <w:lang w:val="es-MX"/>
        </w:rPr>
        <w:t xml:space="preserve">una contravención a </w:t>
      </w:r>
      <w:r w:rsidR="00576092" w:rsidRPr="00E5793A">
        <w:rPr>
          <w:color w:val="auto"/>
          <w:lang w:val="es-MX"/>
        </w:rPr>
        <w:t xml:space="preserve">la Medida </w:t>
      </w:r>
      <w:r w:rsidR="00F70F47" w:rsidRPr="00E5793A">
        <w:rPr>
          <w:color w:val="auto"/>
          <w:lang w:val="es-MX"/>
        </w:rPr>
        <w:t>Cuadragésima Primera de las Medidas Fijas</w:t>
      </w:r>
      <w:r w:rsidR="00576092" w:rsidRPr="00E5793A">
        <w:rPr>
          <w:color w:val="auto"/>
          <w:lang w:val="es-MX"/>
        </w:rPr>
        <w:t xml:space="preserve"> puesto que </w:t>
      </w:r>
      <w:r w:rsidR="00523E1E" w:rsidRPr="00E5793A">
        <w:rPr>
          <w:color w:val="auto"/>
          <w:lang w:val="es-MX"/>
        </w:rPr>
        <w:t xml:space="preserve">se prevendría la inserción de una condición </w:t>
      </w:r>
      <w:r w:rsidR="00473CEE" w:rsidRPr="00E5793A">
        <w:rPr>
          <w:color w:val="auto"/>
          <w:lang w:val="es-MX"/>
        </w:rPr>
        <w:t>excesiva</w:t>
      </w:r>
      <w:r w:rsidR="00523E1E" w:rsidRPr="00E5793A">
        <w:rPr>
          <w:color w:val="auto"/>
          <w:lang w:val="es-MX"/>
        </w:rPr>
        <w:t xml:space="preserve"> </w:t>
      </w:r>
      <w:r w:rsidR="003F5833" w:rsidRPr="00E5793A">
        <w:rPr>
          <w:color w:val="auto"/>
          <w:lang w:val="es-MX"/>
        </w:rPr>
        <w:t xml:space="preserve">en contra de los Concesionarios Solicitantes y Autorizados Solicitantes, </w:t>
      </w:r>
      <w:r w:rsidR="00504CCB" w:rsidRPr="00E5793A">
        <w:rPr>
          <w:color w:val="auto"/>
          <w:lang w:val="es-MX"/>
        </w:rPr>
        <w:t xml:space="preserve">y </w:t>
      </w:r>
      <w:r w:rsidR="00A13D52" w:rsidRPr="00E5793A">
        <w:rPr>
          <w:color w:val="auto"/>
          <w:lang w:val="es-MX"/>
        </w:rPr>
        <w:t xml:space="preserve">el otorgamiento </w:t>
      </w:r>
      <w:r w:rsidR="00111690" w:rsidRPr="00E5793A">
        <w:rPr>
          <w:color w:val="auto"/>
          <w:lang w:val="es-MX"/>
        </w:rPr>
        <w:t>de condiciones</w:t>
      </w:r>
      <w:r w:rsidR="003F5833" w:rsidRPr="00E5793A">
        <w:rPr>
          <w:color w:val="auto"/>
          <w:lang w:val="es-MX"/>
        </w:rPr>
        <w:t xml:space="preserve"> </w:t>
      </w:r>
      <w:r w:rsidR="00504CCB" w:rsidRPr="00E5793A">
        <w:rPr>
          <w:color w:val="auto"/>
          <w:lang w:val="es-MX"/>
        </w:rPr>
        <w:t xml:space="preserve">preferentes </w:t>
      </w:r>
      <w:r w:rsidR="00EE6CCF" w:rsidRPr="00E5793A">
        <w:rPr>
          <w:color w:val="auto"/>
          <w:lang w:val="es-MX"/>
        </w:rPr>
        <w:t>a favor</w:t>
      </w:r>
      <w:r w:rsidR="00FB667E">
        <w:rPr>
          <w:color w:val="auto"/>
          <w:lang w:val="es-MX"/>
        </w:rPr>
        <w:t xml:space="preserve"> </w:t>
      </w:r>
      <w:r w:rsidR="00111690">
        <w:rPr>
          <w:color w:val="auto"/>
          <w:lang w:val="es-MX"/>
        </w:rPr>
        <w:t>de las</w:t>
      </w:r>
      <w:r w:rsidR="00FB667E">
        <w:rPr>
          <w:color w:val="auto"/>
          <w:lang w:val="es-MX"/>
        </w:rPr>
        <w:t xml:space="preserve"> subsidiarias, filiales o empresas que pertenezcan al mismo grupo de interés económico del AEP</w:t>
      </w:r>
      <w:r w:rsidR="003E6E3E">
        <w:rPr>
          <w:color w:val="auto"/>
          <w:lang w:val="es-MX"/>
        </w:rPr>
        <w:t>.</w:t>
      </w:r>
    </w:p>
    <w:p w14:paraId="621574A9" w14:textId="77777777" w:rsidR="004F575C" w:rsidRDefault="0090103A" w:rsidP="004F575C">
      <w:pPr>
        <w:pStyle w:val="IFTnormal"/>
        <w:spacing w:before="240" w:after="0"/>
        <w:ind w:right="49"/>
        <w:rPr>
          <w:color w:val="auto"/>
          <w:lang w:val="es-MX"/>
        </w:rPr>
      </w:pPr>
      <w:r>
        <w:rPr>
          <w:color w:val="auto"/>
          <w:lang w:val="es-MX"/>
        </w:rPr>
        <w:t xml:space="preserve">Asimismo, con el fin de observar la Medida </w:t>
      </w:r>
      <w:r w:rsidR="00FB667E">
        <w:rPr>
          <w:color w:val="auto"/>
          <w:lang w:val="es-MX"/>
        </w:rPr>
        <w:t>Cuadragésima Primera</w:t>
      </w:r>
      <w:r w:rsidR="005E456F">
        <w:rPr>
          <w:color w:val="auto"/>
          <w:lang w:val="es-MX"/>
        </w:rPr>
        <w:t xml:space="preserve">, se </w:t>
      </w:r>
      <w:r w:rsidR="00111690">
        <w:rPr>
          <w:color w:val="auto"/>
          <w:lang w:val="es-MX"/>
        </w:rPr>
        <w:t>modifica el</w:t>
      </w:r>
      <w:r w:rsidR="007174F2">
        <w:rPr>
          <w:color w:val="auto"/>
          <w:lang w:val="es-MX"/>
        </w:rPr>
        <w:t xml:space="preserve"> numeral 3.2.</w:t>
      </w:r>
      <w:r w:rsidR="003231E5">
        <w:rPr>
          <w:color w:val="auto"/>
          <w:lang w:val="es-MX"/>
        </w:rPr>
        <w:t>,</w:t>
      </w:r>
      <w:r w:rsidR="001B0373">
        <w:rPr>
          <w:color w:val="auto"/>
          <w:lang w:val="es-MX"/>
        </w:rPr>
        <w:t xml:space="preserve"> del modelo de Convenio</w:t>
      </w:r>
      <w:r w:rsidR="007174F2">
        <w:rPr>
          <w:color w:val="auto"/>
          <w:lang w:val="es-MX"/>
        </w:rPr>
        <w:t xml:space="preserve">, penúltimo párrafo </w:t>
      </w:r>
      <w:r>
        <w:rPr>
          <w:color w:val="auto"/>
          <w:lang w:val="es-MX"/>
        </w:rPr>
        <w:t xml:space="preserve">para obligar a Telmex a </w:t>
      </w:r>
      <w:r>
        <w:rPr>
          <w:color w:val="auto"/>
          <w:lang w:val="es-MX"/>
        </w:rPr>
        <w:lastRenderedPageBreak/>
        <w:t>dar una repuesta expresa al Concesionario Solicitante o Autorizado Solicitante</w:t>
      </w:r>
      <w:r w:rsidR="005E456F">
        <w:rPr>
          <w:color w:val="auto"/>
          <w:lang w:val="es-MX"/>
        </w:rPr>
        <w:t xml:space="preserve"> </w:t>
      </w:r>
      <w:r w:rsidR="001A701A">
        <w:rPr>
          <w:color w:val="auto"/>
          <w:lang w:val="es-MX"/>
        </w:rPr>
        <w:t xml:space="preserve">en </w:t>
      </w:r>
      <w:r w:rsidR="005E456F">
        <w:rPr>
          <w:color w:val="auto"/>
          <w:lang w:val="es-MX"/>
        </w:rPr>
        <w:t>el plazo establecido cuando exista una objeción de factura; en ausencia de est</w:t>
      </w:r>
      <w:r w:rsidR="00A20148">
        <w:rPr>
          <w:color w:val="auto"/>
          <w:lang w:val="es-MX"/>
        </w:rPr>
        <w:t>a contestación la objeción se entendería procedente.</w:t>
      </w:r>
      <w:r w:rsidR="00344180">
        <w:rPr>
          <w:color w:val="auto"/>
          <w:lang w:val="es-MX"/>
        </w:rPr>
        <w:t xml:space="preserve"> También se reduce el plazo en el inciso </w:t>
      </w:r>
      <w:r w:rsidR="00346F01">
        <w:rPr>
          <w:color w:val="auto"/>
          <w:lang w:val="es-MX"/>
        </w:rPr>
        <w:t xml:space="preserve">e) para la facturación extemporánea a 90 </w:t>
      </w:r>
      <w:r w:rsidR="00FA5661">
        <w:rPr>
          <w:color w:val="auto"/>
          <w:lang w:val="es-MX"/>
        </w:rPr>
        <w:t>días por ser el ciclo común de facturación.</w:t>
      </w:r>
    </w:p>
    <w:p w14:paraId="0B1ADA12" w14:textId="77777777" w:rsidR="004F575C" w:rsidRDefault="002474B4" w:rsidP="004F575C">
      <w:pPr>
        <w:pStyle w:val="IFTnormal"/>
        <w:spacing w:before="240" w:after="0"/>
        <w:ind w:right="49"/>
        <w:rPr>
          <w:color w:val="auto"/>
          <w:lang w:val="es-MX"/>
        </w:rPr>
      </w:pPr>
      <w:r>
        <w:rPr>
          <w:color w:val="auto"/>
          <w:lang w:val="es-MX"/>
        </w:rPr>
        <w:t xml:space="preserve">En relación con la </w:t>
      </w:r>
      <w:r w:rsidRPr="0036282C">
        <w:rPr>
          <w:color w:val="auto"/>
          <w:lang w:val="es-MX"/>
        </w:rPr>
        <w:t>C</w:t>
      </w:r>
      <w:r w:rsidR="00656584" w:rsidRPr="0036282C">
        <w:rPr>
          <w:color w:val="auto"/>
          <w:lang w:val="es-MX"/>
        </w:rPr>
        <w:t>láusula Cuarta. Intereses Moratorios</w:t>
      </w:r>
      <w:r w:rsidR="00B46E27">
        <w:rPr>
          <w:color w:val="auto"/>
          <w:lang w:val="es-MX"/>
        </w:rPr>
        <w:t xml:space="preserve">, </w:t>
      </w:r>
      <w:r w:rsidR="00473CEE" w:rsidRPr="00473CEE">
        <w:rPr>
          <w:color w:val="auto"/>
          <w:lang w:val="es-MX"/>
        </w:rPr>
        <w:t xml:space="preserve">se reduce la tasa anual para el cálculo de los intereses moratorios por incumplimiento por parte del </w:t>
      </w:r>
      <w:r w:rsidR="00473CEE">
        <w:rPr>
          <w:color w:val="auto"/>
          <w:lang w:val="es-MX"/>
        </w:rPr>
        <w:t>Concesionario Solicitante o Autorizado Solicitante</w:t>
      </w:r>
      <w:r w:rsidR="00473CEE" w:rsidRPr="00473CEE">
        <w:rPr>
          <w:color w:val="auto"/>
          <w:lang w:val="es-MX"/>
        </w:rPr>
        <w:t xml:space="preserve"> de cualquiera de sus obligaciones de pago, lo anterior por considerarse que la aplicación de 3 veces la Tasa de Interés Interbancaria de Equilibrio resulta excesiva.</w:t>
      </w:r>
    </w:p>
    <w:p w14:paraId="6C3207B5" w14:textId="77777777" w:rsidR="004F575C" w:rsidRDefault="008A0CFD" w:rsidP="004F575C">
      <w:pPr>
        <w:pStyle w:val="IFTnormal"/>
        <w:spacing w:before="240" w:after="0"/>
        <w:ind w:right="49"/>
        <w:rPr>
          <w:color w:val="auto"/>
          <w:lang w:val="es-MX"/>
        </w:rPr>
      </w:pPr>
      <w:r w:rsidRPr="008A0CFD">
        <w:rPr>
          <w:color w:val="auto"/>
          <w:lang w:val="es-MX"/>
        </w:rPr>
        <w:t xml:space="preserve">En la </w:t>
      </w:r>
      <w:r w:rsidR="00A20148" w:rsidRPr="008A0CFD">
        <w:rPr>
          <w:color w:val="auto"/>
          <w:lang w:val="es-MX"/>
        </w:rPr>
        <w:t xml:space="preserve">Cláusula </w:t>
      </w:r>
      <w:r w:rsidR="009B4733" w:rsidRPr="008A0CFD">
        <w:rPr>
          <w:color w:val="auto"/>
          <w:lang w:val="es-MX"/>
        </w:rPr>
        <w:t>Sexta “</w:t>
      </w:r>
      <w:r w:rsidR="00A20148" w:rsidRPr="008A0CFD">
        <w:rPr>
          <w:color w:val="auto"/>
          <w:lang w:val="es-MX"/>
        </w:rPr>
        <w:t>Incumplimiento en la Entrega de los Servicios</w:t>
      </w:r>
      <w:r w:rsidRPr="008A0CFD">
        <w:rPr>
          <w:color w:val="auto"/>
          <w:lang w:val="es-MX"/>
        </w:rPr>
        <w:t>” del modelo de Convenio,</w:t>
      </w:r>
      <w:r w:rsidR="00A20148">
        <w:rPr>
          <w:color w:val="auto"/>
          <w:lang w:val="es-MX"/>
        </w:rPr>
        <w:t xml:space="preserve"> </w:t>
      </w:r>
      <w:r w:rsidR="00757729">
        <w:rPr>
          <w:color w:val="auto"/>
          <w:lang w:val="es-MX"/>
        </w:rPr>
        <w:t>con el fin de dar cumplimiento a la Medida Cuadragésima Tercera</w:t>
      </w:r>
      <w:r w:rsidR="00556CF8">
        <w:rPr>
          <w:color w:val="auto"/>
          <w:lang w:val="es-MX"/>
        </w:rPr>
        <w:t xml:space="preserve">, se </w:t>
      </w:r>
      <w:r w:rsidR="00055113">
        <w:rPr>
          <w:color w:val="auto"/>
          <w:lang w:val="es-MX"/>
        </w:rPr>
        <w:t xml:space="preserve">restablece el texto de la penalización de la Oferta de Referencia </w:t>
      </w:r>
      <w:r w:rsidR="00473CEE">
        <w:rPr>
          <w:color w:val="auto"/>
          <w:lang w:val="es-MX"/>
        </w:rPr>
        <w:t xml:space="preserve">2016-2017 </w:t>
      </w:r>
      <w:r w:rsidR="00055113">
        <w:rPr>
          <w:color w:val="auto"/>
          <w:lang w:val="es-MX"/>
        </w:rPr>
        <w:t xml:space="preserve">y </w:t>
      </w:r>
      <w:r w:rsidR="00556CF8">
        <w:rPr>
          <w:color w:val="auto"/>
          <w:lang w:val="es-MX"/>
        </w:rPr>
        <w:t xml:space="preserve">se </w:t>
      </w:r>
      <w:r w:rsidR="00086FB0">
        <w:rPr>
          <w:color w:val="auto"/>
          <w:lang w:val="es-MX"/>
        </w:rPr>
        <w:t>añade una referencia a las penalidades</w:t>
      </w:r>
      <w:r w:rsidR="00111690">
        <w:rPr>
          <w:color w:val="auto"/>
          <w:lang w:val="es-MX"/>
        </w:rPr>
        <w:t>, e</w:t>
      </w:r>
      <w:r w:rsidR="00C34980">
        <w:rPr>
          <w:color w:val="auto"/>
          <w:lang w:val="es-MX"/>
        </w:rPr>
        <w:t xml:space="preserve">llo para </w:t>
      </w:r>
      <w:r w:rsidR="00DB1B66">
        <w:rPr>
          <w:color w:val="auto"/>
          <w:lang w:val="es-MX"/>
        </w:rPr>
        <w:t xml:space="preserve">que en el Convenio queden claramente establecidas </w:t>
      </w:r>
      <w:r w:rsidR="00BB332C">
        <w:rPr>
          <w:color w:val="auto"/>
          <w:lang w:val="es-MX"/>
        </w:rPr>
        <w:t xml:space="preserve">las penalidades por incumplimientos </w:t>
      </w:r>
      <w:r w:rsidR="00501A31">
        <w:rPr>
          <w:color w:val="auto"/>
          <w:lang w:val="es-MX"/>
        </w:rPr>
        <w:t>de Telmex.</w:t>
      </w:r>
    </w:p>
    <w:p w14:paraId="044DBEBE" w14:textId="77777777" w:rsidR="004F575C" w:rsidRDefault="008C73AF" w:rsidP="004F575C">
      <w:pPr>
        <w:pStyle w:val="IFTnormal"/>
        <w:spacing w:before="240" w:after="0"/>
        <w:ind w:right="49"/>
        <w:rPr>
          <w:color w:val="auto"/>
          <w:lang w:val="es-MX"/>
        </w:rPr>
      </w:pPr>
      <w:r>
        <w:rPr>
          <w:color w:val="auto"/>
          <w:lang w:val="es-MX"/>
        </w:rPr>
        <w:t xml:space="preserve">En relación con la Cláusula Novena. </w:t>
      </w:r>
      <w:r w:rsidR="00644635">
        <w:rPr>
          <w:color w:val="auto"/>
          <w:lang w:val="es-MX"/>
        </w:rPr>
        <w:t>“</w:t>
      </w:r>
      <w:r>
        <w:rPr>
          <w:color w:val="auto"/>
          <w:lang w:val="es-MX"/>
        </w:rPr>
        <w:t>Garantías del Convenio</w:t>
      </w:r>
      <w:r w:rsidR="00644635">
        <w:rPr>
          <w:color w:val="auto"/>
          <w:lang w:val="es-MX"/>
        </w:rPr>
        <w:t>”</w:t>
      </w:r>
      <w:r>
        <w:rPr>
          <w:color w:val="auto"/>
          <w:lang w:val="es-MX"/>
        </w:rPr>
        <w:t xml:space="preserve">, se reestablece </w:t>
      </w:r>
      <w:r w:rsidR="00AB348C">
        <w:rPr>
          <w:color w:val="auto"/>
          <w:lang w:val="es-MX"/>
        </w:rPr>
        <w:t>la base</w:t>
      </w:r>
      <w:r>
        <w:rPr>
          <w:color w:val="auto"/>
          <w:lang w:val="es-MX"/>
        </w:rPr>
        <w:t xml:space="preserve"> para el cálculo de las garantías</w:t>
      </w:r>
      <w:r w:rsidR="00AB348C">
        <w:rPr>
          <w:color w:val="auto"/>
          <w:lang w:val="es-MX"/>
        </w:rPr>
        <w:t xml:space="preserve"> previsto en el convenio anexo a la </w:t>
      </w:r>
      <w:r w:rsidR="00174A1A">
        <w:rPr>
          <w:color w:val="auto"/>
          <w:lang w:val="es-MX"/>
        </w:rPr>
        <w:t>Oferta de Referencia 2016-2017</w:t>
      </w:r>
      <w:r>
        <w:rPr>
          <w:color w:val="auto"/>
          <w:lang w:val="es-MX"/>
        </w:rPr>
        <w:t xml:space="preserve">; es decir, dos meses </w:t>
      </w:r>
      <w:r w:rsidR="000804B2">
        <w:rPr>
          <w:color w:val="auto"/>
          <w:lang w:val="es-MX"/>
        </w:rPr>
        <w:t xml:space="preserve">en lugar de 120% de tres </w:t>
      </w:r>
      <w:r w:rsidR="00BA0C5F">
        <w:rPr>
          <w:color w:val="auto"/>
          <w:lang w:val="es-MX"/>
        </w:rPr>
        <w:t>meses de las contraprestaciones.</w:t>
      </w:r>
      <w:r w:rsidR="00A343DB">
        <w:rPr>
          <w:color w:val="auto"/>
          <w:lang w:val="es-MX"/>
        </w:rPr>
        <w:t>.</w:t>
      </w:r>
      <w:r w:rsidR="00F32E7C">
        <w:rPr>
          <w:color w:val="auto"/>
          <w:lang w:val="es-MX"/>
        </w:rPr>
        <w:t xml:space="preserve"> Con ello, se garantiza que no exista una regresión regulatoria en perjuicio de los Concesionarios Solicitantes y Autorizados Solicitantes, pues en la Oferta de Referencia vigente prevalecen mejores condiciones en cuanto al cálculo de las garantías.</w:t>
      </w:r>
    </w:p>
    <w:p w14:paraId="1FF572C4" w14:textId="77777777" w:rsidR="004F575C" w:rsidRDefault="00684F76" w:rsidP="004F575C">
      <w:pPr>
        <w:pStyle w:val="IFTnormal"/>
        <w:spacing w:before="240" w:after="0"/>
        <w:ind w:right="49"/>
      </w:pPr>
      <w:r>
        <w:rPr>
          <w:color w:val="auto"/>
          <w:lang w:val="es-MX"/>
        </w:rPr>
        <w:t>Con respecto a la Cláusula Décima</w:t>
      </w:r>
      <w:r w:rsidR="00C12ACD">
        <w:rPr>
          <w:color w:val="auto"/>
          <w:lang w:val="es-MX"/>
        </w:rPr>
        <w:t>,</w:t>
      </w:r>
      <w:r>
        <w:rPr>
          <w:color w:val="auto"/>
          <w:lang w:val="es-MX"/>
        </w:rPr>
        <w:t xml:space="preserve"> </w:t>
      </w:r>
      <w:r w:rsidR="00C12ACD">
        <w:t>s</w:t>
      </w:r>
      <w:r>
        <w:t>e eliminó el numeral 10.6</w:t>
      </w:r>
      <w:r w:rsidR="00C12ACD">
        <w:t>, a</w:t>
      </w:r>
      <w:r>
        <w:t xml:space="preserve"> efecto de hacerlo consistente con la nueva metodología de costos adoptada en la Revisión Bienal de las medidas.</w:t>
      </w:r>
    </w:p>
    <w:p w14:paraId="161DECCE" w14:textId="77777777" w:rsidR="004F575C" w:rsidRDefault="00A861B2" w:rsidP="004F575C">
      <w:pPr>
        <w:pStyle w:val="IFTnormal"/>
        <w:spacing w:before="240" w:after="0"/>
        <w:ind w:right="49"/>
        <w:rPr>
          <w:color w:val="auto"/>
          <w:lang w:val="es-MX"/>
        </w:rPr>
      </w:pPr>
      <w:r>
        <w:rPr>
          <w:color w:val="auto"/>
          <w:lang w:val="es-MX"/>
        </w:rPr>
        <w:t xml:space="preserve">En relación con la Cláusula Décima Quinta, numeral 15.1 </w:t>
      </w:r>
      <w:r w:rsidR="00D224DB">
        <w:rPr>
          <w:color w:val="auto"/>
          <w:lang w:val="es-MX"/>
        </w:rPr>
        <w:t>“</w:t>
      </w:r>
      <w:r>
        <w:rPr>
          <w:color w:val="auto"/>
          <w:lang w:val="es-MX"/>
        </w:rPr>
        <w:t>Duración del Convenio</w:t>
      </w:r>
      <w:r w:rsidR="00D224DB">
        <w:rPr>
          <w:color w:val="auto"/>
          <w:lang w:val="es-MX"/>
        </w:rPr>
        <w:t>”</w:t>
      </w:r>
      <w:r>
        <w:rPr>
          <w:color w:val="auto"/>
          <w:lang w:val="es-MX"/>
        </w:rPr>
        <w:t>,</w:t>
      </w:r>
      <w:r w:rsidR="007E7937">
        <w:rPr>
          <w:color w:val="auto"/>
          <w:lang w:val="es-MX"/>
        </w:rPr>
        <w:t xml:space="preserve"> a efectos de dotar a las partes de seguridad jurídica respecto a la continuidad de ese instrumento</w:t>
      </w:r>
      <w:r>
        <w:rPr>
          <w:color w:val="auto"/>
          <w:lang w:val="es-MX"/>
        </w:rPr>
        <w:t xml:space="preserve"> se incorpora un párrafo para </w:t>
      </w:r>
      <w:r w:rsidR="00ED78B2" w:rsidRPr="00ED78B2">
        <w:rPr>
          <w:color w:val="auto"/>
          <w:lang w:val="es-MX"/>
        </w:rPr>
        <w:t xml:space="preserve">las partes puedan acordar una duración mayor en términos de la </w:t>
      </w:r>
      <w:r w:rsidR="00D224DB">
        <w:rPr>
          <w:color w:val="auto"/>
          <w:lang w:val="es-MX"/>
        </w:rPr>
        <w:t>M</w:t>
      </w:r>
      <w:r w:rsidR="00ED78B2" w:rsidRPr="00ED78B2">
        <w:rPr>
          <w:color w:val="auto"/>
          <w:lang w:val="es-MX"/>
        </w:rPr>
        <w:t xml:space="preserve">edida </w:t>
      </w:r>
      <w:r w:rsidR="00D224DB" w:rsidRPr="00ED78B2">
        <w:rPr>
          <w:color w:val="auto"/>
          <w:lang w:val="es-MX"/>
        </w:rPr>
        <w:t xml:space="preserve">Cuadragésima Primera </w:t>
      </w:r>
      <w:r w:rsidR="00ED78B2" w:rsidRPr="00ED78B2">
        <w:rPr>
          <w:color w:val="auto"/>
          <w:lang w:val="es-MX"/>
        </w:rPr>
        <w:t>de las Medidas Fijas</w:t>
      </w:r>
      <w:bookmarkStart w:id="2" w:name="_Hlk495881768"/>
      <w:r w:rsidR="00ED78B2">
        <w:rPr>
          <w:color w:val="auto"/>
          <w:lang w:val="es-MX"/>
        </w:rPr>
        <w:t>.</w:t>
      </w:r>
    </w:p>
    <w:p w14:paraId="76561522" w14:textId="77777777" w:rsidR="004F575C" w:rsidRDefault="00C85822" w:rsidP="004F575C">
      <w:pPr>
        <w:pStyle w:val="IFTnormal"/>
        <w:spacing w:before="240" w:after="0"/>
        <w:ind w:right="49"/>
        <w:rPr>
          <w:color w:val="auto"/>
          <w:lang w:val="es-MX"/>
        </w:rPr>
      </w:pPr>
      <w:r>
        <w:rPr>
          <w:color w:val="auto"/>
          <w:lang w:val="es-MX"/>
        </w:rPr>
        <w:t>Asimismo, por lo que respecta a</w:t>
      </w:r>
      <w:r w:rsidR="00CC24C5">
        <w:rPr>
          <w:color w:val="auto"/>
          <w:lang w:val="es-MX"/>
        </w:rPr>
        <w:t>l numeral 15.2 “Terminación Anticipada” se eliminan los supuestos relativos a la utilización de los servicios con fines ilícitos y cambio radical en las condiciones económicas que rigen los servicios, de tal manera que se vuelva económicamente inviable la prestación de los mismos, como causales de terminación</w:t>
      </w:r>
      <w:r w:rsidR="002520D0">
        <w:rPr>
          <w:color w:val="auto"/>
          <w:lang w:val="es-MX"/>
        </w:rPr>
        <w:t>.</w:t>
      </w:r>
      <w:r w:rsidR="00263045">
        <w:rPr>
          <w:color w:val="auto"/>
          <w:lang w:val="es-MX"/>
        </w:rPr>
        <w:t xml:space="preserve"> </w:t>
      </w:r>
      <w:r w:rsidR="008F762B">
        <w:rPr>
          <w:color w:val="auto"/>
          <w:lang w:val="es-MX"/>
        </w:rPr>
        <w:t>De igual forma, con</w:t>
      </w:r>
      <w:r w:rsidR="00263045">
        <w:rPr>
          <w:color w:val="auto"/>
          <w:lang w:val="es-MX"/>
        </w:rPr>
        <w:t xml:space="preserve"> el fin de que las partes tengan </w:t>
      </w:r>
      <w:r w:rsidR="00263045">
        <w:rPr>
          <w:color w:val="auto"/>
          <w:lang w:val="es-MX"/>
        </w:rPr>
        <w:lastRenderedPageBreak/>
        <w:t>un periodo de tiempo más razonable para llevar</w:t>
      </w:r>
      <w:r w:rsidR="00090DD8">
        <w:rPr>
          <w:color w:val="auto"/>
          <w:lang w:val="es-MX"/>
        </w:rPr>
        <w:t xml:space="preserve"> a cabo la</w:t>
      </w:r>
      <w:r w:rsidR="00263045">
        <w:rPr>
          <w:color w:val="auto"/>
          <w:lang w:val="es-MX"/>
        </w:rPr>
        <w:t xml:space="preserve"> aplicación</w:t>
      </w:r>
      <w:r w:rsidR="00090DD8">
        <w:rPr>
          <w:color w:val="auto"/>
          <w:lang w:val="es-MX"/>
        </w:rPr>
        <w:t xml:space="preserve"> de</w:t>
      </w:r>
      <w:r w:rsidR="00263045">
        <w:rPr>
          <w:color w:val="auto"/>
          <w:lang w:val="es-MX"/>
        </w:rPr>
        <w:t xml:space="preserve"> los supuestos de terminación anticipada, se modifica a 60 (sesenta) días naturales</w:t>
      </w:r>
      <w:r w:rsidR="00BB2099">
        <w:rPr>
          <w:color w:val="auto"/>
          <w:lang w:val="es-MX"/>
        </w:rPr>
        <w:t>, el</w:t>
      </w:r>
      <w:r w:rsidR="00263045">
        <w:rPr>
          <w:color w:val="auto"/>
          <w:lang w:val="es-MX"/>
        </w:rPr>
        <w:t xml:space="preserve"> tiempo que tienen para llevar a cabo las notificaciones correspondientes previas a la fecha efectiva de terminación</w:t>
      </w:r>
      <w:r w:rsidR="00BB2099">
        <w:rPr>
          <w:color w:val="auto"/>
          <w:lang w:val="es-MX"/>
        </w:rPr>
        <w:t>.</w:t>
      </w:r>
      <w:r w:rsidR="00263045">
        <w:rPr>
          <w:color w:val="auto"/>
          <w:lang w:val="es-MX"/>
        </w:rPr>
        <w:t xml:space="preserve"> </w:t>
      </w:r>
      <w:bookmarkEnd w:id="2"/>
    </w:p>
    <w:p w14:paraId="43566328" w14:textId="77777777" w:rsidR="004F575C" w:rsidRDefault="00F300C3" w:rsidP="004F575C">
      <w:pPr>
        <w:pStyle w:val="IFTnormal"/>
        <w:spacing w:before="240" w:after="0"/>
        <w:ind w:right="49"/>
        <w:rPr>
          <w:color w:val="auto"/>
          <w:lang w:val="es-MX"/>
        </w:rPr>
      </w:pPr>
      <w:r w:rsidRPr="00F300C3">
        <w:rPr>
          <w:color w:val="auto"/>
          <w:lang w:val="es-MX"/>
        </w:rPr>
        <w:t xml:space="preserve">Respecto a la </w:t>
      </w:r>
      <w:r w:rsidR="00CB246D" w:rsidRPr="00F300C3">
        <w:rPr>
          <w:color w:val="auto"/>
          <w:lang w:val="es-MX"/>
        </w:rPr>
        <w:t>Cláusula Décima Sexta</w:t>
      </w:r>
      <w:r w:rsidR="00111690">
        <w:rPr>
          <w:color w:val="auto"/>
          <w:lang w:val="es-MX"/>
        </w:rPr>
        <w:t>,</w:t>
      </w:r>
      <w:r w:rsidR="00CB246D" w:rsidRPr="00F300C3">
        <w:rPr>
          <w:color w:val="auto"/>
          <w:lang w:val="es-MX"/>
        </w:rPr>
        <w:t xml:space="preserve"> </w:t>
      </w:r>
      <w:r w:rsidR="00D224DB">
        <w:rPr>
          <w:color w:val="auto"/>
          <w:lang w:val="es-MX"/>
        </w:rPr>
        <w:t>“</w:t>
      </w:r>
      <w:r w:rsidR="00CB246D" w:rsidRPr="00F300C3">
        <w:rPr>
          <w:color w:val="auto"/>
          <w:lang w:val="es-MX"/>
        </w:rPr>
        <w:t xml:space="preserve">Rescisión </w:t>
      </w:r>
      <w:r w:rsidR="00E7412A" w:rsidRPr="00F300C3">
        <w:rPr>
          <w:color w:val="auto"/>
          <w:lang w:val="es-MX"/>
        </w:rPr>
        <w:t>del Convenio</w:t>
      </w:r>
      <w:r w:rsidR="00D224DB">
        <w:rPr>
          <w:color w:val="auto"/>
          <w:lang w:val="es-MX"/>
        </w:rPr>
        <w:t>”</w:t>
      </w:r>
      <w:r w:rsidR="00E7412A" w:rsidRPr="00F300C3">
        <w:rPr>
          <w:color w:val="auto"/>
          <w:lang w:val="es-MX"/>
        </w:rPr>
        <w:t xml:space="preserve"> </w:t>
      </w:r>
      <w:r w:rsidR="00DD3C7E">
        <w:rPr>
          <w:color w:val="auto"/>
          <w:lang w:val="es-MX"/>
        </w:rPr>
        <w:t>y con relación al derecho de las partes de rescindir del convenio, s</w:t>
      </w:r>
      <w:r w:rsidR="00ED78B2">
        <w:rPr>
          <w:color w:val="auto"/>
          <w:lang w:val="es-MX"/>
        </w:rPr>
        <w:t>e modifica a 30 d</w:t>
      </w:r>
      <w:r w:rsidR="00DD3C7E">
        <w:rPr>
          <w:color w:val="auto"/>
          <w:lang w:val="es-MX"/>
        </w:rPr>
        <w:t xml:space="preserve">ías naturales de anticipación </w:t>
      </w:r>
      <w:r w:rsidR="00DD3C7E" w:rsidRPr="00DD3C7E">
        <w:rPr>
          <w:color w:val="auto"/>
          <w:lang w:val="es-MX"/>
        </w:rPr>
        <w:t>a la fecha en que surtirá sus efectos la rescisión</w:t>
      </w:r>
      <w:r w:rsidR="00DD3C7E">
        <w:rPr>
          <w:color w:val="auto"/>
          <w:lang w:val="es-MX"/>
        </w:rPr>
        <w:t>,</w:t>
      </w:r>
      <w:r w:rsidR="00DD3C7E" w:rsidRPr="00DD3C7E">
        <w:rPr>
          <w:color w:val="auto"/>
          <w:lang w:val="es-MX"/>
        </w:rPr>
        <w:t xml:space="preserve"> </w:t>
      </w:r>
      <w:r w:rsidR="00DD3C7E">
        <w:rPr>
          <w:color w:val="auto"/>
          <w:lang w:val="es-MX"/>
        </w:rPr>
        <w:t>la notificación por escrito que deberá hacerse a la parte que incumplió. Asimismo</w:t>
      </w:r>
      <w:r w:rsidR="00D82B14">
        <w:rPr>
          <w:color w:val="auto"/>
          <w:lang w:val="es-MX"/>
        </w:rPr>
        <w:t>,</w:t>
      </w:r>
      <w:r w:rsidR="007F4705" w:rsidRPr="009122F8">
        <w:rPr>
          <w:color w:val="auto"/>
          <w:lang w:val="es-MX"/>
        </w:rPr>
        <w:t xml:space="preserve"> se incorpora el </w:t>
      </w:r>
      <w:r w:rsidR="007F4705" w:rsidRPr="00644635">
        <w:rPr>
          <w:color w:val="auto"/>
          <w:lang w:val="es-MX"/>
        </w:rPr>
        <w:t>efecto a favor de Concesionarios Solicitantes y Autorizados Solicitantes en caso de que estos declaren la resci</w:t>
      </w:r>
      <w:r w:rsidR="007F4705" w:rsidRPr="009122F8">
        <w:rPr>
          <w:color w:val="auto"/>
          <w:lang w:val="es-MX"/>
        </w:rPr>
        <w:t>sión del Convenio</w:t>
      </w:r>
      <w:r w:rsidR="00DD3C7E">
        <w:rPr>
          <w:color w:val="auto"/>
          <w:lang w:val="es-MX"/>
        </w:rPr>
        <w:t>.</w:t>
      </w:r>
    </w:p>
    <w:p w14:paraId="3FF6E0CC" w14:textId="77777777" w:rsidR="004F575C" w:rsidRDefault="00F300C3" w:rsidP="004F575C">
      <w:pPr>
        <w:pStyle w:val="IFTnormal"/>
        <w:spacing w:before="240" w:after="0"/>
        <w:ind w:right="49"/>
        <w:rPr>
          <w:color w:val="auto"/>
          <w:lang w:val="es-MX"/>
        </w:rPr>
      </w:pPr>
      <w:r w:rsidRPr="00AF7290">
        <w:rPr>
          <w:color w:val="auto"/>
          <w:lang w:val="es-MX"/>
        </w:rPr>
        <w:t xml:space="preserve">Finalmente, </w:t>
      </w:r>
      <w:r w:rsidR="0085252E" w:rsidRPr="00AF7290">
        <w:rPr>
          <w:color w:val="auto"/>
          <w:lang w:val="es-MX"/>
        </w:rPr>
        <w:t>se elimina la</w:t>
      </w:r>
      <w:r w:rsidRPr="00AF7290">
        <w:rPr>
          <w:color w:val="auto"/>
          <w:lang w:val="es-MX"/>
        </w:rPr>
        <w:t xml:space="preserve"> </w:t>
      </w:r>
      <w:r w:rsidR="004D10FD" w:rsidRPr="00AF7290">
        <w:rPr>
          <w:color w:val="auto"/>
          <w:lang w:val="es-MX"/>
        </w:rPr>
        <w:t xml:space="preserve">Cláusula Vigésima Quinta </w:t>
      </w:r>
      <w:r w:rsidRPr="00AF7290">
        <w:rPr>
          <w:color w:val="auto"/>
          <w:lang w:val="es-MX"/>
        </w:rPr>
        <w:t>“</w:t>
      </w:r>
      <w:r w:rsidR="004D10FD" w:rsidRPr="00AF7290">
        <w:rPr>
          <w:color w:val="auto"/>
          <w:lang w:val="es-MX"/>
        </w:rPr>
        <w:t>Datos Personales</w:t>
      </w:r>
      <w:r w:rsidRPr="00AF7290">
        <w:rPr>
          <w:color w:val="auto"/>
          <w:lang w:val="es-MX"/>
        </w:rPr>
        <w:t>”</w:t>
      </w:r>
      <w:r w:rsidR="0085252E" w:rsidRPr="00AF7290">
        <w:rPr>
          <w:color w:val="auto"/>
          <w:lang w:val="es-MX"/>
        </w:rPr>
        <w:t xml:space="preserve"> y Cláusula Vigésima Sexta </w:t>
      </w:r>
      <w:r w:rsidR="00AF7290" w:rsidRPr="00E5793A">
        <w:rPr>
          <w:color w:val="auto"/>
          <w:lang w:val="es-MX"/>
        </w:rPr>
        <w:t>“</w:t>
      </w:r>
      <w:r w:rsidR="0085252E" w:rsidRPr="00AF7290">
        <w:rPr>
          <w:color w:val="auto"/>
          <w:lang w:val="es-MX"/>
        </w:rPr>
        <w:t>Antico</w:t>
      </w:r>
      <w:r w:rsidR="004808E8" w:rsidRPr="00AF7290">
        <w:rPr>
          <w:color w:val="auto"/>
          <w:lang w:val="es-MX"/>
        </w:rPr>
        <w:t>rrupción</w:t>
      </w:r>
      <w:r w:rsidR="00AF7290" w:rsidRPr="00E5793A">
        <w:rPr>
          <w:color w:val="auto"/>
          <w:lang w:val="es-MX"/>
        </w:rPr>
        <w:t xml:space="preserve">”, </w:t>
      </w:r>
      <w:r w:rsidR="00AF7290" w:rsidRPr="00AF7290">
        <w:rPr>
          <w:color w:val="auto"/>
          <w:lang w:val="es-MX"/>
        </w:rPr>
        <w:t>en virtud de que constituyen condiciones reguladas por otras leyes y que su inclusión o no en la Oferta de Referencia no prejuzga sobre su cumplimiento</w:t>
      </w:r>
      <w:r w:rsidR="00AF7290" w:rsidRPr="00AF7290">
        <w:rPr>
          <w:rFonts w:eastAsiaTheme="minorHAnsi"/>
          <w:snapToGrid w:val="0"/>
          <w:lang w:eastAsia="en-US"/>
        </w:rPr>
        <w:t>.</w:t>
      </w:r>
    </w:p>
    <w:p w14:paraId="1F7B18B0" w14:textId="77777777" w:rsidR="004F575C" w:rsidRDefault="00111690" w:rsidP="004F575C">
      <w:pPr>
        <w:tabs>
          <w:tab w:val="num" w:pos="1940"/>
        </w:tabs>
        <w:spacing w:before="240" w:after="0"/>
        <w:jc w:val="both"/>
        <w:rPr>
          <w:rFonts w:ascii="ITC Avant Garde" w:hAnsi="ITC Avant Garde" w:cs="Arial"/>
          <w:b/>
        </w:rPr>
      </w:pPr>
      <w:r w:rsidRPr="00AE6682">
        <w:rPr>
          <w:rFonts w:ascii="ITC Avant Garde" w:hAnsi="ITC Avant Garde" w:cs="Arial"/>
        </w:rPr>
        <w:t xml:space="preserve">Por lo antes expuesto y con fundamento en los artículos 6o., apartado B, fracción II y 28, párrafos décimo quinto y décimo sexto de la Constitución Política de los Estados Unidos Mexicanos; Transitorios Trigésimo Quinto del </w:t>
      </w:r>
      <w:r w:rsidRPr="00AE6682">
        <w:rPr>
          <w:rFonts w:ascii="ITC Avant Garde" w:hAnsi="ITC Avant Garde" w:cs="Arial"/>
          <w:i/>
        </w:rPr>
        <w:t>“DECRETO por el que se expiden la Ley Federal de Telecomunicaciones y Radiodifusión del Estado Mexicano y se reforman, adicionan y derogan diversas disposiciones en materia de telecomunicaciones y radiodifusión”</w:t>
      </w:r>
      <w:r w:rsidRPr="00AE6682">
        <w:rPr>
          <w:rFonts w:ascii="ITC Avant Garde" w:hAnsi="ITC Avant Garde" w:cs="Arial"/>
        </w:rPr>
        <w:t xml:space="preserve"> publicado en el Diario Oficial de la Federación el 14 de julio de 2014; 1, 2, 6 fracción IV y 7, 15, fracción XVIII de la Ley Federal de Telecomunicaciones y Radiodifusión; 35, fracción I, 36, 38 y 39 de la Ley Federal de Procedimiento Administrativo; 1,4 fracción I y 6 fracciones I, VI y XXXVII, del </w:t>
      </w:r>
      <w:r w:rsidRPr="00AE6682">
        <w:rPr>
          <w:rFonts w:ascii="ITC Avant Garde" w:hAnsi="ITC Avant Garde" w:cs="Arial"/>
          <w:i/>
        </w:rPr>
        <w:t xml:space="preserve">Estatuto Orgánico del Instituto Federal de Telecomunicaciones; la </w:t>
      </w:r>
      <w:r w:rsidRPr="00AE6682">
        <w:rPr>
          <w:rFonts w:ascii="ITC Avant Garde" w:hAnsi="ITC Avant Garde" w:cs="Arial"/>
        </w:rPr>
        <w:t>“</w:t>
      </w:r>
      <w:r w:rsidRPr="00AE6682">
        <w:rPr>
          <w:rFonts w:ascii="ITC Avant Garde" w:hAnsi="ITC Avant Garde" w:cs="Arial"/>
          <w:i/>
        </w:rPr>
        <w:t>RESOLUCIÓN MEDIANTE LA CUAL EL PLENO DEL INSTITUTO FEDERAL DE TELECOMUNICACIONES DETERMINA AL GRUPO DE INTERÉS ECONÓMICO DEL QUE FORMAN PARTE AMÉRICA MÓVIL, S.A.B. DE C.V., TELÉFONOS DE MÉXICO, S.A.B. DE C.V., TELÉFONOS DEL NOROESTE, S.A. DE C.V., RADIOMÓVIL DIPSA, S.A.B. DE C. V., GRUPO CARSO, S.A.B. DE C.V., Y GRUPO FINANCIERO INBURSA, S.A.B. DE C.V., COMO AGENTE ECONÓMICO PREPONDERANTE EN EL SECTOR DE TELECOMUNICACIONES Y LE IMPONE LAS MEDIDAS NECESARIAS PARA EVITAR QUE SE AFECTE LA COMPETENCIA Y LA LIBRE CONCURRENCIA</w:t>
      </w:r>
      <w:r w:rsidRPr="00AE6682">
        <w:rPr>
          <w:rFonts w:ascii="ITC Avant Garde" w:hAnsi="ITC Avant Garde" w:cs="Arial"/>
        </w:rPr>
        <w:t>” aprobada mediante Acuerdo P/IFT/EXT/060314/76, y la “</w:t>
      </w:r>
      <w:r w:rsidRPr="00AE6682">
        <w:rPr>
          <w:rFonts w:ascii="ITC Avant Garde" w:hAnsi="ITC Avant Garde" w:cs="Arial"/>
          <w:i/>
        </w:rPr>
        <w:t>Resolución mediante la cual el Pleno del Instituto Federal de Telecomunicaciones suprime, modifica y adiciona las medidas impuestas al Agente Económico Preponderante en el sector de telecomunicaciones mediante resolución de fecha 6 de marzo de 2014</w:t>
      </w:r>
      <w:r w:rsidRPr="00AE6682">
        <w:rPr>
          <w:rFonts w:ascii="ITC Avant Garde" w:hAnsi="ITC Avant Garde" w:cs="Arial"/>
        </w:rPr>
        <w:t>” aprobada mediante Acuerdo P/IFT/EXT/270217/119, el Pleno del Instituto Federal de Telecomunicaciones emite el siguiente:</w:t>
      </w:r>
    </w:p>
    <w:p w14:paraId="005B5C8C" w14:textId="6B57B9AD" w:rsidR="004F575C" w:rsidRPr="004F575C" w:rsidRDefault="00504AD7" w:rsidP="004F575C">
      <w:pPr>
        <w:pStyle w:val="T2IFT"/>
      </w:pPr>
      <w:r w:rsidRPr="004F575C">
        <w:t>ACUERDO</w:t>
      </w:r>
    </w:p>
    <w:p w14:paraId="5618D82C" w14:textId="77777777" w:rsidR="004F575C" w:rsidRDefault="00BA640B" w:rsidP="004F575C">
      <w:pPr>
        <w:spacing w:before="240" w:after="0" w:line="276" w:lineRule="auto"/>
        <w:ind w:right="49"/>
        <w:jc w:val="both"/>
        <w:rPr>
          <w:rFonts w:ascii="ITC Avant Garde" w:hAnsi="ITC Avant Garde" w:cs="Arial"/>
        </w:rPr>
      </w:pPr>
      <w:r w:rsidRPr="00BD71D3">
        <w:rPr>
          <w:rFonts w:ascii="ITC Avant Garde" w:hAnsi="ITC Avant Garde" w:cs="Arial"/>
          <w:b/>
          <w:snapToGrid w:val="0"/>
        </w:rPr>
        <w:lastRenderedPageBreak/>
        <w:t>PRIMERO.-</w:t>
      </w:r>
      <w:r w:rsidRPr="00BD71D3">
        <w:rPr>
          <w:rFonts w:ascii="ITC Avant Garde" w:hAnsi="ITC Avant Garde" w:cs="Arial"/>
          <w:snapToGrid w:val="0"/>
        </w:rPr>
        <w:t xml:space="preserve"> </w:t>
      </w:r>
      <w:r w:rsidRPr="00BD71D3">
        <w:rPr>
          <w:rFonts w:ascii="ITC Avant Garde" w:hAnsi="ITC Avant Garde" w:cs="Arial"/>
        </w:rPr>
        <w:t>Se modifica en sus términos y condiciones</w:t>
      </w:r>
      <w:r w:rsidR="00D6102B">
        <w:rPr>
          <w:rFonts w:ascii="ITC Avant Garde" w:hAnsi="ITC Avant Garde" w:cs="Arial"/>
        </w:rPr>
        <w:t xml:space="preserve"> la</w:t>
      </w:r>
      <w:r w:rsidRPr="00BD71D3">
        <w:rPr>
          <w:rFonts w:ascii="ITC Avant Garde" w:hAnsi="ITC Avant Garde" w:cs="Arial"/>
        </w:rPr>
        <w:t xml:space="preserve"> </w:t>
      </w:r>
      <w:r w:rsidR="00D6102B" w:rsidRPr="00D6102B">
        <w:rPr>
          <w:rFonts w:ascii="ITC Avant Garde" w:hAnsi="ITC Avant Garde" w:cs="Arial"/>
        </w:rPr>
        <w:t xml:space="preserve">Oferta Referencia para </w:t>
      </w:r>
      <w:r w:rsidR="00111690">
        <w:rPr>
          <w:rFonts w:ascii="ITC Avant Garde" w:hAnsi="ITC Avant Garde" w:cs="Arial"/>
        </w:rPr>
        <w:t>el</w:t>
      </w:r>
      <w:r w:rsidR="00D6102B" w:rsidRPr="00D6102B">
        <w:rPr>
          <w:rFonts w:ascii="ITC Avant Garde" w:hAnsi="ITC Avant Garde" w:cs="Arial"/>
        </w:rPr>
        <w:t xml:space="preserve"> Servicio Mayorista de Arrendamiento de Enlaces Dedicados Locales, entre Localidades, y de Larga Distancia Internacional para Concesionarios de Redes Públicas De Telecomunicaciones</w:t>
      </w:r>
      <w:r w:rsidRPr="00BD71D3">
        <w:rPr>
          <w:rFonts w:ascii="ITC Avant Garde" w:hAnsi="ITC Avant Garde" w:cs="Arial"/>
        </w:rPr>
        <w:t>, presentad</w:t>
      </w:r>
      <w:r w:rsidR="00D75504">
        <w:rPr>
          <w:rFonts w:ascii="ITC Avant Garde" w:hAnsi="ITC Avant Garde" w:cs="Arial"/>
        </w:rPr>
        <w:t>a</w:t>
      </w:r>
      <w:r w:rsidRPr="00BD71D3">
        <w:rPr>
          <w:rFonts w:ascii="ITC Avant Garde" w:hAnsi="ITC Avant Garde" w:cs="Arial"/>
        </w:rPr>
        <w:t xml:space="preserve"> por </w:t>
      </w:r>
      <w:r w:rsidR="00D75504" w:rsidRPr="00D6102B">
        <w:rPr>
          <w:rFonts w:ascii="ITC Avant Garde" w:hAnsi="ITC Avant Garde" w:cs="Arial"/>
        </w:rPr>
        <w:t>Teléfonos de</w:t>
      </w:r>
      <w:r w:rsidR="00D75504">
        <w:rPr>
          <w:rFonts w:ascii="ITC Avant Garde" w:hAnsi="ITC Avant Garde" w:cs="Arial"/>
          <w:snapToGrid w:val="0"/>
        </w:rPr>
        <w:t xml:space="preserve"> México</w:t>
      </w:r>
      <w:r w:rsidR="00EC1827" w:rsidRPr="00BD71D3">
        <w:rPr>
          <w:rFonts w:ascii="ITC Avant Garde" w:hAnsi="ITC Avant Garde" w:cs="Arial"/>
          <w:snapToGrid w:val="0"/>
        </w:rPr>
        <w:t>, S.A</w:t>
      </w:r>
      <w:r w:rsidR="00D75504">
        <w:rPr>
          <w:rFonts w:ascii="ITC Avant Garde" w:hAnsi="ITC Avant Garde" w:cs="Arial"/>
          <w:snapToGrid w:val="0"/>
        </w:rPr>
        <w:t>.B.</w:t>
      </w:r>
      <w:r w:rsidR="00EC1827" w:rsidRPr="00BD71D3">
        <w:rPr>
          <w:rFonts w:ascii="ITC Avant Garde" w:hAnsi="ITC Avant Garde" w:cs="Arial"/>
          <w:snapToGrid w:val="0"/>
        </w:rPr>
        <w:t xml:space="preserve"> de C.V.,</w:t>
      </w:r>
      <w:r w:rsidRPr="00BD71D3">
        <w:rPr>
          <w:rFonts w:ascii="ITC Avant Garde" w:hAnsi="ITC Avant Garde" w:cs="Arial"/>
          <w:snapToGrid w:val="0"/>
        </w:rPr>
        <w:t xml:space="preserve"> como parte del Agente Económico Preponderante</w:t>
      </w:r>
      <w:r w:rsidRPr="00BD71D3">
        <w:rPr>
          <w:rFonts w:ascii="ITC Avant Garde" w:hAnsi="ITC Avant Garde" w:cs="Arial"/>
        </w:rPr>
        <w:t xml:space="preserve"> </w:t>
      </w:r>
      <w:r w:rsidR="00996B1A" w:rsidRPr="00BD71D3">
        <w:rPr>
          <w:rFonts w:ascii="ITC Avant Garde" w:hAnsi="ITC Avant Garde" w:cs="Arial"/>
        </w:rPr>
        <w:t xml:space="preserve">por las razones señaladas en el </w:t>
      </w:r>
      <w:r w:rsidRPr="00BD71D3">
        <w:rPr>
          <w:rFonts w:ascii="ITC Avant Garde" w:hAnsi="ITC Avant Garde" w:cs="Arial"/>
        </w:rPr>
        <w:t xml:space="preserve">Considerando </w:t>
      </w:r>
      <w:r w:rsidR="00163B2B">
        <w:rPr>
          <w:rFonts w:ascii="ITC Avant Garde" w:hAnsi="ITC Avant Garde" w:cs="Arial"/>
        </w:rPr>
        <w:t>Cuarto</w:t>
      </w:r>
      <w:r w:rsidR="00996B1A" w:rsidRPr="00BD71D3">
        <w:rPr>
          <w:rFonts w:ascii="ITC Avant Garde" w:hAnsi="ITC Avant Garde" w:cs="Arial"/>
        </w:rPr>
        <w:t>, y de conformidad con lo establecido en el Anexo I del presente Acuerdo y que forma parte integral del mismo</w:t>
      </w:r>
      <w:r w:rsidRPr="00BD71D3">
        <w:rPr>
          <w:rFonts w:ascii="ITC Avant Garde" w:hAnsi="ITC Avant Garde" w:cs="Arial"/>
        </w:rPr>
        <w:t>.</w:t>
      </w:r>
    </w:p>
    <w:p w14:paraId="6DA88D90" w14:textId="77777777" w:rsidR="004F575C" w:rsidRDefault="00996B1A" w:rsidP="00D23C4A">
      <w:pPr>
        <w:spacing w:before="240" w:line="264" w:lineRule="auto"/>
        <w:jc w:val="both"/>
        <w:rPr>
          <w:rFonts w:ascii="ITC Avant Garde" w:eastAsia="Times New Roman" w:hAnsi="ITC Avant Garde" w:cs="Times New Roman"/>
          <w:color w:val="000000"/>
          <w:lang w:val="es-ES" w:eastAsia="es-MX"/>
        </w:rPr>
      </w:pPr>
      <w:r w:rsidRPr="00BD71D3">
        <w:rPr>
          <w:rFonts w:ascii="ITC Avant Garde" w:eastAsia="Times New Roman" w:hAnsi="ITC Avant Garde" w:cs="Times New Roman"/>
          <w:b/>
          <w:bCs/>
          <w:color w:val="000000"/>
          <w:lang w:eastAsia="es-MX"/>
        </w:rPr>
        <w:t>SEGUNDO.-</w:t>
      </w:r>
      <w:r w:rsidRPr="00BD71D3">
        <w:rPr>
          <w:rFonts w:ascii="ITC Avant Garde" w:eastAsia="Times New Roman" w:hAnsi="ITC Avant Garde" w:cs="Times New Roman"/>
          <w:bCs/>
          <w:color w:val="000000"/>
          <w:lang w:eastAsia="es-MX"/>
        </w:rPr>
        <w:t xml:space="preserve"> </w:t>
      </w:r>
      <w:r w:rsidRPr="00BD71D3">
        <w:rPr>
          <w:rFonts w:ascii="ITC Avant Garde" w:eastAsia="Times New Roman" w:hAnsi="ITC Avant Garde" w:cs="Times New Roman"/>
          <w:bCs/>
          <w:color w:val="000000"/>
          <w:lang w:val="es-ES" w:eastAsia="es-MX"/>
        </w:rPr>
        <w:t xml:space="preserve">Notifíquese el presente Acuerdo a </w:t>
      </w:r>
      <w:r w:rsidR="00784F2C">
        <w:rPr>
          <w:rFonts w:ascii="ITC Avant Garde" w:eastAsia="Times New Roman" w:hAnsi="ITC Avant Garde" w:cs="Times New Roman"/>
          <w:bCs/>
          <w:color w:val="000000"/>
          <w:lang w:val="es-ES" w:eastAsia="es-MX"/>
        </w:rPr>
        <w:t>Teléfonos de México</w:t>
      </w:r>
      <w:r w:rsidRPr="00BD71D3">
        <w:rPr>
          <w:rFonts w:ascii="ITC Avant Garde" w:eastAsia="Times New Roman" w:hAnsi="ITC Avant Garde" w:cs="Times New Roman"/>
          <w:bCs/>
          <w:color w:val="000000"/>
          <w:lang w:val="es-ES" w:eastAsia="es-MX"/>
        </w:rPr>
        <w:t>, S</w:t>
      </w:r>
      <w:r w:rsidR="005653BB" w:rsidRPr="00B63266">
        <w:rPr>
          <w:rFonts w:ascii="ITC Avant Garde" w:eastAsia="Times New Roman" w:hAnsi="ITC Avant Garde" w:cs="Times New Roman"/>
          <w:color w:val="000000"/>
          <w:lang w:val="es-ES" w:eastAsia="es-MX"/>
        </w:rPr>
        <w:t>.</w:t>
      </w:r>
      <w:r w:rsidRPr="001D3B3E">
        <w:rPr>
          <w:rFonts w:ascii="ITC Avant Garde" w:eastAsia="Times New Roman" w:hAnsi="ITC Avant Garde" w:cs="Times New Roman"/>
          <w:color w:val="000000"/>
          <w:lang w:val="es-ES" w:eastAsia="es-MX"/>
        </w:rPr>
        <w:t>A.</w:t>
      </w:r>
      <w:r w:rsidR="00784F2C" w:rsidRPr="007E5652">
        <w:rPr>
          <w:rFonts w:ascii="ITC Avant Garde" w:eastAsia="Times New Roman" w:hAnsi="ITC Avant Garde" w:cs="Times New Roman"/>
          <w:color w:val="000000"/>
          <w:lang w:val="es-ES" w:eastAsia="es-MX"/>
        </w:rPr>
        <w:t>B.</w:t>
      </w:r>
      <w:r w:rsidRPr="0040321A">
        <w:rPr>
          <w:rFonts w:ascii="ITC Avant Garde" w:eastAsia="Times New Roman" w:hAnsi="ITC Avant Garde" w:cs="Times New Roman"/>
          <w:color w:val="000000"/>
          <w:lang w:val="es-ES" w:eastAsia="es-MX"/>
        </w:rPr>
        <w:t xml:space="preserve"> de C.V., para que en un plazo de 10 días hábiles contados a partir del día siguiente al que surta efectos su notificación, manifieste lo que a su derecho convenga y ofrezca los elementos de prueba que estimen pertinentes en relación con el presente procedimiento.</w:t>
      </w:r>
    </w:p>
    <w:p w14:paraId="14CA6B2A" w14:textId="68500FA9" w:rsidR="00D57431" w:rsidRPr="00D57431" w:rsidRDefault="00D57431" w:rsidP="00D23C4A">
      <w:pPr>
        <w:spacing w:after="0" w:line="240" w:lineRule="auto"/>
        <w:jc w:val="both"/>
        <w:rPr>
          <w:rFonts w:ascii="ITC Avant Garde" w:hAnsi="ITC Avant Garde"/>
          <w:sz w:val="14"/>
          <w:szCs w:val="14"/>
          <w:lang w:val="es-ES_tradnl"/>
        </w:rPr>
      </w:pPr>
      <w:r w:rsidRPr="00D57431">
        <w:rPr>
          <w:rFonts w:ascii="ITC Avant Garde" w:hAnsi="ITC Avant Garde"/>
          <w:sz w:val="14"/>
          <w:szCs w:val="14"/>
          <w:lang w:val="es-ES"/>
        </w:rPr>
        <w:t xml:space="preserve">El presente Acuerdo fue aprobado por el Pleno del Instituto Federal de Telecomunicaciones en su XXI Sesión Extraordinaria celebrada el 23 de octubre de 2017, </w:t>
      </w:r>
      <w:r w:rsidRPr="00D57431">
        <w:rPr>
          <w:rFonts w:ascii="ITC Avant Garde" w:hAnsi="ITC Avant Garde"/>
          <w:bCs/>
          <w:sz w:val="14"/>
          <w:szCs w:val="14"/>
          <w:lang w:val="es-ES"/>
        </w:rPr>
        <w:t>por unanimidad</w:t>
      </w:r>
      <w:r w:rsidRPr="00D57431">
        <w:rPr>
          <w:rFonts w:ascii="ITC Avant Garde" w:hAnsi="ITC Avant Garde"/>
          <w:sz w:val="14"/>
          <w:szCs w:val="14"/>
          <w:lang w:val="es-ES"/>
        </w:rPr>
        <w:t xml:space="preserve"> de votos de los Comisionados Gabriel Oswaldo Contreras Saldívar, Adriana Sofía Labardini Inzunza, María Elena Estavillo Flores, Mario Germán Fromow Rangel, Adolfo Cuevas Teja, Javier Juárez Mojica y Arturo Robles Rovalo;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P/IFT/EXT/231017/191.</w:t>
      </w:r>
    </w:p>
    <w:p w14:paraId="3D122A42" w14:textId="77777777" w:rsidR="000323A2" w:rsidRDefault="00D57431" w:rsidP="00D23C4A">
      <w:pPr>
        <w:pStyle w:val="estilo30"/>
        <w:spacing w:before="0" w:beforeAutospacing="0" w:after="0" w:afterAutospacing="0"/>
        <w:ind w:right="49"/>
        <w:jc w:val="both"/>
        <w:rPr>
          <w:rFonts w:ascii="ITC Avant Garde" w:hAnsi="ITC Avant Garde"/>
          <w:bCs/>
          <w:sz w:val="14"/>
          <w:szCs w:val="14"/>
          <w:lang w:val="es-ES"/>
        </w:rPr>
        <w:sectPr w:rsidR="000323A2" w:rsidSect="000323A2">
          <w:footerReference w:type="default" r:id="rId11"/>
          <w:pgSz w:w="12240" w:h="15840"/>
          <w:pgMar w:top="1985" w:right="1701" w:bottom="1418" w:left="1701" w:header="709" w:footer="709" w:gutter="0"/>
          <w:cols w:space="708"/>
          <w:docGrid w:linePitch="360"/>
        </w:sectPr>
      </w:pPr>
      <w:r w:rsidRPr="00D57431">
        <w:rPr>
          <w:rFonts w:ascii="ITC Avant Garde" w:hAnsi="ITC Avant Garde"/>
          <w:bCs/>
          <w:sz w:val="14"/>
          <w:szCs w:val="14"/>
          <w:lang w:val="es-ES"/>
        </w:rPr>
        <w:t>La Comisionada María Elena Estavillo Flores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14:paraId="01C88C2D" w14:textId="77777777" w:rsidR="000323A2" w:rsidRPr="000323A2" w:rsidRDefault="000323A2" w:rsidP="000323A2">
      <w:pPr>
        <w:autoSpaceDE w:val="0"/>
        <w:autoSpaceDN w:val="0"/>
        <w:spacing w:before="240" w:line="276" w:lineRule="auto"/>
        <w:ind w:right="-234"/>
        <w:jc w:val="both"/>
        <w:outlineLvl w:val="0"/>
        <w:rPr>
          <w:rFonts w:ascii="Arial" w:eastAsia="Calibri" w:hAnsi="Arial" w:cs="Arial"/>
          <w:b/>
          <w:bCs/>
          <w:sz w:val="24"/>
          <w:szCs w:val="24"/>
          <w:lang w:val="es-ES_tradnl"/>
        </w:rPr>
      </w:pPr>
      <w:r w:rsidRPr="000323A2">
        <w:rPr>
          <w:rFonts w:ascii="Arial" w:eastAsia="Calibri" w:hAnsi="Arial" w:cs="Arial"/>
          <w:b/>
          <w:bCs/>
          <w:sz w:val="24"/>
          <w:szCs w:val="24"/>
          <w:lang w:val="es-ES_tradnl"/>
        </w:rPr>
        <w:lastRenderedPageBreak/>
        <w:t>OFERTA DE REFERENCIA PARA LA PRESTACIÓN DEL SERVICIO MAYORISTA DE ARRENDAMIENTO DE ENLACES DEDICADOS LOCALES, ENTRE LOCALIDADES, Y DE LARGA DISTANCIA INTERNACIONAL PARA CONCESIONARIOS DE REDES PÚBLICAS DE TELECOMUNICACIONES Y AUTORIZADOS DE TELECOMUNICACIONES</w:t>
      </w:r>
    </w:p>
    <w:p w14:paraId="05B64A88" w14:textId="77777777" w:rsidR="000323A2" w:rsidRPr="000323A2" w:rsidRDefault="000323A2" w:rsidP="00B04B36">
      <w:pPr>
        <w:widowControl w:val="0"/>
        <w:numPr>
          <w:ilvl w:val="0"/>
          <w:numId w:val="67"/>
        </w:numPr>
        <w:autoSpaceDE w:val="0"/>
        <w:autoSpaceDN w:val="0"/>
        <w:adjustRightInd w:val="0"/>
        <w:spacing w:before="240" w:after="0" w:line="276" w:lineRule="auto"/>
        <w:ind w:left="284" w:hanging="284"/>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Oferta</w:t>
      </w:r>
    </w:p>
    <w:p w14:paraId="3D55EF04"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La presente Oferta de Referencia (en adelante, la “Oferta”) está dirigida a todas las personas físicas y/o morales que sean titulares de concesiones de redes públicas de telecomunicaciones, titulares de concesiones únicas para prestar servicios públicos de telecomunicaciones, así como titulares de autorizaciones de servicios de telecomunicaciones, que reciban o deseen recibir de Teléfonos de México, S.A.B. de C.V. (en lo sucesivo, “Telmex“), uno o más de los servicios siguientes Servicios Mayoristas de Arrendamiento de Enlaces Dedicados (en lo sucesivo, los “Servicios”):</w:t>
      </w:r>
    </w:p>
    <w:p w14:paraId="24BF5259"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1.1 Servicio Mayorista de Arrendamiento de Enlaces Dedicados Locales: Servicio de arrendamiento de enlaces de transmisión, cuyas puntas se ubican en una misma localidad, del territorio nacional dentro de las áreas de cobertura establecidas en los títulos de concesión de TELMEX, prestado a otros Concesionarios Solicitantes y Autorizados Solicitantes de telecomunicaciones;</w:t>
      </w:r>
    </w:p>
    <w:p w14:paraId="5AC6EC1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1.2 Servicio Mayorista de Arrendamiento de Enlaces Dedicados entre Localidades: Servicio de arrendamiento de enlaces de transmisión, cuyas puntas se ubican en localidades distintas del territorio nacional dentro de las áreas de cobertura establecidas en los títulos de concesión de TELMEX, prestado a otros Concesionarios Solicitantes y Autorizados Solicitantes de telecomunicaciones;</w:t>
      </w:r>
    </w:p>
    <w:p w14:paraId="1C5BD3F9"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1.3 Servicio Mayorista de Arrendamiento de Enlaces Dedicados de Larga Distancia Internacional: Servicio de arrendamiento de enlaces de transmisión, en los cuales una de las puntas se ubica en alguna localidad del territorio nacional dentro de las áreas de cobertura establecidas en los títulos de concesión de TELMEX, excepto ciudades fronterizas, y otra en el extranjero. Este servicio tiene un ámbito geográfico nacional, prestado a otros Concesionarios Solicitantes y Autorizados Solicitantes de telecomunicaciones (La responsabilidad de Telmex se limita hasta la frontera de nuestro país).</w:t>
      </w:r>
    </w:p>
    <w:p w14:paraId="09DFB1FB"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Los términos para la prestación de los servicios objeto de la presente Oferta, se establecen en el Modelo de Convenio que se agrega al presente documento como Anexo.</w:t>
      </w:r>
    </w:p>
    <w:p w14:paraId="65BB9856"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Los anexos que integran esta Oferta se listan a continuación:</w:t>
      </w:r>
    </w:p>
    <w:p w14:paraId="68D0173F" w14:textId="77777777" w:rsidR="000323A2" w:rsidRPr="000323A2" w:rsidRDefault="000323A2" w:rsidP="00B04B36">
      <w:pPr>
        <w:numPr>
          <w:ilvl w:val="0"/>
          <w:numId w:val="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lastRenderedPageBreak/>
        <w:t>“A” Acta de Recepción</w:t>
      </w:r>
    </w:p>
    <w:p w14:paraId="1218BD55" w14:textId="77777777" w:rsidR="000323A2" w:rsidRPr="000323A2" w:rsidRDefault="000323A2" w:rsidP="00B04B36">
      <w:pPr>
        <w:numPr>
          <w:ilvl w:val="0"/>
          <w:numId w:val="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“B” Formato de Solicitud de Servicio</w:t>
      </w:r>
    </w:p>
    <w:p w14:paraId="5A241981" w14:textId="77777777" w:rsidR="000323A2" w:rsidRPr="000323A2" w:rsidRDefault="000323A2" w:rsidP="00B04B36">
      <w:pPr>
        <w:numPr>
          <w:ilvl w:val="0"/>
          <w:numId w:val="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“C” Acuerdo de Calidad y Suministro de Servicio</w:t>
      </w:r>
    </w:p>
    <w:p w14:paraId="35F34979" w14:textId="77777777" w:rsidR="000323A2" w:rsidRPr="000323A2" w:rsidRDefault="000323A2" w:rsidP="00B04B36">
      <w:pPr>
        <w:numPr>
          <w:ilvl w:val="0"/>
          <w:numId w:val="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“D” Procedimiento de Entrega/Recepción</w:t>
      </w:r>
    </w:p>
    <w:p w14:paraId="5156781B" w14:textId="77777777" w:rsidR="000323A2" w:rsidRPr="000323A2" w:rsidRDefault="000323A2" w:rsidP="00B04B36">
      <w:pPr>
        <w:numPr>
          <w:ilvl w:val="0"/>
          <w:numId w:val="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 Norma y Especificaciones de Construcción Local-Cliente para su Conexión a la Red Digital de Acceso</w:t>
      </w:r>
    </w:p>
    <w:p w14:paraId="7D4A72C8" w14:textId="77777777" w:rsidR="000323A2" w:rsidRPr="000323A2" w:rsidRDefault="000323A2" w:rsidP="00B04B36">
      <w:pPr>
        <w:numPr>
          <w:ilvl w:val="0"/>
          <w:numId w:val="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“F” Procedimiento de Acceso a Sitios</w:t>
      </w:r>
    </w:p>
    <w:p w14:paraId="2C224DBB" w14:textId="77777777" w:rsidR="000323A2" w:rsidRPr="000323A2" w:rsidRDefault="000323A2" w:rsidP="00B04B36">
      <w:pPr>
        <w:numPr>
          <w:ilvl w:val="0"/>
          <w:numId w:val="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“G” Formato de Pronóstico de Requerimientos de Servicios</w:t>
      </w:r>
    </w:p>
    <w:p w14:paraId="3B0CC824" w14:textId="77777777" w:rsidR="000323A2" w:rsidRPr="000323A2" w:rsidRDefault="000323A2" w:rsidP="00B04B36">
      <w:pPr>
        <w:numPr>
          <w:ilvl w:val="0"/>
          <w:numId w:val="9"/>
        </w:num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“H” Tiempos de traslado para atención a fallas</w:t>
      </w:r>
    </w:p>
    <w:p w14:paraId="7466D24F" w14:textId="77777777" w:rsidR="000323A2" w:rsidRPr="000323A2" w:rsidRDefault="000323A2" w:rsidP="00B04B36">
      <w:pPr>
        <w:numPr>
          <w:ilvl w:val="0"/>
          <w:numId w:val="9"/>
        </w:num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Modelo de Convenio</w:t>
      </w:r>
    </w:p>
    <w:p w14:paraId="279F1A9C" w14:textId="77777777" w:rsidR="000323A2" w:rsidRPr="000323A2" w:rsidRDefault="000323A2" w:rsidP="00B04B36">
      <w:pPr>
        <w:numPr>
          <w:ilvl w:val="1"/>
          <w:numId w:val="9"/>
        </w:num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Anexo A “Tarifas”</w:t>
      </w:r>
    </w:p>
    <w:p w14:paraId="1DCC9A88"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La presente Oferta tendrá una vigencia al 31 de diciembre de 2018.</w:t>
      </w:r>
    </w:p>
    <w:p w14:paraId="4D510E4D" w14:textId="77777777" w:rsidR="000323A2" w:rsidRPr="000323A2" w:rsidRDefault="000323A2" w:rsidP="00B04B36">
      <w:pPr>
        <w:widowControl w:val="0"/>
        <w:numPr>
          <w:ilvl w:val="0"/>
          <w:numId w:val="67"/>
        </w:numPr>
        <w:autoSpaceDE w:val="0"/>
        <w:autoSpaceDN w:val="0"/>
        <w:adjustRightInd w:val="0"/>
        <w:spacing w:before="240" w:after="0" w:line="276" w:lineRule="auto"/>
        <w:ind w:left="284" w:hanging="284"/>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Servicio Comercial de Telecomunicaciones</w:t>
      </w:r>
    </w:p>
    <w:p w14:paraId="399E70F9"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2.1 Servicios mayoristas de Arrendamiento de Enlaces Dedicados.</w:t>
      </w:r>
    </w:p>
    <w:p w14:paraId="0E60C180"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Servicio de provisión de enlaces dedicados que Telmex ofrece a los concesionarios: Enlaces Locales (ambas puntas en una misma localidad), Enlaces entre Localidades (con puntas en diferentes localidades) y Enlaces de Larga Distancia Internacional (una de las puntas se ubica dentro del área de cobertura concesionada a Telmex), todos los anteriores con capacidades de nX64 Kbps (donde n=1, 2, 3, 4, 6, 8, 10, 12 y 16); E1 (2 Mbps), E2 (8 Mbps), E3 (34 Mbps), E4 (139 Mbps), STM1 (155 Mbps), STM4 (622 Mbps), STM16 (2.5 </w:t>
      </w:r>
      <w:proofErr w:type="spellStart"/>
      <w:r w:rsidRPr="000323A2">
        <w:rPr>
          <w:rFonts w:ascii="Arial" w:eastAsia="Calibri" w:hAnsi="Arial" w:cs="Arial"/>
          <w:sz w:val="24"/>
          <w:szCs w:val="24"/>
        </w:rPr>
        <w:t>Gbps</w:t>
      </w:r>
      <w:proofErr w:type="spellEnd"/>
      <w:r w:rsidRPr="000323A2">
        <w:rPr>
          <w:rFonts w:ascii="Arial" w:eastAsia="Calibri" w:hAnsi="Arial" w:cs="Arial"/>
          <w:sz w:val="24"/>
          <w:szCs w:val="24"/>
        </w:rPr>
        <w:t xml:space="preserve">), STM64 (10 </w:t>
      </w:r>
      <w:proofErr w:type="spellStart"/>
      <w:r w:rsidRPr="000323A2">
        <w:rPr>
          <w:rFonts w:ascii="Arial" w:eastAsia="Calibri" w:hAnsi="Arial" w:cs="Arial"/>
          <w:sz w:val="24"/>
          <w:szCs w:val="24"/>
        </w:rPr>
        <w:t>Gbps</w:t>
      </w:r>
      <w:proofErr w:type="spellEnd"/>
      <w:r w:rsidRPr="000323A2">
        <w:rPr>
          <w:rFonts w:ascii="Arial" w:eastAsia="Calibri" w:hAnsi="Arial" w:cs="Arial"/>
          <w:sz w:val="24"/>
          <w:szCs w:val="24"/>
        </w:rPr>
        <w:t xml:space="preserve">), STM256 (40 </w:t>
      </w:r>
      <w:proofErr w:type="spellStart"/>
      <w:r w:rsidRPr="000323A2">
        <w:rPr>
          <w:rFonts w:ascii="Arial" w:eastAsia="Calibri" w:hAnsi="Arial" w:cs="Arial"/>
          <w:sz w:val="24"/>
          <w:szCs w:val="24"/>
        </w:rPr>
        <w:t>Gbps</w:t>
      </w:r>
      <w:proofErr w:type="spellEnd"/>
      <w:r w:rsidRPr="000323A2">
        <w:rPr>
          <w:rFonts w:ascii="Arial" w:eastAsia="Calibri" w:hAnsi="Arial" w:cs="Arial"/>
          <w:sz w:val="24"/>
          <w:szCs w:val="24"/>
        </w:rPr>
        <w:t xml:space="preserve">) y Ethernet (2 Mbps a 100 </w:t>
      </w:r>
      <w:proofErr w:type="spellStart"/>
      <w:r w:rsidRPr="000323A2">
        <w:rPr>
          <w:rFonts w:ascii="Arial" w:eastAsia="Calibri" w:hAnsi="Arial" w:cs="Arial"/>
          <w:sz w:val="24"/>
          <w:szCs w:val="24"/>
        </w:rPr>
        <w:t>Gbps</w:t>
      </w:r>
      <w:proofErr w:type="spellEnd"/>
      <w:r w:rsidRPr="000323A2">
        <w:rPr>
          <w:rFonts w:ascii="Arial" w:eastAsia="Calibri" w:hAnsi="Arial" w:cs="Arial"/>
          <w:sz w:val="24"/>
          <w:szCs w:val="24"/>
        </w:rPr>
        <w:t>) de conformidad con lo establecido en la tabla del numeral 2.3.</w:t>
      </w:r>
    </w:p>
    <w:p w14:paraId="30EBF217"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Los tipos de interfaz con los que se podrán suministrar los Enlaces Dedicados citados en el párrafo anterior de manera enunciativa más no limitativa, se muestran en la tabla siguiente:</w:t>
      </w:r>
    </w:p>
    <w:tbl>
      <w:tblPr>
        <w:tblStyle w:val="Cuadrculadetablaclara1"/>
        <w:tblW w:w="0" w:type="auto"/>
        <w:jc w:val="center"/>
        <w:tblLook w:val="00A0" w:firstRow="1" w:lastRow="0" w:firstColumn="1" w:lastColumn="0" w:noHBand="0" w:noVBand="0"/>
        <w:tblCaption w:val="Tabla"/>
        <w:tblDescription w:val="Denominaciones"/>
      </w:tblPr>
      <w:tblGrid>
        <w:gridCol w:w="2758"/>
        <w:gridCol w:w="892"/>
        <w:gridCol w:w="1210"/>
        <w:gridCol w:w="1564"/>
        <w:gridCol w:w="1688"/>
      </w:tblGrid>
      <w:tr w:rsidR="000323A2" w:rsidRPr="000323A2" w14:paraId="31B2C04F" w14:textId="77777777" w:rsidTr="000323A2">
        <w:trPr>
          <w:tblHeader/>
          <w:jc w:val="center"/>
        </w:trPr>
        <w:tc>
          <w:tcPr>
            <w:tcW w:w="2758" w:type="dxa"/>
            <w:shd w:val="clear" w:color="auto" w:fill="D9D9D9"/>
          </w:tcPr>
          <w:p w14:paraId="66B324BC" w14:textId="77777777" w:rsidR="000323A2" w:rsidRPr="000323A2" w:rsidRDefault="000323A2" w:rsidP="000323A2">
            <w:pPr>
              <w:autoSpaceDE w:val="0"/>
              <w:autoSpaceDN w:val="0"/>
              <w:adjustRightInd w:val="0"/>
              <w:spacing w:line="276" w:lineRule="auto"/>
              <w:jc w:val="center"/>
              <w:rPr>
                <w:rFonts w:ascii="Arial" w:hAnsi="Arial" w:cs="Arial"/>
                <w:b/>
                <w:sz w:val="20"/>
                <w:szCs w:val="20"/>
                <w:lang w:val="en-US"/>
              </w:rPr>
            </w:pPr>
            <w:r w:rsidRPr="000323A2">
              <w:rPr>
                <w:rFonts w:ascii="Arial" w:hAnsi="Arial" w:cs="Arial"/>
                <w:b/>
                <w:bCs/>
                <w:sz w:val="20"/>
                <w:szCs w:val="20"/>
              </w:rPr>
              <w:lastRenderedPageBreak/>
              <w:t>Denominación</w:t>
            </w:r>
          </w:p>
        </w:tc>
        <w:tc>
          <w:tcPr>
            <w:tcW w:w="892" w:type="dxa"/>
            <w:shd w:val="clear" w:color="auto" w:fill="D9D9D9"/>
          </w:tcPr>
          <w:p w14:paraId="01952BF9" w14:textId="77777777" w:rsidR="000323A2" w:rsidRPr="000323A2" w:rsidRDefault="000323A2" w:rsidP="000323A2">
            <w:pPr>
              <w:autoSpaceDE w:val="0"/>
              <w:autoSpaceDN w:val="0"/>
              <w:adjustRightInd w:val="0"/>
              <w:spacing w:line="276" w:lineRule="auto"/>
              <w:jc w:val="center"/>
              <w:rPr>
                <w:rFonts w:ascii="Arial" w:hAnsi="Arial" w:cs="Arial"/>
                <w:b/>
                <w:sz w:val="24"/>
                <w:szCs w:val="24"/>
                <w:lang w:val="en-US"/>
              </w:rPr>
            </w:pPr>
            <w:r w:rsidRPr="000323A2">
              <w:rPr>
                <w:rFonts w:ascii="Arial" w:hAnsi="Arial" w:cs="Arial"/>
                <w:b/>
                <w:sz w:val="24"/>
                <w:szCs w:val="24"/>
                <w:lang w:val="en-US"/>
              </w:rPr>
              <w:t>V35</w:t>
            </w:r>
          </w:p>
        </w:tc>
        <w:tc>
          <w:tcPr>
            <w:tcW w:w="1210" w:type="dxa"/>
            <w:shd w:val="clear" w:color="auto" w:fill="D9D9D9"/>
          </w:tcPr>
          <w:p w14:paraId="52C4A39B" w14:textId="77777777" w:rsidR="000323A2" w:rsidRPr="000323A2" w:rsidRDefault="000323A2" w:rsidP="000323A2">
            <w:pPr>
              <w:autoSpaceDE w:val="0"/>
              <w:autoSpaceDN w:val="0"/>
              <w:adjustRightInd w:val="0"/>
              <w:spacing w:line="276" w:lineRule="auto"/>
              <w:jc w:val="center"/>
              <w:rPr>
                <w:rFonts w:ascii="Arial" w:hAnsi="Arial" w:cs="Arial"/>
                <w:b/>
                <w:bCs/>
                <w:sz w:val="24"/>
                <w:szCs w:val="24"/>
              </w:rPr>
            </w:pPr>
            <w:r w:rsidRPr="000323A2">
              <w:rPr>
                <w:rFonts w:ascii="Arial" w:hAnsi="Arial" w:cs="Arial"/>
                <w:b/>
                <w:bCs/>
                <w:sz w:val="24"/>
                <w:szCs w:val="24"/>
              </w:rPr>
              <w:t>G.703</w:t>
            </w:r>
          </w:p>
        </w:tc>
        <w:tc>
          <w:tcPr>
            <w:tcW w:w="1564" w:type="dxa"/>
            <w:shd w:val="clear" w:color="auto" w:fill="D9D9D9"/>
          </w:tcPr>
          <w:p w14:paraId="5CC55B55" w14:textId="77777777" w:rsidR="000323A2" w:rsidRPr="000323A2" w:rsidRDefault="000323A2" w:rsidP="000323A2">
            <w:pPr>
              <w:autoSpaceDE w:val="0"/>
              <w:autoSpaceDN w:val="0"/>
              <w:adjustRightInd w:val="0"/>
              <w:spacing w:line="276" w:lineRule="auto"/>
              <w:jc w:val="center"/>
              <w:rPr>
                <w:rFonts w:ascii="Arial" w:hAnsi="Arial" w:cs="Arial"/>
                <w:b/>
                <w:bCs/>
                <w:sz w:val="24"/>
                <w:szCs w:val="24"/>
              </w:rPr>
            </w:pPr>
            <w:r w:rsidRPr="000323A2">
              <w:rPr>
                <w:rFonts w:ascii="Arial" w:hAnsi="Arial" w:cs="Arial"/>
                <w:b/>
                <w:bCs/>
                <w:sz w:val="24"/>
                <w:szCs w:val="24"/>
              </w:rPr>
              <w:t>IEEE 802.3</w:t>
            </w:r>
          </w:p>
        </w:tc>
        <w:tc>
          <w:tcPr>
            <w:tcW w:w="1688" w:type="dxa"/>
            <w:shd w:val="clear" w:color="auto" w:fill="D9D9D9"/>
          </w:tcPr>
          <w:p w14:paraId="1A4DB202" w14:textId="77777777" w:rsidR="000323A2" w:rsidRPr="000323A2" w:rsidRDefault="000323A2" w:rsidP="000323A2">
            <w:pPr>
              <w:autoSpaceDE w:val="0"/>
              <w:autoSpaceDN w:val="0"/>
              <w:adjustRightInd w:val="0"/>
              <w:spacing w:line="276" w:lineRule="auto"/>
              <w:jc w:val="center"/>
              <w:rPr>
                <w:rFonts w:ascii="Arial" w:hAnsi="Arial" w:cs="Arial"/>
                <w:b/>
                <w:bCs/>
                <w:sz w:val="24"/>
                <w:szCs w:val="24"/>
              </w:rPr>
            </w:pPr>
            <w:r w:rsidRPr="000323A2">
              <w:rPr>
                <w:rFonts w:ascii="Arial" w:hAnsi="Arial" w:cs="Arial"/>
                <w:b/>
                <w:bCs/>
                <w:sz w:val="24"/>
                <w:szCs w:val="24"/>
              </w:rPr>
              <w:t>G.957</w:t>
            </w:r>
          </w:p>
        </w:tc>
      </w:tr>
      <w:tr w:rsidR="000323A2" w:rsidRPr="000323A2" w14:paraId="7D3153DB" w14:textId="77777777" w:rsidTr="000323A2">
        <w:trPr>
          <w:tblHeader/>
          <w:jc w:val="center"/>
        </w:trPr>
        <w:tc>
          <w:tcPr>
            <w:tcW w:w="2758" w:type="dxa"/>
          </w:tcPr>
          <w:p w14:paraId="3188586A" w14:textId="77777777" w:rsidR="000323A2" w:rsidRPr="000323A2" w:rsidRDefault="000323A2" w:rsidP="000323A2">
            <w:pPr>
              <w:autoSpaceDE w:val="0"/>
              <w:autoSpaceDN w:val="0"/>
              <w:spacing w:line="276" w:lineRule="auto"/>
              <w:jc w:val="center"/>
              <w:rPr>
                <w:rFonts w:ascii="Arial" w:hAnsi="Arial" w:cs="Arial"/>
                <w:sz w:val="20"/>
                <w:szCs w:val="20"/>
              </w:rPr>
            </w:pPr>
            <w:proofErr w:type="spellStart"/>
            <w:r w:rsidRPr="000323A2">
              <w:rPr>
                <w:rFonts w:ascii="Arial" w:hAnsi="Arial" w:cs="Arial"/>
                <w:sz w:val="20"/>
                <w:szCs w:val="20"/>
              </w:rPr>
              <w:t>Nx</w:t>
            </w:r>
            <w:proofErr w:type="spellEnd"/>
            <w:r w:rsidRPr="000323A2">
              <w:rPr>
                <w:rFonts w:ascii="Arial" w:hAnsi="Arial" w:cs="Arial"/>
                <w:sz w:val="20"/>
                <w:szCs w:val="20"/>
              </w:rPr>
              <w:t xml:space="preserve"> 64 kbps</w:t>
            </w:r>
          </w:p>
          <w:p w14:paraId="56B49972"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en-US"/>
              </w:rPr>
            </w:pPr>
            <w:r w:rsidRPr="000323A2">
              <w:rPr>
                <w:rFonts w:ascii="Arial" w:hAnsi="Arial" w:cs="Arial"/>
                <w:sz w:val="20"/>
                <w:szCs w:val="20"/>
              </w:rPr>
              <w:t>(N=1, 2, 3, 4, 6, 8, 10, 12 y 16)</w:t>
            </w:r>
          </w:p>
        </w:tc>
        <w:tc>
          <w:tcPr>
            <w:tcW w:w="892" w:type="dxa"/>
          </w:tcPr>
          <w:p w14:paraId="696F9A6E"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tc>
        <w:tc>
          <w:tcPr>
            <w:tcW w:w="1210" w:type="dxa"/>
          </w:tcPr>
          <w:p w14:paraId="79845D00"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r w:rsidRPr="000323A2">
              <w:rPr>
                <w:rFonts w:ascii="Arial" w:hAnsi="Arial" w:cs="Arial"/>
                <w:sz w:val="24"/>
                <w:szCs w:val="24"/>
              </w:rPr>
              <w:t>X</w:t>
            </w:r>
          </w:p>
        </w:tc>
        <w:tc>
          <w:tcPr>
            <w:tcW w:w="1564" w:type="dxa"/>
          </w:tcPr>
          <w:p w14:paraId="65F0D08B"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p>
        </w:tc>
        <w:tc>
          <w:tcPr>
            <w:tcW w:w="1688" w:type="dxa"/>
          </w:tcPr>
          <w:p w14:paraId="627D54F6"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p>
        </w:tc>
      </w:tr>
      <w:tr w:rsidR="000323A2" w:rsidRPr="000323A2" w14:paraId="1891AA9C" w14:textId="77777777" w:rsidTr="000323A2">
        <w:trPr>
          <w:tblHeader/>
          <w:jc w:val="center"/>
        </w:trPr>
        <w:tc>
          <w:tcPr>
            <w:tcW w:w="2758" w:type="dxa"/>
          </w:tcPr>
          <w:p w14:paraId="686AE760"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en-US"/>
              </w:rPr>
            </w:pPr>
            <w:r w:rsidRPr="000323A2">
              <w:rPr>
                <w:rFonts w:ascii="Arial" w:hAnsi="Arial" w:cs="Arial"/>
                <w:sz w:val="20"/>
                <w:szCs w:val="20"/>
              </w:rPr>
              <w:t>E1</w:t>
            </w:r>
          </w:p>
        </w:tc>
        <w:tc>
          <w:tcPr>
            <w:tcW w:w="892" w:type="dxa"/>
          </w:tcPr>
          <w:p w14:paraId="683B4097"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tc>
        <w:tc>
          <w:tcPr>
            <w:tcW w:w="1210" w:type="dxa"/>
          </w:tcPr>
          <w:p w14:paraId="4429BE37"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r w:rsidRPr="000323A2">
              <w:rPr>
                <w:rFonts w:ascii="Arial" w:hAnsi="Arial" w:cs="Arial"/>
                <w:sz w:val="24"/>
                <w:szCs w:val="24"/>
              </w:rPr>
              <w:t>X</w:t>
            </w:r>
          </w:p>
        </w:tc>
        <w:tc>
          <w:tcPr>
            <w:tcW w:w="1564" w:type="dxa"/>
          </w:tcPr>
          <w:p w14:paraId="10732A43"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p>
        </w:tc>
        <w:tc>
          <w:tcPr>
            <w:tcW w:w="1688" w:type="dxa"/>
          </w:tcPr>
          <w:p w14:paraId="2D28FD7F"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p>
        </w:tc>
      </w:tr>
      <w:tr w:rsidR="000323A2" w:rsidRPr="000323A2" w14:paraId="7FD8B815" w14:textId="77777777" w:rsidTr="000323A2">
        <w:trPr>
          <w:tblHeader/>
          <w:jc w:val="center"/>
        </w:trPr>
        <w:tc>
          <w:tcPr>
            <w:tcW w:w="2758" w:type="dxa"/>
          </w:tcPr>
          <w:p w14:paraId="274AE25D" w14:textId="77777777" w:rsidR="000323A2" w:rsidRPr="000323A2" w:rsidRDefault="000323A2" w:rsidP="000323A2">
            <w:pPr>
              <w:autoSpaceDE w:val="0"/>
              <w:autoSpaceDN w:val="0"/>
              <w:adjustRightInd w:val="0"/>
              <w:spacing w:line="276" w:lineRule="auto"/>
              <w:jc w:val="center"/>
              <w:rPr>
                <w:rFonts w:ascii="Arial" w:hAnsi="Arial" w:cs="Arial"/>
                <w:sz w:val="20"/>
                <w:szCs w:val="20"/>
              </w:rPr>
            </w:pPr>
            <w:r w:rsidRPr="000323A2">
              <w:rPr>
                <w:rFonts w:ascii="Arial" w:hAnsi="Arial" w:cs="Arial"/>
                <w:sz w:val="20"/>
                <w:szCs w:val="20"/>
              </w:rPr>
              <w:t>E2</w:t>
            </w:r>
          </w:p>
        </w:tc>
        <w:tc>
          <w:tcPr>
            <w:tcW w:w="892" w:type="dxa"/>
          </w:tcPr>
          <w:p w14:paraId="7EDACC65"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r w:rsidRPr="000323A2">
              <w:rPr>
                <w:rFonts w:ascii="Arial" w:hAnsi="Arial" w:cs="Arial"/>
                <w:sz w:val="24"/>
                <w:szCs w:val="24"/>
              </w:rPr>
              <w:t>X</w:t>
            </w:r>
          </w:p>
        </w:tc>
        <w:tc>
          <w:tcPr>
            <w:tcW w:w="1210" w:type="dxa"/>
          </w:tcPr>
          <w:p w14:paraId="2AE02AE4"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r w:rsidRPr="000323A2">
              <w:rPr>
                <w:rFonts w:ascii="Arial" w:hAnsi="Arial" w:cs="Arial"/>
                <w:sz w:val="24"/>
                <w:szCs w:val="24"/>
              </w:rPr>
              <w:t>X</w:t>
            </w:r>
          </w:p>
        </w:tc>
        <w:tc>
          <w:tcPr>
            <w:tcW w:w="1564" w:type="dxa"/>
          </w:tcPr>
          <w:p w14:paraId="74DA2B64"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p>
        </w:tc>
        <w:tc>
          <w:tcPr>
            <w:tcW w:w="1688" w:type="dxa"/>
          </w:tcPr>
          <w:p w14:paraId="70BF8EDD"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p>
        </w:tc>
      </w:tr>
      <w:tr w:rsidR="000323A2" w:rsidRPr="000323A2" w14:paraId="5B0B2DEC" w14:textId="77777777" w:rsidTr="000323A2">
        <w:trPr>
          <w:tblHeader/>
          <w:jc w:val="center"/>
        </w:trPr>
        <w:tc>
          <w:tcPr>
            <w:tcW w:w="2758" w:type="dxa"/>
          </w:tcPr>
          <w:p w14:paraId="381AEAF3"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en-US"/>
              </w:rPr>
            </w:pPr>
            <w:r w:rsidRPr="000323A2">
              <w:rPr>
                <w:rFonts w:ascii="Arial" w:hAnsi="Arial" w:cs="Arial"/>
                <w:sz w:val="20"/>
                <w:szCs w:val="20"/>
              </w:rPr>
              <w:t>E3</w:t>
            </w:r>
          </w:p>
        </w:tc>
        <w:tc>
          <w:tcPr>
            <w:tcW w:w="892" w:type="dxa"/>
          </w:tcPr>
          <w:p w14:paraId="7BB446B6"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210" w:type="dxa"/>
          </w:tcPr>
          <w:p w14:paraId="4E09BD89"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r w:rsidRPr="000323A2">
              <w:rPr>
                <w:rFonts w:ascii="Arial" w:hAnsi="Arial" w:cs="Arial"/>
                <w:sz w:val="24"/>
                <w:szCs w:val="24"/>
              </w:rPr>
              <w:t>X</w:t>
            </w:r>
          </w:p>
        </w:tc>
        <w:tc>
          <w:tcPr>
            <w:tcW w:w="1564" w:type="dxa"/>
          </w:tcPr>
          <w:p w14:paraId="66B90FB4"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p>
        </w:tc>
        <w:tc>
          <w:tcPr>
            <w:tcW w:w="1688" w:type="dxa"/>
          </w:tcPr>
          <w:p w14:paraId="649C4B8C"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p>
        </w:tc>
      </w:tr>
      <w:tr w:rsidR="000323A2" w:rsidRPr="000323A2" w14:paraId="12D3EE92" w14:textId="77777777" w:rsidTr="000323A2">
        <w:trPr>
          <w:tblHeader/>
          <w:jc w:val="center"/>
        </w:trPr>
        <w:tc>
          <w:tcPr>
            <w:tcW w:w="2758" w:type="dxa"/>
          </w:tcPr>
          <w:p w14:paraId="56ED9E6F"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en-US"/>
              </w:rPr>
            </w:pPr>
            <w:r w:rsidRPr="000323A2">
              <w:rPr>
                <w:rFonts w:ascii="Arial" w:hAnsi="Arial" w:cs="Arial"/>
                <w:sz w:val="20"/>
                <w:szCs w:val="20"/>
              </w:rPr>
              <w:t>E4</w:t>
            </w:r>
          </w:p>
        </w:tc>
        <w:tc>
          <w:tcPr>
            <w:tcW w:w="892" w:type="dxa"/>
          </w:tcPr>
          <w:p w14:paraId="74E3F125"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210" w:type="dxa"/>
          </w:tcPr>
          <w:p w14:paraId="67A71D10"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tc>
        <w:tc>
          <w:tcPr>
            <w:tcW w:w="1564" w:type="dxa"/>
          </w:tcPr>
          <w:p w14:paraId="1112DC23"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688" w:type="dxa"/>
          </w:tcPr>
          <w:p w14:paraId="1B93DEB8"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r>
      <w:tr w:rsidR="000323A2" w:rsidRPr="000323A2" w14:paraId="1A1D14D2" w14:textId="77777777" w:rsidTr="000323A2">
        <w:trPr>
          <w:tblHeader/>
          <w:jc w:val="center"/>
        </w:trPr>
        <w:tc>
          <w:tcPr>
            <w:tcW w:w="2758" w:type="dxa"/>
          </w:tcPr>
          <w:p w14:paraId="67741394" w14:textId="77777777" w:rsidR="000323A2" w:rsidRPr="000323A2" w:rsidRDefault="000323A2" w:rsidP="000323A2">
            <w:pPr>
              <w:autoSpaceDE w:val="0"/>
              <w:autoSpaceDN w:val="0"/>
              <w:adjustRightInd w:val="0"/>
              <w:spacing w:line="276" w:lineRule="auto"/>
              <w:jc w:val="center"/>
              <w:rPr>
                <w:rFonts w:ascii="Arial" w:hAnsi="Arial" w:cs="Arial"/>
                <w:sz w:val="20"/>
                <w:szCs w:val="20"/>
              </w:rPr>
            </w:pPr>
            <w:r w:rsidRPr="000323A2">
              <w:rPr>
                <w:rFonts w:ascii="Arial" w:hAnsi="Arial" w:cs="Arial"/>
                <w:sz w:val="20"/>
                <w:szCs w:val="20"/>
                <w:lang w:val="en-US"/>
              </w:rPr>
              <w:t>STM-1</w:t>
            </w:r>
          </w:p>
        </w:tc>
        <w:tc>
          <w:tcPr>
            <w:tcW w:w="892" w:type="dxa"/>
          </w:tcPr>
          <w:p w14:paraId="6B200BF9" w14:textId="77777777" w:rsidR="000323A2" w:rsidRPr="000323A2" w:rsidRDefault="000323A2" w:rsidP="000323A2">
            <w:pPr>
              <w:autoSpaceDE w:val="0"/>
              <w:autoSpaceDN w:val="0"/>
              <w:adjustRightInd w:val="0"/>
              <w:spacing w:line="276" w:lineRule="auto"/>
              <w:jc w:val="center"/>
              <w:rPr>
                <w:rFonts w:ascii="Arial" w:hAnsi="Arial" w:cs="Arial"/>
                <w:sz w:val="24"/>
                <w:szCs w:val="24"/>
              </w:rPr>
            </w:pPr>
          </w:p>
        </w:tc>
        <w:tc>
          <w:tcPr>
            <w:tcW w:w="1210" w:type="dxa"/>
          </w:tcPr>
          <w:p w14:paraId="47784F49"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tc>
        <w:tc>
          <w:tcPr>
            <w:tcW w:w="1564" w:type="dxa"/>
          </w:tcPr>
          <w:p w14:paraId="6D8678DC"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688" w:type="dxa"/>
          </w:tcPr>
          <w:p w14:paraId="5AD78BDA"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tc>
      </w:tr>
      <w:tr w:rsidR="000323A2" w:rsidRPr="000323A2" w14:paraId="42C4DFB9" w14:textId="77777777" w:rsidTr="000323A2">
        <w:trPr>
          <w:tblHeader/>
          <w:jc w:val="center"/>
        </w:trPr>
        <w:tc>
          <w:tcPr>
            <w:tcW w:w="2758" w:type="dxa"/>
          </w:tcPr>
          <w:p w14:paraId="68B481F8"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en-US"/>
              </w:rPr>
            </w:pPr>
            <w:r w:rsidRPr="000323A2">
              <w:rPr>
                <w:rFonts w:ascii="Arial" w:hAnsi="Arial" w:cs="Arial"/>
                <w:sz w:val="20"/>
                <w:szCs w:val="20"/>
                <w:lang w:val="en-US"/>
              </w:rPr>
              <w:t>STM-4</w:t>
            </w:r>
          </w:p>
        </w:tc>
        <w:tc>
          <w:tcPr>
            <w:tcW w:w="892" w:type="dxa"/>
          </w:tcPr>
          <w:p w14:paraId="6FEB0472"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210" w:type="dxa"/>
          </w:tcPr>
          <w:p w14:paraId="26168533"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564" w:type="dxa"/>
          </w:tcPr>
          <w:p w14:paraId="4900ABB3"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688" w:type="dxa"/>
          </w:tcPr>
          <w:p w14:paraId="39C7D861"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tc>
      </w:tr>
      <w:tr w:rsidR="000323A2" w:rsidRPr="000323A2" w14:paraId="337736C7" w14:textId="77777777" w:rsidTr="000323A2">
        <w:trPr>
          <w:tblHeader/>
          <w:jc w:val="center"/>
        </w:trPr>
        <w:tc>
          <w:tcPr>
            <w:tcW w:w="2758" w:type="dxa"/>
          </w:tcPr>
          <w:p w14:paraId="15C797EC"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en-US"/>
              </w:rPr>
            </w:pPr>
            <w:r w:rsidRPr="000323A2">
              <w:rPr>
                <w:rFonts w:ascii="Arial" w:hAnsi="Arial" w:cs="Arial"/>
                <w:sz w:val="20"/>
                <w:szCs w:val="20"/>
                <w:lang w:val="en-US"/>
              </w:rPr>
              <w:t>STM-16</w:t>
            </w:r>
          </w:p>
        </w:tc>
        <w:tc>
          <w:tcPr>
            <w:tcW w:w="892" w:type="dxa"/>
          </w:tcPr>
          <w:p w14:paraId="251BF8CD"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210" w:type="dxa"/>
          </w:tcPr>
          <w:p w14:paraId="3D248F90"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564" w:type="dxa"/>
          </w:tcPr>
          <w:p w14:paraId="3EA45EE7"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688" w:type="dxa"/>
          </w:tcPr>
          <w:p w14:paraId="42D9AAB8"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tc>
      </w:tr>
      <w:tr w:rsidR="000323A2" w:rsidRPr="000323A2" w14:paraId="2F16367A" w14:textId="77777777" w:rsidTr="000323A2">
        <w:trPr>
          <w:tblHeader/>
          <w:jc w:val="center"/>
        </w:trPr>
        <w:tc>
          <w:tcPr>
            <w:tcW w:w="2758" w:type="dxa"/>
          </w:tcPr>
          <w:p w14:paraId="7F7D3346"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en-US"/>
              </w:rPr>
            </w:pPr>
            <w:r w:rsidRPr="000323A2">
              <w:rPr>
                <w:rFonts w:ascii="Arial" w:hAnsi="Arial" w:cs="Arial"/>
                <w:sz w:val="20"/>
                <w:szCs w:val="20"/>
                <w:lang w:val="en-US"/>
              </w:rPr>
              <w:t>STM-64</w:t>
            </w:r>
          </w:p>
        </w:tc>
        <w:tc>
          <w:tcPr>
            <w:tcW w:w="892" w:type="dxa"/>
          </w:tcPr>
          <w:p w14:paraId="01251379"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210" w:type="dxa"/>
          </w:tcPr>
          <w:p w14:paraId="0668B2FF"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564" w:type="dxa"/>
          </w:tcPr>
          <w:p w14:paraId="79A7904A"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688" w:type="dxa"/>
          </w:tcPr>
          <w:p w14:paraId="2C57604D"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tc>
      </w:tr>
      <w:tr w:rsidR="000323A2" w:rsidRPr="000323A2" w14:paraId="012C0881" w14:textId="77777777" w:rsidTr="000323A2">
        <w:trPr>
          <w:tblHeader/>
          <w:jc w:val="center"/>
        </w:trPr>
        <w:tc>
          <w:tcPr>
            <w:tcW w:w="2758" w:type="dxa"/>
          </w:tcPr>
          <w:p w14:paraId="0234AB42"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en-US"/>
              </w:rPr>
            </w:pPr>
            <w:r w:rsidRPr="000323A2">
              <w:rPr>
                <w:rFonts w:ascii="Arial" w:hAnsi="Arial" w:cs="Arial"/>
                <w:sz w:val="20"/>
                <w:szCs w:val="20"/>
                <w:lang w:val="en-US"/>
              </w:rPr>
              <w:t>STM-256</w:t>
            </w:r>
          </w:p>
        </w:tc>
        <w:tc>
          <w:tcPr>
            <w:tcW w:w="892" w:type="dxa"/>
          </w:tcPr>
          <w:p w14:paraId="399ABAA6"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210" w:type="dxa"/>
          </w:tcPr>
          <w:p w14:paraId="7FF74A92"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564" w:type="dxa"/>
          </w:tcPr>
          <w:p w14:paraId="4CF4B2D5"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688" w:type="dxa"/>
          </w:tcPr>
          <w:p w14:paraId="627D6F84"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tc>
      </w:tr>
      <w:tr w:rsidR="000323A2" w:rsidRPr="000323A2" w14:paraId="6A02E1F4" w14:textId="77777777" w:rsidTr="000323A2">
        <w:trPr>
          <w:tblHeader/>
          <w:jc w:val="center"/>
        </w:trPr>
        <w:tc>
          <w:tcPr>
            <w:tcW w:w="2758" w:type="dxa"/>
          </w:tcPr>
          <w:p w14:paraId="114EDF69"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fr-FR"/>
              </w:rPr>
            </w:pPr>
            <w:r w:rsidRPr="000323A2">
              <w:rPr>
                <w:rFonts w:ascii="Arial" w:hAnsi="Arial" w:cs="Arial"/>
                <w:sz w:val="20"/>
                <w:szCs w:val="20"/>
                <w:lang w:val="fr-FR"/>
              </w:rPr>
              <w:t>Ethernet</w:t>
            </w:r>
          </w:p>
          <w:p w14:paraId="19DD6882"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fr-FR"/>
              </w:rPr>
            </w:pPr>
            <w:r w:rsidRPr="000323A2">
              <w:rPr>
                <w:rFonts w:ascii="Arial" w:hAnsi="Arial" w:cs="Arial"/>
                <w:sz w:val="20"/>
                <w:szCs w:val="20"/>
                <w:lang w:val="fr-FR"/>
              </w:rPr>
              <w:t>10/100 BASET</w:t>
            </w:r>
          </w:p>
          <w:p w14:paraId="5DFF0C64"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fr-FR"/>
              </w:rPr>
            </w:pPr>
            <w:r w:rsidRPr="000323A2">
              <w:rPr>
                <w:rFonts w:ascii="Arial" w:hAnsi="Arial" w:cs="Arial"/>
                <w:sz w:val="20"/>
                <w:szCs w:val="20"/>
                <w:lang w:val="fr-FR"/>
              </w:rPr>
              <w:t>1000 Base Sx, Lx y Zx</w:t>
            </w:r>
          </w:p>
          <w:p w14:paraId="1C8B53A0" w14:textId="77777777" w:rsidR="000323A2" w:rsidRPr="000323A2" w:rsidRDefault="000323A2" w:rsidP="000323A2">
            <w:pPr>
              <w:autoSpaceDE w:val="0"/>
              <w:autoSpaceDN w:val="0"/>
              <w:adjustRightInd w:val="0"/>
              <w:spacing w:line="276" w:lineRule="auto"/>
              <w:jc w:val="center"/>
              <w:rPr>
                <w:rFonts w:ascii="Arial" w:hAnsi="Arial" w:cs="Arial"/>
                <w:sz w:val="20"/>
                <w:szCs w:val="20"/>
                <w:lang w:val="fr-FR"/>
              </w:rPr>
            </w:pPr>
            <w:r w:rsidRPr="000323A2">
              <w:rPr>
                <w:rFonts w:ascii="Arial" w:hAnsi="Arial" w:cs="Arial"/>
                <w:sz w:val="20"/>
                <w:szCs w:val="20"/>
                <w:lang w:val="fr-FR"/>
              </w:rPr>
              <w:t>100/1000 Base T</w:t>
            </w:r>
          </w:p>
        </w:tc>
        <w:tc>
          <w:tcPr>
            <w:tcW w:w="892" w:type="dxa"/>
          </w:tcPr>
          <w:p w14:paraId="2813E383"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fr-FR"/>
              </w:rPr>
            </w:pPr>
          </w:p>
        </w:tc>
        <w:tc>
          <w:tcPr>
            <w:tcW w:w="1210" w:type="dxa"/>
          </w:tcPr>
          <w:p w14:paraId="1E0BEFE2"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fr-FR"/>
              </w:rPr>
            </w:pPr>
          </w:p>
        </w:tc>
        <w:tc>
          <w:tcPr>
            <w:tcW w:w="1564" w:type="dxa"/>
          </w:tcPr>
          <w:p w14:paraId="4AFE7C08"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r w:rsidRPr="000323A2">
              <w:rPr>
                <w:rFonts w:ascii="Arial" w:hAnsi="Arial" w:cs="Arial"/>
                <w:sz w:val="24"/>
                <w:szCs w:val="24"/>
                <w:lang w:val="en-US"/>
              </w:rPr>
              <w:t>X</w:t>
            </w:r>
          </w:p>
          <w:p w14:paraId="1FE90AF6"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c>
          <w:tcPr>
            <w:tcW w:w="1688" w:type="dxa"/>
          </w:tcPr>
          <w:p w14:paraId="4A5640DB" w14:textId="77777777" w:rsidR="000323A2" w:rsidRPr="000323A2" w:rsidRDefault="000323A2" w:rsidP="000323A2">
            <w:pPr>
              <w:autoSpaceDE w:val="0"/>
              <w:autoSpaceDN w:val="0"/>
              <w:adjustRightInd w:val="0"/>
              <w:spacing w:line="276" w:lineRule="auto"/>
              <w:jc w:val="center"/>
              <w:rPr>
                <w:rFonts w:ascii="Arial" w:hAnsi="Arial" w:cs="Arial"/>
                <w:sz w:val="24"/>
                <w:szCs w:val="24"/>
                <w:lang w:val="en-US"/>
              </w:rPr>
            </w:pPr>
          </w:p>
        </w:tc>
      </w:tr>
    </w:tbl>
    <w:p w14:paraId="0BA34A06" w14:textId="77777777" w:rsidR="000323A2" w:rsidRPr="000323A2" w:rsidRDefault="000323A2" w:rsidP="000323A2">
      <w:pPr>
        <w:autoSpaceDE w:val="0"/>
        <w:autoSpaceDN w:val="0"/>
        <w:adjustRightInd w:val="0"/>
        <w:spacing w:before="240" w:after="0" w:line="276" w:lineRule="auto"/>
        <w:ind w:left="1134" w:right="1183"/>
        <w:jc w:val="both"/>
        <w:rPr>
          <w:rFonts w:ascii="Arial" w:eastAsia="Calibri" w:hAnsi="Arial" w:cs="Arial"/>
          <w:i/>
        </w:rPr>
      </w:pPr>
      <w:r w:rsidRPr="000323A2">
        <w:rPr>
          <w:rFonts w:ascii="Arial" w:eastAsia="Calibri" w:hAnsi="Arial" w:cs="Arial"/>
          <w:i/>
        </w:rPr>
        <w:t>NOTA: El enlace E2 se entrega en 4xE1 (capacidad equivalente del E2), el enlace E4 se entrega como STM-1 para la capacidad equivalente de E4 y el enlace STM-256 se entrega en su capacidad equivalente de 4xSTM-64.</w:t>
      </w:r>
    </w:p>
    <w:p w14:paraId="125B8FBD"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2.2 Pronóstico de Servicios.</w:t>
      </w:r>
    </w:p>
    <w:p w14:paraId="5DA60B0B" w14:textId="77777777" w:rsidR="000323A2" w:rsidRPr="000323A2" w:rsidRDefault="000323A2" w:rsidP="000323A2">
      <w:pPr>
        <w:autoSpaceDE w:val="0"/>
        <w:autoSpaceDN w:val="0"/>
        <w:adjustRightInd w:val="0"/>
        <w:spacing w:before="240" w:after="240" w:line="276" w:lineRule="auto"/>
        <w:jc w:val="both"/>
        <w:rPr>
          <w:rFonts w:ascii="Arial" w:eastAsia="Calibri" w:hAnsi="Arial" w:cs="Arial"/>
          <w:sz w:val="24"/>
          <w:szCs w:val="24"/>
        </w:rPr>
      </w:pPr>
      <w:r w:rsidRPr="000323A2">
        <w:rPr>
          <w:rFonts w:ascii="Arial" w:eastAsia="Calibri" w:hAnsi="Arial" w:cs="Arial"/>
          <w:sz w:val="24"/>
          <w:szCs w:val="24"/>
        </w:rPr>
        <w:t xml:space="preserve">El concesionario de una red pública de telecomunicaciones solicitante del servicio, presentará un pronóstico de demanda de servicios para el año siguiente con base en la Fecha límite del año en curso, indicada en la tabla siguiente: </w:t>
      </w:r>
    </w:p>
    <w:tbl>
      <w:tblPr>
        <w:tblStyle w:val="Cuadrculadetablaclara1"/>
        <w:tblW w:w="0" w:type="auto"/>
        <w:jc w:val="center"/>
        <w:tblLook w:val="00A0" w:firstRow="1" w:lastRow="0" w:firstColumn="1" w:lastColumn="0" w:noHBand="0" w:noVBand="0"/>
        <w:tblCaption w:val="Tabla"/>
        <w:tblDescription w:val="Fechas"/>
      </w:tblPr>
      <w:tblGrid>
        <w:gridCol w:w="2256"/>
        <w:gridCol w:w="5027"/>
      </w:tblGrid>
      <w:tr w:rsidR="000323A2" w:rsidRPr="000323A2" w14:paraId="652651BE" w14:textId="77777777" w:rsidTr="000323A2">
        <w:trPr>
          <w:tblHeader/>
          <w:jc w:val="center"/>
        </w:trPr>
        <w:tc>
          <w:tcPr>
            <w:tcW w:w="2256" w:type="dxa"/>
            <w:shd w:val="clear" w:color="auto" w:fill="D9D9D9"/>
          </w:tcPr>
          <w:p w14:paraId="4602867A"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t>Fecha límite</w:t>
            </w:r>
          </w:p>
        </w:tc>
        <w:tc>
          <w:tcPr>
            <w:tcW w:w="5027" w:type="dxa"/>
            <w:shd w:val="clear" w:color="auto" w:fill="D9D9D9"/>
          </w:tcPr>
          <w:p w14:paraId="69EDDC38"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t>Pronóstico</w:t>
            </w:r>
          </w:p>
        </w:tc>
      </w:tr>
      <w:tr w:rsidR="000323A2" w:rsidRPr="000323A2" w14:paraId="67033194" w14:textId="77777777" w:rsidTr="000323A2">
        <w:trPr>
          <w:tblHeader/>
          <w:jc w:val="center"/>
        </w:trPr>
        <w:tc>
          <w:tcPr>
            <w:tcW w:w="2256" w:type="dxa"/>
          </w:tcPr>
          <w:p w14:paraId="0A1ADA77"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30 de junio</w:t>
            </w:r>
          </w:p>
        </w:tc>
        <w:tc>
          <w:tcPr>
            <w:tcW w:w="5027" w:type="dxa"/>
          </w:tcPr>
          <w:p w14:paraId="433BC50C"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Enero-junio del año inmediato posterior.</w:t>
            </w:r>
          </w:p>
        </w:tc>
      </w:tr>
      <w:tr w:rsidR="000323A2" w:rsidRPr="000323A2" w14:paraId="480AA864" w14:textId="77777777" w:rsidTr="000323A2">
        <w:trPr>
          <w:tblHeader/>
          <w:jc w:val="center"/>
        </w:trPr>
        <w:tc>
          <w:tcPr>
            <w:tcW w:w="2256" w:type="dxa"/>
          </w:tcPr>
          <w:p w14:paraId="0091DAE7"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31 de diciembre</w:t>
            </w:r>
          </w:p>
        </w:tc>
        <w:tc>
          <w:tcPr>
            <w:tcW w:w="5027" w:type="dxa"/>
          </w:tcPr>
          <w:p w14:paraId="7687851D"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Julio-diciembre del año inmediato posterior.</w:t>
            </w:r>
          </w:p>
        </w:tc>
      </w:tr>
    </w:tbl>
    <w:p w14:paraId="5BEAD746"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Los servicios pronosticados conforme a la tabla anterior, serán ratificados por el Concesionario Solicitante o Autorizado Solicitante sobre bases bimestrales a más tardar en las fechas que se indican en la tabla siguiente:</w:t>
      </w:r>
    </w:p>
    <w:p w14:paraId="5B517531" w14:textId="77777777" w:rsidR="000323A2" w:rsidRPr="000323A2" w:rsidRDefault="000323A2" w:rsidP="000323A2">
      <w:pPr>
        <w:spacing w:before="240" w:after="0" w:line="240" w:lineRule="auto"/>
        <w:rPr>
          <w:rFonts w:ascii="Arial" w:eastAsia="Calibri" w:hAnsi="Arial" w:cs="Arial"/>
          <w:sz w:val="24"/>
          <w:szCs w:val="24"/>
        </w:rPr>
      </w:pPr>
      <w:r w:rsidRPr="000323A2">
        <w:rPr>
          <w:rFonts w:ascii="Arial" w:eastAsia="Calibri" w:hAnsi="Arial" w:cs="Arial"/>
          <w:sz w:val="24"/>
          <w:szCs w:val="24"/>
        </w:rPr>
        <w:br w:type="page"/>
      </w:r>
    </w:p>
    <w:tbl>
      <w:tblPr>
        <w:tblStyle w:val="Cuadrculadetablaclara1"/>
        <w:tblW w:w="0" w:type="auto"/>
        <w:jc w:val="center"/>
        <w:tblLook w:val="00A0" w:firstRow="1" w:lastRow="0" w:firstColumn="1" w:lastColumn="0" w:noHBand="0" w:noVBand="0"/>
        <w:tblCaption w:val="Tabla"/>
        <w:tblDescription w:val="Fechas límite"/>
      </w:tblPr>
      <w:tblGrid>
        <w:gridCol w:w="2204"/>
        <w:gridCol w:w="4859"/>
      </w:tblGrid>
      <w:tr w:rsidR="000323A2" w:rsidRPr="000323A2" w14:paraId="2B8996DB" w14:textId="77777777" w:rsidTr="000323A2">
        <w:trPr>
          <w:tblHeader/>
          <w:jc w:val="center"/>
        </w:trPr>
        <w:tc>
          <w:tcPr>
            <w:tcW w:w="2204" w:type="dxa"/>
            <w:shd w:val="clear" w:color="auto" w:fill="D9D9D9"/>
          </w:tcPr>
          <w:p w14:paraId="5F09ADB1"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lastRenderedPageBreak/>
              <w:t>Fecha límite</w:t>
            </w:r>
          </w:p>
        </w:tc>
        <w:tc>
          <w:tcPr>
            <w:tcW w:w="4859" w:type="dxa"/>
            <w:shd w:val="clear" w:color="auto" w:fill="D9D9D9"/>
          </w:tcPr>
          <w:p w14:paraId="115957CA"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t>Pronóstico</w:t>
            </w:r>
          </w:p>
        </w:tc>
      </w:tr>
      <w:tr w:rsidR="000323A2" w:rsidRPr="000323A2" w14:paraId="5DA18702" w14:textId="77777777" w:rsidTr="000323A2">
        <w:trPr>
          <w:tblHeader/>
          <w:jc w:val="center"/>
        </w:trPr>
        <w:tc>
          <w:tcPr>
            <w:tcW w:w="2204" w:type="dxa"/>
          </w:tcPr>
          <w:p w14:paraId="586D2B6B"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30 de septiembre</w:t>
            </w:r>
          </w:p>
        </w:tc>
        <w:tc>
          <w:tcPr>
            <w:tcW w:w="4859" w:type="dxa"/>
          </w:tcPr>
          <w:p w14:paraId="6F279C3B"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Enero-febrero del año inmediato posterior.</w:t>
            </w:r>
          </w:p>
        </w:tc>
      </w:tr>
      <w:tr w:rsidR="000323A2" w:rsidRPr="000323A2" w14:paraId="10EF3EE9" w14:textId="77777777" w:rsidTr="000323A2">
        <w:trPr>
          <w:tblHeader/>
          <w:jc w:val="center"/>
        </w:trPr>
        <w:tc>
          <w:tcPr>
            <w:tcW w:w="2204" w:type="dxa"/>
          </w:tcPr>
          <w:p w14:paraId="18C53012"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30 de noviembre</w:t>
            </w:r>
          </w:p>
        </w:tc>
        <w:tc>
          <w:tcPr>
            <w:tcW w:w="4859" w:type="dxa"/>
          </w:tcPr>
          <w:p w14:paraId="5FD1DBEF"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Marzo-abril del año inmediato posterior.</w:t>
            </w:r>
          </w:p>
        </w:tc>
      </w:tr>
      <w:tr w:rsidR="000323A2" w:rsidRPr="000323A2" w14:paraId="75E21A1C" w14:textId="77777777" w:rsidTr="000323A2">
        <w:trPr>
          <w:tblHeader/>
          <w:jc w:val="center"/>
        </w:trPr>
        <w:tc>
          <w:tcPr>
            <w:tcW w:w="2204" w:type="dxa"/>
          </w:tcPr>
          <w:p w14:paraId="454D3760"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31 de enero</w:t>
            </w:r>
          </w:p>
        </w:tc>
        <w:tc>
          <w:tcPr>
            <w:tcW w:w="4859" w:type="dxa"/>
          </w:tcPr>
          <w:p w14:paraId="3E5249B2"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Mayo-junio del mismo año.</w:t>
            </w:r>
          </w:p>
        </w:tc>
      </w:tr>
      <w:tr w:rsidR="000323A2" w:rsidRPr="000323A2" w14:paraId="470B349B" w14:textId="77777777" w:rsidTr="000323A2">
        <w:trPr>
          <w:tblHeader/>
          <w:jc w:val="center"/>
        </w:trPr>
        <w:tc>
          <w:tcPr>
            <w:tcW w:w="2204" w:type="dxa"/>
          </w:tcPr>
          <w:p w14:paraId="7E10AC50"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31 de marzo</w:t>
            </w:r>
          </w:p>
        </w:tc>
        <w:tc>
          <w:tcPr>
            <w:tcW w:w="4859" w:type="dxa"/>
          </w:tcPr>
          <w:p w14:paraId="60AF7AE9"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Julio-agosto del mismo año.</w:t>
            </w:r>
          </w:p>
        </w:tc>
      </w:tr>
      <w:tr w:rsidR="000323A2" w:rsidRPr="000323A2" w14:paraId="68FF7D88" w14:textId="77777777" w:rsidTr="000323A2">
        <w:trPr>
          <w:tblHeader/>
          <w:jc w:val="center"/>
        </w:trPr>
        <w:tc>
          <w:tcPr>
            <w:tcW w:w="2204" w:type="dxa"/>
          </w:tcPr>
          <w:p w14:paraId="13EDF0BC"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31 de mayo</w:t>
            </w:r>
          </w:p>
        </w:tc>
        <w:tc>
          <w:tcPr>
            <w:tcW w:w="4859" w:type="dxa"/>
          </w:tcPr>
          <w:p w14:paraId="2A390848"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Septiembre-octubre del mismo año.</w:t>
            </w:r>
          </w:p>
        </w:tc>
      </w:tr>
      <w:tr w:rsidR="000323A2" w:rsidRPr="000323A2" w14:paraId="632EB872" w14:textId="77777777" w:rsidTr="000323A2">
        <w:trPr>
          <w:tblHeader/>
          <w:jc w:val="center"/>
        </w:trPr>
        <w:tc>
          <w:tcPr>
            <w:tcW w:w="2204" w:type="dxa"/>
          </w:tcPr>
          <w:p w14:paraId="2C7FC045"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31 de julio</w:t>
            </w:r>
          </w:p>
        </w:tc>
        <w:tc>
          <w:tcPr>
            <w:tcW w:w="4859" w:type="dxa"/>
          </w:tcPr>
          <w:p w14:paraId="3BFFE631"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sz w:val="24"/>
                <w:szCs w:val="24"/>
              </w:rPr>
              <w:t>Noviembre-diciembre del mismo año.</w:t>
            </w:r>
          </w:p>
        </w:tc>
      </w:tr>
    </w:tbl>
    <w:p w14:paraId="1266D4AB"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Los pronósticos y ratificaciones serán presentados en el formato contenido en el Anexo “G” de esta Oferta a través del Sistema Electrónico de Gestión (en lo sucesivo, el “SEG”). En la inteligencia de que Telmex, el Concesionario Solicitante y el Autorizado Solicitante siempre estarán obligados a utilizar el SEG </w:t>
      </w:r>
      <w:proofErr w:type="gramStart"/>
      <w:r w:rsidRPr="000323A2">
        <w:rPr>
          <w:rFonts w:ascii="Arial" w:eastAsia="Calibri" w:hAnsi="Arial" w:cs="Arial"/>
          <w:sz w:val="24"/>
          <w:szCs w:val="24"/>
        </w:rPr>
        <w:t>en  todo</w:t>
      </w:r>
      <w:proofErr w:type="gramEnd"/>
      <w:r w:rsidRPr="000323A2">
        <w:rPr>
          <w:rFonts w:ascii="Arial" w:eastAsia="Calibri" w:hAnsi="Arial" w:cs="Arial"/>
          <w:sz w:val="24"/>
          <w:szCs w:val="24"/>
        </w:rPr>
        <w:t xml:space="preserve"> lo relacionado con la Oferta de Referencia, salvo que exista la imposibilidad técnica para su acceso y operación en el mismo.</w:t>
      </w:r>
    </w:p>
    <w:p w14:paraId="0DF96324"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En caso de que los servicios contratados sean menores al 50% de lo pronosticado, se hará del conocimiento del Instituto Federal de Telecomunicaciones (en lo sucesivo indistintamente, el “Instituto” o el “IFT”) y el Concesionario Solicitante o Autorizado Solicitante considerará en el próximo pronóstico bimestral un volumen de servicios equivalente a los servicios realmente contratados en el periodo anterior, lo cual no será un impedimento para que el  Concesionario Solicitante o Autorizado Solicitante requiera la contratación de servicios adicionales a los pronosticados.</w:t>
      </w:r>
    </w:p>
    <w:p w14:paraId="335D0657" w14:textId="77777777" w:rsidR="000323A2" w:rsidRPr="000323A2" w:rsidRDefault="000323A2" w:rsidP="000323A2">
      <w:pPr>
        <w:numPr>
          <w:ilvl w:val="12"/>
          <w:numId w:val="0"/>
        </w:numPr>
        <w:spacing w:before="240" w:after="0" w:line="276" w:lineRule="auto"/>
        <w:jc w:val="both"/>
        <w:rPr>
          <w:rFonts w:ascii="Arial" w:eastAsia="Calibri" w:hAnsi="Arial" w:cs="Arial"/>
          <w:sz w:val="24"/>
          <w:szCs w:val="24"/>
        </w:rPr>
      </w:pPr>
      <w:r w:rsidRPr="000323A2">
        <w:rPr>
          <w:rFonts w:ascii="Arial" w:eastAsia="Calibri" w:hAnsi="Arial" w:cs="Arial"/>
          <w:sz w:val="24"/>
          <w:szCs w:val="24"/>
        </w:rPr>
        <w:t>En caso de que no exista pronóstico de servicios, los plazos de entrega podrán ser acordados entre las PARTES (</w:t>
      </w:r>
      <w:proofErr w:type="spellStart"/>
      <w:r w:rsidRPr="000323A2">
        <w:rPr>
          <w:rFonts w:ascii="Arial" w:eastAsia="Calibri" w:hAnsi="Arial" w:cs="Arial"/>
          <w:sz w:val="24"/>
          <w:szCs w:val="24"/>
        </w:rPr>
        <w:t>Due</w:t>
      </w:r>
      <w:proofErr w:type="spellEnd"/>
      <w:r w:rsidRPr="000323A2">
        <w:rPr>
          <w:rFonts w:ascii="Arial" w:eastAsia="Calibri" w:hAnsi="Arial" w:cs="Arial"/>
          <w:sz w:val="24"/>
          <w:szCs w:val="24"/>
        </w:rPr>
        <w:t xml:space="preserve"> Date), mismos que estarán sujetos a los plazos máximos descritos en el segundo párrafo del numeral 2.4.3.5.</w:t>
      </w:r>
    </w:p>
    <w:p w14:paraId="12C8FC2B"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2.3 Capacidad de los Servicios.</w:t>
      </w:r>
    </w:p>
    <w:p w14:paraId="437EB8D1"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Los servicios mayoristas de Arrendamiento de Enlaces Dedicados Locales, entre Localidades y/o de Larga Distancia Internacional serán ofrecidos en las siguientes velocidades de transmisión:</w:t>
      </w:r>
    </w:p>
    <w:p w14:paraId="6F84F06E" w14:textId="77777777" w:rsidR="000323A2" w:rsidRPr="000323A2" w:rsidRDefault="000323A2" w:rsidP="000323A2">
      <w:pPr>
        <w:spacing w:before="240" w:after="0" w:line="240" w:lineRule="auto"/>
        <w:rPr>
          <w:rFonts w:ascii="Arial" w:eastAsia="Calibri" w:hAnsi="Arial" w:cs="Arial"/>
          <w:sz w:val="24"/>
          <w:szCs w:val="24"/>
        </w:rPr>
      </w:pPr>
      <w:r w:rsidRPr="000323A2">
        <w:rPr>
          <w:rFonts w:ascii="Arial" w:eastAsia="Calibri" w:hAnsi="Arial" w:cs="Arial"/>
          <w:sz w:val="24"/>
          <w:szCs w:val="24"/>
        </w:rPr>
        <w:br w:type="page"/>
      </w:r>
    </w:p>
    <w:tbl>
      <w:tblPr>
        <w:tblStyle w:val="Cuadrculadetablaclara1"/>
        <w:tblW w:w="0" w:type="auto"/>
        <w:jc w:val="center"/>
        <w:tblLook w:val="00A0" w:firstRow="1" w:lastRow="0" w:firstColumn="1" w:lastColumn="0" w:noHBand="0" w:noVBand="0"/>
        <w:tblCaption w:val="Tabla"/>
        <w:tblDescription w:val="Denominaciones"/>
      </w:tblPr>
      <w:tblGrid>
        <w:gridCol w:w="2763"/>
        <w:gridCol w:w="2578"/>
      </w:tblGrid>
      <w:tr w:rsidR="000323A2" w:rsidRPr="000323A2" w14:paraId="665A9A1D" w14:textId="77777777" w:rsidTr="000323A2">
        <w:trPr>
          <w:tblHeader/>
          <w:jc w:val="center"/>
        </w:trPr>
        <w:tc>
          <w:tcPr>
            <w:tcW w:w="2763" w:type="dxa"/>
            <w:shd w:val="clear" w:color="auto" w:fill="D9D9D9"/>
          </w:tcPr>
          <w:p w14:paraId="5A08A93D"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b/>
                <w:bCs/>
                <w:sz w:val="24"/>
                <w:szCs w:val="24"/>
              </w:rPr>
              <w:lastRenderedPageBreak/>
              <w:t>Denominación</w:t>
            </w:r>
          </w:p>
        </w:tc>
        <w:tc>
          <w:tcPr>
            <w:tcW w:w="2578" w:type="dxa"/>
            <w:shd w:val="clear" w:color="auto" w:fill="D9D9D9"/>
          </w:tcPr>
          <w:p w14:paraId="19517DFA"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b/>
                <w:bCs/>
                <w:sz w:val="24"/>
                <w:szCs w:val="24"/>
              </w:rPr>
              <w:t>Capacidad</w:t>
            </w:r>
          </w:p>
        </w:tc>
      </w:tr>
      <w:tr w:rsidR="000323A2" w:rsidRPr="000323A2" w14:paraId="2C36B253" w14:textId="77777777" w:rsidTr="000323A2">
        <w:trPr>
          <w:tblHeader/>
          <w:jc w:val="center"/>
        </w:trPr>
        <w:tc>
          <w:tcPr>
            <w:tcW w:w="2763" w:type="dxa"/>
          </w:tcPr>
          <w:p w14:paraId="3CD73083" w14:textId="77777777" w:rsidR="000323A2" w:rsidRPr="000323A2" w:rsidRDefault="000323A2" w:rsidP="000323A2">
            <w:pPr>
              <w:autoSpaceDE w:val="0"/>
              <w:autoSpaceDN w:val="0"/>
              <w:spacing w:before="120" w:line="276" w:lineRule="auto"/>
              <w:jc w:val="center"/>
              <w:rPr>
                <w:rFonts w:ascii="Arial" w:hAnsi="Arial" w:cs="Arial"/>
                <w:sz w:val="24"/>
                <w:szCs w:val="24"/>
              </w:rPr>
            </w:pPr>
            <w:proofErr w:type="spellStart"/>
            <w:r w:rsidRPr="000323A2">
              <w:rPr>
                <w:rFonts w:ascii="Arial" w:hAnsi="Arial" w:cs="Arial"/>
                <w:sz w:val="24"/>
                <w:szCs w:val="24"/>
              </w:rPr>
              <w:t>Nx</w:t>
            </w:r>
            <w:proofErr w:type="spellEnd"/>
            <w:r w:rsidRPr="000323A2">
              <w:rPr>
                <w:rFonts w:ascii="Arial" w:hAnsi="Arial" w:cs="Arial"/>
                <w:sz w:val="24"/>
                <w:szCs w:val="24"/>
              </w:rPr>
              <w:t xml:space="preserve"> 64 kbps</w:t>
            </w:r>
          </w:p>
          <w:p w14:paraId="266CF399"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rPr>
              <w:t>(N=1, 2, 3, 4, 6, 8, 10, 12 y 16)</w:t>
            </w:r>
          </w:p>
        </w:tc>
        <w:tc>
          <w:tcPr>
            <w:tcW w:w="2578" w:type="dxa"/>
          </w:tcPr>
          <w:p w14:paraId="3CC9FE89"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rPr>
              <w:t>64Kbps a 1024 Kbps</w:t>
            </w:r>
          </w:p>
        </w:tc>
      </w:tr>
      <w:tr w:rsidR="000323A2" w:rsidRPr="000323A2" w14:paraId="33652EA5" w14:textId="77777777" w:rsidTr="000323A2">
        <w:trPr>
          <w:tblHeader/>
          <w:jc w:val="center"/>
        </w:trPr>
        <w:tc>
          <w:tcPr>
            <w:tcW w:w="2763" w:type="dxa"/>
          </w:tcPr>
          <w:p w14:paraId="4963EADA"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rPr>
              <w:t>E1</w:t>
            </w:r>
          </w:p>
        </w:tc>
        <w:tc>
          <w:tcPr>
            <w:tcW w:w="2578" w:type="dxa"/>
          </w:tcPr>
          <w:p w14:paraId="193578BA"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rPr>
              <w:t>2.048 Mbps</w:t>
            </w:r>
          </w:p>
        </w:tc>
      </w:tr>
      <w:tr w:rsidR="000323A2" w:rsidRPr="000323A2" w14:paraId="09FB7C92" w14:textId="77777777" w:rsidTr="000323A2">
        <w:trPr>
          <w:tblHeader/>
          <w:jc w:val="center"/>
        </w:trPr>
        <w:tc>
          <w:tcPr>
            <w:tcW w:w="2763" w:type="dxa"/>
          </w:tcPr>
          <w:p w14:paraId="4BBB36D3"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rPr>
            </w:pPr>
            <w:r w:rsidRPr="000323A2">
              <w:rPr>
                <w:rFonts w:ascii="Arial" w:hAnsi="Arial" w:cs="Arial"/>
                <w:sz w:val="24"/>
                <w:szCs w:val="24"/>
              </w:rPr>
              <w:t>E2</w:t>
            </w:r>
          </w:p>
        </w:tc>
        <w:tc>
          <w:tcPr>
            <w:tcW w:w="2578" w:type="dxa"/>
          </w:tcPr>
          <w:p w14:paraId="6833100C"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rPr>
            </w:pPr>
            <w:r w:rsidRPr="000323A2">
              <w:rPr>
                <w:rFonts w:ascii="Arial" w:hAnsi="Arial" w:cs="Arial"/>
                <w:sz w:val="24"/>
                <w:szCs w:val="24"/>
              </w:rPr>
              <w:t>8.448 Mbps</w:t>
            </w:r>
          </w:p>
        </w:tc>
      </w:tr>
      <w:tr w:rsidR="000323A2" w:rsidRPr="000323A2" w14:paraId="64CE03D4" w14:textId="77777777" w:rsidTr="000323A2">
        <w:trPr>
          <w:tblHeader/>
          <w:jc w:val="center"/>
        </w:trPr>
        <w:tc>
          <w:tcPr>
            <w:tcW w:w="2763" w:type="dxa"/>
          </w:tcPr>
          <w:p w14:paraId="0FE6A936"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rPr>
              <w:t>E3</w:t>
            </w:r>
          </w:p>
        </w:tc>
        <w:tc>
          <w:tcPr>
            <w:tcW w:w="2578" w:type="dxa"/>
          </w:tcPr>
          <w:p w14:paraId="1EF62AA0"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rPr>
              <w:t>34.368 Mbps</w:t>
            </w:r>
          </w:p>
        </w:tc>
      </w:tr>
      <w:tr w:rsidR="000323A2" w:rsidRPr="000323A2" w14:paraId="5FCDD05A" w14:textId="77777777" w:rsidTr="000323A2">
        <w:trPr>
          <w:tblHeader/>
          <w:jc w:val="center"/>
        </w:trPr>
        <w:tc>
          <w:tcPr>
            <w:tcW w:w="2763" w:type="dxa"/>
          </w:tcPr>
          <w:p w14:paraId="4E75D5B3"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rPr>
              <w:t>E4</w:t>
            </w:r>
          </w:p>
        </w:tc>
        <w:tc>
          <w:tcPr>
            <w:tcW w:w="2578" w:type="dxa"/>
          </w:tcPr>
          <w:p w14:paraId="19940D45"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139.264 Mbps</w:t>
            </w:r>
          </w:p>
        </w:tc>
      </w:tr>
      <w:tr w:rsidR="000323A2" w:rsidRPr="000323A2" w14:paraId="598137FD" w14:textId="77777777" w:rsidTr="000323A2">
        <w:trPr>
          <w:tblHeader/>
          <w:jc w:val="center"/>
        </w:trPr>
        <w:tc>
          <w:tcPr>
            <w:tcW w:w="2763" w:type="dxa"/>
          </w:tcPr>
          <w:p w14:paraId="75BF070D"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rPr>
            </w:pPr>
            <w:r w:rsidRPr="000323A2">
              <w:rPr>
                <w:rFonts w:ascii="Arial" w:hAnsi="Arial" w:cs="Arial"/>
                <w:sz w:val="24"/>
                <w:szCs w:val="24"/>
                <w:lang w:val="en-US"/>
              </w:rPr>
              <w:t>STM-1</w:t>
            </w:r>
          </w:p>
        </w:tc>
        <w:tc>
          <w:tcPr>
            <w:tcW w:w="2578" w:type="dxa"/>
          </w:tcPr>
          <w:p w14:paraId="3C7E6F51"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rPr>
            </w:pPr>
            <w:r w:rsidRPr="000323A2">
              <w:rPr>
                <w:rFonts w:ascii="Arial" w:hAnsi="Arial" w:cs="Arial"/>
                <w:sz w:val="24"/>
                <w:szCs w:val="24"/>
                <w:lang w:val="en-US"/>
              </w:rPr>
              <w:t>155.52 Mbps</w:t>
            </w:r>
          </w:p>
        </w:tc>
      </w:tr>
      <w:tr w:rsidR="000323A2" w:rsidRPr="000323A2" w14:paraId="47DF6B3B" w14:textId="77777777" w:rsidTr="000323A2">
        <w:trPr>
          <w:tblHeader/>
          <w:jc w:val="center"/>
        </w:trPr>
        <w:tc>
          <w:tcPr>
            <w:tcW w:w="2763" w:type="dxa"/>
          </w:tcPr>
          <w:p w14:paraId="4D4DBC47"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STM-4</w:t>
            </w:r>
          </w:p>
        </w:tc>
        <w:tc>
          <w:tcPr>
            <w:tcW w:w="2578" w:type="dxa"/>
          </w:tcPr>
          <w:p w14:paraId="3A3CC1B1"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622.08 Mbps</w:t>
            </w:r>
          </w:p>
        </w:tc>
      </w:tr>
      <w:tr w:rsidR="000323A2" w:rsidRPr="000323A2" w14:paraId="17BBECD8" w14:textId="77777777" w:rsidTr="000323A2">
        <w:trPr>
          <w:tblHeader/>
          <w:jc w:val="center"/>
        </w:trPr>
        <w:tc>
          <w:tcPr>
            <w:tcW w:w="2763" w:type="dxa"/>
          </w:tcPr>
          <w:p w14:paraId="61219EA8"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STM-16</w:t>
            </w:r>
          </w:p>
        </w:tc>
        <w:tc>
          <w:tcPr>
            <w:tcW w:w="2578" w:type="dxa"/>
          </w:tcPr>
          <w:p w14:paraId="61D08645"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2,488.32 Mbps</w:t>
            </w:r>
          </w:p>
        </w:tc>
      </w:tr>
      <w:tr w:rsidR="000323A2" w:rsidRPr="000323A2" w14:paraId="11A81BD9" w14:textId="77777777" w:rsidTr="000323A2">
        <w:trPr>
          <w:tblHeader/>
          <w:jc w:val="center"/>
        </w:trPr>
        <w:tc>
          <w:tcPr>
            <w:tcW w:w="2763" w:type="dxa"/>
          </w:tcPr>
          <w:p w14:paraId="1F79E3E7"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STM-64</w:t>
            </w:r>
          </w:p>
        </w:tc>
        <w:tc>
          <w:tcPr>
            <w:tcW w:w="2578" w:type="dxa"/>
          </w:tcPr>
          <w:p w14:paraId="2228C8B2"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9,953.28 Mbps</w:t>
            </w:r>
          </w:p>
        </w:tc>
      </w:tr>
      <w:tr w:rsidR="000323A2" w:rsidRPr="000323A2" w14:paraId="3DE3E9A2" w14:textId="77777777" w:rsidTr="000323A2">
        <w:trPr>
          <w:tblHeader/>
          <w:jc w:val="center"/>
        </w:trPr>
        <w:tc>
          <w:tcPr>
            <w:tcW w:w="2763" w:type="dxa"/>
          </w:tcPr>
          <w:p w14:paraId="79411CBC"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STM-256</w:t>
            </w:r>
          </w:p>
        </w:tc>
        <w:tc>
          <w:tcPr>
            <w:tcW w:w="2578" w:type="dxa"/>
          </w:tcPr>
          <w:p w14:paraId="51F84E62"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39,813.12 Mbps</w:t>
            </w:r>
          </w:p>
        </w:tc>
      </w:tr>
      <w:tr w:rsidR="000323A2" w:rsidRPr="000323A2" w14:paraId="48DE7C75" w14:textId="77777777" w:rsidTr="000323A2">
        <w:trPr>
          <w:tblHeader/>
          <w:jc w:val="center"/>
        </w:trPr>
        <w:tc>
          <w:tcPr>
            <w:tcW w:w="2763" w:type="dxa"/>
          </w:tcPr>
          <w:p w14:paraId="6B86B222"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Ethernet</w:t>
            </w:r>
          </w:p>
        </w:tc>
        <w:tc>
          <w:tcPr>
            <w:tcW w:w="2578" w:type="dxa"/>
          </w:tcPr>
          <w:p w14:paraId="296CAABA"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lang w:val="en-US"/>
              </w:rPr>
            </w:pPr>
            <w:r w:rsidRPr="000323A2">
              <w:rPr>
                <w:rFonts w:ascii="Arial" w:hAnsi="Arial" w:cs="Arial"/>
                <w:sz w:val="24"/>
                <w:szCs w:val="24"/>
                <w:lang w:val="en-US"/>
              </w:rPr>
              <w:t xml:space="preserve">2  Mbps a 100 </w:t>
            </w:r>
            <w:proofErr w:type="spellStart"/>
            <w:r w:rsidRPr="000323A2">
              <w:rPr>
                <w:rFonts w:ascii="Arial" w:hAnsi="Arial" w:cs="Arial"/>
                <w:sz w:val="24"/>
                <w:szCs w:val="24"/>
                <w:lang w:val="en-US"/>
              </w:rPr>
              <w:t>Gbps</w:t>
            </w:r>
            <w:proofErr w:type="spellEnd"/>
            <w:r w:rsidRPr="000323A2">
              <w:rPr>
                <w:rFonts w:ascii="Arial" w:hAnsi="Arial" w:cs="Arial"/>
                <w:sz w:val="24"/>
                <w:szCs w:val="24"/>
                <w:lang w:val="en-US"/>
              </w:rPr>
              <w:t xml:space="preserve"> </w:t>
            </w:r>
          </w:p>
        </w:tc>
      </w:tr>
    </w:tbl>
    <w:p w14:paraId="1A597B02" w14:textId="77777777" w:rsidR="000323A2" w:rsidRPr="000323A2" w:rsidRDefault="000323A2" w:rsidP="000323A2">
      <w:pPr>
        <w:autoSpaceDE w:val="0"/>
        <w:autoSpaceDN w:val="0"/>
        <w:adjustRightInd w:val="0"/>
        <w:spacing w:before="240" w:after="0" w:line="276" w:lineRule="auto"/>
        <w:ind w:left="1134" w:right="1183"/>
        <w:jc w:val="both"/>
        <w:rPr>
          <w:rFonts w:ascii="Arial" w:eastAsia="Calibri" w:hAnsi="Arial" w:cs="Arial"/>
          <w:i/>
        </w:rPr>
      </w:pPr>
      <w:r w:rsidRPr="000323A2">
        <w:rPr>
          <w:rFonts w:ascii="Arial" w:eastAsia="Calibri" w:hAnsi="Arial" w:cs="Arial"/>
          <w:i/>
        </w:rPr>
        <w:t>NOTA: El enlace E2 se entrega en 4xE1 (capacidad equivalente del E2), el enlace E4 se entrega como STM-1 para la capacidad equivalente de E4 y el enlace STM-256 se entrega en su capacidad equivalente de 4xSTM-64.</w:t>
      </w:r>
    </w:p>
    <w:p w14:paraId="75D0C1C8"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A petición del Concesionario Solicitante o Autorizado Solicitante, los servicios mayoristas de Arrendamiento de Enlaces Dedicados Locales, entre Localidades y/o de Larga Distancia Internacional podrán entregarse al Concesionario Solicitante en el punto de conexión de los servicios mayoristas de Arrendamiento de Enlaces Dedicados Locales, incluyendo aquellos coincidentes con los puntos  de Interconexión definidos por el Instituto en el “</w:t>
      </w:r>
      <w:r w:rsidRPr="000323A2">
        <w:rPr>
          <w:rFonts w:ascii="Arial" w:eastAsia="Calibri" w:hAnsi="Arial" w:cs="Arial"/>
          <w:i/>
          <w:sz w:val="24"/>
          <w:szCs w:val="24"/>
        </w:rPr>
        <w:t>ACUERDO mediante el cual el Pleno del Instituto Federal de Telecomunicaciones define los puntos de interconexión a la red pública de telecomunicaciones del Agente Económico Preponderante”</w:t>
      </w:r>
      <w:r w:rsidRPr="000323A2">
        <w:rPr>
          <w:rFonts w:ascii="Arial" w:eastAsia="Calibri" w:hAnsi="Arial" w:cs="Arial"/>
          <w:sz w:val="24"/>
          <w:szCs w:val="24"/>
        </w:rPr>
        <w:t>. A partir de ese punto el Concesionario Solicitante o Autorizado Solicitante lo transportará por su cuenta.</w:t>
      </w:r>
    </w:p>
    <w:p w14:paraId="64A70F7D"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En caso de que el Concesionario Solicitante ya cuente con infraestructura arrendada para el intercambio de Tráfico público conmutado en los Puntos de Interconexión ubicados en el mismo domicilio que el punto de conexión del Servicio Mayorista de Enlaces Dedicados, ésta podrá ser reutilizada para la provisión de los Servicios, cuando sea técnicamente factible. </w:t>
      </w:r>
    </w:p>
    <w:p w14:paraId="780A15BC"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lastRenderedPageBreak/>
        <w:t>El Concesionario Solicitante o Autorizado Solicitante informará a Telmex sobre aquellos acuerdos alcanzados con otros concesionarios para el uso compartido de la infraestructura de éstos, presentando para tal efecto un escrito en el cual aquel concesionario con quien haya celebrado algún acuerdo autorice al Concesionario Solicitante o Autorizado Solicitante el uso de tal infraestructura a fin de que, en caso de ser necesario, se tengan elementos que permitan deslindar responsabilidades respecto al uso compartido de esa infraestructura.</w:t>
      </w:r>
    </w:p>
    <w:p w14:paraId="35F0B9A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2.4 Plazos de entrega de los Servicios.</w:t>
      </w:r>
    </w:p>
    <w:p w14:paraId="6F0EBB97"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Las solicitudes de servicio deberán presentarse, debidamente </w:t>
      </w:r>
      <w:proofErr w:type="spellStart"/>
      <w:r w:rsidRPr="000323A2">
        <w:rPr>
          <w:rFonts w:ascii="Arial" w:eastAsia="Calibri" w:hAnsi="Arial" w:cs="Arial"/>
          <w:sz w:val="24"/>
          <w:szCs w:val="24"/>
        </w:rPr>
        <w:t>requisitadas</w:t>
      </w:r>
      <w:proofErr w:type="spellEnd"/>
      <w:r w:rsidRPr="000323A2">
        <w:rPr>
          <w:rFonts w:ascii="Arial" w:eastAsia="Calibri" w:hAnsi="Arial" w:cs="Arial"/>
          <w:sz w:val="24"/>
          <w:szCs w:val="24"/>
        </w:rPr>
        <w:t xml:space="preserve"> y firmadas como se define en el punto 2.5 de la presente Oferta, mediante el SEG. Solo en el caso de que exista una imposibilidad técnica de realizar la solicitud vía SEG, ésta podrá presentarse por escrito en el domicilio señalado en esta Oferta, o al correo electrónico del ejecutivo de cuenta que le sea asignado en el formato establecido en el Anexo “B” de la Oferta; una vez habilitado el SEG, Telmex deberá garantizar que se pueda dar continuidad al procedimiento correspondiente a través de dicho sistema, y será obligación del concesionario solicitante o autorizado solicitante continuar su solicitud a través del mismo. </w:t>
      </w:r>
    </w:p>
    <w:p w14:paraId="233F8917"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Las solicitudes serán válidas y exigibles en el momento que Telmex entregue el número de referencia asociado a cada servicio, lo cual sucederá en un plazo máximo de 2 (dos) días hábiles posteriores a la recepción de las solicitudes. </w:t>
      </w:r>
    </w:p>
    <w:p w14:paraId="577B0D4C"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2.4.1 Plazos de entrega</w:t>
      </w:r>
    </w:p>
    <w:p w14:paraId="26BA0390"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2.4.1.1 Los plazos de entrega indicados en la tabla del presente numeral, no podrán excederse en:</w:t>
      </w:r>
    </w:p>
    <w:p w14:paraId="492774D1" w14:textId="77777777" w:rsidR="000323A2" w:rsidRPr="000323A2" w:rsidRDefault="000323A2" w:rsidP="00B04B36">
      <w:pPr>
        <w:numPr>
          <w:ilvl w:val="0"/>
          <w:numId w:val="60"/>
        </w:numPr>
        <w:autoSpaceDE w:val="0"/>
        <w:autoSpaceDN w:val="0"/>
        <w:adjustRightInd w:val="0"/>
        <w:spacing w:before="240" w:after="0" w:line="276" w:lineRule="auto"/>
        <w:ind w:left="567" w:hanging="283"/>
        <w:jc w:val="both"/>
        <w:rPr>
          <w:rFonts w:ascii="Arial" w:eastAsia="Calibri" w:hAnsi="Arial" w:cs="Arial"/>
          <w:sz w:val="24"/>
          <w:szCs w:val="24"/>
        </w:rPr>
      </w:pPr>
      <w:r w:rsidRPr="000323A2">
        <w:rPr>
          <w:rFonts w:ascii="Arial" w:eastAsia="Calibri" w:hAnsi="Arial" w:cs="Arial"/>
          <w:sz w:val="24"/>
          <w:szCs w:val="24"/>
        </w:rPr>
        <w:t xml:space="preserve"> El 85% (ochenta y cinco por ciento) de las solicitudes que se realicen dentro de pronóstico y el restante en el doble del plazo señalado hasta llegar al 100% (cien por ciento).</w:t>
      </w:r>
    </w:p>
    <w:p w14:paraId="09B95709" w14:textId="77777777" w:rsidR="000323A2" w:rsidRPr="000323A2" w:rsidRDefault="000323A2" w:rsidP="000323A2">
      <w:pPr>
        <w:autoSpaceDE w:val="0"/>
        <w:autoSpaceDN w:val="0"/>
        <w:adjustRightInd w:val="0"/>
        <w:spacing w:before="240" w:after="0" w:line="276" w:lineRule="auto"/>
        <w:ind w:left="567" w:hanging="283"/>
        <w:jc w:val="both"/>
        <w:rPr>
          <w:rFonts w:ascii="Arial" w:eastAsia="Calibri" w:hAnsi="Arial" w:cs="Arial"/>
          <w:sz w:val="24"/>
          <w:szCs w:val="24"/>
        </w:rPr>
      </w:pPr>
      <w:r w:rsidRPr="000323A2">
        <w:rPr>
          <w:rFonts w:ascii="Arial" w:eastAsia="Calibri" w:hAnsi="Arial" w:cs="Arial"/>
          <w:sz w:val="24"/>
          <w:szCs w:val="24"/>
        </w:rPr>
        <w:t xml:space="preserve">2) El 50% (cincuenta por ciento) de las solicitudes que se realicen fuera de pronóstico y el doble del plazo señalado para el remanente de solicitudes hasta llegar al 100% (cien por ciento). </w:t>
      </w:r>
    </w:p>
    <w:p w14:paraId="264CB755" w14:textId="77777777" w:rsidR="000323A2" w:rsidRPr="000323A2" w:rsidRDefault="000323A2" w:rsidP="000323A2">
      <w:pPr>
        <w:spacing w:before="240" w:after="0" w:line="240" w:lineRule="auto"/>
        <w:rPr>
          <w:rFonts w:ascii="Arial" w:eastAsia="Calibri" w:hAnsi="Arial" w:cs="Arial"/>
          <w:b/>
          <w:bCs/>
          <w:sz w:val="24"/>
          <w:szCs w:val="24"/>
        </w:rPr>
      </w:pPr>
      <w:r w:rsidRPr="000323A2">
        <w:rPr>
          <w:rFonts w:ascii="Arial" w:eastAsia="Calibri" w:hAnsi="Arial" w:cs="Arial"/>
          <w:b/>
          <w:bCs/>
          <w:sz w:val="24"/>
          <w:szCs w:val="24"/>
        </w:rPr>
        <w:br w:type="page"/>
      </w:r>
    </w:p>
    <w:tbl>
      <w:tblPr>
        <w:tblStyle w:val="Cuadrculadetablaclara1"/>
        <w:tblW w:w="0" w:type="auto"/>
        <w:jc w:val="center"/>
        <w:tblLook w:val="00A0" w:firstRow="1" w:lastRow="0" w:firstColumn="1" w:lastColumn="0" w:noHBand="0" w:noVBand="0"/>
        <w:tblCaption w:val="Tabla"/>
        <w:tblDescription w:val="Denominación y capacidad"/>
      </w:tblPr>
      <w:tblGrid>
        <w:gridCol w:w="1888"/>
        <w:gridCol w:w="2502"/>
        <w:gridCol w:w="1888"/>
        <w:gridCol w:w="2070"/>
      </w:tblGrid>
      <w:tr w:rsidR="000323A2" w:rsidRPr="000323A2" w14:paraId="736BE15E" w14:textId="77777777" w:rsidTr="000323A2">
        <w:trPr>
          <w:tblHeader/>
          <w:jc w:val="center"/>
        </w:trPr>
        <w:tc>
          <w:tcPr>
            <w:tcW w:w="1888" w:type="dxa"/>
            <w:shd w:val="clear" w:color="auto" w:fill="D9D9D9"/>
          </w:tcPr>
          <w:p w14:paraId="68220128"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p>
        </w:tc>
        <w:tc>
          <w:tcPr>
            <w:tcW w:w="2502" w:type="dxa"/>
            <w:shd w:val="clear" w:color="auto" w:fill="D9D9D9"/>
          </w:tcPr>
          <w:p w14:paraId="7B934E18"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p>
        </w:tc>
        <w:tc>
          <w:tcPr>
            <w:tcW w:w="1888" w:type="dxa"/>
            <w:shd w:val="clear" w:color="auto" w:fill="D9D9D9"/>
          </w:tcPr>
          <w:p w14:paraId="5D27E481"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t>Plazos</w:t>
            </w:r>
          </w:p>
        </w:tc>
        <w:tc>
          <w:tcPr>
            <w:tcW w:w="2070" w:type="dxa"/>
            <w:shd w:val="clear" w:color="auto" w:fill="D9D9D9"/>
          </w:tcPr>
          <w:p w14:paraId="5E761762"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t>máximos</w:t>
            </w:r>
          </w:p>
        </w:tc>
      </w:tr>
      <w:tr w:rsidR="000323A2" w:rsidRPr="000323A2" w14:paraId="54BB06BB" w14:textId="77777777" w:rsidTr="000323A2">
        <w:trPr>
          <w:tblHeader/>
          <w:jc w:val="center"/>
        </w:trPr>
        <w:tc>
          <w:tcPr>
            <w:tcW w:w="1888" w:type="dxa"/>
            <w:shd w:val="clear" w:color="auto" w:fill="D9D9D9"/>
          </w:tcPr>
          <w:p w14:paraId="0CB1BA07"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t>Denominación</w:t>
            </w:r>
          </w:p>
        </w:tc>
        <w:tc>
          <w:tcPr>
            <w:tcW w:w="2502" w:type="dxa"/>
            <w:shd w:val="clear" w:color="auto" w:fill="D9D9D9"/>
          </w:tcPr>
          <w:p w14:paraId="193A6128"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t>Capacidad</w:t>
            </w:r>
          </w:p>
        </w:tc>
        <w:tc>
          <w:tcPr>
            <w:tcW w:w="1888" w:type="dxa"/>
            <w:shd w:val="clear" w:color="auto" w:fill="D9D9D9"/>
          </w:tcPr>
          <w:p w14:paraId="6FAE015D"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t>Locales</w:t>
            </w:r>
          </w:p>
        </w:tc>
        <w:tc>
          <w:tcPr>
            <w:tcW w:w="2070" w:type="dxa"/>
            <w:shd w:val="clear" w:color="auto" w:fill="D9D9D9"/>
          </w:tcPr>
          <w:p w14:paraId="017731B8" w14:textId="77777777" w:rsidR="000323A2" w:rsidRPr="000323A2" w:rsidRDefault="000323A2" w:rsidP="000323A2">
            <w:pPr>
              <w:autoSpaceDE w:val="0"/>
              <w:autoSpaceDN w:val="0"/>
              <w:adjustRightInd w:val="0"/>
              <w:spacing w:before="240" w:line="276" w:lineRule="auto"/>
              <w:jc w:val="center"/>
              <w:rPr>
                <w:rFonts w:ascii="Arial" w:hAnsi="Arial" w:cs="Arial"/>
                <w:b/>
                <w:bCs/>
                <w:sz w:val="24"/>
                <w:szCs w:val="24"/>
              </w:rPr>
            </w:pPr>
            <w:r w:rsidRPr="000323A2">
              <w:rPr>
                <w:rFonts w:ascii="Arial" w:hAnsi="Arial" w:cs="Arial"/>
                <w:b/>
                <w:bCs/>
                <w:sz w:val="24"/>
                <w:szCs w:val="24"/>
              </w:rPr>
              <w:t>Entre Localidades/ Larga distancia</w:t>
            </w:r>
          </w:p>
        </w:tc>
      </w:tr>
      <w:tr w:rsidR="000323A2" w:rsidRPr="000323A2" w14:paraId="03E728C4" w14:textId="77777777" w:rsidTr="000323A2">
        <w:trPr>
          <w:tblHeader/>
          <w:jc w:val="center"/>
        </w:trPr>
        <w:tc>
          <w:tcPr>
            <w:tcW w:w="1888" w:type="dxa"/>
          </w:tcPr>
          <w:p w14:paraId="25FE1831"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proofErr w:type="spellStart"/>
            <w:r w:rsidRPr="000323A2">
              <w:rPr>
                <w:rFonts w:ascii="Arial" w:hAnsi="Arial" w:cs="Arial"/>
                <w:sz w:val="24"/>
                <w:szCs w:val="24"/>
              </w:rPr>
              <w:t>Nx</w:t>
            </w:r>
            <w:proofErr w:type="spellEnd"/>
            <w:r w:rsidRPr="000323A2">
              <w:rPr>
                <w:rFonts w:ascii="Arial" w:hAnsi="Arial" w:cs="Arial"/>
                <w:sz w:val="24"/>
                <w:szCs w:val="24"/>
              </w:rPr>
              <w:t xml:space="preserve"> 64 kbps</w:t>
            </w:r>
          </w:p>
          <w:p w14:paraId="1FF2D017"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rPr>
              <w:t>(N=1…16)</w:t>
            </w:r>
          </w:p>
        </w:tc>
        <w:tc>
          <w:tcPr>
            <w:tcW w:w="2502" w:type="dxa"/>
          </w:tcPr>
          <w:p w14:paraId="4125D65A"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rPr>
              <w:t>64Kbps a 1024 Kbps</w:t>
            </w:r>
          </w:p>
        </w:tc>
        <w:tc>
          <w:tcPr>
            <w:tcW w:w="1888" w:type="dxa"/>
          </w:tcPr>
          <w:p w14:paraId="639D05EC"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13 días hábiles</w:t>
            </w:r>
          </w:p>
        </w:tc>
        <w:tc>
          <w:tcPr>
            <w:tcW w:w="2070" w:type="dxa"/>
          </w:tcPr>
          <w:p w14:paraId="19F916AA"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18 días hábiles</w:t>
            </w:r>
          </w:p>
        </w:tc>
      </w:tr>
      <w:tr w:rsidR="000323A2" w:rsidRPr="000323A2" w14:paraId="07B86BA5" w14:textId="77777777" w:rsidTr="000323A2">
        <w:trPr>
          <w:tblHeader/>
          <w:jc w:val="center"/>
        </w:trPr>
        <w:tc>
          <w:tcPr>
            <w:tcW w:w="1888" w:type="dxa"/>
          </w:tcPr>
          <w:p w14:paraId="561392BC"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rPr>
              <w:t>E1</w:t>
            </w:r>
          </w:p>
        </w:tc>
        <w:tc>
          <w:tcPr>
            <w:tcW w:w="2502" w:type="dxa"/>
          </w:tcPr>
          <w:p w14:paraId="47F12497"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rPr>
              <w:t>2.048 Mbps</w:t>
            </w:r>
          </w:p>
        </w:tc>
        <w:tc>
          <w:tcPr>
            <w:tcW w:w="1888" w:type="dxa"/>
          </w:tcPr>
          <w:p w14:paraId="09159D16"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13 días hábiles</w:t>
            </w:r>
          </w:p>
        </w:tc>
        <w:tc>
          <w:tcPr>
            <w:tcW w:w="2070" w:type="dxa"/>
          </w:tcPr>
          <w:p w14:paraId="1D37FB82"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18 días hábiles</w:t>
            </w:r>
          </w:p>
        </w:tc>
      </w:tr>
      <w:tr w:rsidR="000323A2" w:rsidRPr="000323A2" w14:paraId="667F813E" w14:textId="77777777" w:rsidTr="000323A2">
        <w:trPr>
          <w:tblHeader/>
          <w:jc w:val="center"/>
        </w:trPr>
        <w:tc>
          <w:tcPr>
            <w:tcW w:w="1888" w:type="dxa"/>
          </w:tcPr>
          <w:p w14:paraId="49063C02"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rPr>
              <w:t>E2</w:t>
            </w:r>
          </w:p>
        </w:tc>
        <w:tc>
          <w:tcPr>
            <w:tcW w:w="2502" w:type="dxa"/>
          </w:tcPr>
          <w:p w14:paraId="0F38F2DE"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rPr>
              <w:t>8.448 Mbps</w:t>
            </w:r>
          </w:p>
        </w:tc>
        <w:tc>
          <w:tcPr>
            <w:tcW w:w="1888" w:type="dxa"/>
          </w:tcPr>
          <w:p w14:paraId="16C9F5D5"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13 días hábiles</w:t>
            </w:r>
          </w:p>
        </w:tc>
        <w:tc>
          <w:tcPr>
            <w:tcW w:w="2070" w:type="dxa"/>
          </w:tcPr>
          <w:p w14:paraId="5CE8B548"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18 días hábiles</w:t>
            </w:r>
          </w:p>
        </w:tc>
      </w:tr>
      <w:tr w:rsidR="000323A2" w:rsidRPr="000323A2" w14:paraId="526240CE" w14:textId="77777777" w:rsidTr="000323A2">
        <w:trPr>
          <w:tblHeader/>
          <w:jc w:val="center"/>
        </w:trPr>
        <w:tc>
          <w:tcPr>
            <w:tcW w:w="1888" w:type="dxa"/>
          </w:tcPr>
          <w:p w14:paraId="448E0B8E"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rPr>
              <w:t>E3</w:t>
            </w:r>
          </w:p>
        </w:tc>
        <w:tc>
          <w:tcPr>
            <w:tcW w:w="2502" w:type="dxa"/>
          </w:tcPr>
          <w:p w14:paraId="185E0CDF"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rPr>
              <w:t>34.368 Mbps</w:t>
            </w:r>
          </w:p>
        </w:tc>
        <w:tc>
          <w:tcPr>
            <w:tcW w:w="1888" w:type="dxa"/>
          </w:tcPr>
          <w:p w14:paraId="6B208905"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21 días hábiles</w:t>
            </w:r>
          </w:p>
        </w:tc>
        <w:tc>
          <w:tcPr>
            <w:tcW w:w="2070" w:type="dxa"/>
          </w:tcPr>
          <w:p w14:paraId="5A3585FE"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35 días hábiles</w:t>
            </w:r>
          </w:p>
        </w:tc>
      </w:tr>
      <w:tr w:rsidR="000323A2" w:rsidRPr="000323A2" w14:paraId="4EC7D7BE" w14:textId="77777777" w:rsidTr="000323A2">
        <w:trPr>
          <w:tblHeader/>
          <w:jc w:val="center"/>
        </w:trPr>
        <w:tc>
          <w:tcPr>
            <w:tcW w:w="1888" w:type="dxa"/>
          </w:tcPr>
          <w:p w14:paraId="1E5D0F61"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rPr>
              <w:t>E4</w:t>
            </w:r>
          </w:p>
        </w:tc>
        <w:tc>
          <w:tcPr>
            <w:tcW w:w="2502" w:type="dxa"/>
          </w:tcPr>
          <w:p w14:paraId="7323CF55"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139.264 Mbps</w:t>
            </w:r>
          </w:p>
        </w:tc>
        <w:tc>
          <w:tcPr>
            <w:tcW w:w="1888" w:type="dxa"/>
          </w:tcPr>
          <w:p w14:paraId="3FD5DA94"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21 días hábiles</w:t>
            </w:r>
          </w:p>
        </w:tc>
        <w:tc>
          <w:tcPr>
            <w:tcW w:w="2070" w:type="dxa"/>
          </w:tcPr>
          <w:p w14:paraId="0A2F2C6C"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35 días hábiles</w:t>
            </w:r>
          </w:p>
        </w:tc>
      </w:tr>
      <w:tr w:rsidR="000323A2" w:rsidRPr="000323A2" w14:paraId="5C807D59" w14:textId="77777777" w:rsidTr="000323A2">
        <w:trPr>
          <w:tblHeader/>
          <w:jc w:val="center"/>
        </w:trPr>
        <w:tc>
          <w:tcPr>
            <w:tcW w:w="1888" w:type="dxa"/>
          </w:tcPr>
          <w:p w14:paraId="63AC69D1"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STM-1</w:t>
            </w:r>
          </w:p>
        </w:tc>
        <w:tc>
          <w:tcPr>
            <w:tcW w:w="2502" w:type="dxa"/>
          </w:tcPr>
          <w:p w14:paraId="68644FF0"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155.52 Mbps</w:t>
            </w:r>
          </w:p>
        </w:tc>
        <w:tc>
          <w:tcPr>
            <w:tcW w:w="1888" w:type="dxa"/>
          </w:tcPr>
          <w:p w14:paraId="6B5BA24C"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21 días hábiles</w:t>
            </w:r>
          </w:p>
        </w:tc>
        <w:tc>
          <w:tcPr>
            <w:tcW w:w="2070" w:type="dxa"/>
          </w:tcPr>
          <w:p w14:paraId="356E1DF8"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35 días hábiles</w:t>
            </w:r>
          </w:p>
        </w:tc>
      </w:tr>
      <w:tr w:rsidR="000323A2" w:rsidRPr="000323A2" w14:paraId="0E3995BB" w14:textId="77777777" w:rsidTr="000323A2">
        <w:trPr>
          <w:tblHeader/>
          <w:jc w:val="center"/>
        </w:trPr>
        <w:tc>
          <w:tcPr>
            <w:tcW w:w="1888" w:type="dxa"/>
          </w:tcPr>
          <w:p w14:paraId="48559965"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STM-4</w:t>
            </w:r>
          </w:p>
        </w:tc>
        <w:tc>
          <w:tcPr>
            <w:tcW w:w="2502" w:type="dxa"/>
          </w:tcPr>
          <w:p w14:paraId="16EA9E45"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622.08 Mbps</w:t>
            </w:r>
          </w:p>
        </w:tc>
        <w:tc>
          <w:tcPr>
            <w:tcW w:w="1888" w:type="dxa"/>
          </w:tcPr>
          <w:p w14:paraId="41C68A18"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c>
          <w:tcPr>
            <w:tcW w:w="2070" w:type="dxa"/>
          </w:tcPr>
          <w:p w14:paraId="78AC8A11"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r>
      <w:tr w:rsidR="000323A2" w:rsidRPr="000323A2" w14:paraId="0D955354" w14:textId="77777777" w:rsidTr="000323A2">
        <w:trPr>
          <w:tblHeader/>
          <w:jc w:val="center"/>
        </w:trPr>
        <w:tc>
          <w:tcPr>
            <w:tcW w:w="1888" w:type="dxa"/>
          </w:tcPr>
          <w:p w14:paraId="5231DB9B"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STM-16</w:t>
            </w:r>
          </w:p>
        </w:tc>
        <w:tc>
          <w:tcPr>
            <w:tcW w:w="2502" w:type="dxa"/>
          </w:tcPr>
          <w:p w14:paraId="5DC2BDBF"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2,488.32 Mbps</w:t>
            </w:r>
          </w:p>
        </w:tc>
        <w:tc>
          <w:tcPr>
            <w:tcW w:w="1888" w:type="dxa"/>
          </w:tcPr>
          <w:p w14:paraId="12F62C92"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c>
          <w:tcPr>
            <w:tcW w:w="2070" w:type="dxa"/>
          </w:tcPr>
          <w:p w14:paraId="09188AE6"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r>
      <w:tr w:rsidR="000323A2" w:rsidRPr="000323A2" w14:paraId="3A24198D" w14:textId="77777777" w:rsidTr="000323A2">
        <w:trPr>
          <w:tblHeader/>
          <w:jc w:val="center"/>
        </w:trPr>
        <w:tc>
          <w:tcPr>
            <w:tcW w:w="1888" w:type="dxa"/>
          </w:tcPr>
          <w:p w14:paraId="34AA72B7"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STM-64</w:t>
            </w:r>
          </w:p>
        </w:tc>
        <w:tc>
          <w:tcPr>
            <w:tcW w:w="2502" w:type="dxa"/>
          </w:tcPr>
          <w:p w14:paraId="09FFAEF9"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9,953.28 Mbps</w:t>
            </w:r>
          </w:p>
        </w:tc>
        <w:tc>
          <w:tcPr>
            <w:tcW w:w="1888" w:type="dxa"/>
          </w:tcPr>
          <w:p w14:paraId="30E84DCA"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c>
          <w:tcPr>
            <w:tcW w:w="2070" w:type="dxa"/>
          </w:tcPr>
          <w:p w14:paraId="5AFD1539"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r>
      <w:tr w:rsidR="000323A2" w:rsidRPr="000323A2" w14:paraId="789A8F80" w14:textId="77777777" w:rsidTr="000323A2">
        <w:trPr>
          <w:tblHeader/>
          <w:jc w:val="center"/>
        </w:trPr>
        <w:tc>
          <w:tcPr>
            <w:tcW w:w="1888" w:type="dxa"/>
          </w:tcPr>
          <w:p w14:paraId="15F51B01"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STM-256</w:t>
            </w:r>
          </w:p>
        </w:tc>
        <w:tc>
          <w:tcPr>
            <w:tcW w:w="2502" w:type="dxa"/>
          </w:tcPr>
          <w:p w14:paraId="7719B49A"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39,813.12 Mbps</w:t>
            </w:r>
          </w:p>
        </w:tc>
        <w:tc>
          <w:tcPr>
            <w:tcW w:w="1888" w:type="dxa"/>
          </w:tcPr>
          <w:p w14:paraId="30325D79"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c>
          <w:tcPr>
            <w:tcW w:w="2070" w:type="dxa"/>
          </w:tcPr>
          <w:p w14:paraId="1738C998"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r>
      <w:tr w:rsidR="000323A2" w:rsidRPr="000323A2" w14:paraId="26BC5A42" w14:textId="77777777" w:rsidTr="000323A2">
        <w:trPr>
          <w:tblHeader/>
          <w:jc w:val="center"/>
        </w:trPr>
        <w:tc>
          <w:tcPr>
            <w:tcW w:w="1888" w:type="dxa"/>
          </w:tcPr>
          <w:p w14:paraId="5C80260C"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Ethernet</w:t>
            </w:r>
          </w:p>
        </w:tc>
        <w:tc>
          <w:tcPr>
            <w:tcW w:w="2502" w:type="dxa"/>
          </w:tcPr>
          <w:p w14:paraId="3B4080A3"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lang w:val="en-US"/>
              </w:rPr>
            </w:pPr>
            <w:r w:rsidRPr="000323A2">
              <w:rPr>
                <w:rFonts w:ascii="Arial" w:hAnsi="Arial" w:cs="Arial"/>
                <w:sz w:val="24"/>
                <w:szCs w:val="24"/>
                <w:lang w:val="en-US"/>
              </w:rPr>
              <w:t xml:space="preserve">2 Mbps a 100 </w:t>
            </w:r>
            <w:proofErr w:type="spellStart"/>
            <w:r w:rsidRPr="000323A2">
              <w:rPr>
                <w:rFonts w:ascii="Arial" w:hAnsi="Arial" w:cs="Arial"/>
                <w:sz w:val="24"/>
                <w:szCs w:val="24"/>
                <w:lang w:val="en-US"/>
              </w:rPr>
              <w:t>Gbps</w:t>
            </w:r>
            <w:proofErr w:type="spellEnd"/>
          </w:p>
        </w:tc>
        <w:tc>
          <w:tcPr>
            <w:tcW w:w="1888" w:type="dxa"/>
          </w:tcPr>
          <w:p w14:paraId="3493C4BB"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c>
          <w:tcPr>
            <w:tcW w:w="2070" w:type="dxa"/>
          </w:tcPr>
          <w:p w14:paraId="23EF19C5" w14:textId="77777777" w:rsidR="000323A2" w:rsidRPr="000323A2" w:rsidRDefault="000323A2" w:rsidP="000323A2">
            <w:pPr>
              <w:autoSpaceDE w:val="0"/>
              <w:autoSpaceDN w:val="0"/>
              <w:adjustRightInd w:val="0"/>
              <w:spacing w:before="240" w:line="276" w:lineRule="auto"/>
              <w:jc w:val="center"/>
              <w:rPr>
                <w:rFonts w:ascii="Arial" w:hAnsi="Arial" w:cs="Arial"/>
                <w:sz w:val="24"/>
                <w:szCs w:val="24"/>
              </w:rPr>
            </w:pPr>
            <w:r w:rsidRPr="000323A2">
              <w:rPr>
                <w:rFonts w:ascii="Arial" w:hAnsi="Arial" w:cs="Arial"/>
                <w:bCs/>
                <w:sz w:val="24"/>
                <w:szCs w:val="24"/>
                <w:lang w:eastAsia="es-ES"/>
              </w:rPr>
              <w:t>60 días hábiles</w:t>
            </w:r>
          </w:p>
        </w:tc>
      </w:tr>
    </w:tbl>
    <w:p w14:paraId="22DF5897" w14:textId="77777777" w:rsidR="000323A2" w:rsidRPr="000323A2" w:rsidRDefault="000323A2" w:rsidP="000323A2">
      <w:pPr>
        <w:autoSpaceDE w:val="0"/>
        <w:autoSpaceDN w:val="0"/>
        <w:adjustRightInd w:val="0"/>
        <w:spacing w:before="240" w:after="0" w:line="276" w:lineRule="auto"/>
        <w:ind w:left="993" w:right="1041"/>
        <w:jc w:val="both"/>
        <w:rPr>
          <w:rFonts w:ascii="Arial" w:eastAsia="Calibri" w:hAnsi="Arial" w:cs="Arial"/>
          <w:i/>
        </w:rPr>
      </w:pPr>
      <w:r w:rsidRPr="000323A2">
        <w:rPr>
          <w:rFonts w:ascii="Arial" w:eastAsia="Calibri" w:hAnsi="Arial" w:cs="Arial"/>
          <w:i/>
        </w:rPr>
        <w:t>NOTA: El enlace E2 se entrega en 4xE1 (capacidad equivalente del E2), el enlace E4 se entrega como STM-1 para la capacidad equivalente de E4 y el enlace STM-256 se entrega en su capacidad equivalente de 4xSTM-64.</w:t>
      </w:r>
    </w:p>
    <w:p w14:paraId="6D565EB0"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En el caso de que Telmex ofrezca comercialmente a sus Usuarios finales Enlaces Digitales o Enlaces Ethernet con velocidades de transmisión mayores estas deberán cumplir con el criterio de </w:t>
      </w:r>
      <w:proofErr w:type="spellStart"/>
      <w:r w:rsidRPr="000323A2">
        <w:rPr>
          <w:rFonts w:ascii="Arial" w:eastAsia="Calibri" w:hAnsi="Arial" w:cs="Arial"/>
          <w:sz w:val="24"/>
          <w:szCs w:val="24"/>
        </w:rPr>
        <w:t>Replicabilidad</w:t>
      </w:r>
      <w:proofErr w:type="spellEnd"/>
      <w:r w:rsidRPr="000323A2">
        <w:rPr>
          <w:rFonts w:ascii="Arial" w:eastAsia="Calibri" w:hAnsi="Arial" w:cs="Arial"/>
          <w:sz w:val="24"/>
          <w:szCs w:val="24"/>
        </w:rPr>
        <w:t xml:space="preserve"> técnica.</w:t>
      </w:r>
    </w:p>
    <w:p w14:paraId="257B6ADE"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Lo anterior sin perjuicio de lo establecido en las medidas DECIMOSEXTA y TRIGESIMA QUINTA en materia de equivalencia de insumos.</w:t>
      </w:r>
    </w:p>
    <w:p w14:paraId="0ABF93E7"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2.4.1.2 En caso de que un Concesionario Solicitante o Autorizado Solicitante requiera la entrega del Servicio de Arrendamiento de Enlaces Dedicados en un punto donde </w:t>
      </w:r>
      <w:r w:rsidRPr="000323A2">
        <w:rPr>
          <w:rFonts w:ascii="Arial" w:eastAsia="Calibri" w:hAnsi="Arial" w:cs="Arial"/>
          <w:sz w:val="24"/>
          <w:szCs w:val="24"/>
        </w:rPr>
        <w:lastRenderedPageBreak/>
        <w:t>previamente tenga contratado dicho servicio, los plazos de entrega aplicables serán los siguientes:</w:t>
      </w:r>
    </w:p>
    <w:p w14:paraId="7299C2CE" w14:textId="77777777" w:rsidR="000323A2" w:rsidRPr="000323A2" w:rsidRDefault="000323A2" w:rsidP="00B04B36">
      <w:pPr>
        <w:numPr>
          <w:ilvl w:val="0"/>
          <w:numId w:val="4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50% (cincuenta por ciento) del plazo original de entrega (tabla del numeral 2.4.1.1) cuando no se requiera la modificación del medio o del equipo de transmisión.</w:t>
      </w:r>
    </w:p>
    <w:p w14:paraId="0FD35A64" w14:textId="77777777" w:rsidR="000323A2" w:rsidRPr="000323A2" w:rsidRDefault="000323A2" w:rsidP="00B04B36">
      <w:pPr>
        <w:numPr>
          <w:ilvl w:val="0"/>
          <w:numId w:val="4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75% (setenta y cinco por ciento) del plazo original de entrega (tabla del numeral 2.4.1.1) cuando se requiera la modificación del medio o del equipo de transmisión.</w:t>
      </w:r>
    </w:p>
    <w:p w14:paraId="3A3F640D" w14:textId="77777777" w:rsidR="000323A2" w:rsidRPr="000323A2" w:rsidRDefault="000323A2" w:rsidP="00B04B36">
      <w:pPr>
        <w:numPr>
          <w:ilvl w:val="0"/>
          <w:numId w:val="4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100% (cien por ciento) cuando se requiera la ampliación de los medios y de los equipos de transmisión.</w:t>
      </w:r>
    </w:p>
    <w:p w14:paraId="2CEE29A1"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La fracción del día que en su caso resulte de la división del plazo de entrega, computará como un día completo.</w:t>
      </w:r>
    </w:p>
    <w:p w14:paraId="47BFD656"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Una vez entregado el servicio este se validará a través de la suscripción de un Acta de Entrega, debiendo quedar constancia de la aceptación del servicio por parte del Concesionario Solicitante o Autorizado Solicitante, de conformidad con el Anexo “A” de la presente Oferta. Telmex adjuntará dicha acta en el SEG, una vez entregado el servicio. </w:t>
      </w:r>
    </w:p>
    <w:p w14:paraId="258E7AB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2.4.1.3 Para los casos en que el Concesionario Solicitante o Autorizado Solicitante requiera Enlaces de manera anticipada (tiempos de entrega menores a los señalados en la tabla del numeral 2.4.1.1), Telmex responderá a esta petición en un plazo máximo de 2 (dos) días hábiles;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 Una vez realizada la aceptación y pago por parte del Concesionario Solicitante o Autorizado Solicitante se iniciará el conteo del tiempo de entrega acordado entre el Concesionario Solicitante o Autorizado Solicitante y Telmex, el cual no podrá exceder de la mitad de los tiempos señalados en la tabla del numeral 2.4.1.1, y deberá cumplirse al 100% (cien por ciento) de los casos.</w:t>
      </w:r>
    </w:p>
    <w:p w14:paraId="660646F2"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2.4.1.4 En el caso de los enlaces para larga distancia internacional se debe considerar la instalación en dos partes, la primera correspondiente al enlace en el área de concesión de Telmex hasta la frontera cuyo plazo no podrá exceder lo establecido en la tabla del numeral 2.4.1.1, y el segundo tramo correspondiente al enlace suministrado por el operador internacional cuyo plazo será proporcionado por el mismo. </w:t>
      </w:r>
    </w:p>
    <w:p w14:paraId="19DC9FE9"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2.4.1.5 El Concesionario Solicitante o Autorizado Solicitante podrá cancelar los servicios solicitados sin cargo alguno, siempre y cuando dicha cancelación se efectúe antes que le sea notificada la fecha de entrega vinculante. En caso de que la cancelación se realice con posterioridad al plazo anteriormente señalado, el Concesionario Solicitante o </w:t>
      </w:r>
      <w:r w:rsidRPr="000323A2">
        <w:rPr>
          <w:rFonts w:ascii="Arial" w:eastAsia="Calibri" w:hAnsi="Arial" w:cs="Arial"/>
          <w:sz w:val="24"/>
          <w:szCs w:val="24"/>
        </w:rPr>
        <w:lastRenderedPageBreak/>
        <w:t xml:space="preserve">Autorizado Solicitante pagará a Telmex los Gastos de Instalación correspondientes, en términos de lo estipulado en el Anexo “A” del Convenio. </w:t>
      </w:r>
    </w:p>
    <w:p w14:paraId="3FEF79FF"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2.4.1.6 En caso de que las partes acuerden una fecha compromiso (</w:t>
      </w:r>
      <w:proofErr w:type="spellStart"/>
      <w:r w:rsidRPr="000323A2">
        <w:rPr>
          <w:rFonts w:ascii="Arial" w:eastAsia="Calibri" w:hAnsi="Arial" w:cs="Arial"/>
          <w:sz w:val="24"/>
          <w:szCs w:val="24"/>
        </w:rPr>
        <w:t>Due</w:t>
      </w:r>
      <w:proofErr w:type="spellEnd"/>
      <w:r w:rsidRPr="000323A2">
        <w:rPr>
          <w:rFonts w:ascii="Arial" w:eastAsia="Calibri" w:hAnsi="Arial" w:cs="Arial"/>
          <w:sz w:val="24"/>
          <w:szCs w:val="24"/>
        </w:rPr>
        <w:t xml:space="preserve"> Date) con un plazo mayor a los señalados en la tabla de tiempos de entrega del presente numeral, prevalecerá la fecha acordada, misma que estará sujeta a los plazos máximos descritos en el segundo párrafo del numeral 2.4.3.5.</w:t>
      </w:r>
    </w:p>
    <w:p w14:paraId="612808FF"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2.4.2 Reprogramación o modificación de fecha de entrega vinculante</w:t>
      </w:r>
    </w:p>
    <w:p w14:paraId="57EE04EA"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El Concesionario Solicitante o Autorizado Solicitante podrá reprogramar o modificar la fecha de entrega vinculante para que sea posterior a la fecha establecida y antes de que Telmex haya informado que el servicio se encuentra terminado y listo para realizar las pruebas y en los siguientes casos:</w:t>
      </w:r>
    </w:p>
    <w:p w14:paraId="613F5C86"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2.4.2.1 Si la solicitud de reprogramación o modificación de la fecha de entrega vinculante es presentada antes de que Telmex proporcione dicha fecha vinculante, se reiniciará el conteo de los plazos de entrega y se aplicarán los criterios señalados en los incisos 1) y 2) del numeral 2.4.1.1.</w:t>
      </w:r>
    </w:p>
    <w:p w14:paraId="56CD6083"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2.4.2.2 Si la solicitud de reprogramación o modificación de la fecha de entrega vinculante es presentada después de que Telmex proporcione dicha fecha vinculante, la fecha de reprogramación o modificación de entrega se acordará entre las partes y se garantizará un cumplimiento del 100% si la fecha reprogramada es posterior a la fecha de entrega vinculante previamente proporcionada por Telmex.</w:t>
      </w:r>
    </w:p>
    <w:p w14:paraId="1FFC67A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Para los casos descrito en el numeral 2.4.2., los plazos de entrega sujetos a fecha compromiso no podrán exceder el doble de los plazos señalados en la tabla del numeral 2.4.1.1, contados a partir de la fecha de la solicitud de reprogramación. </w:t>
      </w:r>
    </w:p>
    <w:p w14:paraId="3120E78E"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2.4.3 Medición del cumplimiento de los plazos de entrega</w:t>
      </w:r>
    </w:p>
    <w:p w14:paraId="565FF86B"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2.4.3.1 Para la medición del cumplimento de los plazos de entrega, Telmex habiendo demostrado fehacientemente el hecho del que se trate, no se computarán los días de retraso atribuibles a:</w:t>
      </w:r>
    </w:p>
    <w:p w14:paraId="3ACA05CD"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a) Causas de fuerza mayor y casos fortuitos no imputables a Telmex ni al Concesionario Solicitante o Autorizado Solicitante:</w:t>
      </w:r>
    </w:p>
    <w:p w14:paraId="734D56A5" w14:textId="77777777" w:rsidR="000323A2" w:rsidRPr="000323A2" w:rsidRDefault="000323A2" w:rsidP="00B04B36">
      <w:pPr>
        <w:numPr>
          <w:ilvl w:val="0"/>
          <w:numId w:val="50"/>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Los </w:t>
      </w:r>
      <w:proofErr w:type="gramStart"/>
      <w:r w:rsidRPr="000323A2">
        <w:rPr>
          <w:rFonts w:ascii="Arial" w:eastAsia="Calibri" w:hAnsi="Arial" w:cs="Arial"/>
          <w:sz w:val="24"/>
          <w:szCs w:val="24"/>
        </w:rPr>
        <w:t>que</w:t>
      </w:r>
      <w:proofErr w:type="gramEnd"/>
      <w:r w:rsidRPr="000323A2">
        <w:rPr>
          <w:rFonts w:ascii="Arial" w:eastAsia="Calibri" w:hAnsi="Arial" w:cs="Arial"/>
          <w:sz w:val="24"/>
          <w:szCs w:val="24"/>
        </w:rPr>
        <w:t xml:space="preserve"> de manera enunciativa más no limitativa, pueden consistir en: inundaciones, guerras, huracanes, incendios, huelgas, motines, sismos, terremotos, explosiones, guerra, insurrección, disturbios y condiciones climatológicas adversas que retrasen los trabajos de instalación del servicio.</w:t>
      </w:r>
    </w:p>
    <w:p w14:paraId="7901FB96"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lastRenderedPageBreak/>
        <w:t>b)  Cualquier causa imputable al Concesionario Solicitante o Autorizado Solicitante o su cliente final, entre otras:</w:t>
      </w:r>
    </w:p>
    <w:p w14:paraId="5C1DAF3D" w14:textId="77777777" w:rsidR="000323A2" w:rsidRPr="000323A2" w:rsidRDefault="000323A2" w:rsidP="00B04B36">
      <w:pPr>
        <w:numPr>
          <w:ilvl w:val="0"/>
          <w:numId w:val="50"/>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Los retrasos imputables al Concesionario Solicitante o Autorizado Solicitante en la obtención de permisos para acceder dentro de los sitios del propio Concesionario Solicitante o Autorizado Solicitante, del cliente final o de cualquier tercero como pueden ser entre otros: plazas comerciales, parques industriales, fábricas, edificios corporativos, aeropuertos. Esto es, Telmex solo está obligado a gestionar los permisos necesarios para llevar los servicios a través de la vía pública, siendo responsabilidad del Concesionario Solicitante o Autorizado Solicitante tramitar los permisos necesarios una vez que inicia la propiedad privada.</w:t>
      </w:r>
    </w:p>
    <w:p w14:paraId="79D899D6" w14:textId="77777777" w:rsidR="000323A2" w:rsidRPr="000323A2" w:rsidRDefault="000323A2" w:rsidP="00B04B36">
      <w:pPr>
        <w:numPr>
          <w:ilvl w:val="0"/>
          <w:numId w:val="50"/>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Telmex, entrega de documentación específica con varios días de anticipación de los técnicos de Telmex.</w:t>
      </w:r>
    </w:p>
    <w:p w14:paraId="0592AF6A"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c) Causas imputables a terceros, entre otras:</w:t>
      </w:r>
    </w:p>
    <w:p w14:paraId="676034F8" w14:textId="77777777" w:rsidR="000323A2" w:rsidRPr="000323A2" w:rsidRDefault="000323A2" w:rsidP="00B04B36">
      <w:pPr>
        <w:numPr>
          <w:ilvl w:val="0"/>
          <w:numId w:val="51"/>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Aquellos no imputables a Telmex, los </w:t>
      </w:r>
      <w:proofErr w:type="gramStart"/>
      <w:r w:rsidRPr="000323A2">
        <w:rPr>
          <w:rFonts w:ascii="Arial" w:eastAsia="Calibri" w:hAnsi="Arial" w:cs="Arial"/>
          <w:sz w:val="24"/>
          <w:szCs w:val="24"/>
        </w:rPr>
        <w:t>que</w:t>
      </w:r>
      <w:proofErr w:type="gramEnd"/>
      <w:r w:rsidRPr="000323A2">
        <w:rPr>
          <w:rFonts w:ascii="Arial" w:eastAsia="Calibri" w:hAnsi="Arial" w:cs="Arial"/>
          <w:sz w:val="24"/>
          <w:szCs w:val="24"/>
        </w:rPr>
        <w:t xml:space="preserve"> de manera enunciativa más no limitativa, pueden consistir en: retrasos por permisos de trabajos en vías públicas (municipales, estatales o federales), acceso en zonas ejidales o comunales, plantones en vía pública que impida el acceso a la zona de atención.</w:t>
      </w:r>
    </w:p>
    <w:p w14:paraId="70DD0886" w14:textId="77777777" w:rsidR="000323A2" w:rsidRPr="000323A2" w:rsidRDefault="000323A2" w:rsidP="00B04B36">
      <w:pPr>
        <w:numPr>
          <w:ilvl w:val="0"/>
          <w:numId w:val="51"/>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En situaciones de inseguridad en las que se requiera el apoyo de la fuerza pública para desplazarse o circular a horas específicas del día.</w:t>
      </w:r>
    </w:p>
    <w:p w14:paraId="6A9CF53D" w14:textId="77777777" w:rsidR="000323A2" w:rsidRPr="000323A2" w:rsidRDefault="000323A2" w:rsidP="000323A2">
      <w:p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En caso de que la ocurrencia de alguna de las situaciones anteriormente señaladas implique un Paro de Reloj, Telmex informará mediante el SEG al Concesionario Solicitante o Autorizado Solicitante, y una vez restablecidas las condiciones para continuar se informará mediante el SEG la reanudación de los trabajos. Solo en el caso de que exista una imposibilidad técnica para realizar el informe vía SEG, éste podrá llevarse a cabo vía una llamada telefónica o al correo electrónico del ejecutivo de cuenta que le sea asignado en el formato establecido en el Anexo “B” de la Oferta; una vez habilitado el SEG, Telmex deberá garantizar que se pueda dar continuidad al procedimiento correspondiente a través de dicho sistema.</w:t>
      </w:r>
      <w:r w:rsidRPr="000323A2" w:rsidDel="00C6296B">
        <w:rPr>
          <w:rFonts w:ascii="Arial" w:eastAsia="Calibri" w:hAnsi="Arial" w:cs="Arial"/>
          <w:sz w:val="24"/>
          <w:szCs w:val="24"/>
        </w:rPr>
        <w:t xml:space="preserve"> </w:t>
      </w:r>
    </w:p>
    <w:p w14:paraId="2279090B" w14:textId="77777777" w:rsidR="000323A2" w:rsidRPr="000323A2" w:rsidRDefault="000323A2" w:rsidP="000323A2">
      <w:p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2.4.3.2 Cuando se requiera el despliegue de nueva obra civil, que implique la obtención de permisos de autoridades federales, estatales o municipales y que excedan un kilómetro lineal, o mayor a 500 metros lineales si el despliegue está destinado a atender zonas turísticas, industriales, residenciales, comerciales de alta relevancia, el conteo del </w:t>
      </w:r>
      <w:r w:rsidRPr="000323A2">
        <w:rPr>
          <w:rFonts w:ascii="Arial" w:eastAsia="Calibri" w:hAnsi="Arial" w:cs="Arial"/>
          <w:sz w:val="24"/>
          <w:szCs w:val="24"/>
        </w:rPr>
        <w:lastRenderedPageBreak/>
        <w:t>plazo de instalación se detendrá conforme a los términos y condiciones de la Oferta de Compartición de Infraestructura que para este efecto establezca.</w:t>
      </w:r>
    </w:p>
    <w:p w14:paraId="185CA358"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2.4.3.3 Con la finalidad de que Telmex pueda realizar la instalación de los elementos necesarios para prestar los servicios contratados, el Concesionario Solicitante o Autorizado Solicitante notificará a Telmex que los insumos y las adecuaciones, señalados en el Anexo “E” de la Oferta, se encuentran disponibles en el sitio donde recibirá los servicios contratados.</w:t>
      </w:r>
    </w:p>
    <w:p w14:paraId="34F33139"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2.4.3.4 Una vez que Telmex notifique al Concesionario Solicitante o Autorizado Solicitante que el servicio se encuentra terminado, instalado y listo para realizar las pruebas se detendrá el cómputo del plazo de entrega. Las partes tendrán un plazo de 2 (dos) días hábiles para realizar las pruebas de transmisión y concluir la entrega del servicio. En caso de que dicha prueba no se realice por causas imputables al Concesionario Solicitante o Autorizado Solicitante o su cliente y se venza este plazo, Telmex iniciará la facturación correspondiente y se reprogramará la entrega del servicio cuando el Concesionario Solicitante o Autorizado Solicitante notifique que se encuentra listo para recibirlo.</w:t>
      </w:r>
    </w:p>
    <w:p w14:paraId="70B431C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2.4.3.5 En caso de que los servicios solicitados excedan un 20% o más de los pronosticados, los Enlaces excedentes serán instalados en un plazo definido por mutuo acuerdo bajo esquema fecha compromiso (</w:t>
      </w:r>
      <w:proofErr w:type="spellStart"/>
      <w:r w:rsidRPr="000323A2">
        <w:rPr>
          <w:rFonts w:ascii="Arial" w:eastAsia="Calibri" w:hAnsi="Arial" w:cs="Arial"/>
          <w:sz w:val="24"/>
          <w:szCs w:val="24"/>
        </w:rPr>
        <w:t>Due</w:t>
      </w:r>
      <w:proofErr w:type="spellEnd"/>
      <w:r w:rsidRPr="000323A2">
        <w:rPr>
          <w:rFonts w:ascii="Arial" w:eastAsia="Calibri" w:hAnsi="Arial" w:cs="Arial"/>
          <w:sz w:val="24"/>
          <w:szCs w:val="24"/>
        </w:rPr>
        <w:t xml:space="preserve"> Date). Situación que será informada al Instituto, junto con las nuevas fechas de entrega.</w:t>
      </w:r>
    </w:p>
    <w:p w14:paraId="4BE6392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En caso de no existir un acuerdo entre las partes para establecer la fecha compromiso (</w:t>
      </w:r>
      <w:proofErr w:type="spellStart"/>
      <w:r w:rsidRPr="000323A2">
        <w:rPr>
          <w:rFonts w:ascii="Arial" w:eastAsia="Calibri" w:hAnsi="Arial" w:cs="Arial"/>
          <w:sz w:val="24"/>
          <w:szCs w:val="24"/>
        </w:rPr>
        <w:t>Due</w:t>
      </w:r>
      <w:proofErr w:type="spellEnd"/>
      <w:r w:rsidRPr="000323A2">
        <w:rPr>
          <w:rFonts w:ascii="Arial" w:eastAsia="Calibri" w:hAnsi="Arial" w:cs="Arial"/>
          <w:sz w:val="24"/>
          <w:szCs w:val="24"/>
        </w:rPr>
        <w:t xml:space="preserve"> Date), prevalecerán los siguientes plazos: Tratándose de velocidades de NX64 hasta STM-1 dicha fecha compromiso no podrá exceder de 40 días hábiles para enlaces locales y de 50 días hábiles para enlaces entre localidades; mientras que para velocidades de STM-4 hasta STM-256 y enlaces Ethernet no podrá exceder de 60 días hábiles tanto para enlaces locales como para enlaces entre localidades.</w:t>
      </w:r>
    </w:p>
    <w:p w14:paraId="5A2B0D8B"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2.5 Proceso de Validación de las solicitudes de Servicios.</w:t>
      </w:r>
    </w:p>
    <w:p w14:paraId="40B363D0"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2.5.1 Las solicitudes serán válidas y exigibles en el momento que Telmex entregue el número de referencia asociado a cada servicio, lo cual sucederá en un plazo máximo de 2 (dos) días hábiles posteriores a la recepción de las solicitudes. En caso de ser rechazada por información incompleta o incorrecta, se presentará una nueva solicitud.</w:t>
      </w:r>
    </w:p>
    <w:p w14:paraId="3D0905FE"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2.5.2 Las solicitudes incluirán las coordenadas (latitud y longitud) y croquis de localización del inmueble en donde se entregará el servicio, así como la ubicación específica del local al interior del inmueble donde se indique la ubicación del equipo a instalar.</w:t>
      </w:r>
    </w:p>
    <w:p w14:paraId="1E37BC8A"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lastRenderedPageBreak/>
        <w:t xml:space="preserve">2.5.3 Una vez aceptada la solicitud y entregada la referencia correspondiente, el Concesionario Solicitante o Autorizado Solicitante, proporcionará dentro de los 3 (tres) días hábiles siguientes el diagrama con las indicaciones de las trayectorias de los cableados desde las acometidas del predio hasta el punto de ubicación del mismo equipo indicando las condiciones especiales que se deban atender. En caso de que el Concesionario Solicitante o Autorizado Solicitante no proporcione el diagrama, se realizará un Paro de Reloj hasta que el diagrama sea entregado o el Concesionario Solicitante o Autorizado Solicitante podrá solicitar a Telmex el </w:t>
      </w:r>
      <w:proofErr w:type="spellStart"/>
      <w:r w:rsidRPr="000323A2">
        <w:rPr>
          <w:rFonts w:ascii="Arial" w:eastAsia="Calibri" w:hAnsi="Arial" w:cs="Arial"/>
          <w:sz w:val="24"/>
          <w:szCs w:val="24"/>
        </w:rPr>
        <w:t>site</w:t>
      </w:r>
      <w:proofErr w:type="spellEnd"/>
      <w:r w:rsidRPr="000323A2">
        <w:rPr>
          <w:rFonts w:ascii="Arial" w:eastAsia="Calibri" w:hAnsi="Arial" w:cs="Arial"/>
          <w:sz w:val="24"/>
          <w:szCs w:val="24"/>
        </w:rPr>
        <w:t xml:space="preserve"> </w:t>
      </w:r>
      <w:proofErr w:type="spellStart"/>
      <w:r w:rsidRPr="000323A2">
        <w:rPr>
          <w:rFonts w:ascii="Arial" w:eastAsia="Calibri" w:hAnsi="Arial" w:cs="Arial"/>
          <w:sz w:val="24"/>
          <w:szCs w:val="24"/>
        </w:rPr>
        <w:t>survey</w:t>
      </w:r>
      <w:proofErr w:type="spellEnd"/>
      <w:r w:rsidRPr="000323A2">
        <w:rPr>
          <w:rFonts w:ascii="Arial" w:eastAsia="Calibri" w:hAnsi="Arial" w:cs="Arial"/>
          <w:sz w:val="24"/>
          <w:szCs w:val="24"/>
        </w:rPr>
        <w:t xml:space="preserve"> y se hará un Paro de Reloj hasta que se concluya el mismo, el cual incluirá previamente una cotización para la realización de este trabajo de acuerdo a las condiciones particulares de cada sitio, en este último caso, Telmex tendrá 1 (un) día hábil para cotizar el trabajo, el Concesionario Solicitante o Autorizado Solicitante tendrá 1 (un) día hábil para aceptar o rechazar la cotización y, en su caso, Telmex tendrá 4 (cuatro) días hábiles para realizar la visita una vez que el Concesionario Solicitante o Autorizado Solicitante otorgue el acceso al sitio.</w:t>
      </w:r>
    </w:p>
    <w:p w14:paraId="5B48B6C0" w14:textId="77777777" w:rsidR="000323A2" w:rsidRPr="000323A2" w:rsidRDefault="000323A2" w:rsidP="000323A2">
      <w:p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2.5.4 El Concesionario Solicitante o Autorizado Solicitante llevará a cabo todas las acciones necesarias con la finalidad de que Telmex acceda a los sitios en la hora y día indicados por ésta para la realización de los trabajos correspondientes, lo cual implica, de manera enunciativa mas no limitativa, trámites con terceros, permisos, condiciones de seguridad y documentación que sea requerida. En caso de que Telmex no cuente con las facilidades de accesos a los sitios, se realizará un Paro de Reloj hasta que el Concesionario Solicitante o Autorizado Solicitante confirme a Telmex las facilidades de acceso.</w:t>
      </w:r>
    </w:p>
    <w:p w14:paraId="0F97BB92"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2.5.5 Telmex notificará la fecha de entrega vinculante de los Enlaces al Concesionario Solicitante o Autorizado Solicitante en un plazo máximo de 7 (siete) días hábiles a partir de la entrega del número de referencia para enlaces de velocidades 8.448 Mbps e inferiores, de 10 (diez) días hábiles a partir de la entrega del número de referencia para velocidades de 34.368 Mbps a 155.52 Mbps y de 30 (treinta) días hábiles a partir de la entrega del número de referencia para velocidades de 622.08 Mbps y superiores, así como Enlaces Ethernet, tratándose de la entrega del servicio en un punto en el que previamente ya se tenga contratado el servicio o en caso de que se requiera la provisión del servicio de manera anticipada, deberá notificar la fecha de entrega vinculante en un plazo máximo de 5 (cinco) días hábiles a partir de la entrega del número de referencia.</w:t>
      </w:r>
    </w:p>
    <w:p w14:paraId="4B037F0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2.5.6 En caso de que Telmex no pueda proporcionar el servicio bajo las condiciones existentes de infraestructura (tales como instalación de equipos nuevos, exceder la distancia de la última milla establecido por el diseño de los equipos terminales para la correcta operación de un servicio, o que el Concesionario Solicitante o Autorizado </w:t>
      </w:r>
      <w:r w:rsidRPr="000323A2">
        <w:rPr>
          <w:rFonts w:ascii="Arial" w:eastAsia="Calibri" w:hAnsi="Arial" w:cs="Arial"/>
          <w:sz w:val="24"/>
          <w:szCs w:val="24"/>
        </w:rPr>
        <w:lastRenderedPageBreak/>
        <w:t>Solicitante requiera algún medio de transmisión en particular diferente al existente, entre otros), la acción para solucionar esta situación será tratada como Proyecto Especial.</w:t>
      </w:r>
    </w:p>
    <w:p w14:paraId="602CB862" w14:textId="77777777" w:rsidR="000323A2" w:rsidRPr="000323A2" w:rsidRDefault="000323A2" w:rsidP="000323A2">
      <w:pPr>
        <w:autoSpaceDE w:val="0"/>
        <w:autoSpaceDN w:val="0"/>
        <w:spacing w:before="240" w:line="276" w:lineRule="auto"/>
        <w:jc w:val="both"/>
        <w:rPr>
          <w:rFonts w:ascii="Arial" w:eastAsia="Calibri" w:hAnsi="Arial" w:cs="Arial"/>
          <w:sz w:val="24"/>
          <w:szCs w:val="24"/>
        </w:rPr>
      </w:pPr>
      <w:r w:rsidRPr="000323A2">
        <w:rPr>
          <w:rFonts w:ascii="Arial" w:eastAsia="Calibri" w:hAnsi="Arial" w:cs="Arial"/>
          <w:sz w:val="24"/>
          <w:szCs w:val="24"/>
        </w:rPr>
        <w:t xml:space="preserve">Telmex notificará los términos de este Proyecto Especial en un plazo máximo de 7 (siete) días hábiles contados a partir de la recepción de la solicitud del Servicio, el cual contendrá la justificación y la solución técnica propuestas, la cotización para proporcionar los enlaces solicitados y el plazo de entrega. La justificación y la solución propuesta deberán señalar expresamente las razones por las cuales se considera un Proyecto Especial e identificar claramente los elementos de costo adicionales a aquellos considerados dentro de la presenta Oferta. </w:t>
      </w:r>
    </w:p>
    <w:p w14:paraId="2EAA7213"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La cotización entregada al Concesionario Solicitante o Autorizado Solicitante se entenderá como una oferta comercial que contará con una vigencia de 10 (diez) días hábiles contados a partir de su notificación, plazo dentro del cual el Concesionario Solicitante o Autorizado Solicitante notificará su aceptación a Telmex, realizará el pago respectivo a través de los medios convenidos, e informará posteriormente cuando el acondicionamiento del sitio esté listo. En caso de no recibir respuesta o no realizar el pago dentro del plazo de vigencia de 10 (diez) días hábiles referido, se tendrá por cancelada la solicitud y oferta.</w:t>
      </w:r>
    </w:p>
    <w:p w14:paraId="5BE72103"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2.5.7 En esta oferta, los cambios de domicilio, cambios de ubicación y cambios de velocidad representarán una solicitud de alta, por lo que se les dará el tratamiento de una solicitud de alta por el nuevo servicio que sustituirá al anterior y una vez entregado, se aceptará la baja de este último servicio.</w:t>
      </w:r>
    </w:p>
    <w:p w14:paraId="4CEA4F53"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En el caso de aumentos de velocidad que no impliquen cambio de tecnología sino solamente cambio o modificación en los equipos terminales, no existirá penalidad por el incumplimiento del plazo forzoso del enlace anterior en tanto el plazo forzoso del nuevo enlace que lo sustituye sea mayor al tiempo remanente del enlace anterior.</w:t>
      </w:r>
    </w:p>
    <w:p w14:paraId="53F1F7D2"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2.5.8 Los avisos y notificaciones se harán mediante el SEG. Solo en el caso de que exista una imposibilidad técnica para realizar los avisos y notificaciones vía SEG, éste podrá llevarse a cabo vía una llamada telefónica, o al correo electrónico del ejecutivo de cuenta que le sea asignado en el formato establecido en el Anexo “B” de la Oferta; una vez habilitado el SEG Telmex deberá garantizar que se pueda dar continuidad al procedimiento correspondiente a través de dicho sistema.</w:t>
      </w:r>
    </w:p>
    <w:p w14:paraId="04BD16DF"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2.6 Operación y mantenimiento.</w:t>
      </w:r>
    </w:p>
    <w:p w14:paraId="65232BD9"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lastRenderedPageBreak/>
        <w:t>2.6.1 La operación y mantenimiento de los Servicios, será responsabilidad de Telmex a partir de la fecha de entrega y recepción de los mismos, fecha que será considerada en este documento para el inicio de la facturación correspondiente.</w:t>
      </w:r>
    </w:p>
    <w:p w14:paraId="1155FE93"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2.6.2 Los reportes de afectaciones que pudieran ocurrir en la prestación de los Enlaces Dedicados podrán presentarse mediante el Sistema electrónico de Gestión o a través de llamada telefónica al Centro de Atención a Operadores Telmex (018007134100), dichos canales se mantendrán operando las 24 (veinticuatro) horas del día, los 7 (siete) días de la semana.</w:t>
      </w:r>
    </w:p>
    <w:p w14:paraId="2B13FF9B"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En relación con las afectaciones que pudieran ocurrir con el Servicio de Arrendamiento de Enlaces Dedicados, Telmex se compromete a solucionarlos considerando su ubicación y gravedad, contados a partir de la debida y formal notificación a Telmex, de conformidad con los siguientes plazos:</w:t>
      </w:r>
    </w:p>
    <w:p w14:paraId="3941AB9C" w14:textId="77777777" w:rsidR="000323A2" w:rsidRPr="000323A2" w:rsidRDefault="000323A2" w:rsidP="000323A2">
      <w:pPr>
        <w:autoSpaceDE w:val="0"/>
        <w:autoSpaceDN w:val="0"/>
        <w:adjustRightInd w:val="0"/>
        <w:spacing w:before="240" w:after="0" w:line="276" w:lineRule="auto"/>
        <w:jc w:val="center"/>
        <w:rPr>
          <w:rFonts w:ascii="Arial" w:eastAsia="Calibri" w:hAnsi="Arial" w:cs="Arial"/>
          <w:sz w:val="24"/>
          <w:szCs w:val="24"/>
        </w:rPr>
      </w:pPr>
      <w:r w:rsidRPr="000323A2">
        <w:rPr>
          <w:rFonts w:ascii="Arial" w:eastAsia="Calibri" w:hAnsi="Arial" w:cs="Arial"/>
          <w:b/>
          <w:bCs/>
          <w:sz w:val="24"/>
          <w:szCs w:val="24"/>
        </w:rPr>
        <w:t>Plazos máximos</w:t>
      </w:r>
    </w:p>
    <w:tbl>
      <w:tblPr>
        <w:tblStyle w:val="Cuadrculadetablaclara1"/>
        <w:tblW w:w="0" w:type="auto"/>
        <w:jc w:val="center"/>
        <w:tblLook w:val="00A0" w:firstRow="1" w:lastRow="0" w:firstColumn="1" w:lastColumn="0" w:noHBand="0" w:noVBand="0"/>
        <w:tblCaption w:val="Tabla"/>
        <w:tblDescription w:val="Plazos máximos"/>
      </w:tblPr>
      <w:tblGrid>
        <w:gridCol w:w="2084"/>
        <w:gridCol w:w="2412"/>
      </w:tblGrid>
      <w:tr w:rsidR="000323A2" w:rsidRPr="000323A2" w14:paraId="0BF5401F" w14:textId="77777777" w:rsidTr="000323A2">
        <w:trPr>
          <w:tblHeader/>
          <w:jc w:val="center"/>
        </w:trPr>
        <w:tc>
          <w:tcPr>
            <w:tcW w:w="2084" w:type="dxa"/>
            <w:shd w:val="clear" w:color="auto" w:fill="D9D9D9"/>
          </w:tcPr>
          <w:p w14:paraId="27615265" w14:textId="77777777" w:rsidR="000323A2" w:rsidRPr="000323A2" w:rsidRDefault="000323A2" w:rsidP="000323A2">
            <w:pPr>
              <w:autoSpaceDE w:val="0"/>
              <w:autoSpaceDN w:val="0"/>
              <w:adjustRightInd w:val="0"/>
              <w:spacing w:before="120" w:line="276" w:lineRule="auto"/>
              <w:jc w:val="center"/>
              <w:rPr>
                <w:rFonts w:ascii="Arial" w:hAnsi="Arial" w:cs="Arial"/>
                <w:b/>
                <w:sz w:val="24"/>
                <w:szCs w:val="24"/>
              </w:rPr>
            </w:pPr>
            <w:r w:rsidRPr="000323A2">
              <w:rPr>
                <w:rFonts w:ascii="Arial" w:hAnsi="Arial" w:cs="Arial"/>
                <w:b/>
                <w:sz w:val="24"/>
                <w:szCs w:val="24"/>
              </w:rPr>
              <w:t>Tipo de incidencia</w:t>
            </w:r>
          </w:p>
        </w:tc>
        <w:tc>
          <w:tcPr>
            <w:tcW w:w="2412" w:type="dxa"/>
            <w:shd w:val="clear" w:color="auto" w:fill="D9D9D9"/>
          </w:tcPr>
          <w:p w14:paraId="5BA2B48C"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rPr>
            </w:pPr>
            <w:r w:rsidRPr="000323A2">
              <w:rPr>
                <w:rFonts w:ascii="Arial" w:hAnsi="Arial" w:cs="Arial"/>
                <w:b/>
                <w:bCs/>
                <w:sz w:val="24"/>
                <w:szCs w:val="24"/>
              </w:rPr>
              <w:t>Enlaces locales, entre Localidades y larga distancia internacional</w:t>
            </w:r>
          </w:p>
        </w:tc>
      </w:tr>
      <w:tr w:rsidR="000323A2" w:rsidRPr="000323A2" w14:paraId="0C4F332C" w14:textId="77777777" w:rsidTr="000323A2">
        <w:trPr>
          <w:tblHeader/>
          <w:jc w:val="center"/>
        </w:trPr>
        <w:tc>
          <w:tcPr>
            <w:tcW w:w="2084" w:type="dxa"/>
          </w:tcPr>
          <w:p w14:paraId="5AA98FE5"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rPr>
            </w:pPr>
            <w:r w:rsidRPr="000323A2">
              <w:rPr>
                <w:rFonts w:ascii="Arial" w:hAnsi="Arial" w:cs="Arial"/>
                <w:sz w:val="24"/>
                <w:szCs w:val="24"/>
              </w:rPr>
              <w:t>Prioridad 1</w:t>
            </w:r>
          </w:p>
        </w:tc>
        <w:tc>
          <w:tcPr>
            <w:tcW w:w="2412" w:type="dxa"/>
          </w:tcPr>
          <w:p w14:paraId="36022B98" w14:textId="77777777" w:rsidR="000323A2" w:rsidRPr="000323A2" w:rsidRDefault="000323A2" w:rsidP="000323A2">
            <w:pPr>
              <w:spacing w:before="120" w:line="276" w:lineRule="auto"/>
              <w:jc w:val="center"/>
              <w:rPr>
                <w:rFonts w:ascii="Arial" w:hAnsi="Arial" w:cs="Arial"/>
                <w:sz w:val="24"/>
                <w:szCs w:val="24"/>
              </w:rPr>
            </w:pPr>
            <w:r w:rsidRPr="000323A2">
              <w:rPr>
                <w:rFonts w:ascii="Arial" w:hAnsi="Arial" w:cs="Arial"/>
                <w:bCs/>
                <w:sz w:val="24"/>
                <w:szCs w:val="24"/>
                <w:lang w:eastAsia="es-ES"/>
              </w:rPr>
              <w:t>4 horas</w:t>
            </w:r>
          </w:p>
        </w:tc>
      </w:tr>
      <w:tr w:rsidR="000323A2" w:rsidRPr="000323A2" w14:paraId="46DC5104" w14:textId="77777777" w:rsidTr="000323A2">
        <w:trPr>
          <w:tblHeader/>
          <w:jc w:val="center"/>
        </w:trPr>
        <w:tc>
          <w:tcPr>
            <w:tcW w:w="2084" w:type="dxa"/>
          </w:tcPr>
          <w:p w14:paraId="556AE75D"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rPr>
            </w:pPr>
            <w:r w:rsidRPr="000323A2">
              <w:rPr>
                <w:rFonts w:ascii="Arial" w:hAnsi="Arial" w:cs="Arial"/>
                <w:sz w:val="24"/>
                <w:szCs w:val="24"/>
              </w:rPr>
              <w:t>Prioridad 2</w:t>
            </w:r>
          </w:p>
        </w:tc>
        <w:tc>
          <w:tcPr>
            <w:tcW w:w="2412" w:type="dxa"/>
          </w:tcPr>
          <w:p w14:paraId="013AC676" w14:textId="77777777" w:rsidR="000323A2" w:rsidRPr="000323A2" w:rsidRDefault="000323A2" w:rsidP="000323A2">
            <w:pPr>
              <w:spacing w:before="120" w:line="276" w:lineRule="auto"/>
              <w:jc w:val="center"/>
              <w:rPr>
                <w:rFonts w:ascii="Arial" w:hAnsi="Arial" w:cs="Arial"/>
                <w:sz w:val="24"/>
                <w:szCs w:val="24"/>
              </w:rPr>
            </w:pPr>
            <w:r w:rsidRPr="000323A2">
              <w:rPr>
                <w:rFonts w:ascii="Arial" w:hAnsi="Arial" w:cs="Arial"/>
                <w:bCs/>
                <w:sz w:val="24"/>
                <w:szCs w:val="24"/>
                <w:lang w:eastAsia="es-ES"/>
              </w:rPr>
              <w:t>8 horas</w:t>
            </w:r>
          </w:p>
        </w:tc>
      </w:tr>
      <w:tr w:rsidR="000323A2" w:rsidRPr="000323A2" w14:paraId="4F2E2B5B" w14:textId="77777777" w:rsidTr="000323A2">
        <w:trPr>
          <w:tblHeader/>
          <w:jc w:val="center"/>
        </w:trPr>
        <w:tc>
          <w:tcPr>
            <w:tcW w:w="2084" w:type="dxa"/>
          </w:tcPr>
          <w:p w14:paraId="0D1CF07B" w14:textId="77777777" w:rsidR="000323A2" w:rsidRPr="000323A2" w:rsidRDefault="000323A2" w:rsidP="000323A2">
            <w:pPr>
              <w:autoSpaceDE w:val="0"/>
              <w:autoSpaceDN w:val="0"/>
              <w:adjustRightInd w:val="0"/>
              <w:spacing w:before="120" w:line="276" w:lineRule="auto"/>
              <w:jc w:val="center"/>
              <w:rPr>
                <w:rFonts w:ascii="Arial" w:hAnsi="Arial" w:cs="Arial"/>
                <w:sz w:val="24"/>
                <w:szCs w:val="24"/>
              </w:rPr>
            </w:pPr>
            <w:r w:rsidRPr="000323A2">
              <w:rPr>
                <w:rFonts w:ascii="Arial" w:hAnsi="Arial" w:cs="Arial"/>
                <w:sz w:val="24"/>
                <w:szCs w:val="24"/>
              </w:rPr>
              <w:t>Prioridad 3</w:t>
            </w:r>
          </w:p>
        </w:tc>
        <w:tc>
          <w:tcPr>
            <w:tcW w:w="2412" w:type="dxa"/>
          </w:tcPr>
          <w:p w14:paraId="2A425E73" w14:textId="77777777" w:rsidR="000323A2" w:rsidRPr="000323A2" w:rsidRDefault="000323A2" w:rsidP="000323A2">
            <w:pPr>
              <w:spacing w:before="120" w:line="276" w:lineRule="auto"/>
              <w:jc w:val="center"/>
              <w:rPr>
                <w:rFonts w:ascii="Arial" w:hAnsi="Arial" w:cs="Arial"/>
                <w:sz w:val="24"/>
                <w:szCs w:val="24"/>
              </w:rPr>
            </w:pPr>
            <w:r w:rsidRPr="000323A2">
              <w:rPr>
                <w:rFonts w:ascii="Arial" w:hAnsi="Arial" w:cs="Arial"/>
                <w:bCs/>
                <w:sz w:val="24"/>
                <w:szCs w:val="24"/>
                <w:lang w:eastAsia="es-ES"/>
              </w:rPr>
              <w:t>10 horas</w:t>
            </w:r>
          </w:p>
        </w:tc>
      </w:tr>
    </w:tbl>
    <w:p w14:paraId="39422A22"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2.6.3 El alcance de cada Prioridad se enuncia a continuación:</w:t>
      </w:r>
    </w:p>
    <w:p w14:paraId="3A573FA8"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Prioridad 1: Se considerarán con tal carácter a las que consistan en lo siguiente:</w:t>
      </w:r>
    </w:p>
    <w:p w14:paraId="4031D9B0" w14:textId="77777777" w:rsidR="000323A2" w:rsidRPr="000323A2" w:rsidRDefault="000323A2" w:rsidP="00B04B36">
      <w:pPr>
        <w:numPr>
          <w:ilvl w:val="0"/>
          <w:numId w:val="52"/>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Corte permanente de circuito sin redundancia.</w:t>
      </w:r>
    </w:p>
    <w:p w14:paraId="5378FD9E" w14:textId="77777777" w:rsidR="000323A2" w:rsidRPr="000323A2" w:rsidRDefault="000323A2" w:rsidP="00B04B36">
      <w:pPr>
        <w:numPr>
          <w:ilvl w:val="0"/>
          <w:numId w:val="52"/>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Cortes intermitentes o errores en circuito sin redundancia</w:t>
      </w:r>
    </w:p>
    <w:p w14:paraId="63A67794" w14:textId="77777777" w:rsidR="000323A2" w:rsidRPr="000323A2" w:rsidRDefault="000323A2" w:rsidP="00B04B36">
      <w:pPr>
        <w:numPr>
          <w:ilvl w:val="0"/>
          <w:numId w:val="52"/>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Degradación total del servicio.</w:t>
      </w:r>
    </w:p>
    <w:p w14:paraId="04465929"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Prioridad 2: Se considerarán con tal carácter a las que consistan de lo siguiente:</w:t>
      </w:r>
    </w:p>
    <w:p w14:paraId="19D73F0E" w14:textId="77777777" w:rsidR="000323A2" w:rsidRPr="000323A2" w:rsidRDefault="000323A2" w:rsidP="00B04B36">
      <w:pPr>
        <w:numPr>
          <w:ilvl w:val="0"/>
          <w:numId w:val="53"/>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Cortes intermitentes o errores en circuito sin redundancia no suponiendo incomunicación sino degradación del servicio.</w:t>
      </w:r>
    </w:p>
    <w:p w14:paraId="719AC8A9" w14:textId="77777777" w:rsidR="000323A2" w:rsidRPr="000323A2" w:rsidRDefault="000323A2" w:rsidP="00B04B36">
      <w:pPr>
        <w:numPr>
          <w:ilvl w:val="0"/>
          <w:numId w:val="53"/>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Corte permanente de circuito con redundancia, en caso de que la redundancia se encuentre operando sin afectación. En este sentido, si un circuito tiene afectadas ambas rutas, principal y redundancia, se considera Prioridad 1.</w:t>
      </w:r>
    </w:p>
    <w:p w14:paraId="5A10EDA9"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Prioridad 3: Se considerarán con tal carácter a las que consistan en lo siguiente:</w:t>
      </w:r>
    </w:p>
    <w:p w14:paraId="567A4662" w14:textId="77777777" w:rsidR="000323A2" w:rsidRPr="000323A2" w:rsidRDefault="000323A2" w:rsidP="00B04B36">
      <w:pPr>
        <w:numPr>
          <w:ilvl w:val="0"/>
          <w:numId w:val="54"/>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lastRenderedPageBreak/>
        <w:t xml:space="preserve">Mal funcionamiento sin afectación del servicio en el circuito de cliente final sin redundancia </w:t>
      </w:r>
    </w:p>
    <w:p w14:paraId="2BEAFD36" w14:textId="77777777" w:rsidR="000323A2" w:rsidRPr="000323A2" w:rsidRDefault="000323A2" w:rsidP="00B04B36">
      <w:pPr>
        <w:numPr>
          <w:ilvl w:val="0"/>
          <w:numId w:val="54"/>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Otros que afecten la calidad del servicio.</w:t>
      </w:r>
    </w:p>
    <w:p w14:paraId="7100D1C3" w14:textId="77777777" w:rsidR="000323A2" w:rsidRPr="000323A2" w:rsidRDefault="000323A2" w:rsidP="00B04B36">
      <w:pPr>
        <w:numPr>
          <w:ilvl w:val="0"/>
          <w:numId w:val="54"/>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Pruebas solicitadas por el Concesionario Solicitante o Autorizado Solicitante en ventanas de mantenimiento</w:t>
      </w:r>
    </w:p>
    <w:p w14:paraId="477C1B2D"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2.6.4 En caso de que ocurra alguno de los siguientes eventos listados a continuación, Telmex, habiendo demostrado fehacientemente el hecho del que se trate, su tiempo de duración no se tomará en cuenta para la medición de los tiempos de reparación de cada una de las fallas y disponibilidad de los enlaces:</w:t>
      </w:r>
    </w:p>
    <w:p w14:paraId="7F2B7891"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a) Cuando se requiera el traslado al sitio de la falla; dicho tiempo se manejará en función de la localidad y de conformidad con el Anexo “H” de la Oferta.</w:t>
      </w:r>
    </w:p>
    <w:p w14:paraId="41BD501B"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b) Causas de fuerza mayor y casos fortuitos no imputables a Telmex ni al Concesionario Solicitante o Autorizado Solicitante.</w:t>
      </w:r>
    </w:p>
    <w:p w14:paraId="16B6F859"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Los </w:t>
      </w:r>
      <w:proofErr w:type="gramStart"/>
      <w:r w:rsidRPr="000323A2">
        <w:rPr>
          <w:rFonts w:ascii="Arial" w:eastAsia="Calibri" w:hAnsi="Arial" w:cs="Arial"/>
          <w:sz w:val="24"/>
          <w:szCs w:val="24"/>
        </w:rPr>
        <w:t>que</w:t>
      </w:r>
      <w:proofErr w:type="gramEnd"/>
      <w:r w:rsidRPr="000323A2">
        <w:rPr>
          <w:rFonts w:ascii="Arial" w:eastAsia="Calibri" w:hAnsi="Arial" w:cs="Arial"/>
          <w:sz w:val="24"/>
          <w:szCs w:val="24"/>
        </w:rPr>
        <w:t xml:space="preserve"> de manera enunciativa más no limitativa, pueden consistir en: inundaciones, guerras, huracanes, incendios, huelgas, motines, sismos, terremotos, explosiones, guerra, insurrección, disturbios y condiciones climatológicas adversas que retrasen los trabajos de reparación, explosiones, insurrección, disturbios, restricciones para trabajos en planta externa en horario nocturno cuando no se trate de un daño crítico en la infraestructura de Telmex.</w:t>
      </w:r>
      <w:r w:rsidRPr="000323A2" w:rsidDel="00E13E1E">
        <w:rPr>
          <w:rFonts w:ascii="Arial" w:eastAsia="Calibri" w:hAnsi="Arial" w:cs="Arial"/>
          <w:sz w:val="24"/>
          <w:szCs w:val="24"/>
        </w:rPr>
        <w:t xml:space="preserve"> </w:t>
      </w:r>
    </w:p>
    <w:p w14:paraId="04622E53"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c) Causas imputables al Concesionario Solicitante o Autorizado Solicitante o su cliente final.</w:t>
      </w:r>
    </w:p>
    <w:p w14:paraId="4597DE46" w14:textId="77777777" w:rsidR="000323A2" w:rsidRPr="000323A2" w:rsidRDefault="000323A2" w:rsidP="00B04B36">
      <w:pPr>
        <w:numPr>
          <w:ilvl w:val="0"/>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Los retrasos imputables al Concesionario Solicitante o Autorizado Solicitante en la obtención de permisos </w:t>
      </w:r>
      <w:proofErr w:type="gramStart"/>
      <w:r w:rsidRPr="000323A2">
        <w:rPr>
          <w:rFonts w:ascii="Arial" w:eastAsia="Calibri" w:hAnsi="Arial" w:cs="Arial"/>
          <w:sz w:val="24"/>
          <w:szCs w:val="24"/>
        </w:rPr>
        <w:t xml:space="preserve">para </w:t>
      </w:r>
      <w:r w:rsidRPr="000323A2" w:rsidDel="00C96D51">
        <w:rPr>
          <w:rFonts w:ascii="Arial" w:eastAsia="Calibri" w:hAnsi="Arial" w:cs="Arial"/>
          <w:sz w:val="24"/>
          <w:szCs w:val="24"/>
        </w:rPr>
        <w:t xml:space="preserve"> </w:t>
      </w:r>
      <w:r w:rsidRPr="000323A2" w:rsidDel="001D48C5">
        <w:rPr>
          <w:rFonts w:ascii="Arial" w:eastAsia="Calibri" w:hAnsi="Arial" w:cs="Arial"/>
          <w:sz w:val="24"/>
          <w:szCs w:val="24"/>
        </w:rPr>
        <w:t>acceder</w:t>
      </w:r>
      <w:proofErr w:type="gramEnd"/>
      <w:r w:rsidRPr="000323A2">
        <w:rPr>
          <w:rFonts w:ascii="Arial" w:eastAsia="Calibri" w:hAnsi="Arial" w:cs="Arial"/>
          <w:sz w:val="24"/>
          <w:szCs w:val="24"/>
        </w:rPr>
        <w:t xml:space="preserve"> a los sitios del propio Concesionario Solicitante o Autorizado Solicitante, del cliente final o de cualquier tercero como pueden ser entre otros: plazas comerciales, parques industriales, fábricas, edificios corporativos, aeropuertos</w:t>
      </w:r>
    </w:p>
    <w:p w14:paraId="6E36FF24" w14:textId="77777777" w:rsidR="000323A2" w:rsidRPr="000323A2" w:rsidRDefault="000323A2" w:rsidP="00B04B36">
      <w:pPr>
        <w:numPr>
          <w:ilvl w:val="0"/>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Telmex, entrega de documentación específica con varios días de anticipación de los técnicos de Telmex.</w:t>
      </w:r>
    </w:p>
    <w:p w14:paraId="4EE6EE81" w14:textId="77777777" w:rsidR="000323A2" w:rsidRPr="000323A2" w:rsidRDefault="000323A2" w:rsidP="00B04B36">
      <w:pPr>
        <w:numPr>
          <w:ilvl w:val="0"/>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lastRenderedPageBreak/>
        <w:t>El tiempo en que tarde en llegar el personal técnico del Concesionario Solicitante o Autorizado Solicitante a sus instalaciones para la atención de manera conjunta de fallas.</w:t>
      </w:r>
    </w:p>
    <w:p w14:paraId="0C58B065" w14:textId="77777777" w:rsidR="000323A2" w:rsidRPr="000323A2" w:rsidRDefault="000323A2" w:rsidP="00B04B36">
      <w:pPr>
        <w:numPr>
          <w:ilvl w:val="0"/>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tiempo que tarde Telmex en identificar el servicio con falla debido a que el Concesionario Solicitante o Autorizado Solicitante reportó una falla con datos erróneos, siempre y cuando estos se refieran a los datos de identificación del enlace afectado.</w:t>
      </w:r>
    </w:p>
    <w:p w14:paraId="4173CAE3" w14:textId="77777777" w:rsidR="000323A2" w:rsidRPr="000323A2" w:rsidRDefault="000323A2" w:rsidP="00B04B36">
      <w:pPr>
        <w:numPr>
          <w:ilvl w:val="0"/>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Cuando la falla fue provocada por problemas en los sitios del Concesionario Solicitante o Autorizado Solicitante o de su cliente final y hasta que sean reparados, como sucede en remodelaciones, cambio de ubicación de sus equipos, goteras, suministro de energía, clima, plagas de roedores, etc.</w:t>
      </w:r>
    </w:p>
    <w:p w14:paraId="123B4926" w14:textId="77777777" w:rsidR="000323A2" w:rsidRPr="000323A2" w:rsidRDefault="000323A2" w:rsidP="00B04B36">
      <w:pPr>
        <w:numPr>
          <w:ilvl w:val="0"/>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Cuando el Concesionario Solicitante o Autorizado Solicitante requiere la atención del incidente en ventana de mantenimiento programada en fecha y hora especifica.</w:t>
      </w:r>
    </w:p>
    <w:p w14:paraId="0771F2C0" w14:textId="77777777" w:rsidR="000323A2" w:rsidRPr="000323A2" w:rsidRDefault="000323A2" w:rsidP="00B04B36">
      <w:pPr>
        <w:numPr>
          <w:ilvl w:val="0"/>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Negación de acceso a las instalaciones.</w:t>
      </w:r>
    </w:p>
    <w:p w14:paraId="397A6F37" w14:textId="77777777" w:rsidR="000323A2" w:rsidRPr="000323A2" w:rsidRDefault="000323A2" w:rsidP="000323A2">
      <w:p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Tiempos que tarda Telmex en identificar la falla por reporte con datos erróneos por parte del Concesionario Solicitante o Autorizado Solicitante.</w:t>
      </w:r>
    </w:p>
    <w:p w14:paraId="2909650D" w14:textId="77777777" w:rsidR="000323A2" w:rsidRPr="000323A2" w:rsidRDefault="000323A2" w:rsidP="00B04B36">
      <w:pPr>
        <w:numPr>
          <w:ilvl w:val="0"/>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Fallas en los equipos, las instalaciones y/o sitio del Concesionario Solicitante o Autorizado Solicitante o su Cliente Final.</w:t>
      </w:r>
    </w:p>
    <w:p w14:paraId="687675EB"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d) Causas imputables a terceros.</w:t>
      </w:r>
    </w:p>
    <w:p w14:paraId="23969C2D" w14:textId="77777777" w:rsidR="000323A2" w:rsidRPr="000323A2" w:rsidRDefault="000323A2" w:rsidP="00B04B36">
      <w:pPr>
        <w:numPr>
          <w:ilvl w:val="0"/>
          <w:numId w:val="55"/>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tiempo de suministro de equipos por parte de proveedores, cuando la falla requiere el remplazo del equipo completo o refacciones, no pudiendo ser mayor de:</w:t>
      </w:r>
    </w:p>
    <w:p w14:paraId="63F24216" w14:textId="77777777" w:rsidR="000323A2" w:rsidRPr="000323A2" w:rsidRDefault="000323A2" w:rsidP="00B04B36">
      <w:pPr>
        <w:numPr>
          <w:ilvl w:val="0"/>
          <w:numId w:val="55"/>
        </w:numPr>
        <w:autoSpaceDE w:val="0"/>
        <w:autoSpaceDN w:val="0"/>
        <w:adjustRightInd w:val="0"/>
        <w:spacing w:before="240" w:after="0" w:line="276" w:lineRule="auto"/>
        <w:ind w:left="1560"/>
        <w:contextualSpacing/>
        <w:jc w:val="both"/>
        <w:rPr>
          <w:rFonts w:ascii="Arial" w:eastAsia="Calibri" w:hAnsi="Arial" w:cs="Arial"/>
          <w:sz w:val="24"/>
          <w:szCs w:val="24"/>
        </w:rPr>
      </w:pPr>
      <w:r w:rsidRPr="000323A2">
        <w:rPr>
          <w:rFonts w:ascii="Arial" w:eastAsia="Calibri" w:hAnsi="Arial" w:cs="Arial"/>
          <w:sz w:val="24"/>
          <w:szCs w:val="24"/>
        </w:rPr>
        <w:t>Con afectación en zona Urbana: 3 horas</w:t>
      </w:r>
    </w:p>
    <w:p w14:paraId="5FDE3ABB" w14:textId="77777777" w:rsidR="000323A2" w:rsidRPr="000323A2" w:rsidRDefault="000323A2" w:rsidP="00B04B36">
      <w:pPr>
        <w:numPr>
          <w:ilvl w:val="0"/>
          <w:numId w:val="55"/>
        </w:numPr>
        <w:autoSpaceDE w:val="0"/>
        <w:autoSpaceDN w:val="0"/>
        <w:adjustRightInd w:val="0"/>
        <w:spacing w:before="240" w:after="0" w:line="276" w:lineRule="auto"/>
        <w:ind w:left="1560"/>
        <w:contextualSpacing/>
        <w:jc w:val="both"/>
        <w:rPr>
          <w:rFonts w:ascii="Arial" w:eastAsia="Calibri" w:hAnsi="Arial" w:cs="Arial"/>
          <w:sz w:val="24"/>
          <w:szCs w:val="24"/>
        </w:rPr>
      </w:pPr>
      <w:r w:rsidRPr="000323A2">
        <w:rPr>
          <w:rFonts w:ascii="Arial" w:eastAsia="Calibri" w:hAnsi="Arial" w:cs="Arial"/>
          <w:sz w:val="24"/>
          <w:szCs w:val="24"/>
        </w:rPr>
        <w:t>Con afectación en zona Suburbana y Rural: 24 horas</w:t>
      </w:r>
    </w:p>
    <w:p w14:paraId="6B7FF19F" w14:textId="77777777" w:rsidR="000323A2" w:rsidRPr="000323A2" w:rsidRDefault="000323A2" w:rsidP="00B04B36">
      <w:pPr>
        <w:numPr>
          <w:ilvl w:val="0"/>
          <w:numId w:val="55"/>
        </w:numPr>
        <w:autoSpaceDE w:val="0"/>
        <w:autoSpaceDN w:val="0"/>
        <w:adjustRightInd w:val="0"/>
        <w:spacing w:before="240" w:after="0" w:line="276" w:lineRule="auto"/>
        <w:ind w:left="1560"/>
        <w:contextualSpacing/>
        <w:jc w:val="both"/>
        <w:rPr>
          <w:rFonts w:ascii="Arial" w:eastAsia="Calibri" w:hAnsi="Arial" w:cs="Arial"/>
          <w:sz w:val="24"/>
          <w:szCs w:val="24"/>
        </w:rPr>
      </w:pPr>
      <w:r w:rsidRPr="000323A2">
        <w:rPr>
          <w:rFonts w:ascii="Arial" w:eastAsia="Calibri" w:hAnsi="Arial" w:cs="Arial"/>
          <w:sz w:val="24"/>
          <w:szCs w:val="24"/>
        </w:rPr>
        <w:t>Sin afectación cualquier zona: 48 horas</w:t>
      </w:r>
    </w:p>
    <w:p w14:paraId="26654ADD" w14:textId="77777777" w:rsidR="000323A2" w:rsidRPr="000323A2" w:rsidRDefault="000323A2" w:rsidP="000323A2">
      <w:pPr>
        <w:autoSpaceDE w:val="0"/>
        <w:autoSpaceDN w:val="0"/>
        <w:adjustRightInd w:val="0"/>
        <w:spacing w:before="240" w:after="0" w:line="276" w:lineRule="auto"/>
        <w:ind w:left="708"/>
        <w:jc w:val="both"/>
        <w:rPr>
          <w:rFonts w:ascii="Arial" w:eastAsia="Calibri" w:hAnsi="Arial" w:cs="Arial"/>
          <w:sz w:val="24"/>
          <w:szCs w:val="24"/>
        </w:rPr>
      </w:pPr>
      <w:r w:rsidRPr="000323A2">
        <w:rPr>
          <w:rFonts w:ascii="Arial" w:eastAsia="Calibri" w:hAnsi="Arial" w:cs="Arial"/>
          <w:sz w:val="24"/>
          <w:szCs w:val="24"/>
        </w:rPr>
        <w:t>Los anteriores son plazos máximos, no obstante Telmex se obliga a reiniciar el cómputo de los plazos de reparación una vez que cuente con las refacciones necesarias y no pudiendo ser mayor al 5% de las incidencias totales.</w:t>
      </w:r>
    </w:p>
    <w:p w14:paraId="16F5BB8E" w14:textId="77777777" w:rsidR="000323A2" w:rsidRPr="000323A2" w:rsidRDefault="000323A2" w:rsidP="00B04B36">
      <w:pPr>
        <w:numPr>
          <w:ilvl w:val="0"/>
          <w:numId w:val="55"/>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En los casos de cortes de fibra óptica o cable de cobre, no pudiendo ser mayor a 12 horas. y no pudiendo ser mayor al 5% de las incidencias totales.</w:t>
      </w:r>
    </w:p>
    <w:p w14:paraId="6C29040F" w14:textId="77777777" w:rsidR="000323A2" w:rsidRPr="000323A2" w:rsidRDefault="000323A2" w:rsidP="00B04B36">
      <w:pPr>
        <w:numPr>
          <w:ilvl w:val="0"/>
          <w:numId w:val="55"/>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Vandalismo a la infraestructura de TELMEX.</w:t>
      </w:r>
    </w:p>
    <w:p w14:paraId="7C8DAC9B" w14:textId="77777777" w:rsidR="000323A2" w:rsidRPr="000323A2" w:rsidRDefault="000323A2" w:rsidP="00B04B36">
      <w:pPr>
        <w:numPr>
          <w:ilvl w:val="0"/>
          <w:numId w:val="55"/>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Aquellos no imputables a Telmex, los </w:t>
      </w:r>
      <w:proofErr w:type="gramStart"/>
      <w:r w:rsidRPr="000323A2">
        <w:rPr>
          <w:rFonts w:ascii="Arial" w:eastAsia="Calibri" w:hAnsi="Arial" w:cs="Arial"/>
          <w:sz w:val="24"/>
          <w:szCs w:val="24"/>
        </w:rPr>
        <w:t>que</w:t>
      </w:r>
      <w:proofErr w:type="gramEnd"/>
      <w:r w:rsidRPr="000323A2">
        <w:rPr>
          <w:rFonts w:ascii="Arial" w:eastAsia="Calibri" w:hAnsi="Arial" w:cs="Arial"/>
          <w:sz w:val="24"/>
          <w:szCs w:val="24"/>
        </w:rPr>
        <w:t xml:space="preserve"> de manera enunciativa más no limitativa, pueden consistir en: retrasos por permisos de trabajos en vías públicas (municipales, estatales o federales), acceso en zonas ejidales o comunales, plantones en vía pública que impida el acceso a la zona de atención.</w:t>
      </w:r>
    </w:p>
    <w:p w14:paraId="6223AB92" w14:textId="77777777" w:rsidR="000323A2" w:rsidRPr="000323A2" w:rsidRDefault="000323A2" w:rsidP="00B04B36">
      <w:pPr>
        <w:numPr>
          <w:ilvl w:val="0"/>
          <w:numId w:val="55"/>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En situaciones de inseguridad en las que se requiera el apoyo de la fuerza pública para desplazarse o circular a horas específicas del día, se informará mediante una </w:t>
      </w:r>
      <w:r w:rsidRPr="000323A2">
        <w:rPr>
          <w:rFonts w:ascii="Arial" w:eastAsia="Calibri" w:hAnsi="Arial" w:cs="Arial"/>
          <w:sz w:val="24"/>
          <w:szCs w:val="24"/>
        </w:rPr>
        <w:lastRenderedPageBreak/>
        <w:t>llamada telefónica y/o vía correo electrónico al Concesionario Solicitante o Autorizado Solicitante para hacer de su conocimiento que se detendrá el conteo del tiempo de reparación de falla, y una vez restablecidas las condiciones de seguridad se informará la reanudación de los trabajos.</w:t>
      </w:r>
    </w:p>
    <w:p w14:paraId="0D79E439" w14:textId="77777777" w:rsidR="000323A2" w:rsidRPr="000323A2" w:rsidRDefault="000323A2" w:rsidP="00B04B36">
      <w:pPr>
        <w:numPr>
          <w:ilvl w:val="0"/>
          <w:numId w:val="55"/>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Restricciones de acceso por parte de autoridades gubernamentales.</w:t>
      </w:r>
    </w:p>
    <w:p w14:paraId="18350C91"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Las fallas provocadas por cortes generalizados en el suministro eléctrico de CFE por un tiempo mayor a 4 (cuatro) horas que afecten a instalaciones de Telmex.</w:t>
      </w:r>
    </w:p>
    <w:p w14:paraId="462FD072"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En todos los casos mencionados anteriormente que detienen el tiempo de reparación de la falla se llevará un registro que será del conocimiento tanto del Concesionario Solicitante o Autorizado Solicitante como del Instituto o mediante el Sistema Electrónico de Gestión.</w:t>
      </w:r>
    </w:p>
    <w:p w14:paraId="335C80FA"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Todas aquellas actividades efectuadas por Telmex tales como: pruebas, desplazamientos, y trabajos necesarios para la reparación de fallas reportadas por el Concesionario Solicitante o Autorizado Solicitante que le resulten imputables a este último, serán facturadas con cargo al Concesionario Solicitante o Autorizado Solicitante.</w:t>
      </w:r>
    </w:p>
    <w:p w14:paraId="7ECCCF4F"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2.6.5 Telmex garantizará el cumplimiento Anual por Red de los siguientes parámetros de calidad para los enlaces dedicados:</w:t>
      </w:r>
    </w:p>
    <w:p w14:paraId="1239F766" w14:textId="77777777" w:rsidR="000323A2" w:rsidRPr="000323A2" w:rsidRDefault="000323A2" w:rsidP="00B04B36">
      <w:pPr>
        <w:numPr>
          <w:ilvl w:val="1"/>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Disponibilidad del Enlace Dedicado sin redundancia: 99.83% (noventa y </w:t>
      </w:r>
      <w:proofErr w:type="gramStart"/>
      <w:r w:rsidRPr="000323A2">
        <w:rPr>
          <w:rFonts w:ascii="Arial" w:eastAsia="Calibri" w:hAnsi="Arial" w:cs="Arial"/>
          <w:sz w:val="24"/>
          <w:szCs w:val="24"/>
        </w:rPr>
        <w:t>nueve punto</w:t>
      </w:r>
      <w:proofErr w:type="gramEnd"/>
      <w:r w:rsidRPr="000323A2">
        <w:rPr>
          <w:rFonts w:ascii="Arial" w:eastAsia="Calibri" w:hAnsi="Arial" w:cs="Arial"/>
          <w:sz w:val="24"/>
          <w:szCs w:val="24"/>
        </w:rPr>
        <w:t xml:space="preserve"> ochenta y tres por ciento).</w:t>
      </w:r>
    </w:p>
    <w:p w14:paraId="54D4B488" w14:textId="77777777" w:rsidR="000323A2" w:rsidRPr="000323A2" w:rsidRDefault="000323A2" w:rsidP="00B04B36">
      <w:pPr>
        <w:numPr>
          <w:ilvl w:val="1"/>
          <w:numId w:val="1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Disponibilidad del Enlace Dedicado con redundancia: 99.905% (noventa y </w:t>
      </w:r>
      <w:proofErr w:type="gramStart"/>
      <w:r w:rsidRPr="000323A2">
        <w:rPr>
          <w:rFonts w:ascii="Arial" w:eastAsia="Calibri" w:hAnsi="Arial" w:cs="Arial"/>
          <w:sz w:val="24"/>
          <w:szCs w:val="24"/>
        </w:rPr>
        <w:t>nueve punto</w:t>
      </w:r>
      <w:proofErr w:type="gramEnd"/>
      <w:r w:rsidRPr="000323A2">
        <w:rPr>
          <w:rFonts w:ascii="Arial" w:eastAsia="Calibri" w:hAnsi="Arial" w:cs="Arial"/>
          <w:sz w:val="24"/>
          <w:szCs w:val="24"/>
        </w:rPr>
        <w:t xml:space="preserve"> novecientos cinco por ciento).</w:t>
      </w:r>
    </w:p>
    <w:p w14:paraId="7F1EB33F" w14:textId="77777777" w:rsidR="000323A2" w:rsidRPr="000323A2" w:rsidRDefault="000323A2" w:rsidP="000323A2">
      <w:pPr>
        <w:autoSpaceDE w:val="0"/>
        <w:autoSpaceDN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En los servicios Ethernet los parámetros de Calidad se validarán a la entrega de los Enlaces Dedicados basándose en la aplicación del estándar RFC 2544 del IETF considerando los siguientes valores:</w:t>
      </w:r>
    </w:p>
    <w:p w14:paraId="57CF8307" w14:textId="77777777" w:rsidR="000323A2" w:rsidRPr="000323A2" w:rsidRDefault="000323A2" w:rsidP="00B04B36">
      <w:pPr>
        <w:numPr>
          <w:ilvl w:val="0"/>
          <w:numId w:val="1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Tasa máxima de pérdida de paquetes de 10</w:t>
      </w:r>
      <w:r w:rsidRPr="000323A2">
        <w:rPr>
          <w:rFonts w:ascii="Arial" w:eastAsia="Calibri" w:hAnsi="Arial" w:cs="Arial"/>
          <w:sz w:val="24"/>
          <w:szCs w:val="24"/>
          <w:vertAlign w:val="superscript"/>
        </w:rPr>
        <w:t>-4</w:t>
      </w:r>
    </w:p>
    <w:p w14:paraId="4EE28938" w14:textId="77777777" w:rsidR="000323A2" w:rsidRPr="000323A2" w:rsidRDefault="000323A2" w:rsidP="00B04B36">
      <w:pPr>
        <w:numPr>
          <w:ilvl w:val="0"/>
          <w:numId w:val="1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Porcentaje de ancho de banda de la interfaz garantizada: 100% en la interfaz física con el cliente.</w:t>
      </w:r>
    </w:p>
    <w:p w14:paraId="63B715D7" w14:textId="77777777" w:rsidR="000323A2" w:rsidRPr="000323A2" w:rsidRDefault="000323A2" w:rsidP="00B04B36">
      <w:pPr>
        <w:numPr>
          <w:ilvl w:val="0"/>
          <w:numId w:val="1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Retardo de Transmisión de Trama (en un solo sentido): 6.2 mili segundos </w:t>
      </w:r>
    </w:p>
    <w:p w14:paraId="01CDB38C"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Estos parámetros se cumplirán de acuerdo con lo siguiente:</w:t>
      </w:r>
    </w:p>
    <w:p w14:paraId="4B6DBE8D" w14:textId="77777777" w:rsidR="000323A2" w:rsidRPr="000323A2" w:rsidRDefault="000323A2" w:rsidP="00B04B36">
      <w:pPr>
        <w:numPr>
          <w:ilvl w:val="0"/>
          <w:numId w:val="20"/>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retardo de trama depende de la distancia y los equipos por los que pase el servicio, por lo que este parámetro se cumplirá para una distancia equivalente a 100 Km en un solo sentido y medido a la entrega del servicio para tráfico de usuario en su más alta prioridad (voz).</w:t>
      </w:r>
    </w:p>
    <w:p w14:paraId="4C340602"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La medición del cumplimento de los plazos de reparación de fallas y disponibilidad de servicio, se comenzarán a computar a partir de que el Concesionario Solicitante o </w:t>
      </w:r>
      <w:r w:rsidRPr="000323A2">
        <w:rPr>
          <w:rFonts w:ascii="Arial" w:eastAsia="Calibri" w:hAnsi="Arial" w:cs="Arial"/>
          <w:sz w:val="24"/>
          <w:szCs w:val="24"/>
        </w:rPr>
        <w:lastRenderedPageBreak/>
        <w:t>Autorizado Solicitante levante el reporte correspondiente en el Centro de Atención a Operadores o en el Sistema Electrónico de Gestión.</w:t>
      </w:r>
    </w:p>
    <w:p w14:paraId="02D762F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Una vez reparada la falla, Telmex notificará al Concesionario Solicitante o Autorizado Solicitante con la finalidad de que éste realice las pruebas correspondientes. El tiempo durante el cual el Concesionario Solicitante o Autorizado Solicitante lleve a cabo dichas pruebas no será tomado en cuenta para el cómputo del plazo establecido para llevar a cabo la reparación de fallas. Para el cierre de tickets abiertos con motivo de reporte de fallas, Telmex deberá contar a través del SEG con la conformidad del Concesionario Solicitante o Autorizado Solicitante de que dicha falla está solventada.</w:t>
      </w:r>
    </w:p>
    <w:p w14:paraId="1BFBF78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Los valores de disponibilidad y tiempos de restauración para los enlaces dedicados internacionales, estarán en función de los niveles de servicio de los operadores internacionales que atienden la parte que les corresponde del servicio.</w:t>
      </w:r>
    </w:p>
    <w:p w14:paraId="2C536ABC"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2.7 Penalizaciones.</w:t>
      </w:r>
    </w:p>
    <w:p w14:paraId="1732685E" w14:textId="77777777" w:rsidR="000323A2" w:rsidRPr="000323A2" w:rsidRDefault="000323A2" w:rsidP="000323A2">
      <w:pPr>
        <w:autoSpaceDE w:val="0"/>
        <w:autoSpaceDN w:val="0"/>
        <w:adjustRightInd w:val="0"/>
        <w:spacing w:before="120" w:after="0" w:line="276" w:lineRule="auto"/>
        <w:jc w:val="both"/>
        <w:rPr>
          <w:rFonts w:ascii="Arial" w:eastAsia="Calibri" w:hAnsi="Arial" w:cs="Arial"/>
          <w:color w:val="000000"/>
          <w:sz w:val="24"/>
          <w:szCs w:val="24"/>
        </w:rPr>
      </w:pPr>
      <w:r w:rsidRPr="000323A2">
        <w:rPr>
          <w:rFonts w:ascii="Arial" w:eastAsia="Calibri" w:hAnsi="Arial" w:cs="Arial"/>
          <w:sz w:val="24"/>
          <w:szCs w:val="24"/>
        </w:rPr>
        <w:t xml:space="preserve">2.7.1 </w:t>
      </w:r>
      <w:r w:rsidRPr="000323A2">
        <w:rPr>
          <w:rFonts w:ascii="Arial" w:eastAsia="Calibri" w:hAnsi="Arial" w:cs="Arial"/>
          <w:color w:val="000000"/>
          <w:sz w:val="24"/>
          <w:szCs w:val="24"/>
        </w:rPr>
        <w:t>La penalización por cualquier entrega tardía de los enlaces conforme a la fecha aplicable,</w:t>
      </w:r>
      <w:r w:rsidRPr="000323A2" w:rsidDel="00CE69F2">
        <w:rPr>
          <w:rFonts w:ascii="Arial" w:eastAsia="Calibri" w:hAnsi="Arial" w:cs="Arial"/>
          <w:color w:val="000000"/>
          <w:sz w:val="24"/>
          <w:szCs w:val="24"/>
        </w:rPr>
        <w:t xml:space="preserve"> </w:t>
      </w:r>
      <w:r w:rsidRPr="000323A2">
        <w:rPr>
          <w:rFonts w:ascii="Arial" w:eastAsia="Calibri" w:hAnsi="Arial" w:cs="Arial"/>
          <w:color w:val="000000"/>
          <w:sz w:val="24"/>
          <w:szCs w:val="24"/>
        </w:rPr>
        <w:t>se calculará considerando el monto económico correspondiente al 10% de la renta mensual por cada día hábil de retraso en la entrega, respecto a las fechas vinculantes, o fechas compromiso (</w:t>
      </w:r>
      <w:proofErr w:type="spellStart"/>
      <w:r w:rsidRPr="000323A2">
        <w:rPr>
          <w:rFonts w:ascii="Arial" w:eastAsia="Calibri" w:hAnsi="Arial" w:cs="Arial"/>
          <w:color w:val="000000"/>
          <w:sz w:val="24"/>
          <w:szCs w:val="24"/>
        </w:rPr>
        <w:t>Due</w:t>
      </w:r>
      <w:proofErr w:type="spellEnd"/>
      <w:r w:rsidRPr="000323A2">
        <w:rPr>
          <w:rFonts w:ascii="Arial" w:eastAsia="Calibri" w:hAnsi="Arial" w:cs="Arial"/>
          <w:color w:val="000000"/>
          <w:sz w:val="24"/>
          <w:szCs w:val="24"/>
        </w:rPr>
        <w:t xml:space="preserve"> Date) del servicio en cuestión, hasta por un máximo de 6 rentas mensuales. El cálculo del monto de penalización por enlace se realiza conforme la siguiente fórmula:</w:t>
      </w:r>
    </w:p>
    <w:p w14:paraId="03DAAF3A" w14:textId="77777777" w:rsidR="000323A2" w:rsidRPr="000323A2" w:rsidRDefault="000323A2" w:rsidP="000323A2">
      <w:pPr>
        <w:autoSpaceDE w:val="0"/>
        <w:autoSpaceDN w:val="0"/>
        <w:adjustRightInd w:val="0"/>
        <w:spacing w:before="240" w:after="0" w:line="276" w:lineRule="auto"/>
        <w:jc w:val="center"/>
        <w:rPr>
          <w:rFonts w:ascii="Arial" w:eastAsia="Calibri" w:hAnsi="Arial" w:cs="Arial"/>
          <w:sz w:val="24"/>
          <w:szCs w:val="24"/>
        </w:rPr>
      </w:p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Monto de penalizaci</m:t>
            </m:r>
            <m:r>
              <m:rPr>
                <m:sty m:val="p"/>
              </m:rPr>
              <w:rPr>
                <w:rFonts w:ascii="Cambria Math" w:eastAsia="Calibri" w:hAnsi="Cambria Math" w:cs="Arial" w:hint="eastAsia"/>
                <w:sz w:val="24"/>
                <w:szCs w:val="24"/>
              </w:rPr>
              <m:t>ó</m:t>
            </m:r>
            <m:r>
              <m:rPr>
                <m:sty m:val="p"/>
              </m:rPr>
              <w:rPr>
                <w:rFonts w:ascii="Cambria Math" w:eastAsia="Calibri" w:hAnsi="Cambria Math" w:cs="Arial"/>
                <w:sz w:val="24"/>
                <w:szCs w:val="24"/>
              </w:rPr>
              <m:t>n</m:t>
            </m:r>
          </m:e>
          <m:sub>
            <m:r>
              <m:rPr>
                <m:sty m:val="p"/>
              </m:rPr>
              <w:rPr>
                <w:rFonts w:ascii="Cambria Math" w:eastAsia="Calibri" w:hAnsi="Cambria Math" w:cs="Arial"/>
                <w:sz w:val="24"/>
                <w:szCs w:val="24"/>
              </w:rPr>
              <m:t>i</m:t>
            </m:r>
          </m:sub>
        </m:sSub>
        <m:r>
          <m:rPr>
            <m:sty m:val="p"/>
          </m:rPr>
          <w:rPr>
            <w:rFonts w:ascii="Cambria Math" w:eastAsia="Calibri" w:hAnsi="Cambria Math" w:cs="Arial"/>
            <w:sz w:val="24"/>
            <w:szCs w:val="24"/>
          </w:rPr>
          <m:t>=</m:t>
        </m:r>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D</m:t>
                </m:r>
                <m:r>
                  <m:rPr>
                    <m:sty m:val="p"/>
                  </m:rPr>
                  <w:rPr>
                    <w:rFonts w:ascii="Cambria Math" w:eastAsia="Calibri" w:hAnsi="Cambria Math" w:cs="Arial" w:hint="eastAsia"/>
                    <w:sz w:val="24"/>
                    <w:szCs w:val="24"/>
                  </w:rPr>
                  <m:t>í</m:t>
                </m:r>
                <m:r>
                  <m:rPr>
                    <m:sty m:val="p"/>
                  </m:rPr>
                  <w:rPr>
                    <w:rFonts w:ascii="Cambria Math" w:eastAsia="Calibri" w:hAnsi="Cambria Math" w:cs="Arial"/>
                    <w:sz w:val="24"/>
                    <w:szCs w:val="24"/>
                  </w:rPr>
                  <m:t>as de retraso</m:t>
                </m:r>
              </m:e>
              <m:sub>
                <m:r>
                  <m:rPr>
                    <m:sty m:val="p"/>
                  </m:rPr>
                  <w:rPr>
                    <w:rFonts w:ascii="Cambria Math" w:eastAsia="Calibri" w:hAnsi="Cambria Math" w:cs="Arial"/>
                    <w:sz w:val="24"/>
                    <w:szCs w:val="24"/>
                  </w:rPr>
                  <m:t>i</m:t>
                </m:r>
              </m:sub>
            </m:sSub>
          </m:e>
        </m:d>
        <m:r>
          <m:rPr>
            <m:sty m:val="p"/>
          </m:rP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0.1</m:t>
            </m:r>
          </m:e>
        </m:d>
        <m:r>
          <m:rPr>
            <m:sty m:val="p"/>
          </m:rPr>
          <w:rPr>
            <w:rFonts w:ascii="Cambria Math" w:eastAsia="Calibri" w:hAnsi="Cambria Math" w:cs="Arial"/>
            <w:sz w:val="24"/>
            <w:szCs w:val="24"/>
          </w:rPr>
          <m:t>*(</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Renta mensual</m:t>
            </m:r>
          </m:e>
          <m:sub>
            <m:r>
              <m:rPr>
                <m:sty m:val="p"/>
              </m:rPr>
              <w:rPr>
                <w:rFonts w:ascii="Cambria Math" w:eastAsia="Calibri" w:hAnsi="Cambria Math" w:cs="Arial"/>
                <w:sz w:val="24"/>
                <w:szCs w:val="24"/>
              </w:rPr>
              <m:t>i</m:t>
            </m:r>
          </m:sub>
        </m:sSub>
        <m:r>
          <m:rPr>
            <m:sty m:val="p"/>
          </m:rPr>
          <w:rPr>
            <w:rFonts w:ascii="Cambria Math" w:eastAsia="Calibri" w:hAnsi="Cambria Math" w:cs="Arial"/>
            <w:sz w:val="24"/>
            <w:szCs w:val="24"/>
          </w:rPr>
          <m:t>)</m:t>
        </m:r>
      </m:oMath>
      <w:r w:rsidRPr="000323A2">
        <w:rPr>
          <w:rFonts w:ascii="Arial" w:eastAsia="Calibri" w:hAnsi="Arial" w:cs="Arial"/>
          <w:sz w:val="24"/>
          <w:szCs w:val="24"/>
        </w:rPr>
        <w:t xml:space="preserve"> ,</w:t>
      </w:r>
    </w:p>
    <w:p w14:paraId="7780E5B6" w14:textId="77777777" w:rsidR="000323A2" w:rsidRPr="000323A2" w:rsidRDefault="000323A2" w:rsidP="000323A2">
      <w:pPr>
        <w:autoSpaceDE w:val="0"/>
        <w:autoSpaceDN w:val="0"/>
        <w:adjustRightInd w:val="0"/>
        <w:spacing w:before="120" w:after="0" w:line="276" w:lineRule="auto"/>
        <w:jc w:val="both"/>
        <w:rPr>
          <w:rFonts w:ascii="Arial" w:eastAsia="Calibri" w:hAnsi="Arial" w:cs="Arial"/>
          <w:sz w:val="24"/>
          <w:szCs w:val="24"/>
        </w:rPr>
      </w:pPr>
      <w:r w:rsidRPr="000323A2">
        <w:rPr>
          <w:rFonts w:ascii="Arial" w:eastAsia="Calibri" w:hAnsi="Arial" w:cs="Arial"/>
          <w:sz w:val="24"/>
          <w:szCs w:val="24"/>
        </w:rPr>
        <w:t>donde i es el enlace solicitado</w:t>
      </w:r>
    </w:p>
    <w:p w14:paraId="26F96650"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2.7.2 El 6% de la renta mensual del enlace por cada hora o fracción por incumplimiento en los parámetros de disponibilidad, esto es que el enlace no se encuentre disponible con los parámetros de calidad con los que fue contratado el servicio,</w:t>
      </w:r>
    </w:p>
    <w:p w14:paraId="48D6D3D1" w14:textId="77777777" w:rsidR="000323A2" w:rsidRPr="000323A2" w:rsidRDefault="000323A2" w:rsidP="000323A2">
      <w:pPr>
        <w:autoSpaceDE w:val="0"/>
        <w:autoSpaceDN w:val="0"/>
        <w:adjustRightInd w:val="0"/>
        <w:spacing w:before="240" w:after="0" w:line="276" w:lineRule="auto"/>
        <w:jc w:val="center"/>
        <w:rPr>
          <w:rFonts w:ascii="Arial" w:eastAsia="Calibri" w:hAnsi="Arial" w:cs="Arial"/>
          <w:sz w:val="24"/>
          <w:szCs w:val="24"/>
        </w:rPr>
      </w:pPr>
      <m:oMath>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Monto de penalizaci</m:t>
            </m:r>
            <m:r>
              <m:rPr>
                <m:sty m:val="p"/>
              </m:rPr>
              <w:rPr>
                <w:rFonts w:ascii="Cambria Math" w:eastAsia="Calibri" w:hAnsi="Cambria Math" w:cs="Arial" w:hint="eastAsia"/>
                <w:sz w:val="24"/>
                <w:szCs w:val="24"/>
              </w:rPr>
              <m:t>ó</m:t>
            </m:r>
            <m:r>
              <m:rPr>
                <m:sty m:val="p"/>
              </m:rPr>
              <w:rPr>
                <w:rFonts w:ascii="Cambria Math" w:eastAsia="Calibri" w:hAnsi="Cambria Math" w:cs="Arial"/>
                <w:sz w:val="24"/>
                <w:szCs w:val="24"/>
              </w:rPr>
              <m:t>n</m:t>
            </m:r>
          </m:e>
          <m:sub>
            <m:r>
              <m:rPr>
                <m:sty m:val="p"/>
              </m:rPr>
              <w:rPr>
                <w:rFonts w:ascii="Cambria Math" w:eastAsia="Calibri" w:hAnsi="Cambria Math" w:cs="Arial"/>
                <w:sz w:val="24"/>
                <w:szCs w:val="24"/>
              </w:rPr>
              <m:t>i</m:t>
            </m:r>
          </m:sub>
        </m:sSub>
        <m:r>
          <m:rPr>
            <m:sty m:val="p"/>
          </m:rPr>
          <w:rPr>
            <w:rFonts w:ascii="Cambria Math" w:eastAsia="Calibri" w:hAnsi="Cambria Math" w:cs="Arial"/>
            <w:sz w:val="24"/>
            <w:szCs w:val="24"/>
          </w:rPr>
          <m:t>=</m:t>
        </m:r>
        <m:d>
          <m:dPr>
            <m:ctrlPr>
              <w:rPr>
                <w:rFonts w:ascii="Cambria Math" w:eastAsia="Calibri" w:hAnsi="Cambria Math" w:cs="Arial"/>
                <w:sz w:val="24"/>
                <w:szCs w:val="24"/>
              </w:rPr>
            </m:ctrlPr>
          </m:dPr>
          <m:e>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Horas o fracción de incumplimiento</m:t>
                </m:r>
              </m:e>
              <m:sub>
                <m:r>
                  <m:rPr>
                    <m:sty m:val="p"/>
                  </m:rPr>
                  <w:rPr>
                    <w:rFonts w:ascii="Cambria Math" w:eastAsia="Calibri" w:hAnsi="Cambria Math" w:cs="Arial"/>
                    <w:sz w:val="24"/>
                    <w:szCs w:val="24"/>
                  </w:rPr>
                  <m:t>i</m:t>
                </m:r>
              </m:sub>
            </m:sSub>
          </m:e>
        </m:d>
        <m:r>
          <m:rPr>
            <m:sty m:val="p"/>
          </m:rPr>
          <w:rPr>
            <w:rFonts w:ascii="Cambria Math" w:eastAsia="Calibri" w:hAnsi="Cambria Math" w:cs="Arial"/>
            <w:sz w:val="24"/>
            <w:szCs w:val="24"/>
          </w:rPr>
          <m:t>*</m:t>
        </m:r>
        <m:d>
          <m:dPr>
            <m:ctrlPr>
              <w:rPr>
                <w:rFonts w:ascii="Cambria Math" w:eastAsia="Calibri" w:hAnsi="Cambria Math" w:cs="Arial"/>
                <w:sz w:val="24"/>
                <w:szCs w:val="24"/>
              </w:rPr>
            </m:ctrlPr>
          </m:dPr>
          <m:e>
            <m:r>
              <m:rPr>
                <m:sty m:val="p"/>
              </m:rPr>
              <w:rPr>
                <w:rFonts w:ascii="Cambria Math" w:eastAsia="Calibri" w:hAnsi="Cambria Math" w:cs="Arial"/>
                <w:sz w:val="24"/>
                <w:szCs w:val="24"/>
              </w:rPr>
              <m:t>0.06</m:t>
            </m:r>
          </m:e>
        </m:d>
        <m:r>
          <m:rPr>
            <m:sty m:val="p"/>
          </m:rPr>
          <w:rPr>
            <w:rFonts w:ascii="Cambria Math" w:eastAsia="Calibri" w:hAnsi="Cambria Math" w:cs="Arial"/>
            <w:sz w:val="24"/>
            <w:szCs w:val="24"/>
          </w:rPr>
          <m:t>*(</m:t>
        </m:r>
        <m:sSub>
          <m:sSubPr>
            <m:ctrlPr>
              <w:rPr>
                <w:rFonts w:ascii="Cambria Math" w:eastAsia="Calibri" w:hAnsi="Cambria Math" w:cs="Arial"/>
                <w:sz w:val="24"/>
                <w:szCs w:val="24"/>
              </w:rPr>
            </m:ctrlPr>
          </m:sSubPr>
          <m:e>
            <m:r>
              <m:rPr>
                <m:sty m:val="p"/>
              </m:rPr>
              <w:rPr>
                <w:rFonts w:ascii="Cambria Math" w:eastAsia="Calibri" w:hAnsi="Cambria Math" w:cs="Arial"/>
                <w:sz w:val="24"/>
                <w:szCs w:val="24"/>
              </w:rPr>
              <m:t>Renta mensual</m:t>
            </m:r>
          </m:e>
          <m:sub>
            <m:r>
              <m:rPr>
                <m:sty m:val="p"/>
              </m:rPr>
              <w:rPr>
                <w:rFonts w:ascii="Cambria Math" w:eastAsia="Calibri" w:hAnsi="Cambria Math" w:cs="Arial"/>
                <w:sz w:val="24"/>
                <w:szCs w:val="24"/>
              </w:rPr>
              <m:t>i</m:t>
            </m:r>
          </m:sub>
        </m:sSub>
        <m:r>
          <m:rPr>
            <m:sty m:val="p"/>
          </m:rPr>
          <w:rPr>
            <w:rFonts w:ascii="Cambria Math" w:eastAsia="Calibri" w:hAnsi="Cambria Math" w:cs="Arial"/>
            <w:sz w:val="24"/>
            <w:szCs w:val="24"/>
          </w:rPr>
          <m:t>)</m:t>
        </m:r>
      </m:oMath>
      <w:r w:rsidRPr="000323A2">
        <w:rPr>
          <w:rFonts w:ascii="Arial" w:eastAsia="Calibri" w:hAnsi="Arial" w:cs="Arial"/>
          <w:sz w:val="24"/>
          <w:szCs w:val="24"/>
        </w:rPr>
        <w:t xml:space="preserve"> ,</w:t>
      </w:r>
    </w:p>
    <w:p w14:paraId="7488E113" w14:textId="77777777" w:rsidR="000323A2" w:rsidRPr="000323A2" w:rsidRDefault="000323A2" w:rsidP="000323A2">
      <w:pPr>
        <w:autoSpaceDE w:val="0"/>
        <w:autoSpaceDN w:val="0"/>
        <w:adjustRightInd w:val="0"/>
        <w:spacing w:before="120" w:after="0" w:line="276" w:lineRule="auto"/>
        <w:jc w:val="both"/>
        <w:rPr>
          <w:rFonts w:ascii="Arial" w:eastAsia="Calibri" w:hAnsi="Arial" w:cs="Arial"/>
          <w:sz w:val="24"/>
          <w:szCs w:val="24"/>
        </w:rPr>
      </w:pPr>
      <w:r w:rsidRPr="000323A2">
        <w:rPr>
          <w:rFonts w:ascii="Arial" w:eastAsia="Calibri" w:hAnsi="Arial" w:cs="Arial"/>
          <w:sz w:val="24"/>
          <w:szCs w:val="24"/>
        </w:rPr>
        <w:t>donde i es el enlace solicitado</w:t>
      </w:r>
    </w:p>
    <w:p w14:paraId="422F822D"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2.7.3 Para efecto del cálculo de las penalidades en el presente numeral 2.7, las tarifas para los Servicios de Arrendamiento de Enlaces Dedicados Locales, Servicios de Arrendamiento de Enlaces Dedicados entre Localidades, y Servicios de Arrendamiento de Enlaces Dedicados de Larga Distancia Internacional, serán aquellas establecidas en el Anexo “A” del Modelo de Convenio.</w:t>
      </w:r>
    </w:p>
    <w:p w14:paraId="33A1BDF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lastRenderedPageBreak/>
        <w:t>2.7.4 En todos aquellos casos donde se demuestre que la falla es imputable al Concesionario Solicitante o Autorizado Solicitante o a su Cliente Final, el tiempo de indisponibilidad se restará al final del periodo para efectos del cómputo de las penas correspondientes.</w:t>
      </w:r>
    </w:p>
    <w:p w14:paraId="5F013007"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2.7.5 Procedimiento de liquidación de penalizaciones.</w:t>
      </w:r>
    </w:p>
    <w:p w14:paraId="4B9C561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Todas las penalidades en que hayan incurrido los contratantes deberán ser identificadas y aceptadas por el Agente Económico Preponderante y el Concesionario Solicitante o Autorizado Solicitante. Asimismo, cuando incurran en una penalización, se procederá a determinar el monto en moneda de circulación nacional.</w:t>
      </w:r>
    </w:p>
    <w:p w14:paraId="479F3FCA"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La liquidación de las penalizaciones se llevará a cabo a través de una nota de crédito de Telmex en sus cobros mensuales de los Servicios y deberá bonificarse a más tardar en 60 (sesenta) días naturales a partir de que haya ocurrido el incumplimiento. </w:t>
      </w:r>
    </w:p>
    <w:p w14:paraId="435F1242"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 xml:space="preserve">Para llevar a cabo el cálculo de las penalizaciones, Telmex y el Concesionario Solicitante o Autorizado Solicitante, llevarán a cabo en la primera semana de cada mes una conciliación mensual para determinar la base de servicios correspondientes que hayan estado en incumplimiento el mes inmediato anterior, y determinar el monto </w:t>
      </w:r>
      <w:proofErr w:type="spellStart"/>
      <w:r w:rsidRPr="000323A2">
        <w:rPr>
          <w:rFonts w:ascii="Arial" w:eastAsia="Calibri" w:hAnsi="Arial" w:cs="Arial"/>
          <w:sz w:val="24"/>
          <w:szCs w:val="24"/>
        </w:rPr>
        <w:t>penalizable</w:t>
      </w:r>
      <w:proofErr w:type="spellEnd"/>
      <w:r w:rsidRPr="000323A2">
        <w:rPr>
          <w:rFonts w:ascii="Arial" w:eastAsia="Calibri" w:hAnsi="Arial" w:cs="Arial"/>
          <w:sz w:val="24"/>
          <w:szCs w:val="24"/>
        </w:rPr>
        <w:t>.</w:t>
      </w:r>
    </w:p>
    <w:p w14:paraId="314C3AB4"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2.8 Aclaración de facturas</w:t>
      </w:r>
    </w:p>
    <w:p w14:paraId="5474E53B" w14:textId="77777777" w:rsidR="000323A2" w:rsidRPr="000323A2" w:rsidRDefault="000323A2" w:rsidP="00B04B36">
      <w:pPr>
        <w:numPr>
          <w:ilvl w:val="0"/>
          <w:numId w:val="56"/>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 xml:space="preserve">Telmex enviará mensualmente una factura por los servicios solicitados al Concesionario Solicitante o Autorizado Solicitante, la cual deberá pagar u objetar en un plazo de 18 (dieciocho) días naturales después de su recepción. La objeción deberá referirse a las unidades y servicios que no reconozca mas no por la tarifa sujetándose al procedimiento y cumpliendo con los requisitos establecidos en el numeral 3.2 de la Cláusula Tercera del Convenio. </w:t>
      </w:r>
    </w:p>
    <w:p w14:paraId="238ADA1C" w14:textId="77777777" w:rsidR="000323A2" w:rsidRPr="000323A2" w:rsidRDefault="000323A2" w:rsidP="000323A2">
      <w:pPr>
        <w:widowControl w:val="0"/>
        <w:adjustRightInd w:val="0"/>
        <w:spacing w:before="240" w:after="0" w:line="276" w:lineRule="auto"/>
        <w:ind w:left="708"/>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Queda claramente entendido por las PARTES que las objeciones que no reúnan los requisitos mencionados, no tendrán efecto o validez alguna y, en consecuencia, las facturas y estados de adeudos correspondientes se tendrán por consentidos.</w:t>
      </w:r>
    </w:p>
    <w:p w14:paraId="20DE1733" w14:textId="77777777" w:rsidR="000323A2" w:rsidRPr="000323A2" w:rsidRDefault="000323A2" w:rsidP="00B04B36">
      <w:pPr>
        <w:numPr>
          <w:ilvl w:val="0"/>
          <w:numId w:val="56"/>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Concesionario Solicitante o Autorizado Solicitante deberá presentar la Solicitud de aclaración, acompañada del soporte correspondiente con los datos necesarios para atenderla (servicios reclamados, referencias, importes, justificación).</w:t>
      </w:r>
    </w:p>
    <w:p w14:paraId="032CCDC2" w14:textId="77777777" w:rsidR="000323A2" w:rsidRPr="000323A2" w:rsidRDefault="000323A2" w:rsidP="00B04B36">
      <w:pPr>
        <w:numPr>
          <w:ilvl w:val="0"/>
          <w:numId w:val="56"/>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Telmex analizará en un plazo de 18 (dieciocho) días naturales los datos enviados por el Concesionario Solicitante o Autorizado Solicitante para determinar la procedencia o improcedencia del mismo e informará del resultado del reclamo. Durante este plazo Telmex se auxiliará del Concesionario Solicitante o Autorizado Solicitante para resolver cualquier duda.</w:t>
      </w:r>
    </w:p>
    <w:p w14:paraId="68DE30DD" w14:textId="77777777" w:rsidR="000323A2" w:rsidRPr="000323A2" w:rsidRDefault="000323A2" w:rsidP="000323A2">
      <w:pPr>
        <w:widowControl w:val="0"/>
        <w:adjustRightInd w:val="0"/>
        <w:spacing w:before="240" w:after="0" w:line="276" w:lineRule="auto"/>
        <w:ind w:left="708"/>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rPr>
        <w:lastRenderedPageBreak/>
        <w:t>Aquellas facturas que el Concesionario Solicitante o Autorizado Solicitante hubiese objetado, serán revisadas por ambas Partes para determinar el monto efectivo a pagar dentro de un plazo que no excederá de 18 (dieciocho)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segundo párrafo de este inciso. Si una vez concluido el plazo de 18 días al que alude el presente numeral, TELMEX no ha notificado la procedencia de la objeción al Concesionario Solicitante o Autorizado Solicitante, se entenderá automáticamente que la objeción es procedente y el Concesionario Solicitante o Autorizado Solicitante quedará eximido del pago de la cantidad objetada.</w:t>
      </w:r>
    </w:p>
    <w:p w14:paraId="2F0580A1" w14:textId="77777777" w:rsidR="000323A2" w:rsidRPr="000323A2" w:rsidRDefault="000323A2" w:rsidP="00B04B36">
      <w:pPr>
        <w:numPr>
          <w:ilvl w:val="0"/>
          <w:numId w:val="56"/>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Para los montos objetados que sean procedentes, Telmex emitirá la nota de crédito correspondiente y el Concesionario Solicitante o Autorizado Solicitante deberá realizar el pago de los reclamos improcedentes.</w:t>
      </w:r>
    </w:p>
    <w:p w14:paraId="01247204"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2.9 Aclaración de Instalaciones</w:t>
      </w:r>
    </w:p>
    <w:p w14:paraId="6E36A88A" w14:textId="77777777" w:rsidR="000323A2" w:rsidRPr="000323A2" w:rsidRDefault="000323A2" w:rsidP="00B04B36">
      <w:pPr>
        <w:numPr>
          <w:ilvl w:val="0"/>
          <w:numId w:val="57"/>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Concesionario Solicitante o Autorizado Solicitante en cualquier momento podrá solicitar aclaraciones o informes de avance de los servicios en proceso de instalación mediante el Sistema Electrónico de Gestión.</w:t>
      </w:r>
    </w:p>
    <w:p w14:paraId="41ECB2F7" w14:textId="77777777" w:rsidR="000323A2" w:rsidRPr="000323A2" w:rsidRDefault="000323A2" w:rsidP="00B04B36">
      <w:pPr>
        <w:numPr>
          <w:ilvl w:val="0"/>
          <w:numId w:val="57"/>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Telmex proporcionará la información necesaria mediante el SEG, en un plazo no mayor a 24 horas de recibida la solicitud de aclaración o informe del avance de la instalación.</w:t>
      </w:r>
    </w:p>
    <w:p w14:paraId="309A8446" w14:textId="77777777" w:rsidR="000323A2" w:rsidRPr="000323A2" w:rsidRDefault="000323A2" w:rsidP="00B04B36">
      <w:pPr>
        <w:numPr>
          <w:ilvl w:val="0"/>
          <w:numId w:val="57"/>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Si el Concesionario Solicitante o Autorizado Solicitante desea alguna otra aclaración o información, procederá nuevamente a solicitarla con base en el primer párrafo de este numeral, de lo contrario se termina el proceso.</w:t>
      </w:r>
    </w:p>
    <w:p w14:paraId="32D14367"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t>2.10 Trabajos Programados</w:t>
      </w:r>
    </w:p>
    <w:p w14:paraId="21139552" w14:textId="77777777" w:rsidR="000323A2" w:rsidRPr="000323A2" w:rsidRDefault="000323A2" w:rsidP="00B04B36">
      <w:pPr>
        <w:numPr>
          <w:ilvl w:val="0"/>
          <w:numId w:val="5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Telmex notificará vía el SEG con 72 (setenta y dos) horas de anticipación y en casos excepcionales con 48 (cuarenta y ocho) horas de anticipación, los mantenimientos programados por fallas en su red.</w:t>
      </w:r>
    </w:p>
    <w:p w14:paraId="07542889" w14:textId="77777777" w:rsidR="000323A2" w:rsidRPr="000323A2" w:rsidRDefault="000323A2" w:rsidP="00B04B36">
      <w:pPr>
        <w:numPr>
          <w:ilvl w:val="0"/>
          <w:numId w:val="5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Concesionario Solicitante o Autorizado Solicitante enviará acuse de recibo en 4 (cuatro) horas hábiles y en casos excepcionales solicitará ajustes en la ventana de mantenimiento.</w:t>
      </w:r>
    </w:p>
    <w:p w14:paraId="42A3B6A8" w14:textId="77777777" w:rsidR="000323A2" w:rsidRPr="000323A2" w:rsidRDefault="000323A2" w:rsidP="00B04B36">
      <w:pPr>
        <w:numPr>
          <w:ilvl w:val="0"/>
          <w:numId w:val="5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De ser necesario, el Concesionario Solicitante o Autorizado Solicitante dará seguimiento al mantenimiento programado mediante una conferencia con el Centro de Atención a Operadores.</w:t>
      </w:r>
    </w:p>
    <w:p w14:paraId="1DA32F4A" w14:textId="77777777" w:rsidR="000323A2" w:rsidRPr="000323A2" w:rsidRDefault="000323A2" w:rsidP="00B04B36">
      <w:pPr>
        <w:numPr>
          <w:ilvl w:val="0"/>
          <w:numId w:val="58"/>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mantenimiento programado, concluirá con la validación de los servicios por parte de Telmex y del Concesionario Solicitante o Autorizado Solicitante.</w:t>
      </w:r>
    </w:p>
    <w:p w14:paraId="1859DEB6"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b/>
          <w:sz w:val="24"/>
          <w:szCs w:val="24"/>
        </w:rPr>
      </w:pPr>
      <w:r w:rsidRPr="000323A2">
        <w:rPr>
          <w:rFonts w:ascii="Arial" w:eastAsia="Calibri" w:hAnsi="Arial" w:cs="Arial"/>
          <w:b/>
          <w:sz w:val="24"/>
          <w:szCs w:val="24"/>
        </w:rPr>
        <w:lastRenderedPageBreak/>
        <w:t>2.11 Aclaración de Incidencias y reclamaciones por fallas</w:t>
      </w:r>
    </w:p>
    <w:p w14:paraId="4AC1A1C4" w14:textId="77777777" w:rsidR="000323A2" w:rsidRPr="000323A2" w:rsidRDefault="000323A2" w:rsidP="00B04B36">
      <w:pPr>
        <w:numPr>
          <w:ilvl w:val="0"/>
          <w:numId w:val="5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El Concesionario Solicitante o Autorizado Solicitante en cualquier momento podrá solicitar aclaraciones o informes de avance de la solución de fallas resueltas mediante el SEG.</w:t>
      </w:r>
    </w:p>
    <w:p w14:paraId="0167B825" w14:textId="77777777" w:rsidR="000323A2" w:rsidRPr="000323A2" w:rsidRDefault="000323A2" w:rsidP="00B04B36">
      <w:pPr>
        <w:numPr>
          <w:ilvl w:val="0"/>
          <w:numId w:val="5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Telmex proporcionará la información necesaria mediante el SEG.</w:t>
      </w:r>
    </w:p>
    <w:p w14:paraId="0310120D" w14:textId="77777777" w:rsidR="000323A2" w:rsidRPr="000323A2" w:rsidRDefault="000323A2" w:rsidP="00B04B36">
      <w:pPr>
        <w:numPr>
          <w:ilvl w:val="0"/>
          <w:numId w:val="59"/>
        </w:numPr>
        <w:autoSpaceDE w:val="0"/>
        <w:autoSpaceDN w:val="0"/>
        <w:adjustRightInd w:val="0"/>
        <w:spacing w:before="240" w:after="0" w:line="276" w:lineRule="auto"/>
        <w:contextualSpacing/>
        <w:jc w:val="both"/>
        <w:rPr>
          <w:rFonts w:ascii="Arial" w:eastAsia="Calibri" w:hAnsi="Arial" w:cs="Arial"/>
          <w:sz w:val="24"/>
          <w:szCs w:val="24"/>
        </w:rPr>
      </w:pPr>
      <w:r w:rsidRPr="000323A2">
        <w:rPr>
          <w:rFonts w:ascii="Arial" w:eastAsia="Calibri" w:hAnsi="Arial" w:cs="Arial"/>
          <w:sz w:val="24"/>
          <w:szCs w:val="24"/>
        </w:rPr>
        <w:t>Si el Concesionario Solicitante o Autorizado Solicitante desea alguna otra aclaración o información deberá proceder nuevamente al paso a), de lo contrario se termina el proceso.</w:t>
      </w:r>
    </w:p>
    <w:p w14:paraId="1A912F74" w14:textId="77777777" w:rsidR="000323A2" w:rsidRPr="000323A2" w:rsidRDefault="000323A2" w:rsidP="00B04B36">
      <w:pPr>
        <w:widowControl w:val="0"/>
        <w:numPr>
          <w:ilvl w:val="0"/>
          <w:numId w:val="67"/>
        </w:numPr>
        <w:autoSpaceDE w:val="0"/>
        <w:autoSpaceDN w:val="0"/>
        <w:adjustRightInd w:val="0"/>
        <w:spacing w:before="240" w:after="0" w:line="276" w:lineRule="auto"/>
        <w:ind w:left="284" w:hanging="284"/>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Fianza</w:t>
      </w:r>
    </w:p>
    <w:p w14:paraId="4ED632FE"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El Concesionario Solicitante o Autorizado Solicitante exhibirá una fianza o carta de crédito, expedidos por una Institución de Fianzas o una Institución Bancaria de los Estados Unidos Mexicanos, para que Telmex provea los servicios a los que se hace referencia en la Oferta de Referencia, en los términos que se estipulan en la Cláusula Novena del Convenio que se anexa.</w:t>
      </w:r>
    </w:p>
    <w:p w14:paraId="0A6F0E29" w14:textId="77777777" w:rsidR="000323A2" w:rsidRPr="000323A2" w:rsidRDefault="000323A2" w:rsidP="00B04B36">
      <w:pPr>
        <w:widowControl w:val="0"/>
        <w:numPr>
          <w:ilvl w:val="0"/>
          <w:numId w:val="67"/>
        </w:numPr>
        <w:autoSpaceDE w:val="0"/>
        <w:autoSpaceDN w:val="0"/>
        <w:adjustRightInd w:val="0"/>
        <w:spacing w:before="240" w:after="0" w:line="276" w:lineRule="auto"/>
        <w:ind w:left="284" w:hanging="284"/>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Formalización</w:t>
      </w:r>
    </w:p>
    <w:p w14:paraId="617EE873"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La presente Oferta será extensiva a los concesionarios de redes públicas y autorizados interesados en aceptar los términos de la misma, por lo que deberán acudir a formalizar tal aceptación mediante la suscripción del Convenio que se anexa al presente en el domicilio de Telmex ubicado en:</w:t>
      </w:r>
    </w:p>
    <w:p w14:paraId="5CA86E66" w14:textId="77777777" w:rsidR="000323A2" w:rsidRPr="000323A2" w:rsidRDefault="000323A2" w:rsidP="000323A2">
      <w:pPr>
        <w:autoSpaceDE w:val="0"/>
        <w:autoSpaceDN w:val="0"/>
        <w:adjustRightInd w:val="0"/>
        <w:spacing w:before="240" w:after="0" w:line="276" w:lineRule="auto"/>
        <w:jc w:val="center"/>
        <w:rPr>
          <w:rFonts w:ascii="Arial" w:eastAsia="Calibri" w:hAnsi="Arial" w:cs="Arial"/>
          <w:sz w:val="24"/>
          <w:szCs w:val="24"/>
        </w:rPr>
      </w:pPr>
      <w:r w:rsidRPr="000323A2">
        <w:rPr>
          <w:rFonts w:ascii="Arial" w:eastAsia="Calibri" w:hAnsi="Arial" w:cs="Arial"/>
          <w:sz w:val="24"/>
          <w:szCs w:val="24"/>
        </w:rPr>
        <w:t>Parque Vía No. 190 Piso 9</w:t>
      </w:r>
    </w:p>
    <w:p w14:paraId="44A02B1A" w14:textId="77777777" w:rsidR="000323A2" w:rsidRPr="000323A2" w:rsidRDefault="000323A2" w:rsidP="000323A2">
      <w:pPr>
        <w:autoSpaceDE w:val="0"/>
        <w:autoSpaceDN w:val="0"/>
        <w:adjustRightInd w:val="0"/>
        <w:spacing w:before="240" w:after="0" w:line="276" w:lineRule="auto"/>
        <w:jc w:val="center"/>
        <w:rPr>
          <w:rFonts w:ascii="Arial" w:eastAsia="Calibri" w:hAnsi="Arial" w:cs="Arial"/>
          <w:sz w:val="24"/>
          <w:szCs w:val="24"/>
        </w:rPr>
      </w:pPr>
      <w:r w:rsidRPr="000323A2">
        <w:rPr>
          <w:rFonts w:ascii="Arial" w:eastAsia="Calibri" w:hAnsi="Arial" w:cs="Arial"/>
          <w:sz w:val="24"/>
          <w:szCs w:val="24"/>
        </w:rPr>
        <w:t>Col. Cuauhtémoc, C.P. 06500, Ciudad de México.</w:t>
      </w:r>
    </w:p>
    <w:p w14:paraId="4FA25B70"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sz w:val="24"/>
          <w:szCs w:val="24"/>
        </w:rPr>
      </w:pPr>
      <w:r w:rsidRPr="000323A2">
        <w:rPr>
          <w:rFonts w:ascii="Arial" w:eastAsia="Calibri" w:hAnsi="Arial" w:cs="Arial"/>
          <w:sz w:val="24"/>
          <w:szCs w:val="24"/>
        </w:rPr>
        <w:t>Para ello, deberá previamente concertarse cita, la cual será otorgada de manera expedita, mediante correo electrónico dirigido a la dirección: solicitudes.enlaces@telmex.com, o bien con carta dirigida al domicilio de Telmex antes mencionado.</w:t>
      </w:r>
    </w:p>
    <w:tbl>
      <w:tblPr>
        <w:tblStyle w:val="Cuadrculadetablaclara1"/>
        <w:tblW w:w="94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Firmas"/>
      </w:tblPr>
      <w:tblGrid>
        <w:gridCol w:w="4992"/>
        <w:gridCol w:w="4472"/>
      </w:tblGrid>
      <w:tr w:rsidR="000323A2" w:rsidRPr="000323A2" w14:paraId="335AEC25" w14:textId="77777777" w:rsidTr="000323A2">
        <w:trPr>
          <w:tblHeader/>
          <w:jc w:val="center"/>
        </w:trPr>
        <w:tc>
          <w:tcPr>
            <w:tcW w:w="4992" w:type="dxa"/>
          </w:tcPr>
          <w:p w14:paraId="229AAD1C" w14:textId="77777777" w:rsidR="000323A2" w:rsidRPr="000323A2" w:rsidRDefault="000323A2" w:rsidP="000323A2">
            <w:pPr>
              <w:spacing w:before="240"/>
              <w:jc w:val="center"/>
              <w:rPr>
                <w:rFonts w:ascii="Arial" w:hAnsi="Arial" w:cs="Arial"/>
                <w:b/>
                <w:lang w:val="es-ES_tradnl"/>
              </w:rPr>
            </w:pPr>
          </w:p>
          <w:p w14:paraId="22EFC159" w14:textId="77777777" w:rsidR="000323A2" w:rsidRPr="000323A2" w:rsidRDefault="000323A2" w:rsidP="000323A2">
            <w:pPr>
              <w:spacing w:before="240"/>
              <w:jc w:val="center"/>
              <w:rPr>
                <w:rFonts w:ascii="Arial" w:hAnsi="Arial" w:cs="Arial"/>
                <w:lang w:val="es-ES_tradnl"/>
              </w:rPr>
            </w:pPr>
            <w:r w:rsidRPr="000323A2">
              <w:rPr>
                <w:rFonts w:ascii="Arial" w:hAnsi="Arial" w:cs="Arial"/>
                <w:b/>
                <w:lang w:val="es-ES_tradnl"/>
              </w:rPr>
              <w:t>TELÉFONOS DE MÉXICO, S.A.B. DE C.V.</w:t>
            </w:r>
          </w:p>
        </w:tc>
        <w:tc>
          <w:tcPr>
            <w:tcW w:w="4472" w:type="dxa"/>
          </w:tcPr>
          <w:p w14:paraId="62D93352" w14:textId="77777777" w:rsidR="000323A2" w:rsidRPr="000323A2" w:rsidRDefault="000323A2" w:rsidP="000323A2">
            <w:pPr>
              <w:spacing w:before="240"/>
              <w:jc w:val="center"/>
              <w:rPr>
                <w:rFonts w:ascii="Arial" w:hAnsi="Arial" w:cs="Arial"/>
                <w:b/>
                <w:lang w:val="es-ES_tradnl"/>
              </w:rPr>
            </w:pPr>
          </w:p>
          <w:p w14:paraId="4192AF46" w14:textId="77777777" w:rsidR="000323A2" w:rsidRPr="000323A2" w:rsidRDefault="000323A2" w:rsidP="000323A2">
            <w:pPr>
              <w:spacing w:before="240"/>
              <w:jc w:val="center"/>
              <w:rPr>
                <w:rFonts w:ascii="Arial" w:hAnsi="Arial" w:cs="Arial"/>
                <w:lang w:val="es-ES_tradnl"/>
              </w:rPr>
            </w:pPr>
            <w:r w:rsidRPr="000323A2">
              <w:rPr>
                <w:rFonts w:ascii="Arial" w:hAnsi="Arial" w:cs="Arial"/>
                <w:b/>
                <w:lang w:val="es-ES_tradnl"/>
              </w:rPr>
              <w:t>CONCESIONARIO SOLICITANTE O AUTORIZADO SOLICITANTE</w:t>
            </w:r>
          </w:p>
        </w:tc>
      </w:tr>
      <w:tr w:rsidR="000323A2" w:rsidRPr="000323A2" w14:paraId="7E740B8B" w14:textId="77777777" w:rsidTr="000323A2">
        <w:trPr>
          <w:tblHeader/>
          <w:jc w:val="center"/>
        </w:trPr>
        <w:tc>
          <w:tcPr>
            <w:tcW w:w="4992" w:type="dxa"/>
          </w:tcPr>
          <w:p w14:paraId="42220781" w14:textId="77777777" w:rsidR="000323A2" w:rsidRPr="000323A2" w:rsidRDefault="000323A2" w:rsidP="000323A2">
            <w:pPr>
              <w:spacing w:before="240"/>
              <w:jc w:val="center"/>
              <w:rPr>
                <w:rFonts w:ascii="Arial" w:hAnsi="Arial" w:cs="Arial"/>
                <w:b/>
              </w:rPr>
            </w:pPr>
          </w:p>
          <w:p w14:paraId="2E86C551" w14:textId="77777777" w:rsidR="000323A2" w:rsidRPr="000323A2" w:rsidRDefault="000323A2" w:rsidP="000323A2">
            <w:pPr>
              <w:spacing w:before="240"/>
              <w:jc w:val="center"/>
              <w:rPr>
                <w:rFonts w:ascii="Arial" w:hAnsi="Arial" w:cs="Arial"/>
                <w:b/>
                <w:lang w:val="es-ES_tradnl"/>
              </w:rPr>
            </w:pPr>
            <w:r w:rsidRPr="000323A2">
              <w:rPr>
                <w:rFonts w:ascii="Arial" w:hAnsi="Arial" w:cs="Arial"/>
                <w:b/>
              </w:rPr>
              <w:t>ALEJANDRO COCA SÁNCHEZ</w:t>
            </w:r>
          </w:p>
        </w:tc>
        <w:tc>
          <w:tcPr>
            <w:tcW w:w="4472" w:type="dxa"/>
          </w:tcPr>
          <w:p w14:paraId="034C8C05" w14:textId="77777777" w:rsidR="000323A2" w:rsidRPr="000323A2" w:rsidRDefault="000323A2" w:rsidP="000323A2">
            <w:pPr>
              <w:spacing w:before="240"/>
              <w:jc w:val="center"/>
              <w:rPr>
                <w:rFonts w:ascii="Arial" w:hAnsi="Arial" w:cs="Arial"/>
                <w:b/>
                <w:lang w:val="es-ES_tradnl"/>
              </w:rPr>
            </w:pPr>
          </w:p>
          <w:p w14:paraId="2AA45C42" w14:textId="592C3A5D" w:rsidR="000323A2" w:rsidRPr="000323A2" w:rsidRDefault="00D171B1" w:rsidP="00D171B1">
            <w:pPr>
              <w:spacing w:before="240"/>
              <w:jc w:val="center"/>
              <w:rPr>
                <w:rFonts w:ascii="Arial" w:hAnsi="Arial" w:cs="Arial"/>
                <w:b/>
                <w:lang w:val="es-ES_tradnl"/>
              </w:rPr>
            </w:pPr>
            <w:r w:rsidRPr="00D171B1">
              <w:rPr>
                <w:rFonts w:ascii="Arial" w:hAnsi="Arial" w:cs="Arial"/>
                <w:b/>
                <w:color w:val="00B0F0"/>
                <w:lang w:val="es-ES_tradnl"/>
              </w:rPr>
              <w:t>(…)</w:t>
            </w:r>
          </w:p>
        </w:tc>
      </w:tr>
    </w:tbl>
    <w:p w14:paraId="44EBD3D9" w14:textId="77777777" w:rsidR="000323A2" w:rsidRPr="000323A2" w:rsidRDefault="000323A2" w:rsidP="000323A2">
      <w:pPr>
        <w:autoSpaceDE w:val="0"/>
        <w:autoSpaceDN w:val="0"/>
        <w:adjustRightInd w:val="0"/>
        <w:spacing w:before="240" w:after="0" w:line="276" w:lineRule="auto"/>
        <w:jc w:val="both"/>
        <w:rPr>
          <w:rFonts w:ascii="Calibri" w:eastAsia="Calibri" w:hAnsi="Calibri" w:cs="Times New Roman"/>
          <w:lang w:eastAsia="es-ES"/>
        </w:rPr>
      </w:pPr>
    </w:p>
    <w:p w14:paraId="262B0B84" w14:textId="77777777" w:rsidR="000323A2" w:rsidRPr="000323A2" w:rsidRDefault="000323A2" w:rsidP="000323A2">
      <w:pPr>
        <w:spacing w:before="240" w:after="0" w:line="240" w:lineRule="auto"/>
        <w:rPr>
          <w:rFonts w:ascii="Calibri" w:eastAsia="Calibri" w:hAnsi="Calibri" w:cs="Times New Roman"/>
          <w:lang w:eastAsia="es-ES"/>
        </w:rPr>
      </w:pPr>
      <w:r w:rsidRPr="000323A2">
        <w:rPr>
          <w:rFonts w:ascii="Calibri" w:eastAsia="Calibri" w:hAnsi="Calibri" w:cs="Times New Roman"/>
          <w:lang w:eastAsia="es-ES"/>
        </w:rPr>
        <w:br w:type="page"/>
      </w:r>
    </w:p>
    <w:p w14:paraId="5C659F11"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tabs>
          <w:tab w:val="center" w:pos="1814"/>
          <w:tab w:val="center" w:pos="5216"/>
          <w:tab w:val="center" w:pos="9214"/>
        </w:tabs>
        <w:spacing w:before="240" w:after="0" w:line="240" w:lineRule="auto"/>
        <w:ind w:left="567" w:right="567"/>
        <w:jc w:val="center"/>
        <w:outlineLvl w:val="0"/>
        <w:rPr>
          <w:rFonts w:ascii="Arial" w:eastAsia="Calibri" w:hAnsi="Arial" w:cs="Arial"/>
          <w:bCs/>
          <w:kern w:val="32"/>
          <w:sz w:val="56"/>
          <w:szCs w:val="32"/>
          <w:u w:val="single"/>
          <w:lang w:val="es-ES_tradnl"/>
        </w:rPr>
      </w:pPr>
      <w:r w:rsidRPr="000323A2">
        <w:rPr>
          <w:rFonts w:ascii="Arial" w:eastAsia="Calibri" w:hAnsi="Arial" w:cs="Arial"/>
          <w:bCs/>
          <w:kern w:val="32"/>
          <w:sz w:val="56"/>
          <w:szCs w:val="32"/>
          <w:u w:val="single"/>
          <w:lang w:val="es-ES_tradnl"/>
        </w:rPr>
        <w:lastRenderedPageBreak/>
        <w:t>ANEXO “A”</w:t>
      </w:r>
    </w:p>
    <w:p w14:paraId="41944065"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spacing w:before="240" w:after="0" w:line="240" w:lineRule="auto"/>
        <w:ind w:left="567" w:right="567"/>
        <w:jc w:val="center"/>
        <w:outlineLvl w:val="1"/>
        <w:rPr>
          <w:rFonts w:ascii="Arial" w:eastAsia="Calibri" w:hAnsi="Arial" w:cs="Arial"/>
          <w:b/>
          <w:bCs/>
          <w:iCs/>
          <w:sz w:val="48"/>
          <w:szCs w:val="48"/>
          <w:lang w:val="es-ES"/>
        </w:rPr>
      </w:pPr>
      <w:r w:rsidRPr="000323A2">
        <w:rPr>
          <w:rFonts w:ascii="Arial" w:eastAsia="Calibri" w:hAnsi="Arial" w:cs="Arial"/>
          <w:b/>
          <w:bCs/>
          <w:iCs/>
          <w:sz w:val="48"/>
          <w:szCs w:val="48"/>
          <w:lang w:val="es-ES"/>
        </w:rPr>
        <w:t>ACTA DE RECEPCIÓN</w:t>
      </w:r>
    </w:p>
    <w:p w14:paraId="7A7DF11A" w14:textId="77777777" w:rsidR="000323A2" w:rsidRDefault="000323A2" w:rsidP="000323A2">
      <w:pPr>
        <w:pBdr>
          <w:top w:val="single" w:sz="24" w:space="1" w:color="auto"/>
          <w:left w:val="single" w:sz="24" w:space="0" w:color="auto"/>
          <w:bottom w:val="single" w:sz="24" w:space="1" w:color="auto"/>
          <w:right w:val="single" w:sz="24" w:space="24" w:color="auto"/>
        </w:pBdr>
        <w:tabs>
          <w:tab w:val="right" w:pos="7938"/>
        </w:tabs>
        <w:spacing w:before="240" w:after="0" w:line="240" w:lineRule="auto"/>
        <w:ind w:left="567" w:right="567"/>
        <w:jc w:val="both"/>
        <w:rPr>
          <w:rFonts w:ascii="ITC Avant Garde" w:eastAsia="Calibri" w:hAnsi="ITC Avant Garde" w:cs="Times New Roman"/>
          <w:b/>
          <w:sz w:val="16"/>
          <w:szCs w:val="20"/>
          <w:lang w:val="es-ES_tradnl"/>
        </w:rPr>
        <w:sectPr w:rsidR="000323A2" w:rsidSect="000323A2">
          <w:footerReference w:type="default" r:id="rId12"/>
          <w:pgSz w:w="12240" w:h="15840"/>
          <w:pgMar w:top="1985" w:right="1418" w:bottom="1134" w:left="1418" w:header="709" w:footer="709" w:gutter="0"/>
          <w:cols w:space="708"/>
          <w:docGrid w:linePitch="360"/>
        </w:sectPr>
      </w:pPr>
    </w:p>
    <w:p w14:paraId="6A4E7249" w14:textId="77777777" w:rsidR="000323A2" w:rsidRPr="000323A2" w:rsidRDefault="000323A2" w:rsidP="000323A2">
      <w:pPr>
        <w:tabs>
          <w:tab w:val="left" w:pos="3119"/>
        </w:tabs>
        <w:spacing w:before="240" w:after="0" w:line="240" w:lineRule="auto"/>
        <w:jc w:val="center"/>
        <w:rPr>
          <w:rFonts w:ascii="ITC Avant Garde" w:eastAsia="Calibri" w:hAnsi="ITC Avant Garde" w:cs="Times New Roman"/>
          <w:b/>
          <w:sz w:val="20"/>
          <w:szCs w:val="20"/>
          <w:lang w:val="es-ES_tradnl"/>
        </w:rPr>
      </w:pPr>
      <w:r w:rsidRPr="000323A2">
        <w:rPr>
          <w:rFonts w:ascii="ITC Avant Garde" w:eastAsia="Calibri" w:hAnsi="ITC Avant Garde" w:cs="Times New Roman"/>
          <w:b/>
          <w:sz w:val="20"/>
          <w:szCs w:val="20"/>
          <w:lang w:val="es-ES_tradnl"/>
        </w:rPr>
        <w:lastRenderedPageBreak/>
        <w:t>TELÉFONOS DE MÉXICO S.A.B. DE C.V</w:t>
      </w:r>
    </w:p>
    <w:p w14:paraId="564A9DAC" w14:textId="5E8355DA" w:rsidR="000323A2" w:rsidRPr="000323A2" w:rsidRDefault="000323A2" w:rsidP="000323A2">
      <w:pPr>
        <w:spacing w:before="120" w:after="360" w:line="240" w:lineRule="auto"/>
        <w:ind w:right="48"/>
        <w:jc w:val="center"/>
        <w:rPr>
          <w:rFonts w:ascii="ITC Avant Garde" w:eastAsia="Calibri" w:hAnsi="ITC Avant Garde" w:cs="Times New Roman"/>
          <w:b/>
          <w:sz w:val="16"/>
          <w:szCs w:val="20"/>
          <w:lang w:val="es-ES_tradnl"/>
        </w:rPr>
      </w:pPr>
      <w:r w:rsidRPr="000323A2">
        <w:rPr>
          <w:rFonts w:ascii="ITC Avant Garde" w:eastAsia="Calibri" w:hAnsi="ITC Avant Garde" w:cs="Times New Roman"/>
          <w:b/>
          <w:sz w:val="20"/>
          <w:szCs w:val="20"/>
          <w:lang w:val="es-ES_tradnl"/>
        </w:rPr>
        <w:t>ACTA DE RECEPCIÓN DEL SERVICIO</w:t>
      </w:r>
    </w:p>
    <w:tbl>
      <w:tblPr>
        <w:tblStyle w:val="Cuadrculadetablaclara1"/>
        <w:tblW w:w="10171" w:type="dxa"/>
        <w:jc w:val="center"/>
        <w:tblLayout w:type="fixed"/>
        <w:tblLook w:val="0000" w:firstRow="0" w:lastRow="0" w:firstColumn="0" w:lastColumn="0" w:noHBand="0" w:noVBand="0"/>
        <w:tblCaption w:val="Tabla"/>
        <w:tblDescription w:val="Orden de servicio"/>
      </w:tblPr>
      <w:tblGrid>
        <w:gridCol w:w="2573"/>
        <w:gridCol w:w="2337"/>
        <w:gridCol w:w="709"/>
        <w:gridCol w:w="2814"/>
        <w:gridCol w:w="1738"/>
      </w:tblGrid>
      <w:tr w:rsidR="000323A2" w:rsidRPr="000323A2" w14:paraId="223A1A9D" w14:textId="77777777" w:rsidTr="000323A2">
        <w:trPr>
          <w:trHeight w:val="100"/>
          <w:tblHeader/>
          <w:jc w:val="center"/>
        </w:trPr>
        <w:tc>
          <w:tcPr>
            <w:tcW w:w="2573" w:type="dxa"/>
          </w:tcPr>
          <w:p w14:paraId="7144D268"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Orden de servicio</w:t>
            </w:r>
          </w:p>
        </w:tc>
        <w:tc>
          <w:tcPr>
            <w:tcW w:w="2337" w:type="dxa"/>
          </w:tcPr>
          <w:p w14:paraId="7848CA07"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Referencia del servicio</w:t>
            </w:r>
          </w:p>
        </w:tc>
        <w:tc>
          <w:tcPr>
            <w:tcW w:w="709" w:type="dxa"/>
          </w:tcPr>
          <w:p w14:paraId="1B7B5E43"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Fase</w:t>
            </w:r>
          </w:p>
        </w:tc>
        <w:tc>
          <w:tcPr>
            <w:tcW w:w="2814" w:type="dxa"/>
          </w:tcPr>
          <w:p w14:paraId="66DC0395"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Contrato</w:t>
            </w:r>
          </w:p>
        </w:tc>
        <w:tc>
          <w:tcPr>
            <w:tcW w:w="1738" w:type="dxa"/>
          </w:tcPr>
          <w:p w14:paraId="218263C4"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Artículo  del  Catálogo</w:t>
            </w:r>
          </w:p>
        </w:tc>
      </w:tr>
      <w:tr w:rsidR="000323A2" w:rsidRPr="000323A2" w14:paraId="0312FD26" w14:textId="77777777" w:rsidTr="000323A2">
        <w:trPr>
          <w:trHeight w:val="100"/>
          <w:tblHeader/>
          <w:jc w:val="center"/>
        </w:trPr>
        <w:tc>
          <w:tcPr>
            <w:tcW w:w="2573" w:type="dxa"/>
          </w:tcPr>
          <w:p w14:paraId="2A1BCCA8" w14:textId="34984AE5"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bookmarkStart w:id="3" w:name="ordserv"/>
            <w:bookmarkEnd w:id="3"/>
            <w:r w:rsidRPr="000323A2">
              <w:rPr>
                <w:rFonts w:ascii="ITC Avant Garde" w:hAnsi="ITC Avant Garde"/>
                <w:b/>
                <w:color w:val="00B0F0"/>
                <w:sz w:val="18"/>
                <w:szCs w:val="20"/>
                <w:lang w:val="es-ES_tradnl"/>
              </w:rPr>
              <w:t>(…)</w:t>
            </w:r>
          </w:p>
        </w:tc>
        <w:tc>
          <w:tcPr>
            <w:tcW w:w="2337" w:type="dxa"/>
          </w:tcPr>
          <w:p w14:paraId="078717C9" w14:textId="546A38D4" w:rsidR="000323A2" w:rsidRPr="000323A2" w:rsidRDefault="000323A2" w:rsidP="000323A2">
            <w:pPr>
              <w:tabs>
                <w:tab w:val="center" w:pos="1814"/>
                <w:tab w:val="center" w:pos="5216"/>
                <w:tab w:val="center" w:pos="9214"/>
              </w:tabs>
              <w:jc w:val="center"/>
              <w:rPr>
                <w:rFonts w:ascii="ITC Avant Garde" w:hAnsi="ITC Avant Garde"/>
                <w:sz w:val="18"/>
                <w:szCs w:val="20"/>
                <w:lang w:val="es-ES_tradnl"/>
              </w:rPr>
            </w:pPr>
            <w:bookmarkStart w:id="4" w:name="refserv"/>
            <w:bookmarkEnd w:id="4"/>
            <w:r w:rsidRPr="000323A2">
              <w:rPr>
                <w:rFonts w:ascii="ITC Avant Garde" w:hAnsi="ITC Avant Garde"/>
                <w:b/>
                <w:color w:val="00B0F0"/>
                <w:sz w:val="18"/>
                <w:szCs w:val="20"/>
                <w:lang w:val="es-ES_tradnl"/>
              </w:rPr>
              <w:t>(…)</w:t>
            </w:r>
          </w:p>
        </w:tc>
        <w:tc>
          <w:tcPr>
            <w:tcW w:w="709" w:type="dxa"/>
          </w:tcPr>
          <w:p w14:paraId="64A829D2" w14:textId="4025C233" w:rsidR="000323A2" w:rsidRPr="000323A2" w:rsidRDefault="000323A2" w:rsidP="000323A2">
            <w:pPr>
              <w:tabs>
                <w:tab w:val="center" w:pos="1814"/>
                <w:tab w:val="center" w:pos="5216"/>
                <w:tab w:val="center" w:pos="9214"/>
              </w:tabs>
              <w:jc w:val="center"/>
              <w:rPr>
                <w:rFonts w:ascii="ITC Avant Garde" w:hAnsi="ITC Avant Garde"/>
                <w:sz w:val="18"/>
                <w:szCs w:val="20"/>
                <w:lang w:val="es-ES_tradnl"/>
              </w:rPr>
            </w:pPr>
            <w:bookmarkStart w:id="5" w:name="fase"/>
            <w:bookmarkEnd w:id="5"/>
            <w:r w:rsidRPr="000323A2">
              <w:rPr>
                <w:rFonts w:ascii="ITC Avant Garde" w:hAnsi="ITC Avant Garde"/>
                <w:b/>
                <w:color w:val="00B0F0"/>
                <w:sz w:val="18"/>
                <w:szCs w:val="20"/>
                <w:lang w:val="es-ES_tradnl"/>
              </w:rPr>
              <w:t>(…)</w:t>
            </w:r>
          </w:p>
        </w:tc>
        <w:tc>
          <w:tcPr>
            <w:tcW w:w="2814" w:type="dxa"/>
          </w:tcPr>
          <w:p w14:paraId="22595926" w14:textId="6B259519" w:rsidR="000323A2" w:rsidRPr="000323A2" w:rsidRDefault="000323A2" w:rsidP="000323A2">
            <w:pPr>
              <w:tabs>
                <w:tab w:val="center" w:pos="1814"/>
                <w:tab w:val="center" w:pos="5216"/>
                <w:tab w:val="center" w:pos="9214"/>
              </w:tabs>
              <w:jc w:val="center"/>
              <w:rPr>
                <w:rFonts w:ascii="ITC Avant Garde" w:hAnsi="ITC Avant Garde"/>
                <w:sz w:val="18"/>
                <w:szCs w:val="20"/>
                <w:lang w:val="es-ES_tradnl"/>
              </w:rPr>
            </w:pPr>
            <w:bookmarkStart w:id="6" w:name="cont"/>
            <w:bookmarkEnd w:id="6"/>
            <w:r w:rsidRPr="000323A2">
              <w:rPr>
                <w:rFonts w:ascii="ITC Avant Garde" w:hAnsi="ITC Avant Garde"/>
                <w:b/>
                <w:color w:val="00B0F0"/>
                <w:sz w:val="18"/>
                <w:szCs w:val="20"/>
                <w:lang w:val="es-ES_tradnl"/>
              </w:rPr>
              <w:t>(…)</w:t>
            </w:r>
          </w:p>
        </w:tc>
        <w:tc>
          <w:tcPr>
            <w:tcW w:w="1738" w:type="dxa"/>
          </w:tcPr>
          <w:p w14:paraId="58BDC3F2" w14:textId="149A8FB0" w:rsidR="000323A2" w:rsidRPr="000323A2" w:rsidRDefault="000323A2" w:rsidP="000323A2">
            <w:pPr>
              <w:tabs>
                <w:tab w:val="center" w:pos="1814"/>
                <w:tab w:val="center" w:pos="5216"/>
                <w:tab w:val="center" w:pos="9214"/>
              </w:tabs>
              <w:jc w:val="center"/>
              <w:rPr>
                <w:rFonts w:ascii="ITC Avant Garde" w:hAnsi="ITC Avant Garde"/>
                <w:sz w:val="18"/>
                <w:szCs w:val="20"/>
                <w:lang w:val="es-ES_tradnl"/>
              </w:rPr>
            </w:pPr>
            <w:bookmarkStart w:id="7" w:name="art"/>
            <w:bookmarkEnd w:id="7"/>
            <w:r w:rsidRPr="000323A2">
              <w:rPr>
                <w:rFonts w:ascii="ITC Avant Garde" w:hAnsi="ITC Avant Garde"/>
                <w:b/>
                <w:color w:val="00B0F0"/>
                <w:sz w:val="18"/>
                <w:szCs w:val="20"/>
                <w:lang w:val="es-ES_tradnl"/>
              </w:rPr>
              <w:t>(…)</w:t>
            </w:r>
          </w:p>
        </w:tc>
      </w:tr>
    </w:tbl>
    <w:p w14:paraId="0A86534E" w14:textId="77777777" w:rsidR="000323A2" w:rsidRPr="000323A2" w:rsidRDefault="000323A2" w:rsidP="000323A2">
      <w:pPr>
        <w:tabs>
          <w:tab w:val="center" w:pos="1814"/>
          <w:tab w:val="center" w:pos="5216"/>
          <w:tab w:val="center" w:pos="9214"/>
        </w:tabs>
        <w:spacing w:before="240" w:after="0" w:line="240" w:lineRule="auto"/>
        <w:rPr>
          <w:rFonts w:ascii="ITC Avant Garde" w:eastAsia="Calibri" w:hAnsi="ITC Avant Garde" w:cs="Times New Roman"/>
          <w:sz w:val="18"/>
          <w:szCs w:val="20"/>
          <w:lang w:val="es-ES_tradnl"/>
        </w:rPr>
      </w:pPr>
    </w:p>
    <w:tbl>
      <w:tblPr>
        <w:tblStyle w:val="Cuadrculadetablaclara1"/>
        <w:tblW w:w="10348" w:type="dxa"/>
        <w:jc w:val="center"/>
        <w:tblLayout w:type="fixed"/>
        <w:tblLook w:val="0000" w:firstRow="0" w:lastRow="0" w:firstColumn="0" w:lastColumn="0" w:noHBand="0" w:noVBand="0"/>
        <w:tblCaption w:val="Tabla"/>
        <w:tblDescription w:val="Clave, cuenta maestra"/>
      </w:tblPr>
      <w:tblGrid>
        <w:gridCol w:w="3619"/>
        <w:gridCol w:w="3332"/>
        <w:gridCol w:w="3397"/>
      </w:tblGrid>
      <w:tr w:rsidR="000323A2" w:rsidRPr="000323A2" w14:paraId="5B38A899" w14:textId="77777777" w:rsidTr="000323A2">
        <w:trPr>
          <w:trHeight w:val="321"/>
          <w:tblHeader/>
          <w:jc w:val="center"/>
        </w:trPr>
        <w:tc>
          <w:tcPr>
            <w:tcW w:w="3619" w:type="dxa"/>
          </w:tcPr>
          <w:p w14:paraId="5E36892A" w14:textId="77777777" w:rsidR="000323A2" w:rsidRPr="000323A2" w:rsidRDefault="000323A2" w:rsidP="000323A2">
            <w:pPr>
              <w:tabs>
                <w:tab w:val="left" w:pos="3119"/>
              </w:tabs>
              <w:spacing w:before="120"/>
              <w:jc w:val="center"/>
              <w:rPr>
                <w:rFonts w:ascii="ITC Avant Garde" w:hAnsi="ITC Avant Garde"/>
                <w:b/>
                <w:sz w:val="20"/>
                <w:szCs w:val="20"/>
                <w:lang w:val="es-ES_tradnl"/>
              </w:rPr>
            </w:pPr>
            <w:r w:rsidRPr="000323A2">
              <w:rPr>
                <w:rFonts w:ascii="ITC Avant Garde" w:hAnsi="ITC Avant Garde"/>
                <w:b/>
                <w:sz w:val="20"/>
                <w:szCs w:val="20"/>
                <w:lang w:val="es-ES_tradnl"/>
              </w:rPr>
              <w:t>Clave  Cuenta  Maestra</w:t>
            </w:r>
          </w:p>
        </w:tc>
        <w:tc>
          <w:tcPr>
            <w:tcW w:w="3332" w:type="dxa"/>
          </w:tcPr>
          <w:p w14:paraId="6D38F912" w14:textId="77777777" w:rsidR="000323A2" w:rsidRPr="000323A2" w:rsidRDefault="000323A2" w:rsidP="000323A2">
            <w:pPr>
              <w:tabs>
                <w:tab w:val="center" w:pos="1814"/>
                <w:tab w:val="center" w:pos="5216"/>
                <w:tab w:val="center" w:pos="9214"/>
              </w:tabs>
              <w:spacing w:before="120"/>
              <w:jc w:val="center"/>
              <w:rPr>
                <w:rFonts w:ascii="ITC Avant Garde" w:hAnsi="ITC Avant Garde"/>
                <w:b/>
                <w:sz w:val="18"/>
                <w:szCs w:val="20"/>
                <w:lang w:val="es-ES_tradnl"/>
              </w:rPr>
            </w:pPr>
            <w:r w:rsidRPr="000323A2">
              <w:rPr>
                <w:rFonts w:ascii="ITC Avant Garde" w:hAnsi="ITC Avant Garde"/>
                <w:b/>
                <w:sz w:val="18"/>
                <w:szCs w:val="20"/>
                <w:lang w:val="es-ES_tradnl"/>
              </w:rPr>
              <w:t>Número  a  facturar</w:t>
            </w:r>
          </w:p>
        </w:tc>
        <w:tc>
          <w:tcPr>
            <w:tcW w:w="3397" w:type="dxa"/>
          </w:tcPr>
          <w:p w14:paraId="3DB81CE1" w14:textId="77777777" w:rsidR="000323A2" w:rsidRPr="000323A2" w:rsidRDefault="000323A2" w:rsidP="000323A2">
            <w:pPr>
              <w:tabs>
                <w:tab w:val="center" w:pos="1814"/>
                <w:tab w:val="center" w:pos="5216"/>
                <w:tab w:val="center" w:pos="9214"/>
              </w:tabs>
              <w:spacing w:before="120"/>
              <w:jc w:val="center"/>
              <w:rPr>
                <w:rFonts w:ascii="ITC Avant Garde" w:hAnsi="ITC Avant Garde"/>
                <w:b/>
                <w:sz w:val="18"/>
                <w:szCs w:val="20"/>
                <w:lang w:val="es-ES_tradnl"/>
              </w:rPr>
            </w:pPr>
            <w:r w:rsidRPr="000323A2">
              <w:rPr>
                <w:rFonts w:ascii="ITC Avant Garde" w:hAnsi="ITC Avant Garde"/>
                <w:b/>
                <w:sz w:val="18"/>
                <w:szCs w:val="20"/>
                <w:lang w:val="es-ES_tradnl"/>
              </w:rPr>
              <w:t>Referencia del acta</w:t>
            </w:r>
          </w:p>
        </w:tc>
      </w:tr>
      <w:tr w:rsidR="000323A2" w:rsidRPr="000323A2" w14:paraId="0A821136" w14:textId="77777777" w:rsidTr="000323A2">
        <w:trPr>
          <w:tblHeader/>
          <w:jc w:val="center"/>
        </w:trPr>
        <w:tc>
          <w:tcPr>
            <w:tcW w:w="3619" w:type="dxa"/>
          </w:tcPr>
          <w:p w14:paraId="27A8CCA7" w14:textId="10330D0E" w:rsidR="000323A2" w:rsidRPr="000323A2" w:rsidRDefault="000323A2" w:rsidP="000323A2">
            <w:pPr>
              <w:tabs>
                <w:tab w:val="center" w:pos="1814"/>
                <w:tab w:val="center" w:pos="5216"/>
                <w:tab w:val="center" w:pos="9214"/>
              </w:tabs>
              <w:spacing w:before="120"/>
              <w:jc w:val="center"/>
              <w:rPr>
                <w:rFonts w:ascii="ITC Avant Garde" w:hAnsi="ITC Avant Garde"/>
                <w:sz w:val="18"/>
                <w:szCs w:val="20"/>
                <w:lang w:val="es-ES_tradnl"/>
              </w:rPr>
            </w:pPr>
            <w:bookmarkStart w:id="8" w:name="ccm" w:colFirst="0" w:colLast="0"/>
            <w:bookmarkStart w:id="9" w:name="numfac" w:colFirst="1" w:colLast="1"/>
            <w:bookmarkStart w:id="10" w:name="refact" w:colFirst="2" w:colLast="2"/>
            <w:r w:rsidRPr="000323A2">
              <w:rPr>
                <w:rFonts w:ascii="ITC Avant Garde" w:hAnsi="ITC Avant Garde"/>
                <w:b/>
                <w:color w:val="00B0F0"/>
                <w:sz w:val="18"/>
                <w:szCs w:val="20"/>
                <w:lang w:val="es-ES_tradnl"/>
              </w:rPr>
              <w:t>(…)</w:t>
            </w:r>
          </w:p>
        </w:tc>
        <w:tc>
          <w:tcPr>
            <w:tcW w:w="3332" w:type="dxa"/>
          </w:tcPr>
          <w:p w14:paraId="11BFD8B2" w14:textId="2DE92A1F" w:rsidR="000323A2" w:rsidRPr="000323A2" w:rsidRDefault="000323A2" w:rsidP="000323A2">
            <w:pPr>
              <w:tabs>
                <w:tab w:val="center" w:pos="1814"/>
                <w:tab w:val="center" w:pos="5216"/>
                <w:tab w:val="center" w:pos="9214"/>
              </w:tabs>
              <w:spacing w:before="120"/>
              <w:jc w:val="center"/>
              <w:rPr>
                <w:rFonts w:ascii="ITC Avant Garde" w:hAnsi="ITC Avant Garde"/>
                <w:sz w:val="18"/>
                <w:szCs w:val="20"/>
                <w:lang w:val="es-ES_tradnl"/>
              </w:rPr>
            </w:pPr>
            <w:r w:rsidRPr="000323A2">
              <w:rPr>
                <w:rFonts w:ascii="ITC Avant Garde" w:hAnsi="ITC Avant Garde"/>
                <w:b/>
                <w:color w:val="00B0F0"/>
                <w:sz w:val="18"/>
                <w:szCs w:val="20"/>
                <w:lang w:val="es-ES_tradnl"/>
              </w:rPr>
              <w:t>(…)</w:t>
            </w:r>
          </w:p>
        </w:tc>
        <w:tc>
          <w:tcPr>
            <w:tcW w:w="3397" w:type="dxa"/>
          </w:tcPr>
          <w:p w14:paraId="07E8D6B8" w14:textId="1BFB152E" w:rsidR="000323A2" w:rsidRPr="000323A2" w:rsidRDefault="000323A2" w:rsidP="000323A2">
            <w:pPr>
              <w:tabs>
                <w:tab w:val="center" w:pos="1814"/>
                <w:tab w:val="center" w:pos="5216"/>
                <w:tab w:val="center" w:pos="9214"/>
              </w:tabs>
              <w:spacing w:before="120"/>
              <w:jc w:val="center"/>
              <w:rPr>
                <w:rFonts w:ascii="ITC Avant Garde" w:hAnsi="ITC Avant Garde"/>
                <w:sz w:val="18"/>
                <w:szCs w:val="20"/>
                <w:lang w:val="es-ES_tradnl"/>
              </w:rPr>
            </w:pPr>
            <w:r w:rsidRPr="000323A2">
              <w:rPr>
                <w:rFonts w:ascii="ITC Avant Garde" w:hAnsi="ITC Avant Garde"/>
                <w:b/>
                <w:color w:val="00B0F0"/>
                <w:sz w:val="18"/>
                <w:szCs w:val="20"/>
                <w:lang w:val="es-ES_tradnl"/>
              </w:rPr>
              <w:t>(…)</w:t>
            </w:r>
          </w:p>
        </w:tc>
      </w:tr>
    </w:tbl>
    <w:bookmarkEnd w:id="8"/>
    <w:bookmarkEnd w:id="9"/>
    <w:bookmarkEnd w:id="10"/>
    <w:p w14:paraId="7D97A073" w14:textId="77777777" w:rsidR="000323A2" w:rsidRPr="000323A2" w:rsidRDefault="000323A2" w:rsidP="000323A2">
      <w:pPr>
        <w:tabs>
          <w:tab w:val="center" w:pos="1814"/>
          <w:tab w:val="center" w:pos="5216"/>
          <w:tab w:val="center" w:pos="9720"/>
        </w:tabs>
        <w:spacing w:before="240" w:after="0" w:line="240" w:lineRule="auto"/>
        <w:ind w:left="-567" w:right="-316"/>
        <w:jc w:val="both"/>
        <w:rPr>
          <w:rFonts w:ascii="ITC Avant Garde" w:eastAsia="Calibri" w:hAnsi="ITC Avant Garde" w:cs="Times New Roman"/>
          <w:sz w:val="18"/>
          <w:szCs w:val="20"/>
          <w:lang w:val="es-ES_tradnl"/>
        </w:rPr>
      </w:pPr>
      <w:r w:rsidRPr="000323A2">
        <w:rPr>
          <w:rFonts w:ascii="ITC Avant Garde" w:eastAsia="Calibri" w:hAnsi="ITC Avant Garde" w:cs="Times New Roman"/>
          <w:sz w:val="18"/>
          <w:szCs w:val="20"/>
          <w:lang w:val="es-ES_tradnl"/>
        </w:rPr>
        <w:t>Por medio de la presente, se hace constar que los servicios a continuación descritos se encuentran funcionando de acuerdo a lo estipulado por Telmex y el Concesionario Solicitante o Autorizado Solicitante en el contrato celebrado entre ambas de conformidad con los requerimientos del cliente.</w:t>
      </w:r>
    </w:p>
    <w:p w14:paraId="3CF34414" w14:textId="77777777" w:rsidR="000323A2" w:rsidRPr="000323A2" w:rsidRDefault="000323A2" w:rsidP="000323A2">
      <w:pPr>
        <w:tabs>
          <w:tab w:val="center" w:pos="1814"/>
          <w:tab w:val="center" w:pos="5216"/>
          <w:tab w:val="center" w:pos="9720"/>
        </w:tabs>
        <w:spacing w:after="0" w:line="240" w:lineRule="auto"/>
        <w:ind w:left="-567" w:right="-316"/>
        <w:jc w:val="both"/>
        <w:rPr>
          <w:rFonts w:ascii="ITC Avant Garde" w:eastAsia="Calibri" w:hAnsi="ITC Avant Garde" w:cs="Times New Roman"/>
          <w:b/>
          <w:sz w:val="18"/>
          <w:szCs w:val="20"/>
          <w:lang w:val="es-ES_tradnl"/>
        </w:rPr>
      </w:pPr>
      <w:r w:rsidRPr="000323A2">
        <w:rPr>
          <w:rFonts w:ascii="ITC Avant Garde" w:eastAsia="Calibri" w:hAnsi="ITC Avant Garde" w:cs="Times New Roman"/>
          <w:sz w:val="18"/>
          <w:szCs w:val="20"/>
          <w:lang w:val="es-ES_tradnl"/>
        </w:rPr>
        <w:t xml:space="preserve">La operación y mantenimiento de los mismos, será responsabilidad de Telmex a partir de la fecha indicada, la cual será considerada en este documento para el </w:t>
      </w:r>
      <w:r w:rsidRPr="000323A2">
        <w:rPr>
          <w:rFonts w:ascii="ITC Avant Garde" w:eastAsia="Calibri" w:hAnsi="ITC Avant Garde" w:cs="Times New Roman"/>
          <w:b/>
          <w:sz w:val="18"/>
          <w:szCs w:val="20"/>
          <w:lang w:val="es-ES_tradnl"/>
        </w:rPr>
        <w:t>inicio de la facturación correspondiente.</w:t>
      </w:r>
    </w:p>
    <w:p w14:paraId="5B87871C" w14:textId="77777777" w:rsidR="000323A2" w:rsidRPr="000323A2" w:rsidRDefault="000323A2" w:rsidP="000323A2">
      <w:pPr>
        <w:tabs>
          <w:tab w:val="center" w:pos="1814"/>
          <w:tab w:val="center" w:pos="5216"/>
          <w:tab w:val="center" w:pos="9214"/>
        </w:tabs>
        <w:spacing w:after="100" w:afterAutospacing="1" w:line="240" w:lineRule="auto"/>
        <w:ind w:left="-567"/>
        <w:jc w:val="both"/>
        <w:rPr>
          <w:rFonts w:ascii="ITC Avant Garde" w:eastAsia="Calibri" w:hAnsi="ITC Avant Garde" w:cs="Times New Roman"/>
          <w:sz w:val="18"/>
          <w:szCs w:val="20"/>
          <w:lang w:val="es-ES_tradnl"/>
        </w:rPr>
      </w:pPr>
      <w:r w:rsidRPr="000323A2">
        <w:rPr>
          <w:rFonts w:ascii="ITC Avant Garde" w:eastAsia="Calibri" w:hAnsi="ITC Avant Garde" w:cs="Times New Roman"/>
          <w:b/>
          <w:sz w:val="18"/>
          <w:szCs w:val="20"/>
          <w:lang w:val="es-ES_tradnl"/>
        </w:rPr>
        <w:t xml:space="preserve">Nota: </w:t>
      </w:r>
      <w:r w:rsidRPr="000323A2">
        <w:rPr>
          <w:rFonts w:ascii="ITC Avant Garde" w:eastAsia="Calibri" w:hAnsi="ITC Avant Garde" w:cs="Times New Roman"/>
          <w:sz w:val="18"/>
          <w:szCs w:val="20"/>
          <w:lang w:val="es-ES_tradnl"/>
        </w:rPr>
        <w:t>La fecha de facturación será la fecha de puesta en servicio.</w:t>
      </w:r>
    </w:p>
    <w:tbl>
      <w:tblPr>
        <w:tblStyle w:val="Cuadrculadetablaclara1"/>
        <w:tblW w:w="10348" w:type="dxa"/>
        <w:jc w:val="center"/>
        <w:tblLayout w:type="fixed"/>
        <w:tblLook w:val="0000" w:firstRow="0" w:lastRow="0" w:firstColumn="0" w:lastColumn="0" w:noHBand="0" w:noVBand="0"/>
        <w:tblCaption w:val="Tabla"/>
        <w:tblDescription w:val="Cliente"/>
      </w:tblPr>
      <w:tblGrid>
        <w:gridCol w:w="4236"/>
        <w:gridCol w:w="3522"/>
        <w:gridCol w:w="2590"/>
      </w:tblGrid>
      <w:tr w:rsidR="000323A2" w:rsidRPr="000323A2" w14:paraId="3724EC61" w14:textId="77777777" w:rsidTr="000323A2">
        <w:trPr>
          <w:tblHeader/>
          <w:jc w:val="center"/>
        </w:trPr>
        <w:tc>
          <w:tcPr>
            <w:tcW w:w="4236" w:type="dxa"/>
          </w:tcPr>
          <w:p w14:paraId="1E932ED3"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Cliente</w:t>
            </w:r>
          </w:p>
        </w:tc>
        <w:tc>
          <w:tcPr>
            <w:tcW w:w="3522" w:type="dxa"/>
          </w:tcPr>
          <w:p w14:paraId="0F7804FC"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Domicilio de facturación</w:t>
            </w:r>
          </w:p>
        </w:tc>
        <w:tc>
          <w:tcPr>
            <w:tcW w:w="2590" w:type="dxa"/>
          </w:tcPr>
          <w:p w14:paraId="0A63F118"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Colonia</w:t>
            </w:r>
          </w:p>
        </w:tc>
      </w:tr>
      <w:tr w:rsidR="000323A2" w:rsidRPr="000323A2" w14:paraId="08E41CFC" w14:textId="77777777" w:rsidTr="000323A2">
        <w:trPr>
          <w:tblHeader/>
          <w:jc w:val="center"/>
        </w:trPr>
        <w:tc>
          <w:tcPr>
            <w:tcW w:w="4236" w:type="dxa"/>
          </w:tcPr>
          <w:p w14:paraId="1E8D03BB" w14:textId="117DD18D" w:rsidR="000323A2" w:rsidRPr="000323A2" w:rsidRDefault="00D171B1" w:rsidP="000323A2">
            <w:pPr>
              <w:tabs>
                <w:tab w:val="center" w:pos="1814"/>
                <w:tab w:val="center" w:pos="5216"/>
                <w:tab w:val="center" w:pos="9214"/>
              </w:tabs>
              <w:jc w:val="center"/>
              <w:rPr>
                <w:rFonts w:ascii="ITC Avant Garde" w:hAnsi="ITC Avant Garde"/>
                <w:sz w:val="18"/>
                <w:szCs w:val="20"/>
                <w:lang w:val="es-ES_tradnl"/>
              </w:rPr>
            </w:pPr>
            <w:bookmarkStart w:id="11" w:name="client"/>
            <w:bookmarkEnd w:id="11"/>
            <w:r w:rsidRPr="000323A2">
              <w:rPr>
                <w:rFonts w:ascii="ITC Avant Garde" w:hAnsi="ITC Avant Garde"/>
                <w:b/>
                <w:color w:val="00B0F0"/>
                <w:sz w:val="18"/>
                <w:szCs w:val="20"/>
                <w:lang w:val="es-ES_tradnl"/>
              </w:rPr>
              <w:t>(…)</w:t>
            </w:r>
          </w:p>
        </w:tc>
        <w:tc>
          <w:tcPr>
            <w:tcW w:w="3522" w:type="dxa"/>
          </w:tcPr>
          <w:p w14:paraId="22D4E325" w14:textId="1DE93DAF" w:rsidR="000323A2" w:rsidRPr="000323A2" w:rsidRDefault="00D171B1" w:rsidP="000323A2">
            <w:pPr>
              <w:tabs>
                <w:tab w:val="center" w:pos="1814"/>
                <w:tab w:val="center" w:pos="5216"/>
                <w:tab w:val="center" w:pos="9214"/>
              </w:tabs>
              <w:jc w:val="center"/>
              <w:rPr>
                <w:rFonts w:ascii="ITC Avant Garde" w:hAnsi="ITC Avant Garde"/>
                <w:sz w:val="18"/>
                <w:szCs w:val="20"/>
                <w:lang w:val="es-ES_tradnl"/>
              </w:rPr>
            </w:pPr>
            <w:bookmarkStart w:id="12" w:name="domfac"/>
            <w:bookmarkEnd w:id="12"/>
            <w:r w:rsidRPr="000323A2">
              <w:rPr>
                <w:rFonts w:ascii="ITC Avant Garde" w:hAnsi="ITC Avant Garde"/>
                <w:b/>
                <w:color w:val="00B0F0"/>
                <w:sz w:val="18"/>
                <w:szCs w:val="20"/>
                <w:lang w:val="es-ES_tradnl"/>
              </w:rPr>
              <w:t>(…)</w:t>
            </w:r>
          </w:p>
        </w:tc>
        <w:tc>
          <w:tcPr>
            <w:tcW w:w="2590" w:type="dxa"/>
          </w:tcPr>
          <w:p w14:paraId="5C1ABD7C" w14:textId="4075AD14" w:rsidR="000323A2" w:rsidRPr="000323A2" w:rsidRDefault="00D171B1" w:rsidP="000323A2">
            <w:pPr>
              <w:tabs>
                <w:tab w:val="center" w:pos="1814"/>
                <w:tab w:val="center" w:pos="5216"/>
                <w:tab w:val="center" w:pos="9214"/>
              </w:tabs>
              <w:jc w:val="center"/>
              <w:rPr>
                <w:rFonts w:ascii="ITC Avant Garde" w:hAnsi="ITC Avant Garde"/>
                <w:sz w:val="18"/>
                <w:szCs w:val="20"/>
                <w:lang w:val="es-ES_tradnl"/>
              </w:rPr>
            </w:pPr>
            <w:bookmarkStart w:id="13" w:name="col"/>
            <w:bookmarkEnd w:id="13"/>
            <w:r w:rsidRPr="000323A2">
              <w:rPr>
                <w:rFonts w:ascii="ITC Avant Garde" w:hAnsi="ITC Avant Garde"/>
                <w:b/>
                <w:color w:val="00B0F0"/>
                <w:sz w:val="18"/>
                <w:szCs w:val="20"/>
                <w:lang w:val="es-ES_tradnl"/>
              </w:rPr>
              <w:t>(…)</w:t>
            </w:r>
          </w:p>
        </w:tc>
      </w:tr>
    </w:tbl>
    <w:p w14:paraId="3238A858" w14:textId="77777777" w:rsidR="000323A2" w:rsidRPr="000323A2" w:rsidRDefault="000323A2" w:rsidP="000323A2">
      <w:pPr>
        <w:tabs>
          <w:tab w:val="center" w:pos="1814"/>
          <w:tab w:val="center" w:pos="5216"/>
          <w:tab w:val="center" w:pos="9214"/>
        </w:tabs>
        <w:spacing w:after="0" w:line="240" w:lineRule="auto"/>
        <w:jc w:val="both"/>
        <w:rPr>
          <w:rFonts w:ascii="ITC Avant Garde" w:eastAsia="Calibri" w:hAnsi="ITC Avant Garde" w:cs="Times New Roman"/>
          <w:sz w:val="18"/>
          <w:szCs w:val="20"/>
          <w:lang w:val="es-ES_tradnl"/>
        </w:rPr>
      </w:pPr>
    </w:p>
    <w:tbl>
      <w:tblPr>
        <w:tblStyle w:val="Cuadrculadetablaclara1"/>
        <w:tblW w:w="10348" w:type="dxa"/>
        <w:jc w:val="center"/>
        <w:tblLayout w:type="fixed"/>
        <w:tblLook w:val="0000" w:firstRow="0" w:lastRow="0" w:firstColumn="0" w:lastColumn="0" w:noHBand="0" w:noVBand="0"/>
        <w:tblCaption w:val="Tabla"/>
        <w:tblDescription w:val="Dirección"/>
      </w:tblPr>
      <w:tblGrid>
        <w:gridCol w:w="4236"/>
        <w:gridCol w:w="3522"/>
        <w:gridCol w:w="2590"/>
      </w:tblGrid>
      <w:tr w:rsidR="000323A2" w:rsidRPr="000323A2" w14:paraId="34848BCC" w14:textId="77777777" w:rsidTr="000323A2">
        <w:trPr>
          <w:tblHeader/>
          <w:jc w:val="center"/>
        </w:trPr>
        <w:tc>
          <w:tcPr>
            <w:tcW w:w="4236" w:type="dxa"/>
          </w:tcPr>
          <w:p w14:paraId="429F05AB"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Municipio o Delegación</w:t>
            </w:r>
          </w:p>
        </w:tc>
        <w:tc>
          <w:tcPr>
            <w:tcW w:w="3522" w:type="dxa"/>
          </w:tcPr>
          <w:p w14:paraId="69A958D2" w14:textId="77777777" w:rsidR="000323A2" w:rsidRPr="000323A2" w:rsidRDefault="000323A2" w:rsidP="000323A2">
            <w:pPr>
              <w:keepNext/>
              <w:tabs>
                <w:tab w:val="center" w:pos="1814"/>
                <w:tab w:val="center" w:pos="5216"/>
                <w:tab w:val="center" w:pos="9214"/>
              </w:tabs>
              <w:jc w:val="center"/>
              <w:outlineLvl w:val="0"/>
              <w:rPr>
                <w:rFonts w:ascii="ITC Avant Garde" w:hAnsi="ITC Avant Garde"/>
                <w:b/>
                <w:sz w:val="18"/>
                <w:szCs w:val="20"/>
                <w:lang w:val="es-ES_tradnl"/>
              </w:rPr>
            </w:pPr>
            <w:r w:rsidRPr="000323A2">
              <w:rPr>
                <w:rFonts w:ascii="ITC Avant Garde" w:hAnsi="ITC Avant Garde"/>
                <w:b/>
                <w:sz w:val="18"/>
                <w:szCs w:val="20"/>
                <w:lang w:val="es-ES_tradnl"/>
              </w:rPr>
              <w:t>Código Postal</w:t>
            </w:r>
          </w:p>
        </w:tc>
        <w:tc>
          <w:tcPr>
            <w:tcW w:w="2590" w:type="dxa"/>
          </w:tcPr>
          <w:p w14:paraId="20C1591E"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Ciudad</w:t>
            </w:r>
          </w:p>
        </w:tc>
      </w:tr>
      <w:tr w:rsidR="000323A2" w:rsidRPr="000323A2" w14:paraId="761016D7" w14:textId="77777777" w:rsidTr="000323A2">
        <w:trPr>
          <w:tblHeader/>
          <w:jc w:val="center"/>
        </w:trPr>
        <w:tc>
          <w:tcPr>
            <w:tcW w:w="4236" w:type="dxa"/>
          </w:tcPr>
          <w:p w14:paraId="5BF3D7EA" w14:textId="6C8E6570" w:rsidR="000323A2" w:rsidRPr="000323A2" w:rsidRDefault="00D171B1" w:rsidP="000323A2">
            <w:pPr>
              <w:tabs>
                <w:tab w:val="center" w:pos="1814"/>
                <w:tab w:val="center" w:pos="5216"/>
                <w:tab w:val="center" w:pos="9214"/>
              </w:tabs>
              <w:jc w:val="center"/>
              <w:rPr>
                <w:rFonts w:ascii="ITC Avant Garde" w:hAnsi="ITC Avant Garde"/>
                <w:sz w:val="18"/>
                <w:szCs w:val="20"/>
                <w:lang w:val="es-ES_tradnl"/>
              </w:rPr>
            </w:pPr>
            <w:bookmarkStart w:id="14" w:name="dele"/>
            <w:bookmarkEnd w:id="14"/>
            <w:r w:rsidRPr="000323A2">
              <w:rPr>
                <w:rFonts w:ascii="ITC Avant Garde" w:hAnsi="ITC Avant Garde"/>
                <w:b/>
                <w:color w:val="00B0F0"/>
                <w:sz w:val="18"/>
                <w:szCs w:val="20"/>
                <w:lang w:val="es-ES_tradnl"/>
              </w:rPr>
              <w:t>(…)</w:t>
            </w:r>
          </w:p>
        </w:tc>
        <w:tc>
          <w:tcPr>
            <w:tcW w:w="3522" w:type="dxa"/>
          </w:tcPr>
          <w:p w14:paraId="34AF1ECD" w14:textId="66CAFC8F" w:rsidR="000323A2" w:rsidRPr="000323A2" w:rsidRDefault="00D171B1" w:rsidP="000323A2">
            <w:pPr>
              <w:tabs>
                <w:tab w:val="center" w:pos="1814"/>
                <w:tab w:val="center" w:pos="5216"/>
                <w:tab w:val="center" w:pos="9214"/>
              </w:tabs>
              <w:jc w:val="center"/>
              <w:rPr>
                <w:rFonts w:ascii="ITC Avant Garde" w:hAnsi="ITC Avant Garde"/>
                <w:sz w:val="18"/>
                <w:szCs w:val="20"/>
                <w:lang w:val="es-ES_tradnl"/>
              </w:rPr>
            </w:pPr>
            <w:bookmarkStart w:id="15" w:name="cp"/>
            <w:bookmarkEnd w:id="15"/>
            <w:r w:rsidRPr="000323A2">
              <w:rPr>
                <w:rFonts w:ascii="ITC Avant Garde" w:hAnsi="ITC Avant Garde"/>
                <w:b/>
                <w:color w:val="00B0F0"/>
                <w:sz w:val="18"/>
                <w:szCs w:val="20"/>
                <w:lang w:val="es-ES_tradnl"/>
              </w:rPr>
              <w:t>(…)</w:t>
            </w:r>
          </w:p>
        </w:tc>
        <w:tc>
          <w:tcPr>
            <w:tcW w:w="2590" w:type="dxa"/>
          </w:tcPr>
          <w:p w14:paraId="3D3D5C70" w14:textId="371F95F1" w:rsidR="000323A2" w:rsidRPr="000323A2" w:rsidRDefault="00D171B1" w:rsidP="000323A2">
            <w:pPr>
              <w:tabs>
                <w:tab w:val="center" w:pos="1814"/>
                <w:tab w:val="center" w:pos="5216"/>
                <w:tab w:val="center" w:pos="9214"/>
              </w:tabs>
              <w:jc w:val="center"/>
              <w:rPr>
                <w:rFonts w:ascii="ITC Avant Garde" w:hAnsi="ITC Avant Garde"/>
                <w:sz w:val="18"/>
                <w:szCs w:val="20"/>
                <w:lang w:val="es-ES_tradnl"/>
              </w:rPr>
            </w:pPr>
            <w:bookmarkStart w:id="16" w:name="ciudad"/>
            <w:bookmarkEnd w:id="16"/>
            <w:r w:rsidRPr="000323A2">
              <w:rPr>
                <w:rFonts w:ascii="ITC Avant Garde" w:hAnsi="ITC Avant Garde"/>
                <w:b/>
                <w:color w:val="00B0F0"/>
                <w:sz w:val="18"/>
                <w:szCs w:val="20"/>
                <w:lang w:val="es-ES_tradnl"/>
              </w:rPr>
              <w:t>(…)</w:t>
            </w:r>
          </w:p>
        </w:tc>
      </w:tr>
    </w:tbl>
    <w:p w14:paraId="6249345C" w14:textId="77777777" w:rsidR="000323A2" w:rsidRPr="000323A2" w:rsidRDefault="000323A2" w:rsidP="000323A2">
      <w:pPr>
        <w:tabs>
          <w:tab w:val="center" w:pos="1814"/>
          <w:tab w:val="center" w:pos="5216"/>
          <w:tab w:val="center" w:pos="9214"/>
        </w:tabs>
        <w:spacing w:after="0" w:line="240" w:lineRule="auto"/>
        <w:jc w:val="both"/>
        <w:rPr>
          <w:rFonts w:ascii="ITC Avant Garde" w:eastAsia="Calibri" w:hAnsi="ITC Avant Garde" w:cs="Times New Roman"/>
          <w:sz w:val="18"/>
          <w:szCs w:val="20"/>
          <w:lang w:val="es-ES_tradnl"/>
        </w:rPr>
      </w:pPr>
    </w:p>
    <w:tbl>
      <w:tblPr>
        <w:tblStyle w:val="Cuadrculadetablaclara1"/>
        <w:tblW w:w="10348" w:type="dxa"/>
        <w:jc w:val="center"/>
        <w:tblLayout w:type="fixed"/>
        <w:tblLook w:val="0000" w:firstRow="0" w:lastRow="0" w:firstColumn="0" w:lastColumn="0" w:noHBand="0" w:noVBand="0"/>
        <w:tblCaption w:val="Tabla"/>
        <w:tblDescription w:val="Descripción del servicio"/>
      </w:tblPr>
      <w:tblGrid>
        <w:gridCol w:w="4236"/>
        <w:gridCol w:w="3522"/>
        <w:gridCol w:w="2590"/>
      </w:tblGrid>
      <w:tr w:rsidR="000323A2" w:rsidRPr="000323A2" w14:paraId="0349DEE2" w14:textId="77777777" w:rsidTr="000323A2">
        <w:trPr>
          <w:tblHeader/>
          <w:jc w:val="center"/>
        </w:trPr>
        <w:tc>
          <w:tcPr>
            <w:tcW w:w="4236" w:type="dxa"/>
          </w:tcPr>
          <w:p w14:paraId="2D6A89CF"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Cantidad</w:t>
            </w:r>
          </w:p>
        </w:tc>
        <w:tc>
          <w:tcPr>
            <w:tcW w:w="3522" w:type="dxa"/>
          </w:tcPr>
          <w:p w14:paraId="6B35A29D"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Descripción del servicio</w:t>
            </w:r>
          </w:p>
        </w:tc>
        <w:tc>
          <w:tcPr>
            <w:tcW w:w="2590" w:type="dxa"/>
          </w:tcPr>
          <w:p w14:paraId="03AC47C4" w14:textId="77777777" w:rsidR="000323A2" w:rsidRPr="000323A2" w:rsidRDefault="000323A2" w:rsidP="000323A2">
            <w:pPr>
              <w:tabs>
                <w:tab w:val="center" w:pos="1814"/>
                <w:tab w:val="center" w:pos="5216"/>
                <w:tab w:val="center" w:pos="9214"/>
              </w:tabs>
              <w:jc w:val="center"/>
              <w:rPr>
                <w:rFonts w:ascii="ITC Avant Garde" w:hAnsi="ITC Avant Garde"/>
                <w:b/>
                <w:sz w:val="18"/>
                <w:szCs w:val="20"/>
                <w:lang w:val="es-ES_tradnl"/>
              </w:rPr>
            </w:pPr>
            <w:r w:rsidRPr="000323A2">
              <w:rPr>
                <w:rFonts w:ascii="ITC Avant Garde" w:hAnsi="ITC Avant Garde"/>
                <w:b/>
                <w:sz w:val="18"/>
                <w:szCs w:val="20"/>
                <w:lang w:val="es-ES_tradnl"/>
              </w:rPr>
              <w:t>Fecha de Puesta en Servicio</w:t>
            </w:r>
          </w:p>
        </w:tc>
      </w:tr>
      <w:tr w:rsidR="000323A2" w:rsidRPr="000323A2" w14:paraId="521339F4" w14:textId="77777777" w:rsidTr="000323A2">
        <w:trPr>
          <w:tblHeader/>
          <w:jc w:val="center"/>
        </w:trPr>
        <w:tc>
          <w:tcPr>
            <w:tcW w:w="4236" w:type="dxa"/>
          </w:tcPr>
          <w:p w14:paraId="43F82BD0" w14:textId="4F688028" w:rsidR="000323A2" w:rsidRPr="000323A2" w:rsidRDefault="00D171B1" w:rsidP="000323A2">
            <w:pPr>
              <w:tabs>
                <w:tab w:val="center" w:pos="1814"/>
                <w:tab w:val="center" w:pos="5216"/>
                <w:tab w:val="center" w:pos="9214"/>
              </w:tabs>
              <w:jc w:val="center"/>
              <w:rPr>
                <w:rFonts w:ascii="ITC Avant Garde" w:hAnsi="ITC Avant Garde"/>
                <w:sz w:val="18"/>
                <w:szCs w:val="20"/>
                <w:lang w:val="es-ES_tradnl"/>
              </w:rPr>
            </w:pPr>
            <w:bookmarkStart w:id="17" w:name="cantidad"/>
            <w:bookmarkEnd w:id="17"/>
            <w:r w:rsidRPr="000323A2">
              <w:rPr>
                <w:rFonts w:ascii="ITC Avant Garde" w:hAnsi="ITC Avant Garde"/>
                <w:b/>
                <w:color w:val="00B0F0"/>
                <w:sz w:val="18"/>
                <w:szCs w:val="20"/>
                <w:lang w:val="es-ES_tradnl"/>
              </w:rPr>
              <w:t>(…)</w:t>
            </w:r>
          </w:p>
        </w:tc>
        <w:tc>
          <w:tcPr>
            <w:tcW w:w="3522" w:type="dxa"/>
          </w:tcPr>
          <w:p w14:paraId="22B5AEBF" w14:textId="61C8AF52" w:rsidR="000323A2" w:rsidRPr="000323A2" w:rsidRDefault="00D171B1" w:rsidP="000323A2">
            <w:pPr>
              <w:tabs>
                <w:tab w:val="center" w:pos="1814"/>
                <w:tab w:val="center" w:pos="5216"/>
                <w:tab w:val="center" w:pos="9214"/>
              </w:tabs>
              <w:jc w:val="center"/>
              <w:rPr>
                <w:rFonts w:ascii="ITC Avant Garde" w:hAnsi="ITC Avant Garde"/>
                <w:sz w:val="18"/>
                <w:szCs w:val="20"/>
                <w:lang w:val="es-ES_tradnl"/>
              </w:rPr>
            </w:pPr>
            <w:bookmarkStart w:id="18" w:name="servicio"/>
            <w:bookmarkEnd w:id="18"/>
            <w:r w:rsidRPr="000323A2">
              <w:rPr>
                <w:rFonts w:ascii="ITC Avant Garde" w:hAnsi="ITC Avant Garde"/>
                <w:b/>
                <w:color w:val="00B0F0"/>
                <w:sz w:val="18"/>
                <w:szCs w:val="20"/>
                <w:lang w:val="es-ES_tradnl"/>
              </w:rPr>
              <w:t>(…)</w:t>
            </w:r>
          </w:p>
        </w:tc>
        <w:tc>
          <w:tcPr>
            <w:tcW w:w="2590" w:type="dxa"/>
          </w:tcPr>
          <w:p w14:paraId="2EFD9A3F" w14:textId="34B9AF49" w:rsidR="000323A2" w:rsidRPr="000323A2" w:rsidRDefault="00D171B1" w:rsidP="000323A2">
            <w:pPr>
              <w:tabs>
                <w:tab w:val="center" w:pos="1814"/>
                <w:tab w:val="center" w:pos="5216"/>
                <w:tab w:val="center" w:pos="9214"/>
              </w:tabs>
              <w:jc w:val="center"/>
              <w:rPr>
                <w:rFonts w:ascii="ITC Avant Garde" w:hAnsi="ITC Avant Garde"/>
                <w:sz w:val="18"/>
                <w:szCs w:val="20"/>
                <w:lang w:val="es-ES_tradnl"/>
              </w:rPr>
            </w:pPr>
            <w:bookmarkStart w:id="19" w:name="fps"/>
            <w:bookmarkEnd w:id="19"/>
            <w:r w:rsidRPr="000323A2">
              <w:rPr>
                <w:rFonts w:ascii="ITC Avant Garde" w:hAnsi="ITC Avant Garde"/>
                <w:b/>
                <w:color w:val="00B0F0"/>
                <w:sz w:val="18"/>
                <w:szCs w:val="20"/>
                <w:lang w:val="es-ES_tradnl"/>
              </w:rPr>
              <w:t>(…)</w:t>
            </w:r>
          </w:p>
        </w:tc>
      </w:tr>
    </w:tbl>
    <w:p w14:paraId="46A32207" w14:textId="0DB1A08C" w:rsidR="000323A2" w:rsidRPr="000323A2" w:rsidRDefault="00D171B1" w:rsidP="00D171B1">
      <w:pPr>
        <w:tabs>
          <w:tab w:val="center" w:pos="1814"/>
          <w:tab w:val="center" w:pos="5216"/>
          <w:tab w:val="center" w:pos="9214"/>
        </w:tabs>
        <w:spacing w:before="120" w:after="0" w:line="240" w:lineRule="auto"/>
        <w:ind w:left="-426"/>
        <w:jc w:val="both"/>
        <w:rPr>
          <w:rFonts w:ascii="ITC Avant Garde" w:eastAsia="Calibri" w:hAnsi="ITC Avant Garde" w:cs="Times New Roman"/>
          <w:sz w:val="12"/>
          <w:szCs w:val="20"/>
          <w:lang w:val="es-ES_tradnl"/>
        </w:rPr>
      </w:pPr>
      <w:r w:rsidRPr="000323A2">
        <w:rPr>
          <w:rFonts w:ascii="ITC Avant Garde" w:hAnsi="ITC Avant Garde"/>
          <w:b/>
          <w:sz w:val="18"/>
          <w:szCs w:val="20"/>
          <w:lang w:val="es-ES_tradnl"/>
        </w:rPr>
        <w:t>Serie Asignada</w:t>
      </w:r>
      <w:r w:rsidRPr="000323A2">
        <w:rPr>
          <w:rFonts w:ascii="ITC Avant Garde" w:hAnsi="ITC Avant Garde"/>
          <w:sz w:val="18"/>
          <w:szCs w:val="20"/>
          <w:lang w:val="es-ES_tradnl"/>
        </w:rPr>
        <w:t xml:space="preserve"> (Sólo</w:t>
      </w:r>
      <w:r>
        <w:rPr>
          <w:rFonts w:ascii="ITC Avant Garde" w:hAnsi="ITC Avant Garde"/>
          <w:sz w:val="18"/>
          <w:szCs w:val="20"/>
          <w:lang w:val="es-ES_tradnl"/>
        </w:rPr>
        <w:t xml:space="preserve"> en caso de Servicios Directos </w:t>
      </w:r>
      <w:r w:rsidRPr="000323A2">
        <w:rPr>
          <w:rFonts w:ascii="ITC Avant Garde" w:hAnsi="ITC Avant Garde"/>
          <w:sz w:val="18"/>
          <w:szCs w:val="20"/>
          <w:lang w:val="es-ES_tradnl"/>
        </w:rPr>
        <w:t>a Extensión)</w:t>
      </w:r>
    </w:p>
    <w:tbl>
      <w:tblPr>
        <w:tblStyle w:val="Cuadrculadetablaclara1"/>
        <w:tblW w:w="10348" w:type="dxa"/>
        <w:jc w:val="center"/>
        <w:tblLayout w:type="fixed"/>
        <w:tblLook w:val="0000" w:firstRow="0" w:lastRow="0" w:firstColumn="0" w:lastColumn="0" w:noHBand="0" w:noVBand="0"/>
        <w:tblCaption w:val="Tabla"/>
        <w:tblDescription w:val="Serie asignada"/>
      </w:tblPr>
      <w:tblGrid>
        <w:gridCol w:w="4236"/>
        <w:gridCol w:w="3523"/>
        <w:gridCol w:w="2589"/>
      </w:tblGrid>
      <w:tr w:rsidR="000323A2" w:rsidRPr="000323A2" w14:paraId="5649E0B6" w14:textId="77777777" w:rsidTr="000323A2">
        <w:trPr>
          <w:tblHeader/>
          <w:jc w:val="center"/>
        </w:trPr>
        <w:tc>
          <w:tcPr>
            <w:tcW w:w="4236" w:type="dxa"/>
          </w:tcPr>
          <w:p w14:paraId="4E7897F9" w14:textId="77777777" w:rsidR="000323A2" w:rsidRPr="000323A2" w:rsidRDefault="000323A2" w:rsidP="000323A2">
            <w:pPr>
              <w:jc w:val="center"/>
              <w:rPr>
                <w:rFonts w:ascii="ITC Avant Garde" w:hAnsi="ITC Avant Garde"/>
                <w:b/>
                <w:sz w:val="18"/>
                <w:szCs w:val="20"/>
                <w:lang w:val="es-ES_tradnl"/>
              </w:rPr>
            </w:pPr>
            <w:r w:rsidRPr="000323A2">
              <w:rPr>
                <w:rFonts w:ascii="ITC Avant Garde" w:hAnsi="ITC Avant Garde"/>
                <w:b/>
                <w:sz w:val="18"/>
                <w:szCs w:val="20"/>
                <w:lang w:val="es-ES_tradnl"/>
              </w:rPr>
              <w:t>Número a Facturar</w:t>
            </w:r>
          </w:p>
        </w:tc>
        <w:tc>
          <w:tcPr>
            <w:tcW w:w="3523" w:type="dxa"/>
          </w:tcPr>
          <w:p w14:paraId="036AF989" w14:textId="77777777" w:rsidR="000323A2" w:rsidRPr="000323A2" w:rsidRDefault="000323A2" w:rsidP="000323A2">
            <w:pPr>
              <w:jc w:val="center"/>
              <w:rPr>
                <w:rFonts w:ascii="ITC Avant Garde" w:hAnsi="ITC Avant Garde"/>
                <w:b/>
                <w:sz w:val="18"/>
                <w:szCs w:val="20"/>
                <w:lang w:val="es-ES_tradnl"/>
              </w:rPr>
            </w:pPr>
            <w:r w:rsidRPr="000323A2">
              <w:rPr>
                <w:rFonts w:ascii="ITC Avant Garde" w:hAnsi="ITC Avant Garde"/>
                <w:b/>
                <w:sz w:val="18"/>
                <w:szCs w:val="20"/>
                <w:lang w:val="es-ES_tradnl"/>
              </w:rPr>
              <w:t>Número inicial</w:t>
            </w:r>
          </w:p>
        </w:tc>
        <w:tc>
          <w:tcPr>
            <w:tcW w:w="2589" w:type="dxa"/>
          </w:tcPr>
          <w:p w14:paraId="39F3BA96" w14:textId="77777777" w:rsidR="000323A2" w:rsidRPr="000323A2" w:rsidRDefault="000323A2" w:rsidP="000323A2">
            <w:pPr>
              <w:jc w:val="center"/>
              <w:rPr>
                <w:rFonts w:ascii="ITC Avant Garde" w:hAnsi="ITC Avant Garde"/>
                <w:b/>
                <w:sz w:val="18"/>
                <w:szCs w:val="20"/>
                <w:lang w:val="es-ES_tradnl"/>
              </w:rPr>
            </w:pPr>
            <w:r w:rsidRPr="000323A2">
              <w:rPr>
                <w:rFonts w:ascii="ITC Avant Garde" w:hAnsi="ITC Avant Garde"/>
                <w:b/>
                <w:sz w:val="18"/>
                <w:szCs w:val="20"/>
                <w:lang w:val="es-ES_tradnl"/>
              </w:rPr>
              <w:t>Número final</w:t>
            </w:r>
          </w:p>
        </w:tc>
      </w:tr>
      <w:tr w:rsidR="000323A2" w:rsidRPr="000323A2" w14:paraId="4A5C3429" w14:textId="77777777" w:rsidTr="000323A2">
        <w:trPr>
          <w:tblHeader/>
          <w:jc w:val="center"/>
        </w:trPr>
        <w:tc>
          <w:tcPr>
            <w:tcW w:w="4236" w:type="dxa"/>
          </w:tcPr>
          <w:p w14:paraId="6B3E863F" w14:textId="18EEB393" w:rsidR="000323A2" w:rsidRPr="000323A2" w:rsidRDefault="00D171B1" w:rsidP="000323A2">
            <w:pPr>
              <w:jc w:val="center"/>
              <w:rPr>
                <w:rFonts w:ascii="ITC Avant Garde" w:hAnsi="ITC Avant Garde"/>
                <w:b/>
                <w:sz w:val="18"/>
                <w:szCs w:val="20"/>
                <w:lang w:val="es-ES_tradnl"/>
              </w:rPr>
            </w:pPr>
            <w:bookmarkStart w:id="20" w:name="numfac2"/>
            <w:bookmarkStart w:id="21" w:name="numini" w:colFirst="1" w:colLast="1"/>
            <w:bookmarkEnd w:id="20"/>
            <w:r w:rsidRPr="000323A2">
              <w:rPr>
                <w:rFonts w:ascii="ITC Avant Garde" w:hAnsi="ITC Avant Garde"/>
                <w:b/>
                <w:color w:val="00B0F0"/>
                <w:sz w:val="18"/>
                <w:szCs w:val="20"/>
                <w:lang w:val="es-ES_tradnl"/>
              </w:rPr>
              <w:t>(…)</w:t>
            </w:r>
          </w:p>
        </w:tc>
        <w:tc>
          <w:tcPr>
            <w:tcW w:w="3523" w:type="dxa"/>
          </w:tcPr>
          <w:p w14:paraId="58B120D0" w14:textId="1A6BE25E" w:rsidR="000323A2" w:rsidRPr="000323A2" w:rsidRDefault="00D171B1" w:rsidP="000323A2">
            <w:pPr>
              <w:jc w:val="center"/>
              <w:rPr>
                <w:rFonts w:ascii="ITC Avant Garde" w:hAnsi="ITC Avant Garde"/>
                <w:b/>
                <w:sz w:val="18"/>
                <w:szCs w:val="20"/>
                <w:lang w:val="es-ES_tradnl"/>
              </w:rPr>
            </w:pPr>
            <w:r w:rsidRPr="000323A2">
              <w:rPr>
                <w:rFonts w:ascii="ITC Avant Garde" w:hAnsi="ITC Avant Garde"/>
                <w:b/>
                <w:color w:val="00B0F0"/>
                <w:sz w:val="18"/>
                <w:szCs w:val="20"/>
                <w:lang w:val="es-ES_tradnl"/>
              </w:rPr>
              <w:t>(…)</w:t>
            </w:r>
          </w:p>
        </w:tc>
        <w:tc>
          <w:tcPr>
            <w:tcW w:w="2589" w:type="dxa"/>
          </w:tcPr>
          <w:p w14:paraId="1E44A434" w14:textId="11134C97" w:rsidR="000323A2" w:rsidRPr="000323A2" w:rsidRDefault="00D171B1" w:rsidP="000323A2">
            <w:pPr>
              <w:jc w:val="center"/>
              <w:rPr>
                <w:rFonts w:ascii="ITC Avant Garde" w:hAnsi="ITC Avant Garde"/>
                <w:b/>
                <w:sz w:val="18"/>
                <w:szCs w:val="20"/>
                <w:lang w:val="es-ES_tradnl"/>
              </w:rPr>
            </w:pPr>
            <w:bookmarkStart w:id="22" w:name="numfin"/>
            <w:bookmarkEnd w:id="22"/>
            <w:r w:rsidRPr="000323A2">
              <w:rPr>
                <w:rFonts w:ascii="ITC Avant Garde" w:hAnsi="ITC Avant Garde"/>
                <w:b/>
                <w:color w:val="00B0F0"/>
                <w:sz w:val="18"/>
                <w:szCs w:val="20"/>
                <w:lang w:val="es-ES_tradnl"/>
              </w:rPr>
              <w:t>(…)</w:t>
            </w:r>
          </w:p>
        </w:tc>
      </w:tr>
      <w:bookmarkEnd w:id="21"/>
    </w:tbl>
    <w:p w14:paraId="4E49D77E" w14:textId="77777777" w:rsidR="000323A2" w:rsidRPr="000323A2" w:rsidRDefault="000323A2" w:rsidP="000323A2">
      <w:pPr>
        <w:spacing w:after="0" w:line="240" w:lineRule="auto"/>
        <w:rPr>
          <w:rFonts w:ascii="ITC Avant Garde" w:eastAsia="Calibri" w:hAnsi="ITC Avant Garde" w:cs="Times New Roman"/>
          <w:sz w:val="18"/>
          <w:szCs w:val="20"/>
          <w:lang w:val="es-ES_tradnl"/>
        </w:rPr>
      </w:pPr>
    </w:p>
    <w:tbl>
      <w:tblPr>
        <w:tblStyle w:val="Cuadrculadetablaclara1"/>
        <w:tblW w:w="10348" w:type="dxa"/>
        <w:jc w:val="center"/>
        <w:tblLayout w:type="fixed"/>
        <w:tblLook w:val="0000" w:firstRow="0" w:lastRow="0" w:firstColumn="0" w:lastColumn="0" w:noHBand="0" w:noVBand="0"/>
        <w:tblCaption w:val="Tabla"/>
        <w:tblDescription w:val="Tipo de enlace"/>
      </w:tblPr>
      <w:tblGrid>
        <w:gridCol w:w="10348"/>
      </w:tblGrid>
      <w:tr w:rsidR="000323A2" w:rsidRPr="000323A2" w14:paraId="133E52E3" w14:textId="77777777" w:rsidTr="000323A2">
        <w:trPr>
          <w:tblHeader/>
          <w:jc w:val="center"/>
        </w:trPr>
        <w:tc>
          <w:tcPr>
            <w:tcW w:w="10348" w:type="dxa"/>
          </w:tcPr>
          <w:p w14:paraId="01DCEB5F" w14:textId="77777777" w:rsidR="000323A2" w:rsidRPr="000323A2" w:rsidRDefault="000323A2" w:rsidP="000323A2">
            <w:pPr>
              <w:rPr>
                <w:rFonts w:ascii="ITC Avant Garde" w:hAnsi="ITC Avant Garde"/>
                <w:b/>
                <w:sz w:val="18"/>
                <w:szCs w:val="20"/>
                <w:lang w:val="es-ES_tradnl"/>
              </w:rPr>
            </w:pPr>
            <w:r w:rsidRPr="000323A2">
              <w:rPr>
                <w:rFonts w:ascii="ITC Avant Garde" w:hAnsi="ITC Avant Garde"/>
                <w:b/>
                <w:sz w:val="18"/>
                <w:szCs w:val="20"/>
                <w:lang w:val="es-ES_tradnl"/>
              </w:rPr>
              <w:t>Tipo de enlace :</w:t>
            </w:r>
            <w:bookmarkStart w:id="23" w:name="trondig"/>
            <w:bookmarkEnd w:id="23"/>
          </w:p>
        </w:tc>
      </w:tr>
      <w:tr w:rsidR="000323A2" w:rsidRPr="000323A2" w14:paraId="3821F3D6" w14:textId="77777777" w:rsidTr="000323A2">
        <w:trPr>
          <w:tblHeader/>
          <w:jc w:val="center"/>
        </w:trPr>
        <w:tc>
          <w:tcPr>
            <w:tcW w:w="10348" w:type="dxa"/>
          </w:tcPr>
          <w:p w14:paraId="58FE8ADC" w14:textId="14B1BDAB" w:rsidR="000323A2" w:rsidRPr="000323A2" w:rsidRDefault="00D171B1" w:rsidP="000323A2">
            <w:pPr>
              <w:rPr>
                <w:rFonts w:ascii="ITC Avant Garde" w:hAnsi="ITC Avant Garde"/>
                <w:b/>
                <w:sz w:val="18"/>
                <w:szCs w:val="20"/>
                <w:lang w:val="es-ES_tradnl"/>
              </w:rPr>
            </w:pPr>
            <w:r w:rsidRPr="000323A2">
              <w:rPr>
                <w:rFonts w:ascii="ITC Avant Garde" w:hAnsi="ITC Avant Garde"/>
                <w:b/>
                <w:color w:val="00B0F0"/>
                <w:sz w:val="18"/>
                <w:szCs w:val="20"/>
                <w:lang w:val="es-ES_tradnl"/>
              </w:rPr>
              <w:t>(…)</w:t>
            </w:r>
            <w:bookmarkStart w:id="24" w:name="numgpo"/>
            <w:bookmarkEnd w:id="24"/>
          </w:p>
        </w:tc>
      </w:tr>
      <w:tr w:rsidR="000323A2" w:rsidRPr="000323A2" w14:paraId="153751DF" w14:textId="77777777" w:rsidTr="000323A2">
        <w:trPr>
          <w:tblHeader/>
          <w:jc w:val="center"/>
        </w:trPr>
        <w:tc>
          <w:tcPr>
            <w:tcW w:w="10348" w:type="dxa"/>
          </w:tcPr>
          <w:p w14:paraId="09943163" w14:textId="31B87ECF" w:rsidR="000323A2" w:rsidRPr="000323A2" w:rsidRDefault="000323A2" w:rsidP="000323A2">
            <w:pPr>
              <w:rPr>
                <w:rFonts w:ascii="ITC Avant Garde" w:hAnsi="ITC Avant Garde"/>
                <w:b/>
                <w:sz w:val="18"/>
                <w:szCs w:val="20"/>
                <w:lang w:val="es-ES_tradnl"/>
              </w:rPr>
            </w:pPr>
            <w:r w:rsidRPr="000323A2">
              <w:rPr>
                <w:rFonts w:ascii="ITC Avant Garde" w:hAnsi="ITC Avant Garde"/>
                <w:b/>
                <w:sz w:val="18"/>
                <w:szCs w:val="20"/>
                <w:lang w:val="es-ES_tradnl"/>
              </w:rPr>
              <w:t>Concesionario Solicitante o Autorizado Solicitante:</w:t>
            </w:r>
            <w:r w:rsidR="00D171B1" w:rsidRPr="000323A2">
              <w:rPr>
                <w:rFonts w:ascii="ITC Avant Garde" w:hAnsi="ITC Avant Garde"/>
                <w:b/>
                <w:color w:val="00B0F0"/>
                <w:sz w:val="18"/>
                <w:szCs w:val="20"/>
                <w:lang w:val="es-ES_tradnl"/>
              </w:rPr>
              <w:t xml:space="preserve"> (…)</w:t>
            </w:r>
            <w:bookmarkStart w:id="25" w:name="cld"/>
            <w:bookmarkEnd w:id="25"/>
          </w:p>
        </w:tc>
      </w:tr>
    </w:tbl>
    <w:p w14:paraId="064CA69E" w14:textId="77777777" w:rsidR="000323A2" w:rsidRPr="000323A2" w:rsidRDefault="000323A2" w:rsidP="000323A2">
      <w:pPr>
        <w:spacing w:after="0" w:line="240" w:lineRule="auto"/>
        <w:rPr>
          <w:rFonts w:ascii="ITC Avant Garde" w:eastAsia="Calibri" w:hAnsi="ITC Avant Garde" w:cs="Times New Roman"/>
          <w:sz w:val="18"/>
          <w:szCs w:val="20"/>
          <w:lang w:val="es-ES_tradnl"/>
        </w:rPr>
      </w:pPr>
    </w:p>
    <w:tbl>
      <w:tblPr>
        <w:tblStyle w:val="Cuadrculadetablaclara1"/>
        <w:tblW w:w="10348" w:type="dxa"/>
        <w:jc w:val="center"/>
        <w:tblLayout w:type="fixed"/>
        <w:tblLook w:val="0000" w:firstRow="0" w:lastRow="0" w:firstColumn="0" w:lastColumn="0" w:noHBand="0" w:noVBand="0"/>
        <w:tblCaption w:val="Tabla"/>
        <w:tblDescription w:val="Dirección"/>
      </w:tblPr>
      <w:tblGrid>
        <w:gridCol w:w="5949"/>
        <w:gridCol w:w="4399"/>
      </w:tblGrid>
      <w:tr w:rsidR="00D171B1" w:rsidRPr="000323A2" w14:paraId="3DBE1770" w14:textId="77777777" w:rsidTr="00D171B1">
        <w:trPr>
          <w:tblHeader/>
          <w:jc w:val="center"/>
        </w:trPr>
        <w:tc>
          <w:tcPr>
            <w:tcW w:w="5949" w:type="dxa"/>
            <w:tcBorders>
              <w:right w:val="nil"/>
            </w:tcBorders>
            <w:vAlign w:val="center"/>
          </w:tcPr>
          <w:p w14:paraId="34D405D0" w14:textId="77777777" w:rsidR="00D171B1" w:rsidRPr="000323A2" w:rsidRDefault="00D171B1" w:rsidP="00D171B1">
            <w:pPr>
              <w:keepNext/>
              <w:jc w:val="right"/>
              <w:outlineLvl w:val="1"/>
              <w:rPr>
                <w:rFonts w:ascii="ITC Avant Garde" w:hAnsi="ITC Avant Garde"/>
                <w:b/>
                <w:sz w:val="18"/>
                <w:szCs w:val="20"/>
                <w:lang w:val="es-ES_tradnl"/>
              </w:rPr>
            </w:pPr>
            <w:r w:rsidRPr="000323A2">
              <w:rPr>
                <w:rFonts w:ascii="ITC Avant Garde" w:hAnsi="ITC Avant Garde"/>
                <w:b/>
                <w:sz w:val="18"/>
                <w:szCs w:val="20"/>
                <w:lang w:val="es-ES_tradnl"/>
              </w:rPr>
              <w:t>DIRECCIONES</w:t>
            </w:r>
          </w:p>
        </w:tc>
        <w:tc>
          <w:tcPr>
            <w:tcW w:w="4399" w:type="dxa"/>
            <w:tcBorders>
              <w:left w:val="nil"/>
            </w:tcBorders>
          </w:tcPr>
          <w:p w14:paraId="45A09D44" w14:textId="28CF53F1" w:rsidR="00D171B1" w:rsidRPr="000323A2" w:rsidRDefault="00D171B1" w:rsidP="000323A2">
            <w:pPr>
              <w:keepNext/>
              <w:jc w:val="center"/>
              <w:outlineLvl w:val="1"/>
              <w:rPr>
                <w:rFonts w:ascii="ITC Avant Garde" w:hAnsi="ITC Avant Garde"/>
                <w:b/>
                <w:sz w:val="18"/>
                <w:szCs w:val="20"/>
                <w:lang w:val="es-ES_tradnl"/>
              </w:rPr>
            </w:pPr>
          </w:p>
        </w:tc>
      </w:tr>
      <w:tr w:rsidR="000323A2" w:rsidRPr="000323A2" w14:paraId="55397FDC" w14:textId="77777777" w:rsidTr="00D171B1">
        <w:trPr>
          <w:trHeight w:val="250"/>
          <w:tblHeader/>
          <w:jc w:val="center"/>
        </w:trPr>
        <w:tc>
          <w:tcPr>
            <w:tcW w:w="5949" w:type="dxa"/>
          </w:tcPr>
          <w:p w14:paraId="40960671" w14:textId="77777777" w:rsidR="000323A2" w:rsidRPr="000323A2" w:rsidRDefault="000323A2" w:rsidP="000323A2">
            <w:pPr>
              <w:keepNext/>
              <w:jc w:val="center"/>
              <w:outlineLvl w:val="2"/>
              <w:rPr>
                <w:rFonts w:ascii="ITC Avant Garde" w:hAnsi="ITC Avant Garde"/>
                <w:b/>
                <w:sz w:val="18"/>
                <w:szCs w:val="20"/>
                <w:lang w:val="es-ES_tradnl"/>
              </w:rPr>
            </w:pPr>
            <w:r w:rsidRPr="000323A2">
              <w:rPr>
                <w:rFonts w:ascii="ITC Avant Garde" w:hAnsi="ITC Avant Garde"/>
                <w:b/>
                <w:sz w:val="18"/>
                <w:szCs w:val="20"/>
                <w:lang w:val="es-ES_tradnl"/>
              </w:rPr>
              <w:t>Punta A</w:t>
            </w:r>
          </w:p>
        </w:tc>
        <w:tc>
          <w:tcPr>
            <w:tcW w:w="4399" w:type="dxa"/>
          </w:tcPr>
          <w:p w14:paraId="56820653" w14:textId="77777777" w:rsidR="000323A2" w:rsidRPr="000323A2" w:rsidRDefault="000323A2" w:rsidP="000323A2">
            <w:pPr>
              <w:jc w:val="center"/>
              <w:rPr>
                <w:rFonts w:ascii="ITC Avant Garde" w:hAnsi="ITC Avant Garde"/>
                <w:b/>
                <w:sz w:val="18"/>
                <w:szCs w:val="20"/>
                <w:lang w:val="es-ES_tradnl"/>
              </w:rPr>
            </w:pPr>
            <w:r w:rsidRPr="000323A2">
              <w:rPr>
                <w:rFonts w:ascii="ITC Avant Garde" w:hAnsi="ITC Avant Garde"/>
                <w:b/>
                <w:sz w:val="18"/>
                <w:szCs w:val="20"/>
                <w:lang w:val="es-ES_tradnl"/>
              </w:rPr>
              <w:t>Punta B</w:t>
            </w:r>
          </w:p>
        </w:tc>
      </w:tr>
      <w:tr w:rsidR="000323A2" w:rsidRPr="000323A2" w14:paraId="0EB1E8DB" w14:textId="77777777" w:rsidTr="00D171B1">
        <w:trPr>
          <w:trHeight w:val="296"/>
          <w:tblHeader/>
          <w:jc w:val="center"/>
        </w:trPr>
        <w:tc>
          <w:tcPr>
            <w:tcW w:w="5949" w:type="dxa"/>
          </w:tcPr>
          <w:p w14:paraId="19EAEF5E" w14:textId="1B016C83" w:rsidR="000323A2" w:rsidRPr="000323A2" w:rsidRDefault="00D171B1" w:rsidP="000323A2">
            <w:pPr>
              <w:jc w:val="center"/>
              <w:rPr>
                <w:rFonts w:ascii="ITC Avant Garde" w:hAnsi="ITC Avant Garde"/>
                <w:sz w:val="18"/>
                <w:szCs w:val="20"/>
                <w:lang w:val="es-ES_tradnl"/>
              </w:rPr>
            </w:pPr>
            <w:bookmarkStart w:id="26" w:name="dir_ptaa"/>
            <w:bookmarkEnd w:id="26"/>
            <w:r w:rsidRPr="000323A2">
              <w:rPr>
                <w:rFonts w:ascii="ITC Avant Garde" w:hAnsi="ITC Avant Garde"/>
                <w:b/>
                <w:color w:val="00B0F0"/>
                <w:sz w:val="18"/>
                <w:szCs w:val="20"/>
                <w:lang w:val="es-ES_tradnl"/>
              </w:rPr>
              <w:t>(…)</w:t>
            </w:r>
          </w:p>
        </w:tc>
        <w:tc>
          <w:tcPr>
            <w:tcW w:w="4399" w:type="dxa"/>
          </w:tcPr>
          <w:p w14:paraId="64EDB7D2" w14:textId="6D7DC5F4" w:rsidR="000323A2" w:rsidRPr="000323A2" w:rsidRDefault="00D171B1" w:rsidP="000323A2">
            <w:pPr>
              <w:jc w:val="center"/>
              <w:rPr>
                <w:rFonts w:ascii="ITC Avant Garde" w:hAnsi="ITC Avant Garde"/>
                <w:sz w:val="18"/>
                <w:szCs w:val="20"/>
                <w:lang w:val="es-ES_tradnl"/>
              </w:rPr>
            </w:pPr>
            <w:bookmarkStart w:id="27" w:name="dir_ptab"/>
            <w:bookmarkEnd w:id="27"/>
            <w:r w:rsidRPr="000323A2">
              <w:rPr>
                <w:rFonts w:ascii="ITC Avant Garde" w:hAnsi="ITC Avant Garde"/>
                <w:b/>
                <w:color w:val="00B0F0"/>
                <w:sz w:val="18"/>
                <w:szCs w:val="20"/>
                <w:lang w:val="es-ES_tradnl"/>
              </w:rPr>
              <w:t>(…)</w:t>
            </w:r>
          </w:p>
        </w:tc>
      </w:tr>
    </w:tbl>
    <w:p w14:paraId="5A3ECCCF" w14:textId="77777777" w:rsidR="000323A2" w:rsidRPr="000323A2" w:rsidRDefault="000323A2" w:rsidP="000323A2">
      <w:pPr>
        <w:spacing w:before="240" w:after="0" w:line="240" w:lineRule="auto"/>
        <w:ind w:left="-567"/>
        <w:jc w:val="both"/>
        <w:rPr>
          <w:rFonts w:ascii="ITC Avant Garde" w:eastAsia="Calibri" w:hAnsi="ITC Avant Garde" w:cs="Times New Roman"/>
          <w:sz w:val="2"/>
          <w:szCs w:val="16"/>
          <w:lang w:val="es-ES_tradnl"/>
        </w:rPr>
      </w:pPr>
    </w:p>
    <w:p w14:paraId="36440455" w14:textId="77777777" w:rsidR="000323A2" w:rsidRPr="000323A2" w:rsidRDefault="000323A2" w:rsidP="000323A2">
      <w:pPr>
        <w:spacing w:before="240" w:after="0" w:line="240" w:lineRule="auto"/>
        <w:ind w:left="-567"/>
        <w:jc w:val="both"/>
        <w:rPr>
          <w:rFonts w:ascii="ITC Avant Garde" w:eastAsia="Calibri" w:hAnsi="ITC Avant Garde" w:cs="Times New Roman"/>
          <w:sz w:val="18"/>
          <w:szCs w:val="16"/>
          <w:lang w:val="es-ES_tradnl"/>
        </w:rPr>
      </w:pPr>
      <w:r w:rsidRPr="000323A2">
        <w:rPr>
          <w:rFonts w:ascii="ITC Avant Garde" w:eastAsia="Calibri" w:hAnsi="ITC Avant Garde" w:cs="Times New Roman"/>
          <w:sz w:val="18"/>
          <w:szCs w:val="16"/>
          <w:lang w:val="es-ES_tradnl"/>
        </w:rPr>
        <w:t>La aceptación de los servicios con la firma de la presente acta, genera la facturación de todos los cargos de los servicios descritos a partir de la fecha de puesta en servicio.</w:t>
      </w:r>
    </w:p>
    <w:tbl>
      <w:tblPr>
        <w:tblStyle w:val="Cuadrculadetablaclara1"/>
        <w:tblW w:w="10490" w:type="dxa"/>
        <w:jc w:val="center"/>
        <w:tblLayout w:type="fixed"/>
        <w:tblLook w:val="0000" w:firstRow="0" w:lastRow="0" w:firstColumn="0" w:lastColumn="0" w:noHBand="0" w:noVBand="0"/>
        <w:tblCaption w:val="Tabla"/>
        <w:tblDescription w:val="Firmas"/>
      </w:tblPr>
      <w:tblGrid>
        <w:gridCol w:w="5999"/>
        <w:gridCol w:w="4491"/>
      </w:tblGrid>
      <w:tr w:rsidR="000323A2" w:rsidRPr="000323A2" w14:paraId="0941F2BF" w14:textId="77777777" w:rsidTr="00D171B1">
        <w:trPr>
          <w:trHeight w:val="990"/>
          <w:tblHeader/>
          <w:jc w:val="center"/>
        </w:trPr>
        <w:tc>
          <w:tcPr>
            <w:tcW w:w="5999" w:type="dxa"/>
          </w:tcPr>
          <w:p w14:paraId="6A66F044" w14:textId="77777777" w:rsidR="000323A2" w:rsidRPr="000323A2" w:rsidRDefault="000323A2" w:rsidP="00D171B1">
            <w:pPr>
              <w:ind w:left="-567"/>
              <w:rPr>
                <w:rFonts w:ascii="ITC Avant Garde" w:hAnsi="ITC Avant Garde"/>
                <w:b/>
                <w:sz w:val="18"/>
                <w:szCs w:val="20"/>
                <w:lang w:val="es-ES_tradnl"/>
              </w:rPr>
            </w:pPr>
          </w:p>
          <w:p w14:paraId="0A1C542C" w14:textId="77777777" w:rsidR="000323A2" w:rsidRPr="000323A2" w:rsidRDefault="000323A2" w:rsidP="00D171B1">
            <w:pPr>
              <w:ind w:left="-94"/>
              <w:jc w:val="center"/>
              <w:rPr>
                <w:rFonts w:ascii="ITC Avant Garde" w:hAnsi="ITC Avant Garde"/>
                <w:sz w:val="18"/>
                <w:szCs w:val="20"/>
                <w:lang w:val="es-ES_tradnl"/>
              </w:rPr>
            </w:pPr>
            <w:r w:rsidRPr="000323A2">
              <w:rPr>
                <w:rFonts w:ascii="ITC Avant Garde" w:hAnsi="ITC Avant Garde"/>
                <w:b/>
                <w:sz w:val="18"/>
                <w:szCs w:val="20"/>
                <w:lang w:val="es-ES_tradnl"/>
              </w:rPr>
              <w:t>CONCESIONARIO SOLICITANTE O AUTORIZADO SOLICITANTE</w:t>
            </w:r>
            <w:r w:rsidRPr="000323A2">
              <w:rPr>
                <w:rFonts w:ascii="ITC Avant Garde" w:hAnsi="ITC Avant Garde"/>
                <w:sz w:val="18"/>
                <w:szCs w:val="20"/>
                <w:lang w:val="es-ES_tradnl"/>
              </w:rPr>
              <w:t>:</w:t>
            </w:r>
          </w:p>
          <w:p w14:paraId="7BD5CBEF" w14:textId="77777777" w:rsidR="000323A2" w:rsidRPr="000323A2" w:rsidRDefault="000323A2" w:rsidP="00D171B1">
            <w:pPr>
              <w:keepNext/>
              <w:ind w:left="-567"/>
              <w:outlineLvl w:val="4"/>
              <w:rPr>
                <w:rFonts w:ascii="ITC Avant Garde" w:hAnsi="ITC Avant Garde"/>
                <w:sz w:val="18"/>
                <w:szCs w:val="20"/>
                <w:lang w:val="es-ES_tradnl"/>
              </w:rPr>
            </w:pPr>
          </w:p>
          <w:p w14:paraId="53FD999E" w14:textId="233922F8" w:rsidR="000323A2" w:rsidRPr="000323A2" w:rsidRDefault="000323A2" w:rsidP="00D171B1">
            <w:pPr>
              <w:keepNext/>
              <w:outlineLvl w:val="4"/>
              <w:rPr>
                <w:rFonts w:ascii="ITC Avant Garde" w:hAnsi="ITC Avant Garde"/>
                <w:sz w:val="18"/>
                <w:szCs w:val="20"/>
                <w:lang w:val="es-ES_tradnl"/>
              </w:rPr>
            </w:pPr>
            <w:r w:rsidRPr="000323A2">
              <w:rPr>
                <w:rFonts w:ascii="ITC Avant Garde" w:hAnsi="ITC Avant Garde"/>
                <w:b/>
                <w:sz w:val="18"/>
                <w:szCs w:val="20"/>
                <w:lang w:val="es-ES_tradnl"/>
              </w:rPr>
              <w:t>FIRMA</w:t>
            </w:r>
            <w:r w:rsidRPr="000323A2">
              <w:rPr>
                <w:rFonts w:ascii="ITC Avant Garde" w:hAnsi="ITC Avant Garde"/>
                <w:sz w:val="18"/>
                <w:szCs w:val="20"/>
                <w:lang w:val="es-ES_tradnl"/>
              </w:rPr>
              <w:t xml:space="preserve">: </w:t>
            </w:r>
            <w:r w:rsidR="00D171B1" w:rsidRPr="000323A2">
              <w:rPr>
                <w:rFonts w:ascii="ITC Avant Garde" w:hAnsi="ITC Avant Garde"/>
                <w:b/>
                <w:color w:val="00B0F0"/>
                <w:sz w:val="18"/>
                <w:szCs w:val="20"/>
                <w:lang w:val="es-ES_tradnl"/>
              </w:rPr>
              <w:t>(…)</w:t>
            </w:r>
          </w:p>
          <w:p w14:paraId="42FB1DBC" w14:textId="6017A7A2" w:rsidR="000323A2" w:rsidRPr="000323A2" w:rsidRDefault="000323A2" w:rsidP="00D171B1">
            <w:pPr>
              <w:rPr>
                <w:rFonts w:ascii="ITC Avant Garde" w:hAnsi="ITC Avant Garde"/>
                <w:sz w:val="18"/>
                <w:szCs w:val="20"/>
                <w:lang w:val="es-ES_tradnl"/>
              </w:rPr>
            </w:pPr>
            <w:r w:rsidRPr="000323A2">
              <w:rPr>
                <w:rFonts w:ascii="ITC Avant Garde" w:hAnsi="ITC Avant Garde"/>
                <w:b/>
                <w:sz w:val="18"/>
                <w:szCs w:val="20"/>
                <w:lang w:val="es-ES_tradnl"/>
              </w:rPr>
              <w:t xml:space="preserve">NOMBRE: </w:t>
            </w:r>
            <w:r w:rsidR="00D171B1" w:rsidRPr="000323A2">
              <w:rPr>
                <w:rFonts w:ascii="ITC Avant Garde" w:hAnsi="ITC Avant Garde"/>
                <w:b/>
                <w:color w:val="00B0F0"/>
                <w:sz w:val="18"/>
                <w:szCs w:val="20"/>
                <w:lang w:val="es-ES_tradnl"/>
              </w:rPr>
              <w:t>(…)</w:t>
            </w:r>
          </w:p>
          <w:p w14:paraId="36B09F3F" w14:textId="531B304C" w:rsidR="000323A2" w:rsidRPr="000323A2" w:rsidRDefault="000323A2" w:rsidP="00D171B1">
            <w:pPr>
              <w:rPr>
                <w:rFonts w:ascii="ITC Avant Garde" w:hAnsi="ITC Avant Garde"/>
                <w:sz w:val="18"/>
                <w:szCs w:val="20"/>
                <w:lang w:val="es-ES_tradnl"/>
              </w:rPr>
            </w:pPr>
            <w:r w:rsidRPr="000323A2">
              <w:rPr>
                <w:rFonts w:ascii="ITC Avant Garde" w:hAnsi="ITC Avant Garde"/>
                <w:b/>
                <w:sz w:val="18"/>
                <w:szCs w:val="20"/>
                <w:lang w:val="es-ES_tradnl"/>
              </w:rPr>
              <w:t>PUESTO</w:t>
            </w:r>
            <w:r w:rsidRPr="000323A2">
              <w:rPr>
                <w:rFonts w:ascii="ITC Avant Garde" w:hAnsi="ITC Avant Garde"/>
                <w:sz w:val="18"/>
                <w:szCs w:val="20"/>
                <w:lang w:val="es-ES_tradnl"/>
              </w:rPr>
              <w:t xml:space="preserve">: </w:t>
            </w:r>
            <w:r w:rsidR="00D171B1" w:rsidRPr="000323A2">
              <w:rPr>
                <w:rFonts w:ascii="ITC Avant Garde" w:hAnsi="ITC Avant Garde"/>
                <w:b/>
                <w:color w:val="00B0F0"/>
                <w:sz w:val="18"/>
                <w:szCs w:val="20"/>
                <w:lang w:val="es-ES_tradnl"/>
              </w:rPr>
              <w:t>(…)</w:t>
            </w:r>
          </w:p>
        </w:tc>
        <w:tc>
          <w:tcPr>
            <w:tcW w:w="4491" w:type="dxa"/>
            <w:vAlign w:val="center"/>
          </w:tcPr>
          <w:p w14:paraId="30DA0795" w14:textId="0DD4D1A1" w:rsidR="000323A2" w:rsidRPr="000323A2" w:rsidRDefault="000323A2" w:rsidP="00D171B1">
            <w:pPr>
              <w:keepNext/>
              <w:ind w:left="-567"/>
              <w:jc w:val="center"/>
              <w:outlineLvl w:val="3"/>
              <w:rPr>
                <w:rFonts w:ascii="ITC Avant Garde" w:hAnsi="ITC Avant Garde"/>
                <w:sz w:val="18"/>
                <w:szCs w:val="20"/>
                <w:lang w:val="es-ES_tradnl"/>
              </w:rPr>
            </w:pPr>
          </w:p>
          <w:p w14:paraId="3761B4D9" w14:textId="77777777" w:rsidR="000323A2" w:rsidRPr="000323A2" w:rsidRDefault="000323A2" w:rsidP="00D171B1">
            <w:pPr>
              <w:keepNext/>
              <w:ind w:left="-567"/>
              <w:jc w:val="center"/>
              <w:outlineLvl w:val="3"/>
              <w:rPr>
                <w:rFonts w:ascii="ITC Avant Garde" w:hAnsi="ITC Avant Garde"/>
                <w:b/>
                <w:sz w:val="18"/>
                <w:szCs w:val="20"/>
                <w:lang w:val="es-ES_tradnl"/>
              </w:rPr>
            </w:pPr>
            <w:r w:rsidRPr="000323A2">
              <w:rPr>
                <w:rFonts w:ascii="ITC Avant Garde" w:hAnsi="ITC Avant Garde"/>
                <w:b/>
                <w:sz w:val="18"/>
                <w:szCs w:val="20"/>
                <w:lang w:val="es-ES_tradnl"/>
              </w:rPr>
              <w:t>TELÉFONOS DE MÉXICO, S.A.B. DE C.V.</w:t>
            </w:r>
          </w:p>
          <w:p w14:paraId="3A63BAE1" w14:textId="77777777" w:rsidR="000323A2" w:rsidRPr="000323A2" w:rsidRDefault="000323A2" w:rsidP="00D171B1">
            <w:pPr>
              <w:ind w:left="-567"/>
              <w:jc w:val="center"/>
              <w:rPr>
                <w:rFonts w:ascii="ITC Avant Garde" w:hAnsi="ITC Avant Garde"/>
                <w:sz w:val="18"/>
                <w:szCs w:val="20"/>
                <w:lang w:val="es-ES_tradnl"/>
              </w:rPr>
            </w:pPr>
          </w:p>
          <w:p w14:paraId="70D89E85" w14:textId="77777777" w:rsidR="00D171B1" w:rsidRDefault="00D171B1" w:rsidP="00D171B1">
            <w:pPr>
              <w:jc w:val="center"/>
              <w:rPr>
                <w:rFonts w:ascii="ITC Avant Garde" w:hAnsi="ITC Avant Garde"/>
                <w:b/>
                <w:color w:val="00B0F0"/>
                <w:sz w:val="18"/>
                <w:szCs w:val="20"/>
                <w:lang w:val="es-ES_tradnl"/>
              </w:rPr>
            </w:pPr>
            <w:r w:rsidRPr="000323A2">
              <w:rPr>
                <w:rFonts w:ascii="ITC Avant Garde" w:hAnsi="ITC Avant Garde"/>
                <w:b/>
                <w:color w:val="00B0F0"/>
                <w:sz w:val="18"/>
                <w:szCs w:val="20"/>
                <w:lang w:val="es-ES_tradnl"/>
              </w:rPr>
              <w:t>(…)</w:t>
            </w:r>
          </w:p>
          <w:p w14:paraId="24BB932D" w14:textId="77777777" w:rsidR="00D171B1" w:rsidRDefault="00D171B1" w:rsidP="00D171B1">
            <w:pPr>
              <w:jc w:val="center"/>
              <w:rPr>
                <w:rFonts w:ascii="ITC Avant Garde" w:hAnsi="ITC Avant Garde"/>
                <w:b/>
                <w:color w:val="00B0F0"/>
                <w:sz w:val="18"/>
                <w:szCs w:val="20"/>
                <w:lang w:val="es-ES_tradnl"/>
              </w:rPr>
            </w:pPr>
            <w:r w:rsidRPr="000323A2">
              <w:rPr>
                <w:rFonts w:ascii="ITC Avant Garde" w:hAnsi="ITC Avant Garde"/>
                <w:b/>
                <w:color w:val="00B0F0"/>
                <w:sz w:val="18"/>
                <w:szCs w:val="20"/>
                <w:lang w:val="es-ES_tradnl"/>
              </w:rPr>
              <w:t>(…)</w:t>
            </w:r>
          </w:p>
          <w:p w14:paraId="16F9D3E0" w14:textId="4B205731" w:rsidR="000323A2" w:rsidRPr="000323A2" w:rsidRDefault="00D171B1" w:rsidP="00D171B1">
            <w:pPr>
              <w:jc w:val="center"/>
              <w:rPr>
                <w:rFonts w:ascii="ITC Avant Garde" w:hAnsi="ITC Avant Garde"/>
                <w:sz w:val="18"/>
                <w:szCs w:val="20"/>
                <w:lang w:val="es-ES_tradnl"/>
              </w:rPr>
            </w:pPr>
            <w:r w:rsidRPr="000323A2">
              <w:rPr>
                <w:rFonts w:ascii="ITC Avant Garde" w:hAnsi="ITC Avant Garde"/>
                <w:b/>
                <w:color w:val="00B0F0"/>
                <w:sz w:val="18"/>
                <w:szCs w:val="20"/>
                <w:lang w:val="es-ES_tradnl"/>
              </w:rPr>
              <w:t>(…)</w:t>
            </w:r>
          </w:p>
        </w:tc>
      </w:tr>
    </w:tbl>
    <w:p w14:paraId="420A4FF8" w14:textId="77777777" w:rsidR="000323A2" w:rsidRPr="000323A2" w:rsidRDefault="000323A2" w:rsidP="000323A2">
      <w:pPr>
        <w:spacing w:before="240" w:after="0" w:line="240" w:lineRule="auto"/>
        <w:rPr>
          <w:rFonts w:ascii="ITC Avant Garde" w:eastAsia="Calibri" w:hAnsi="ITC Avant Garde" w:cs="Times New Roman"/>
          <w:sz w:val="2"/>
          <w:szCs w:val="20"/>
          <w:lang w:val="es-ES_tradnl"/>
        </w:rPr>
      </w:pPr>
    </w:p>
    <w:tbl>
      <w:tblPr>
        <w:tblStyle w:val="Cuadrculadetablaclara1"/>
        <w:tblW w:w="10348" w:type="dxa"/>
        <w:jc w:val="center"/>
        <w:tblLayout w:type="fixed"/>
        <w:tblLook w:val="0000" w:firstRow="0" w:lastRow="0" w:firstColumn="0" w:lastColumn="0" w:noHBand="0" w:noVBand="0"/>
        <w:tblCaption w:val="Tabla"/>
        <w:tblDescription w:val="Firmas de acta"/>
      </w:tblPr>
      <w:tblGrid>
        <w:gridCol w:w="5998"/>
        <w:gridCol w:w="4350"/>
      </w:tblGrid>
      <w:tr w:rsidR="000323A2" w:rsidRPr="000323A2" w14:paraId="05837139" w14:textId="77777777" w:rsidTr="000323A2">
        <w:trPr>
          <w:tblHeader/>
          <w:jc w:val="center"/>
        </w:trPr>
        <w:tc>
          <w:tcPr>
            <w:tcW w:w="5998" w:type="dxa"/>
          </w:tcPr>
          <w:p w14:paraId="50D3F983" w14:textId="77777777" w:rsidR="000323A2" w:rsidRPr="000323A2" w:rsidRDefault="000323A2" w:rsidP="00D171B1">
            <w:pPr>
              <w:spacing w:before="120"/>
              <w:rPr>
                <w:rFonts w:ascii="ITC Avant Garde" w:hAnsi="ITC Avant Garde"/>
                <w:b/>
                <w:sz w:val="18"/>
                <w:szCs w:val="20"/>
                <w:lang w:val="es-ES_tradnl"/>
              </w:rPr>
            </w:pPr>
            <w:r w:rsidRPr="000323A2">
              <w:rPr>
                <w:rFonts w:ascii="ITC Avant Garde" w:hAnsi="ITC Avant Garde"/>
                <w:b/>
                <w:sz w:val="18"/>
                <w:szCs w:val="20"/>
                <w:lang w:val="es-ES_tradnl"/>
              </w:rPr>
              <w:t>Fecha de Firma del  Acta:</w:t>
            </w:r>
          </w:p>
        </w:tc>
        <w:tc>
          <w:tcPr>
            <w:tcW w:w="4350" w:type="dxa"/>
          </w:tcPr>
          <w:p w14:paraId="6F17F79F" w14:textId="71376F10" w:rsidR="000323A2" w:rsidRPr="000323A2" w:rsidRDefault="00D171B1" w:rsidP="00D171B1">
            <w:pPr>
              <w:spacing w:before="120"/>
              <w:rPr>
                <w:rFonts w:ascii="ITC Avant Garde" w:hAnsi="ITC Avant Garde"/>
                <w:sz w:val="18"/>
                <w:szCs w:val="20"/>
                <w:lang w:val="es-ES_tradnl"/>
              </w:rPr>
            </w:pPr>
            <w:r w:rsidRPr="000323A2">
              <w:rPr>
                <w:rFonts w:ascii="ITC Avant Garde" w:hAnsi="ITC Avant Garde"/>
                <w:b/>
                <w:color w:val="00B0F0"/>
                <w:sz w:val="18"/>
                <w:szCs w:val="20"/>
                <w:lang w:val="es-ES_tradnl"/>
              </w:rPr>
              <w:t>(…)</w:t>
            </w:r>
          </w:p>
        </w:tc>
      </w:tr>
    </w:tbl>
    <w:p w14:paraId="1E9B3EE6" w14:textId="77777777" w:rsidR="000323A2" w:rsidRPr="000323A2" w:rsidRDefault="000323A2" w:rsidP="000323A2">
      <w:pPr>
        <w:pBdr>
          <w:top w:val="single" w:sz="24" w:space="1" w:color="auto"/>
          <w:left w:val="single" w:sz="24" w:space="0" w:color="auto"/>
          <w:bottom w:val="single" w:sz="24" w:space="1" w:color="auto"/>
          <w:right w:val="single" w:sz="24" w:space="24" w:color="auto"/>
        </w:pBdr>
        <w:spacing w:before="240" w:after="0" w:line="240" w:lineRule="auto"/>
        <w:ind w:left="567" w:right="567"/>
        <w:rPr>
          <w:rFonts w:ascii="ITC Avant Garde" w:eastAsia="Calibri" w:hAnsi="ITC Avant Garde" w:cs="Times New Roman"/>
          <w:sz w:val="56"/>
          <w:szCs w:val="20"/>
          <w:lang w:val="es-ES_tradnl"/>
        </w:rPr>
      </w:pPr>
    </w:p>
    <w:p w14:paraId="44C8B0F5"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tabs>
          <w:tab w:val="center" w:pos="1814"/>
          <w:tab w:val="center" w:pos="5216"/>
          <w:tab w:val="center" w:pos="9214"/>
        </w:tabs>
        <w:spacing w:before="240" w:after="0" w:line="240" w:lineRule="auto"/>
        <w:ind w:left="567" w:right="567"/>
        <w:jc w:val="center"/>
        <w:outlineLvl w:val="0"/>
        <w:rPr>
          <w:rFonts w:ascii="Arial" w:eastAsia="Calibri" w:hAnsi="Arial" w:cs="Arial"/>
          <w:bCs/>
          <w:kern w:val="32"/>
          <w:sz w:val="56"/>
          <w:szCs w:val="32"/>
          <w:u w:val="single"/>
          <w:lang w:val="es-ES_tradnl"/>
        </w:rPr>
      </w:pPr>
      <w:r w:rsidRPr="000323A2">
        <w:rPr>
          <w:rFonts w:ascii="Arial" w:eastAsia="Calibri" w:hAnsi="Arial" w:cs="Arial"/>
          <w:bCs/>
          <w:kern w:val="32"/>
          <w:sz w:val="56"/>
          <w:szCs w:val="32"/>
          <w:u w:val="single"/>
          <w:lang w:val="es-ES_tradnl"/>
        </w:rPr>
        <w:t>ANEXO “B”</w:t>
      </w:r>
    </w:p>
    <w:p w14:paraId="623971B5"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spacing w:before="240" w:after="0" w:line="240" w:lineRule="auto"/>
        <w:ind w:left="567" w:right="567"/>
        <w:jc w:val="center"/>
        <w:outlineLvl w:val="1"/>
        <w:rPr>
          <w:rFonts w:ascii="Arial" w:eastAsia="Calibri" w:hAnsi="Arial" w:cs="Arial"/>
          <w:b/>
          <w:bCs/>
          <w:iCs/>
          <w:sz w:val="48"/>
          <w:szCs w:val="48"/>
          <w:lang w:val="es-ES"/>
        </w:rPr>
      </w:pPr>
      <w:r w:rsidRPr="000323A2">
        <w:rPr>
          <w:rFonts w:ascii="Arial" w:eastAsia="Calibri" w:hAnsi="Arial" w:cs="Arial"/>
          <w:b/>
          <w:bCs/>
          <w:iCs/>
          <w:sz w:val="48"/>
          <w:szCs w:val="48"/>
          <w:lang w:val="es-ES"/>
        </w:rPr>
        <w:t>FORMATO DE SOLICITUD DE SERVICIO</w:t>
      </w:r>
    </w:p>
    <w:p w14:paraId="50CC0A44" w14:textId="77777777" w:rsidR="000323A2" w:rsidRPr="000323A2" w:rsidRDefault="000323A2" w:rsidP="000323A2">
      <w:pPr>
        <w:tabs>
          <w:tab w:val="left" w:pos="3119"/>
        </w:tabs>
        <w:spacing w:before="240" w:after="0" w:line="240" w:lineRule="auto"/>
        <w:jc w:val="center"/>
        <w:rPr>
          <w:rFonts w:ascii="ITC Avant Garde" w:eastAsia="Calibri" w:hAnsi="ITC Avant Garde" w:cs="Times New Roman"/>
          <w:b/>
          <w:sz w:val="14"/>
          <w:szCs w:val="20"/>
        </w:rPr>
      </w:pPr>
    </w:p>
    <w:p w14:paraId="3EB2A08E" w14:textId="77777777" w:rsidR="000323A2" w:rsidRPr="000323A2" w:rsidRDefault="000323A2" w:rsidP="000323A2">
      <w:pPr>
        <w:tabs>
          <w:tab w:val="left" w:pos="3119"/>
        </w:tabs>
        <w:spacing w:before="240" w:after="0" w:line="240" w:lineRule="auto"/>
        <w:rPr>
          <w:rFonts w:ascii="ITC Avant Garde" w:eastAsia="Calibri" w:hAnsi="ITC Avant Garde" w:cs="Times New Roman"/>
          <w:b/>
          <w:sz w:val="14"/>
          <w:szCs w:val="20"/>
        </w:rPr>
        <w:sectPr w:rsidR="000323A2" w:rsidRPr="000323A2" w:rsidSect="000323A2">
          <w:pgSz w:w="12240" w:h="15840" w:code="1"/>
          <w:pgMar w:top="993" w:right="1418" w:bottom="1134" w:left="1418" w:header="709" w:footer="709" w:gutter="0"/>
          <w:cols w:space="708"/>
          <w:docGrid w:linePitch="360"/>
        </w:sectPr>
      </w:pPr>
    </w:p>
    <w:p w14:paraId="76BA420D" w14:textId="3A3E94B3" w:rsidR="00206FC0" w:rsidRDefault="00206FC0" w:rsidP="00206FC0">
      <w:pPr>
        <w:spacing w:before="240" w:after="0" w:line="240" w:lineRule="auto"/>
        <w:ind w:left="-851"/>
        <w:jc w:val="both"/>
        <w:rPr>
          <w:rFonts w:ascii="ITC Avant Garde" w:eastAsia="Times New Roman" w:hAnsi="ITC Avant Garde" w:cs="Arial"/>
        </w:rPr>
      </w:pPr>
      <w:r>
        <w:rPr>
          <w:rFonts w:ascii="ITC Avant Garde" w:eastAsia="Times New Roman" w:hAnsi="ITC Avant Garde" w:cs="Arial"/>
          <w:noProof/>
          <w:lang w:eastAsia="es-MX"/>
        </w:rPr>
        <w:lastRenderedPageBreak/>
        <w:drawing>
          <wp:inline distT="0" distB="0" distL="0" distR="0" wp14:anchorId="0DDB6CE6" wp14:editId="39EA076C">
            <wp:extent cx="6615515" cy="7380514"/>
            <wp:effectExtent l="0" t="0" r="0" b="0"/>
            <wp:docPr id="48" name="Imagen 48" descr="Imagen de tabla que proporciona información relativa a la solicitud de servicio." title="Solicitud de servi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ormato.jpg"/>
                    <pic:cNvPicPr/>
                  </pic:nvPicPr>
                  <pic:blipFill>
                    <a:blip r:embed="rId13">
                      <a:extLst>
                        <a:ext uri="{28A0092B-C50C-407E-A947-70E740481C1C}">
                          <a14:useLocalDpi xmlns:a14="http://schemas.microsoft.com/office/drawing/2010/main" val="0"/>
                        </a:ext>
                      </a:extLst>
                    </a:blip>
                    <a:stretch>
                      <a:fillRect/>
                    </a:stretch>
                  </pic:blipFill>
                  <pic:spPr>
                    <a:xfrm>
                      <a:off x="0" y="0"/>
                      <a:ext cx="6631584" cy="7398441"/>
                    </a:xfrm>
                    <a:prstGeom prst="rect">
                      <a:avLst/>
                    </a:prstGeom>
                  </pic:spPr>
                </pic:pic>
              </a:graphicData>
            </a:graphic>
          </wp:inline>
        </w:drawing>
      </w:r>
    </w:p>
    <w:p w14:paraId="703AFED3" w14:textId="38ECFD32" w:rsidR="000323A2" w:rsidRPr="000323A2" w:rsidRDefault="000323A2" w:rsidP="00206FC0">
      <w:pPr>
        <w:spacing w:before="240" w:after="100" w:afterAutospacing="1" w:line="240" w:lineRule="auto"/>
        <w:jc w:val="both"/>
        <w:rPr>
          <w:rFonts w:ascii="ITC Avant Garde" w:eastAsia="Times New Roman" w:hAnsi="ITC Avant Garde" w:cs="Arial"/>
        </w:rPr>
      </w:pPr>
      <w:r w:rsidRPr="000323A2">
        <w:rPr>
          <w:rFonts w:ascii="ITC Avant Garde" w:eastAsia="Times New Roman" w:hAnsi="ITC Avant Garde" w:cs="Arial"/>
        </w:rPr>
        <w:lastRenderedPageBreak/>
        <w:t xml:space="preserve">Este Anexo “B” se firma por los representantes debidamente facultados de las Partes, el </w:t>
      </w:r>
      <w:r w:rsidR="00D171B1" w:rsidRPr="00D171B1">
        <w:rPr>
          <w:rFonts w:ascii="ITC Avant Garde" w:eastAsia="Times New Roman" w:hAnsi="ITC Avant Garde" w:cs="Arial"/>
          <w:b/>
          <w:color w:val="00B0F0"/>
        </w:rPr>
        <w:t>(…)</w:t>
      </w:r>
      <w:r w:rsidRPr="000323A2">
        <w:rPr>
          <w:rFonts w:ascii="ITC Avant Garde" w:eastAsia="Times New Roman" w:hAnsi="ITC Avant Garde" w:cs="Arial"/>
        </w:rPr>
        <w:t xml:space="preserve"> de </w:t>
      </w:r>
      <w:r w:rsidR="00D171B1" w:rsidRPr="00D171B1">
        <w:rPr>
          <w:rFonts w:ascii="ITC Avant Garde" w:eastAsia="Times New Roman" w:hAnsi="ITC Avant Garde" w:cs="Arial"/>
          <w:b/>
          <w:color w:val="00B0F0"/>
        </w:rPr>
        <w:t>(…)</w:t>
      </w:r>
      <w:r w:rsidRPr="000323A2">
        <w:rPr>
          <w:rFonts w:ascii="ITC Avant Garde" w:eastAsia="Times New Roman" w:hAnsi="ITC Avant Garde" w:cs="Arial"/>
        </w:rPr>
        <w:t xml:space="preserve"> del 20</w:t>
      </w:r>
      <w:r w:rsidR="00D171B1" w:rsidRPr="00D171B1">
        <w:rPr>
          <w:rFonts w:ascii="ITC Avant Garde" w:eastAsia="Times New Roman" w:hAnsi="ITC Avant Garde" w:cs="Arial"/>
          <w:b/>
          <w:color w:val="00B0F0"/>
        </w:rPr>
        <w:t>(…)</w:t>
      </w:r>
      <w:r w:rsidRPr="000323A2">
        <w:rPr>
          <w:rFonts w:ascii="ITC Avant Garde" w:eastAsia="Times New Roman" w:hAnsi="ITC Avant Garde" w:cs="Arial"/>
        </w:rPr>
        <w:t>.</w:t>
      </w:r>
    </w:p>
    <w:tbl>
      <w:tblPr>
        <w:tblStyle w:val="Cuadrculadetabla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a"/>
        <w:tblDescription w:val="Firmas"/>
      </w:tblPr>
      <w:tblGrid>
        <w:gridCol w:w="8828"/>
      </w:tblGrid>
      <w:tr w:rsidR="000323A2" w:rsidRPr="000323A2" w14:paraId="07943DC9" w14:textId="77777777" w:rsidTr="00206FC0">
        <w:trPr>
          <w:trHeight w:val="624"/>
          <w:tblHeader/>
          <w:jc w:val="center"/>
        </w:trPr>
        <w:tc>
          <w:tcPr>
            <w:tcW w:w="8828" w:type="dxa"/>
          </w:tcPr>
          <w:p w14:paraId="4569D16E"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TELÉFONOS DE MÉXICO, S.A.B. DE C.V.</w:t>
            </w:r>
          </w:p>
        </w:tc>
      </w:tr>
      <w:tr w:rsidR="000323A2" w:rsidRPr="000323A2" w14:paraId="3A13A228" w14:textId="77777777" w:rsidTr="00206FC0">
        <w:trPr>
          <w:tblHeader/>
          <w:jc w:val="center"/>
        </w:trPr>
        <w:tc>
          <w:tcPr>
            <w:tcW w:w="8828" w:type="dxa"/>
          </w:tcPr>
          <w:p w14:paraId="5D12ECCF" w14:textId="70EF73B8" w:rsidR="000323A2" w:rsidRPr="000323A2" w:rsidRDefault="00D171B1" w:rsidP="000323A2">
            <w:pPr>
              <w:tabs>
                <w:tab w:val="left" w:pos="851"/>
              </w:tabs>
              <w:spacing w:before="240"/>
              <w:jc w:val="center"/>
              <w:outlineLvl w:val="0"/>
              <w:rPr>
                <w:rFonts w:ascii="ITC Avant Garde" w:hAnsi="ITC Avant Garde"/>
                <w:b/>
                <w:lang w:val="es-ES_tradnl"/>
              </w:rPr>
            </w:pPr>
            <w:r w:rsidRPr="00D171B1">
              <w:rPr>
                <w:rFonts w:ascii="ITC Avant Garde" w:eastAsia="Times New Roman" w:hAnsi="ITC Avant Garde" w:cs="Arial"/>
                <w:b/>
                <w:color w:val="00B0F0"/>
              </w:rPr>
              <w:t>(…)</w:t>
            </w:r>
          </w:p>
        </w:tc>
      </w:tr>
      <w:tr w:rsidR="000323A2" w:rsidRPr="000323A2" w14:paraId="3346F557" w14:textId="77777777" w:rsidTr="00206FC0">
        <w:trPr>
          <w:tblHeader/>
          <w:jc w:val="center"/>
        </w:trPr>
        <w:tc>
          <w:tcPr>
            <w:tcW w:w="8828" w:type="dxa"/>
          </w:tcPr>
          <w:p w14:paraId="1E40B405"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r w:rsidR="000323A2" w:rsidRPr="000323A2" w14:paraId="39A6D3EB" w14:textId="77777777" w:rsidTr="00206FC0">
        <w:trPr>
          <w:trHeight w:val="624"/>
          <w:tblHeader/>
          <w:jc w:val="center"/>
        </w:trPr>
        <w:tc>
          <w:tcPr>
            <w:tcW w:w="8828" w:type="dxa"/>
          </w:tcPr>
          <w:p w14:paraId="443ED60F"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CONCESIONARIO SOLICITANTE O AUTORIZADO SOLICITANTE</w:t>
            </w:r>
          </w:p>
        </w:tc>
      </w:tr>
      <w:tr w:rsidR="000323A2" w:rsidRPr="000323A2" w14:paraId="769A9AE4" w14:textId="77777777" w:rsidTr="00206FC0">
        <w:trPr>
          <w:tblHeader/>
          <w:jc w:val="center"/>
        </w:trPr>
        <w:tc>
          <w:tcPr>
            <w:tcW w:w="8828" w:type="dxa"/>
          </w:tcPr>
          <w:p w14:paraId="501CA960" w14:textId="192C1CEE" w:rsidR="000323A2" w:rsidRPr="000323A2" w:rsidRDefault="00D171B1" w:rsidP="000323A2">
            <w:pPr>
              <w:tabs>
                <w:tab w:val="left" w:pos="851"/>
              </w:tabs>
              <w:spacing w:before="240"/>
              <w:jc w:val="center"/>
              <w:outlineLvl w:val="0"/>
              <w:rPr>
                <w:rFonts w:ascii="ITC Avant Garde" w:hAnsi="ITC Avant Garde"/>
                <w:b/>
                <w:lang w:val="es-ES_tradnl"/>
              </w:rPr>
            </w:pPr>
            <w:r w:rsidRPr="00D171B1">
              <w:rPr>
                <w:rFonts w:ascii="ITC Avant Garde" w:eastAsia="Times New Roman" w:hAnsi="ITC Avant Garde" w:cs="Arial"/>
                <w:b/>
                <w:color w:val="00B0F0"/>
              </w:rPr>
              <w:t>(…)</w:t>
            </w:r>
          </w:p>
        </w:tc>
      </w:tr>
      <w:tr w:rsidR="000323A2" w:rsidRPr="000323A2" w14:paraId="2622FC95" w14:textId="77777777" w:rsidTr="00206FC0">
        <w:trPr>
          <w:tblHeader/>
          <w:jc w:val="center"/>
        </w:trPr>
        <w:tc>
          <w:tcPr>
            <w:tcW w:w="8828" w:type="dxa"/>
          </w:tcPr>
          <w:p w14:paraId="243526EC"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r w:rsidR="000323A2" w:rsidRPr="000323A2" w14:paraId="791CD169" w14:textId="77777777" w:rsidTr="00206FC0">
        <w:trPr>
          <w:trHeight w:val="624"/>
          <w:tblHeader/>
          <w:jc w:val="center"/>
        </w:trPr>
        <w:tc>
          <w:tcPr>
            <w:tcW w:w="8828" w:type="dxa"/>
          </w:tcPr>
          <w:p w14:paraId="2740B998" w14:textId="1EB64892" w:rsidR="000323A2" w:rsidRPr="000323A2" w:rsidRDefault="00D171B1" w:rsidP="00D171B1">
            <w:pPr>
              <w:tabs>
                <w:tab w:val="left" w:pos="851"/>
              </w:tabs>
              <w:spacing w:before="240"/>
              <w:ind w:left="458" w:hanging="426"/>
              <w:jc w:val="center"/>
              <w:outlineLvl w:val="0"/>
              <w:rPr>
                <w:rFonts w:ascii="ITC Avant Garde" w:hAnsi="ITC Avant Garde"/>
                <w:b/>
                <w:lang w:val="es-ES_tradnl"/>
              </w:rPr>
            </w:pPr>
            <w:r w:rsidRPr="00D171B1">
              <w:rPr>
                <w:rFonts w:ascii="ITC Avant Garde" w:eastAsia="Times New Roman" w:hAnsi="ITC Avant Garde" w:cs="Arial"/>
                <w:b/>
                <w:color w:val="00B0F0"/>
              </w:rPr>
              <w:t>(…)</w:t>
            </w:r>
          </w:p>
        </w:tc>
      </w:tr>
    </w:tbl>
    <w:p w14:paraId="619A9723" w14:textId="77777777" w:rsidR="000323A2" w:rsidRPr="000323A2" w:rsidRDefault="000323A2" w:rsidP="000323A2">
      <w:pPr>
        <w:spacing w:before="240" w:after="0" w:line="240" w:lineRule="auto"/>
        <w:jc w:val="center"/>
        <w:rPr>
          <w:rFonts w:ascii="ITC Avant Garde" w:eastAsia="Calibri" w:hAnsi="ITC Avant Garde" w:cs="Times New Roman"/>
          <w:sz w:val="28"/>
          <w:szCs w:val="20"/>
          <w:lang w:val="es-ES_tradnl"/>
        </w:rPr>
      </w:pPr>
      <w:r w:rsidRPr="000323A2">
        <w:rPr>
          <w:rFonts w:ascii="ITC Avant Garde" w:eastAsia="Calibri" w:hAnsi="ITC Avant Garde" w:cs="Times New Roman"/>
          <w:b/>
          <w:lang w:val="es-ES_tradnl"/>
        </w:rPr>
        <w:t xml:space="preserve">Testigo </w:t>
      </w:r>
      <w:proofErr w:type="spellStart"/>
      <w:r w:rsidRPr="000323A2">
        <w:rPr>
          <w:rFonts w:ascii="ITC Avant Garde" w:eastAsia="Calibri" w:hAnsi="ITC Avant Garde" w:cs="Times New Roman"/>
          <w:b/>
          <w:lang w:val="es-ES_tradnl"/>
        </w:rPr>
        <w:t>Testigo</w:t>
      </w:r>
      <w:proofErr w:type="spellEnd"/>
    </w:p>
    <w:p w14:paraId="02A50C6F" w14:textId="77777777" w:rsidR="000323A2" w:rsidRPr="000323A2" w:rsidRDefault="000323A2" w:rsidP="000323A2">
      <w:pPr>
        <w:spacing w:before="240" w:after="0" w:line="240" w:lineRule="auto"/>
        <w:rPr>
          <w:rFonts w:ascii="ITC Avant Garde" w:eastAsia="Calibri" w:hAnsi="ITC Avant Garde" w:cs="Times New Roman"/>
          <w:sz w:val="28"/>
          <w:szCs w:val="20"/>
          <w:lang w:val="es-ES_tradnl"/>
        </w:rPr>
      </w:pPr>
      <w:r w:rsidRPr="000323A2">
        <w:rPr>
          <w:rFonts w:ascii="ITC Avant Garde" w:eastAsia="Calibri" w:hAnsi="ITC Avant Garde" w:cs="Times New Roman"/>
          <w:sz w:val="28"/>
          <w:szCs w:val="20"/>
          <w:lang w:val="es-ES_tradnl"/>
        </w:rPr>
        <w:br w:type="page"/>
      </w:r>
    </w:p>
    <w:p w14:paraId="10DAB553"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spacing w:before="240" w:after="0" w:line="240" w:lineRule="auto"/>
        <w:ind w:right="567"/>
        <w:jc w:val="center"/>
        <w:outlineLvl w:val="0"/>
        <w:rPr>
          <w:rFonts w:ascii="Arial" w:eastAsia="Calibri" w:hAnsi="Arial" w:cs="Arial"/>
          <w:bCs/>
          <w:kern w:val="32"/>
          <w:sz w:val="56"/>
          <w:szCs w:val="32"/>
          <w:u w:val="single"/>
          <w:lang w:val="es-ES" w:eastAsia="es-ES"/>
        </w:rPr>
      </w:pPr>
      <w:r w:rsidRPr="000323A2">
        <w:rPr>
          <w:rFonts w:ascii="Arial" w:eastAsia="Calibri" w:hAnsi="Arial" w:cs="Arial"/>
          <w:bCs/>
          <w:kern w:val="32"/>
          <w:sz w:val="56"/>
          <w:szCs w:val="32"/>
          <w:u w:val="single"/>
          <w:lang w:val="es-ES" w:eastAsia="es-ES"/>
        </w:rPr>
        <w:lastRenderedPageBreak/>
        <w:t>ANEXO “C”</w:t>
      </w:r>
    </w:p>
    <w:p w14:paraId="316AF112"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spacing w:before="240" w:after="0" w:line="240" w:lineRule="auto"/>
        <w:ind w:right="567"/>
        <w:jc w:val="center"/>
        <w:outlineLvl w:val="1"/>
        <w:rPr>
          <w:rFonts w:ascii="ITC Avant Garde" w:eastAsia="Calibri" w:hAnsi="ITC Avant Garde" w:cs="Arial"/>
          <w:b/>
          <w:iCs/>
          <w:kern w:val="32"/>
          <w:sz w:val="48"/>
          <w:szCs w:val="48"/>
          <w:lang w:val="es-ES" w:eastAsia="es-ES"/>
        </w:rPr>
      </w:pPr>
      <w:r w:rsidRPr="000323A2">
        <w:rPr>
          <w:rFonts w:ascii="Arial" w:eastAsia="Calibri" w:hAnsi="Arial" w:cs="Arial"/>
          <w:b/>
          <w:iCs/>
          <w:kern w:val="32"/>
          <w:sz w:val="48"/>
          <w:szCs w:val="48"/>
          <w:lang w:val="es-ES" w:eastAsia="es-ES"/>
        </w:rPr>
        <w:t>ACUERDO DE CALIDAD Y SUMINISTRO DE SERVICIO</w:t>
      </w:r>
    </w:p>
    <w:p w14:paraId="6EAF07B1" w14:textId="77777777" w:rsidR="000323A2" w:rsidRPr="000323A2" w:rsidRDefault="000323A2" w:rsidP="000323A2">
      <w:pPr>
        <w:numPr>
          <w:ilvl w:val="12"/>
          <w:numId w:val="0"/>
        </w:numPr>
        <w:spacing w:before="240" w:after="0" w:line="276" w:lineRule="auto"/>
        <w:jc w:val="center"/>
        <w:rPr>
          <w:rFonts w:ascii="Arial" w:eastAsia="Calibri" w:hAnsi="Arial" w:cs="Arial"/>
          <w:b/>
          <w:sz w:val="32"/>
          <w:szCs w:val="32"/>
          <w:lang w:val="es-ES" w:eastAsia="es-ES"/>
        </w:rPr>
      </w:pPr>
    </w:p>
    <w:p w14:paraId="4BC70E6E" w14:textId="77777777" w:rsidR="000323A2" w:rsidRPr="000323A2" w:rsidRDefault="000323A2" w:rsidP="000323A2">
      <w:pPr>
        <w:numPr>
          <w:ilvl w:val="12"/>
          <w:numId w:val="0"/>
        </w:numPr>
        <w:spacing w:before="240" w:after="0" w:line="276" w:lineRule="auto"/>
        <w:jc w:val="center"/>
        <w:rPr>
          <w:rFonts w:ascii="Arial" w:eastAsia="Calibri" w:hAnsi="Arial" w:cs="Arial"/>
          <w:b/>
          <w:sz w:val="32"/>
          <w:szCs w:val="32"/>
          <w:lang w:val="es-ES" w:eastAsia="es-ES"/>
        </w:rPr>
      </w:pPr>
      <w:r w:rsidRPr="000323A2">
        <w:rPr>
          <w:rFonts w:ascii="Arial" w:eastAsia="Calibri" w:hAnsi="Arial" w:cs="Arial"/>
          <w:b/>
          <w:sz w:val="32"/>
          <w:szCs w:val="32"/>
          <w:lang w:val="es-ES" w:eastAsia="es-ES"/>
        </w:rPr>
        <w:t>ANEXO C</w:t>
      </w:r>
    </w:p>
    <w:p w14:paraId="2E8178FD" w14:textId="77777777" w:rsidR="000323A2" w:rsidRPr="000323A2" w:rsidRDefault="000323A2" w:rsidP="000323A2">
      <w:pPr>
        <w:numPr>
          <w:ilvl w:val="12"/>
          <w:numId w:val="0"/>
        </w:numPr>
        <w:spacing w:before="240" w:after="0" w:line="276" w:lineRule="auto"/>
        <w:jc w:val="center"/>
        <w:rPr>
          <w:rFonts w:ascii="Arial" w:eastAsia="Calibri" w:hAnsi="Arial" w:cs="Arial"/>
          <w:b/>
          <w:sz w:val="32"/>
          <w:szCs w:val="32"/>
          <w:lang w:val="es-ES" w:eastAsia="es-ES"/>
        </w:rPr>
      </w:pPr>
      <w:r w:rsidRPr="000323A2">
        <w:rPr>
          <w:rFonts w:ascii="Arial" w:eastAsia="Calibri" w:hAnsi="Arial" w:cs="Arial"/>
          <w:b/>
          <w:sz w:val="32"/>
          <w:szCs w:val="32"/>
          <w:lang w:val="es-ES" w:eastAsia="es-ES"/>
        </w:rPr>
        <w:t>ACUERDO DE CALIDAD Y SUMINISTRO DE SERVICIO (SLA)</w:t>
      </w:r>
    </w:p>
    <w:p w14:paraId="380B5262" w14:textId="77777777" w:rsidR="000323A2" w:rsidRPr="000323A2" w:rsidRDefault="000323A2" w:rsidP="000323A2">
      <w:pPr>
        <w:numPr>
          <w:ilvl w:val="12"/>
          <w:numId w:val="0"/>
        </w:numPr>
        <w:spacing w:before="240" w:after="0" w:line="276" w:lineRule="auto"/>
        <w:jc w:val="both"/>
        <w:rPr>
          <w:rFonts w:ascii="Arial" w:eastAsia="Calibri" w:hAnsi="Arial" w:cs="Arial"/>
          <w:b/>
          <w:lang w:val="es-ES" w:eastAsia="es-ES"/>
        </w:rPr>
      </w:pPr>
      <w:r w:rsidRPr="000323A2">
        <w:rPr>
          <w:rFonts w:ascii="Arial" w:eastAsia="Calibri" w:hAnsi="Arial" w:cs="Arial"/>
          <w:b/>
          <w:lang w:val="es-ES" w:eastAsia="es-ES"/>
        </w:rPr>
        <w:t xml:space="preserve">A. CALIDAD DE SERVICIOS </w:t>
      </w:r>
    </w:p>
    <w:p w14:paraId="25645697" w14:textId="77777777" w:rsidR="000323A2" w:rsidRPr="000323A2" w:rsidRDefault="000323A2" w:rsidP="000323A2">
      <w:pPr>
        <w:spacing w:before="240" w:after="0" w:line="276" w:lineRule="auto"/>
        <w:jc w:val="both"/>
        <w:rPr>
          <w:rFonts w:ascii="Arial" w:eastAsia="Calibri" w:hAnsi="Arial" w:cs="Arial"/>
          <w:b/>
          <w:lang w:eastAsia="es-ES"/>
        </w:rPr>
      </w:pPr>
      <w:r w:rsidRPr="000323A2">
        <w:rPr>
          <w:rFonts w:ascii="Arial" w:eastAsia="Calibri" w:hAnsi="Arial" w:cs="Arial"/>
          <w:b/>
          <w:lang w:eastAsia="es-ES"/>
        </w:rPr>
        <w:t>1.</w:t>
      </w:r>
      <w:r w:rsidRPr="000323A2">
        <w:rPr>
          <w:rFonts w:ascii="Arial" w:eastAsia="Calibri" w:hAnsi="Arial" w:cs="Arial"/>
          <w:b/>
          <w:lang w:eastAsia="es-ES"/>
        </w:rPr>
        <w:tab/>
        <w:t>Operación y mantenimiento.</w:t>
      </w:r>
      <w:r w:rsidRPr="000323A2">
        <w:rPr>
          <w:rFonts w:ascii="Arial" w:eastAsia="Calibri" w:hAnsi="Arial" w:cs="Arial"/>
          <w:b/>
          <w:lang w:eastAsia="es-ES"/>
        </w:rPr>
        <w:tab/>
      </w:r>
    </w:p>
    <w:p w14:paraId="155AA24B" w14:textId="77777777" w:rsidR="000323A2" w:rsidRPr="000323A2" w:rsidRDefault="000323A2" w:rsidP="000323A2">
      <w:pPr>
        <w:tabs>
          <w:tab w:val="center" w:pos="1814"/>
          <w:tab w:val="center" w:pos="5216"/>
          <w:tab w:val="center" w:pos="9214"/>
        </w:tabs>
        <w:spacing w:before="240" w:after="0" w:line="276" w:lineRule="auto"/>
        <w:jc w:val="both"/>
        <w:rPr>
          <w:rFonts w:ascii="Arial" w:eastAsia="Calibri" w:hAnsi="Arial" w:cs="Arial"/>
          <w:lang w:eastAsia="es-ES"/>
        </w:rPr>
      </w:pPr>
      <w:r w:rsidRPr="000323A2">
        <w:rPr>
          <w:rFonts w:ascii="Arial" w:eastAsia="Calibri" w:hAnsi="Arial" w:cs="Arial"/>
          <w:lang w:eastAsia="es-ES"/>
        </w:rPr>
        <w:t>La operación y mantenimiento de los Servicios, será responsabilidad de Telmex a partir de la fecha de la firma del Acta de Recepción del servicio, fecha que será considerada en este documento para el inicio de la facturación correspondiente.</w:t>
      </w:r>
    </w:p>
    <w:p w14:paraId="5110DD01" w14:textId="77777777" w:rsidR="000323A2" w:rsidRPr="000323A2" w:rsidRDefault="000323A2" w:rsidP="000323A2">
      <w:pPr>
        <w:tabs>
          <w:tab w:val="center" w:pos="1814"/>
          <w:tab w:val="center" w:pos="5216"/>
          <w:tab w:val="center" w:pos="9214"/>
        </w:tabs>
        <w:spacing w:before="240" w:after="0" w:line="276" w:lineRule="auto"/>
        <w:jc w:val="both"/>
        <w:rPr>
          <w:rFonts w:ascii="Arial" w:eastAsia="Calibri" w:hAnsi="Arial" w:cs="Arial"/>
          <w:lang w:eastAsia="es-ES"/>
        </w:rPr>
      </w:pPr>
      <w:r w:rsidRPr="000323A2">
        <w:rPr>
          <w:rFonts w:ascii="Arial" w:eastAsia="Calibri" w:hAnsi="Arial" w:cs="Arial"/>
          <w:lang w:eastAsia="es-ES"/>
        </w:rPr>
        <w:t xml:space="preserve">Los reportes de afectaciones que pudieran ocurrir en la prestación del Servicio Mayorista de Arrendamiento de Enlaces Dedicados podrán presentarse mediante el Sistema Electrónico de Gestión o a través de llamada telefónica al Centro de Atención a Operadores </w:t>
      </w:r>
      <w:r w:rsidRPr="000323A2">
        <w:rPr>
          <w:rFonts w:ascii="Arial" w:eastAsia="Calibri" w:hAnsi="Arial" w:cs="Arial"/>
          <w:szCs w:val="20"/>
          <w:lang w:eastAsia="es-ES"/>
        </w:rPr>
        <w:t>Telmex</w:t>
      </w:r>
      <w:r w:rsidRPr="000323A2">
        <w:rPr>
          <w:rFonts w:ascii="Arial" w:eastAsia="Calibri" w:hAnsi="Arial" w:cs="Arial"/>
          <w:b/>
          <w:lang w:eastAsia="es-ES"/>
        </w:rPr>
        <w:t xml:space="preserve"> </w:t>
      </w:r>
      <w:r w:rsidRPr="000323A2">
        <w:rPr>
          <w:rFonts w:ascii="Arial" w:eastAsia="Calibri" w:hAnsi="Arial" w:cs="Arial"/>
          <w:lang w:eastAsia="es-ES"/>
        </w:rPr>
        <w:t>(018007134100), dichos canales se mantendrán operando las 24 (veinticuatro) horas del día, los 7 (siete) días de la semana.</w:t>
      </w:r>
    </w:p>
    <w:p w14:paraId="0EFB4D54" w14:textId="77777777" w:rsidR="000323A2" w:rsidRPr="000323A2" w:rsidRDefault="000323A2" w:rsidP="000323A2">
      <w:pPr>
        <w:numPr>
          <w:ilvl w:val="12"/>
          <w:numId w:val="0"/>
        </w:numPr>
        <w:spacing w:before="240" w:after="0" w:line="276" w:lineRule="auto"/>
        <w:jc w:val="both"/>
        <w:rPr>
          <w:rFonts w:ascii="Arial" w:eastAsia="Calibri" w:hAnsi="Arial" w:cs="Arial"/>
          <w:lang w:eastAsia="es-ES"/>
        </w:rPr>
      </w:pPr>
      <w:r w:rsidRPr="000323A2">
        <w:rPr>
          <w:rFonts w:ascii="Arial" w:eastAsia="Calibri" w:hAnsi="Arial" w:cs="Arial"/>
          <w:lang w:eastAsia="es-ES"/>
        </w:rPr>
        <w:t>En relación con las afectaciones que pudieran ocurrir con el</w:t>
      </w:r>
      <w:r w:rsidRPr="000323A2">
        <w:rPr>
          <w:rFonts w:ascii="Arial" w:eastAsia="Calibri" w:hAnsi="Arial" w:cs="Arial"/>
          <w:lang w:val="es-ES" w:eastAsia="es-ES"/>
        </w:rPr>
        <w:t xml:space="preserve"> Servicio de Arrendamiento de Enlaces Dedicados</w:t>
      </w:r>
      <w:r w:rsidRPr="000323A2">
        <w:rPr>
          <w:rFonts w:ascii="Arial" w:eastAsia="Calibri" w:hAnsi="Arial" w:cs="Arial"/>
          <w:lang w:eastAsia="es-ES"/>
        </w:rPr>
        <w:t>, Telmex se compromete a solucionarlas considerando su ubicación y gravedad, a partir de la debida y formal notificación a Telmex de las mismas, de conformidad con los siguientes plazos:</w:t>
      </w:r>
    </w:p>
    <w:p w14:paraId="59D23A73" w14:textId="77777777" w:rsidR="000323A2" w:rsidRPr="000323A2" w:rsidRDefault="000323A2" w:rsidP="000323A2">
      <w:pPr>
        <w:numPr>
          <w:ilvl w:val="12"/>
          <w:numId w:val="0"/>
        </w:numPr>
        <w:spacing w:before="240" w:after="0" w:line="276" w:lineRule="auto"/>
        <w:jc w:val="center"/>
        <w:rPr>
          <w:rFonts w:ascii="Arial" w:eastAsia="Calibri" w:hAnsi="Arial" w:cs="Arial"/>
          <w:lang w:eastAsia="es-ES"/>
        </w:rPr>
      </w:pPr>
      <w:r w:rsidRPr="000323A2">
        <w:rPr>
          <w:rFonts w:ascii="Arial" w:eastAsia="Calibri" w:hAnsi="Arial" w:cs="Arial"/>
          <w:b/>
          <w:bCs/>
          <w:sz w:val="20"/>
          <w:szCs w:val="20"/>
          <w:lang w:val="es-ES" w:eastAsia="es-ES"/>
        </w:rPr>
        <w:t>Plazos máximos</w:t>
      </w:r>
    </w:p>
    <w:tbl>
      <w:tblPr>
        <w:tblStyle w:val="Cuadrculadetablaclara1"/>
        <w:tblW w:w="0" w:type="auto"/>
        <w:jc w:val="center"/>
        <w:tblLook w:val="00A0" w:firstRow="1" w:lastRow="0" w:firstColumn="1" w:lastColumn="0" w:noHBand="0" w:noVBand="0"/>
        <w:tblCaption w:val="Tabla"/>
        <w:tblDescription w:val="Plazos máximos"/>
      </w:tblPr>
      <w:tblGrid>
        <w:gridCol w:w="2084"/>
        <w:gridCol w:w="2135"/>
      </w:tblGrid>
      <w:tr w:rsidR="000323A2" w:rsidRPr="000323A2" w14:paraId="02FD4386" w14:textId="77777777" w:rsidTr="000323A2">
        <w:trPr>
          <w:tblHeader/>
          <w:jc w:val="center"/>
        </w:trPr>
        <w:tc>
          <w:tcPr>
            <w:tcW w:w="2084" w:type="dxa"/>
            <w:shd w:val="clear" w:color="auto" w:fill="D9D9D9"/>
          </w:tcPr>
          <w:p w14:paraId="71192AB0" w14:textId="77777777" w:rsidR="000323A2" w:rsidRPr="000323A2" w:rsidRDefault="000323A2" w:rsidP="008367DF">
            <w:pPr>
              <w:autoSpaceDE w:val="0"/>
              <w:autoSpaceDN w:val="0"/>
              <w:adjustRightInd w:val="0"/>
              <w:spacing w:line="276" w:lineRule="auto"/>
              <w:jc w:val="center"/>
              <w:rPr>
                <w:rFonts w:ascii="Arial" w:hAnsi="Arial" w:cs="Arial"/>
                <w:b/>
                <w:sz w:val="20"/>
                <w:szCs w:val="20"/>
                <w:lang w:val="es-ES" w:eastAsia="es-ES"/>
              </w:rPr>
            </w:pPr>
            <w:r w:rsidRPr="000323A2">
              <w:rPr>
                <w:rFonts w:ascii="Arial" w:hAnsi="Arial" w:cs="Arial"/>
                <w:b/>
                <w:sz w:val="20"/>
                <w:szCs w:val="20"/>
                <w:lang w:val="es-ES" w:eastAsia="es-ES"/>
              </w:rPr>
              <w:t>Tipo de incidencia</w:t>
            </w:r>
          </w:p>
        </w:tc>
        <w:tc>
          <w:tcPr>
            <w:tcW w:w="2135" w:type="dxa"/>
            <w:shd w:val="clear" w:color="auto" w:fill="D9D9D9"/>
          </w:tcPr>
          <w:p w14:paraId="6D8784C4" w14:textId="77777777" w:rsidR="000323A2" w:rsidRPr="000323A2" w:rsidRDefault="000323A2" w:rsidP="008367DF">
            <w:pPr>
              <w:autoSpaceDE w:val="0"/>
              <w:autoSpaceDN w:val="0"/>
              <w:adjustRightInd w:val="0"/>
              <w:spacing w:line="276" w:lineRule="auto"/>
              <w:jc w:val="center"/>
              <w:rPr>
                <w:rFonts w:ascii="Arial" w:hAnsi="Arial" w:cs="Arial"/>
                <w:sz w:val="20"/>
                <w:szCs w:val="20"/>
                <w:lang w:val="es-ES" w:eastAsia="es-ES"/>
              </w:rPr>
            </w:pPr>
            <w:r w:rsidRPr="000323A2">
              <w:rPr>
                <w:rFonts w:ascii="Arial" w:hAnsi="Arial" w:cs="Arial"/>
                <w:b/>
                <w:bCs/>
                <w:sz w:val="20"/>
                <w:szCs w:val="20"/>
                <w:lang w:val="es-ES" w:eastAsia="es-ES"/>
              </w:rPr>
              <w:t>Enlaces locales, entre Localidades y larga distancia internacional</w:t>
            </w:r>
          </w:p>
        </w:tc>
      </w:tr>
      <w:tr w:rsidR="000323A2" w:rsidRPr="000323A2" w14:paraId="2015328A" w14:textId="77777777" w:rsidTr="000323A2">
        <w:trPr>
          <w:tblHeader/>
          <w:jc w:val="center"/>
        </w:trPr>
        <w:tc>
          <w:tcPr>
            <w:tcW w:w="2084" w:type="dxa"/>
          </w:tcPr>
          <w:p w14:paraId="491429F2" w14:textId="77777777" w:rsidR="000323A2" w:rsidRPr="000323A2" w:rsidRDefault="000323A2" w:rsidP="008367DF">
            <w:pPr>
              <w:autoSpaceDE w:val="0"/>
              <w:autoSpaceDN w:val="0"/>
              <w:adjustRightInd w:val="0"/>
              <w:spacing w:line="276" w:lineRule="auto"/>
              <w:jc w:val="center"/>
              <w:rPr>
                <w:rFonts w:ascii="Arial" w:hAnsi="Arial" w:cs="Arial"/>
                <w:sz w:val="20"/>
                <w:szCs w:val="20"/>
                <w:lang w:val="es-ES" w:eastAsia="es-ES"/>
              </w:rPr>
            </w:pPr>
            <w:r w:rsidRPr="000323A2">
              <w:rPr>
                <w:rFonts w:ascii="Arial" w:hAnsi="Arial" w:cs="Arial"/>
                <w:sz w:val="20"/>
                <w:szCs w:val="20"/>
                <w:lang w:val="es-ES" w:eastAsia="es-ES"/>
              </w:rPr>
              <w:t>Prioridad 1</w:t>
            </w:r>
          </w:p>
        </w:tc>
        <w:tc>
          <w:tcPr>
            <w:tcW w:w="2135" w:type="dxa"/>
          </w:tcPr>
          <w:p w14:paraId="259A0096" w14:textId="77777777" w:rsidR="000323A2" w:rsidRPr="000323A2" w:rsidRDefault="000323A2" w:rsidP="008367DF">
            <w:pPr>
              <w:spacing w:line="276" w:lineRule="auto"/>
              <w:jc w:val="center"/>
              <w:rPr>
                <w:rFonts w:ascii="Arial" w:hAnsi="Arial" w:cs="Arial"/>
                <w:sz w:val="20"/>
                <w:szCs w:val="20"/>
                <w:lang w:val="es-ES" w:eastAsia="es-ES"/>
              </w:rPr>
            </w:pPr>
            <w:r w:rsidRPr="000323A2">
              <w:rPr>
                <w:rFonts w:ascii="Arial" w:hAnsi="Arial" w:cs="Arial"/>
                <w:bCs/>
                <w:sz w:val="20"/>
                <w:szCs w:val="20"/>
                <w:lang w:eastAsia="es-ES"/>
              </w:rPr>
              <w:t>4 horas</w:t>
            </w:r>
          </w:p>
        </w:tc>
      </w:tr>
      <w:tr w:rsidR="000323A2" w:rsidRPr="000323A2" w14:paraId="4F17FDD0" w14:textId="77777777" w:rsidTr="000323A2">
        <w:trPr>
          <w:tblHeader/>
          <w:jc w:val="center"/>
        </w:trPr>
        <w:tc>
          <w:tcPr>
            <w:tcW w:w="2084" w:type="dxa"/>
          </w:tcPr>
          <w:p w14:paraId="6840ACE0" w14:textId="77777777" w:rsidR="000323A2" w:rsidRPr="000323A2" w:rsidRDefault="000323A2" w:rsidP="008367DF">
            <w:pPr>
              <w:autoSpaceDE w:val="0"/>
              <w:autoSpaceDN w:val="0"/>
              <w:adjustRightInd w:val="0"/>
              <w:spacing w:line="276" w:lineRule="auto"/>
              <w:jc w:val="center"/>
              <w:rPr>
                <w:rFonts w:ascii="Arial" w:hAnsi="Arial" w:cs="Arial"/>
                <w:sz w:val="20"/>
                <w:szCs w:val="20"/>
                <w:lang w:val="es-ES" w:eastAsia="es-ES"/>
              </w:rPr>
            </w:pPr>
            <w:r w:rsidRPr="000323A2">
              <w:rPr>
                <w:rFonts w:ascii="Arial" w:hAnsi="Arial" w:cs="Arial"/>
                <w:sz w:val="20"/>
                <w:szCs w:val="20"/>
                <w:lang w:val="es-ES" w:eastAsia="es-ES"/>
              </w:rPr>
              <w:t>Prioridad 2</w:t>
            </w:r>
          </w:p>
        </w:tc>
        <w:tc>
          <w:tcPr>
            <w:tcW w:w="2135" w:type="dxa"/>
          </w:tcPr>
          <w:p w14:paraId="1434F7ED" w14:textId="77777777" w:rsidR="000323A2" w:rsidRPr="000323A2" w:rsidRDefault="000323A2" w:rsidP="008367DF">
            <w:pPr>
              <w:spacing w:line="276" w:lineRule="auto"/>
              <w:jc w:val="center"/>
              <w:rPr>
                <w:rFonts w:ascii="Arial" w:hAnsi="Arial" w:cs="Arial"/>
                <w:sz w:val="20"/>
                <w:szCs w:val="20"/>
                <w:lang w:val="es-ES" w:eastAsia="es-ES"/>
              </w:rPr>
            </w:pPr>
            <w:r w:rsidRPr="000323A2">
              <w:rPr>
                <w:rFonts w:ascii="Arial" w:hAnsi="Arial" w:cs="Arial"/>
                <w:bCs/>
                <w:sz w:val="20"/>
                <w:szCs w:val="20"/>
                <w:lang w:eastAsia="es-ES"/>
              </w:rPr>
              <w:t>8 horas</w:t>
            </w:r>
          </w:p>
        </w:tc>
      </w:tr>
      <w:tr w:rsidR="000323A2" w:rsidRPr="000323A2" w14:paraId="5907CEE3" w14:textId="77777777" w:rsidTr="000323A2">
        <w:trPr>
          <w:tblHeader/>
          <w:jc w:val="center"/>
        </w:trPr>
        <w:tc>
          <w:tcPr>
            <w:tcW w:w="2084" w:type="dxa"/>
          </w:tcPr>
          <w:p w14:paraId="6670EFAC" w14:textId="77777777" w:rsidR="000323A2" w:rsidRPr="000323A2" w:rsidRDefault="000323A2" w:rsidP="008367DF">
            <w:pPr>
              <w:autoSpaceDE w:val="0"/>
              <w:autoSpaceDN w:val="0"/>
              <w:adjustRightInd w:val="0"/>
              <w:spacing w:line="276" w:lineRule="auto"/>
              <w:jc w:val="center"/>
              <w:rPr>
                <w:rFonts w:ascii="Arial" w:hAnsi="Arial" w:cs="Arial"/>
                <w:sz w:val="20"/>
                <w:szCs w:val="20"/>
                <w:lang w:val="es-ES" w:eastAsia="es-ES"/>
              </w:rPr>
            </w:pPr>
            <w:r w:rsidRPr="000323A2">
              <w:rPr>
                <w:rFonts w:ascii="Arial" w:hAnsi="Arial" w:cs="Arial"/>
                <w:sz w:val="20"/>
                <w:szCs w:val="20"/>
                <w:lang w:val="es-ES" w:eastAsia="es-ES"/>
              </w:rPr>
              <w:t>Prioridad 3</w:t>
            </w:r>
          </w:p>
        </w:tc>
        <w:tc>
          <w:tcPr>
            <w:tcW w:w="2135" w:type="dxa"/>
          </w:tcPr>
          <w:p w14:paraId="15A794E5" w14:textId="77777777" w:rsidR="000323A2" w:rsidRPr="000323A2" w:rsidRDefault="000323A2" w:rsidP="008367DF">
            <w:pPr>
              <w:spacing w:line="276" w:lineRule="auto"/>
              <w:jc w:val="center"/>
              <w:rPr>
                <w:rFonts w:ascii="Arial" w:hAnsi="Arial" w:cs="Arial"/>
                <w:sz w:val="20"/>
                <w:szCs w:val="20"/>
                <w:lang w:val="es-ES" w:eastAsia="es-ES"/>
              </w:rPr>
            </w:pPr>
            <w:r w:rsidRPr="000323A2">
              <w:rPr>
                <w:rFonts w:ascii="Arial" w:hAnsi="Arial" w:cs="Arial"/>
                <w:bCs/>
                <w:sz w:val="20"/>
                <w:szCs w:val="20"/>
                <w:lang w:eastAsia="es-ES"/>
              </w:rPr>
              <w:t>10 horas</w:t>
            </w:r>
          </w:p>
        </w:tc>
      </w:tr>
    </w:tbl>
    <w:p w14:paraId="4B80AF0F" w14:textId="77777777" w:rsidR="000323A2" w:rsidRPr="000323A2" w:rsidRDefault="000323A2" w:rsidP="000323A2">
      <w:pPr>
        <w:autoSpaceDE w:val="0"/>
        <w:autoSpaceDN w:val="0"/>
        <w:spacing w:before="240" w:after="0" w:line="276" w:lineRule="auto"/>
        <w:jc w:val="both"/>
        <w:rPr>
          <w:rFonts w:ascii="Arial" w:eastAsia="Calibri" w:hAnsi="Arial" w:cs="Arial"/>
          <w:lang w:eastAsia="es-ES"/>
        </w:rPr>
      </w:pPr>
      <w:r w:rsidRPr="000323A2">
        <w:rPr>
          <w:rFonts w:ascii="Arial" w:eastAsia="Calibri" w:hAnsi="Arial" w:cs="Arial"/>
          <w:lang w:eastAsia="es-ES"/>
        </w:rPr>
        <w:lastRenderedPageBreak/>
        <w:t>El alcance de cada Prioridad se enuncia a continuación:</w:t>
      </w:r>
    </w:p>
    <w:p w14:paraId="22C8BFC6" w14:textId="77777777" w:rsidR="000323A2" w:rsidRPr="000323A2" w:rsidRDefault="000323A2" w:rsidP="000323A2">
      <w:pPr>
        <w:autoSpaceDE w:val="0"/>
        <w:autoSpaceDN w:val="0"/>
        <w:spacing w:before="240" w:after="0" w:line="276" w:lineRule="auto"/>
        <w:jc w:val="both"/>
        <w:rPr>
          <w:rFonts w:ascii="Arial" w:eastAsia="Calibri" w:hAnsi="Arial" w:cs="Arial"/>
          <w:lang w:eastAsia="es-ES"/>
        </w:rPr>
      </w:pPr>
      <w:r w:rsidRPr="000323A2">
        <w:rPr>
          <w:rFonts w:ascii="Arial" w:eastAsia="Calibri" w:hAnsi="Arial" w:cs="Arial"/>
          <w:lang w:eastAsia="es-ES"/>
        </w:rPr>
        <w:t>Prioridad 1: Se considerarán con tal carácter a las que consistan en lo siguiente:</w:t>
      </w:r>
    </w:p>
    <w:p w14:paraId="0A71C2EF" w14:textId="77777777" w:rsidR="000323A2" w:rsidRPr="000323A2" w:rsidRDefault="000323A2" w:rsidP="00B04B36">
      <w:pPr>
        <w:numPr>
          <w:ilvl w:val="0"/>
          <w:numId w:val="14"/>
        </w:numPr>
        <w:autoSpaceDE w:val="0"/>
        <w:autoSpaceDN w:val="0"/>
        <w:spacing w:before="240" w:after="0" w:line="276" w:lineRule="auto"/>
        <w:jc w:val="both"/>
        <w:rPr>
          <w:rFonts w:ascii="Arial" w:eastAsia="Calibri" w:hAnsi="Arial" w:cs="Arial"/>
          <w:lang w:eastAsia="es-ES"/>
        </w:rPr>
      </w:pPr>
      <w:r w:rsidRPr="000323A2">
        <w:rPr>
          <w:rFonts w:ascii="Arial" w:eastAsia="Calibri" w:hAnsi="Arial" w:cs="Arial"/>
          <w:lang w:eastAsia="es-ES"/>
        </w:rPr>
        <w:t>Corte permanente de circuito sin redundancia.</w:t>
      </w:r>
    </w:p>
    <w:p w14:paraId="4950008C" w14:textId="77777777" w:rsidR="000323A2" w:rsidRPr="000323A2" w:rsidRDefault="000323A2" w:rsidP="00B04B36">
      <w:pPr>
        <w:numPr>
          <w:ilvl w:val="0"/>
          <w:numId w:val="14"/>
        </w:numPr>
        <w:autoSpaceDE w:val="0"/>
        <w:autoSpaceDN w:val="0"/>
        <w:spacing w:after="0" w:line="276" w:lineRule="auto"/>
        <w:jc w:val="both"/>
        <w:rPr>
          <w:rFonts w:ascii="Arial" w:eastAsia="Calibri" w:hAnsi="Arial" w:cs="Arial"/>
          <w:lang w:eastAsia="es-ES"/>
        </w:rPr>
      </w:pPr>
      <w:r w:rsidRPr="000323A2">
        <w:rPr>
          <w:rFonts w:ascii="Arial" w:eastAsia="Calibri" w:hAnsi="Arial" w:cs="Arial"/>
          <w:lang w:eastAsia="es-ES"/>
        </w:rPr>
        <w:t>Cortes intermitentes o errores en circuito sin redundancia</w:t>
      </w:r>
    </w:p>
    <w:p w14:paraId="1D31DDC4" w14:textId="77777777" w:rsidR="000323A2" w:rsidRPr="000323A2" w:rsidRDefault="000323A2" w:rsidP="00B04B36">
      <w:pPr>
        <w:numPr>
          <w:ilvl w:val="0"/>
          <w:numId w:val="14"/>
        </w:numPr>
        <w:autoSpaceDE w:val="0"/>
        <w:autoSpaceDN w:val="0"/>
        <w:spacing w:after="0" w:line="276" w:lineRule="auto"/>
        <w:jc w:val="both"/>
        <w:rPr>
          <w:rFonts w:ascii="Arial" w:eastAsia="Calibri" w:hAnsi="Arial" w:cs="Arial"/>
          <w:lang w:eastAsia="es-ES"/>
        </w:rPr>
      </w:pPr>
      <w:r w:rsidRPr="000323A2">
        <w:rPr>
          <w:rFonts w:ascii="Arial" w:eastAsia="Calibri" w:hAnsi="Arial" w:cs="Arial"/>
          <w:lang w:eastAsia="es-ES"/>
        </w:rPr>
        <w:t>Degradación total del servicio.</w:t>
      </w:r>
    </w:p>
    <w:p w14:paraId="1D15790E" w14:textId="77777777" w:rsidR="000323A2" w:rsidRPr="000323A2" w:rsidRDefault="000323A2" w:rsidP="000323A2">
      <w:pPr>
        <w:autoSpaceDE w:val="0"/>
        <w:autoSpaceDN w:val="0"/>
        <w:spacing w:before="240" w:after="0" w:line="276" w:lineRule="auto"/>
        <w:jc w:val="both"/>
        <w:rPr>
          <w:rFonts w:ascii="Arial" w:eastAsia="Calibri" w:hAnsi="Arial" w:cs="Arial"/>
          <w:lang w:eastAsia="es-ES"/>
        </w:rPr>
      </w:pPr>
      <w:r w:rsidRPr="000323A2">
        <w:rPr>
          <w:rFonts w:ascii="Arial" w:eastAsia="Calibri" w:hAnsi="Arial" w:cs="Arial"/>
          <w:lang w:eastAsia="es-ES"/>
        </w:rPr>
        <w:t>Prioridad 2: Se considerarán con tal carácter a las que consistan de lo siguiente:</w:t>
      </w:r>
    </w:p>
    <w:p w14:paraId="5BD1C130" w14:textId="77777777" w:rsidR="000323A2" w:rsidRPr="000323A2" w:rsidRDefault="000323A2" w:rsidP="00B04B36">
      <w:pPr>
        <w:numPr>
          <w:ilvl w:val="0"/>
          <w:numId w:val="15"/>
        </w:numPr>
        <w:autoSpaceDE w:val="0"/>
        <w:autoSpaceDN w:val="0"/>
        <w:spacing w:before="240" w:after="0" w:line="276" w:lineRule="auto"/>
        <w:jc w:val="both"/>
        <w:rPr>
          <w:rFonts w:ascii="Arial" w:eastAsia="Calibri" w:hAnsi="Arial" w:cs="Arial"/>
          <w:lang w:eastAsia="es-ES"/>
        </w:rPr>
      </w:pPr>
      <w:r w:rsidRPr="000323A2">
        <w:rPr>
          <w:rFonts w:ascii="Arial" w:eastAsia="Calibri" w:hAnsi="Arial" w:cs="Arial"/>
          <w:lang w:eastAsia="es-ES"/>
        </w:rPr>
        <w:t>Cortes intermitentes o errores en circuito sin redundancia no suponiendo incomunicación sino degradación del servicio.</w:t>
      </w:r>
    </w:p>
    <w:p w14:paraId="18ED23A2" w14:textId="77777777" w:rsidR="000323A2" w:rsidRPr="000323A2" w:rsidRDefault="000323A2" w:rsidP="00B04B36">
      <w:pPr>
        <w:numPr>
          <w:ilvl w:val="0"/>
          <w:numId w:val="15"/>
        </w:numPr>
        <w:autoSpaceDE w:val="0"/>
        <w:autoSpaceDN w:val="0"/>
        <w:spacing w:after="0" w:line="276" w:lineRule="auto"/>
        <w:jc w:val="both"/>
        <w:rPr>
          <w:rFonts w:ascii="Arial" w:eastAsia="Calibri" w:hAnsi="Arial" w:cs="Arial"/>
          <w:lang w:eastAsia="es-ES"/>
        </w:rPr>
      </w:pPr>
      <w:r w:rsidRPr="000323A2">
        <w:rPr>
          <w:rFonts w:ascii="Arial" w:eastAsia="Calibri" w:hAnsi="Arial" w:cs="Arial"/>
          <w:lang w:eastAsia="es-ES"/>
        </w:rPr>
        <w:t xml:space="preserve">Corte permanente de circuito con redundancia, </w:t>
      </w:r>
      <w:r w:rsidRPr="000323A2">
        <w:rPr>
          <w:rFonts w:ascii="Arial" w:eastAsia="Calibri" w:hAnsi="Arial" w:cs="Arial"/>
          <w:sz w:val="24"/>
          <w:szCs w:val="24"/>
        </w:rPr>
        <w:t>en caso de que la redundancia se encuentre operando sin afectación. En este sentido, si un circuito tiene afectadas ambas rutas, principal y redundancia, se considera Prioridad 1.</w:t>
      </w:r>
      <w:r w:rsidRPr="000323A2">
        <w:rPr>
          <w:rFonts w:ascii="Arial" w:eastAsia="Calibri" w:hAnsi="Arial" w:cs="Arial"/>
          <w:lang w:eastAsia="es-ES"/>
        </w:rPr>
        <w:t xml:space="preserve"> </w:t>
      </w:r>
    </w:p>
    <w:p w14:paraId="5C7CC57B" w14:textId="77777777" w:rsidR="000323A2" w:rsidRPr="000323A2" w:rsidRDefault="000323A2" w:rsidP="000323A2">
      <w:pPr>
        <w:autoSpaceDE w:val="0"/>
        <w:autoSpaceDN w:val="0"/>
        <w:spacing w:before="240" w:after="0" w:line="276" w:lineRule="auto"/>
        <w:jc w:val="both"/>
        <w:rPr>
          <w:rFonts w:ascii="Arial" w:eastAsia="Calibri" w:hAnsi="Arial" w:cs="Arial"/>
          <w:lang w:eastAsia="es-ES"/>
        </w:rPr>
      </w:pPr>
      <w:r w:rsidRPr="000323A2">
        <w:rPr>
          <w:rFonts w:ascii="Arial" w:eastAsia="Calibri" w:hAnsi="Arial" w:cs="Arial"/>
          <w:lang w:eastAsia="es-ES"/>
        </w:rPr>
        <w:t>Prioridad 3: Se considerarán con tal carácter a las que consistan en lo siguiente:</w:t>
      </w:r>
    </w:p>
    <w:p w14:paraId="39B0F266" w14:textId="77777777" w:rsidR="000323A2" w:rsidRPr="000323A2" w:rsidRDefault="000323A2" w:rsidP="00B04B36">
      <w:pPr>
        <w:numPr>
          <w:ilvl w:val="0"/>
          <w:numId w:val="54"/>
        </w:numPr>
        <w:autoSpaceDE w:val="0"/>
        <w:autoSpaceDN w:val="0"/>
        <w:adjustRightInd w:val="0"/>
        <w:spacing w:before="240" w:after="0" w:line="276" w:lineRule="auto"/>
        <w:contextualSpacing/>
        <w:jc w:val="both"/>
        <w:rPr>
          <w:rFonts w:ascii="Arial" w:eastAsia="Calibri" w:hAnsi="Arial" w:cs="Arial"/>
        </w:rPr>
      </w:pPr>
      <w:r w:rsidRPr="000323A2">
        <w:rPr>
          <w:rFonts w:ascii="Arial" w:eastAsia="Calibri" w:hAnsi="Arial" w:cs="Arial"/>
        </w:rPr>
        <w:t xml:space="preserve">Mal funcionamiento sin afectación del servicio en el circuito de cliente final sin redundancia </w:t>
      </w:r>
    </w:p>
    <w:p w14:paraId="5450106A" w14:textId="77777777" w:rsidR="000323A2" w:rsidRPr="000323A2" w:rsidRDefault="000323A2" w:rsidP="00B04B36">
      <w:pPr>
        <w:numPr>
          <w:ilvl w:val="0"/>
          <w:numId w:val="54"/>
        </w:numPr>
        <w:autoSpaceDE w:val="0"/>
        <w:autoSpaceDN w:val="0"/>
        <w:adjustRightInd w:val="0"/>
        <w:spacing w:before="240" w:after="0" w:line="276" w:lineRule="auto"/>
        <w:contextualSpacing/>
        <w:jc w:val="both"/>
        <w:rPr>
          <w:rFonts w:ascii="Arial" w:eastAsia="Calibri" w:hAnsi="Arial" w:cs="Arial"/>
        </w:rPr>
      </w:pPr>
      <w:r w:rsidRPr="000323A2">
        <w:rPr>
          <w:rFonts w:ascii="Arial" w:eastAsia="Calibri" w:hAnsi="Arial" w:cs="Arial"/>
        </w:rPr>
        <w:t>Otros que afecten la calidad del servicio.</w:t>
      </w:r>
    </w:p>
    <w:p w14:paraId="1E9298CA" w14:textId="77777777" w:rsidR="000323A2" w:rsidRPr="000323A2" w:rsidRDefault="000323A2" w:rsidP="00B04B36">
      <w:pPr>
        <w:numPr>
          <w:ilvl w:val="0"/>
          <w:numId w:val="54"/>
        </w:numPr>
        <w:autoSpaceDE w:val="0"/>
        <w:autoSpaceDN w:val="0"/>
        <w:adjustRightInd w:val="0"/>
        <w:spacing w:before="240" w:after="0" w:line="276" w:lineRule="auto"/>
        <w:contextualSpacing/>
        <w:jc w:val="both"/>
        <w:rPr>
          <w:rFonts w:ascii="Arial" w:eastAsia="Calibri" w:hAnsi="Arial" w:cs="Arial"/>
        </w:rPr>
      </w:pPr>
      <w:r w:rsidRPr="000323A2">
        <w:rPr>
          <w:rFonts w:ascii="Arial" w:eastAsia="Calibri" w:hAnsi="Arial" w:cs="Arial"/>
        </w:rPr>
        <w:t>Pruebas solicitadas por el Concesionario Solicitante o Autorizado Solicitante en ventanas de mantenimiento</w:t>
      </w:r>
    </w:p>
    <w:p w14:paraId="78FC2E88" w14:textId="77777777" w:rsidR="000323A2" w:rsidRPr="000323A2" w:rsidRDefault="000323A2" w:rsidP="000323A2">
      <w:pPr>
        <w:spacing w:before="240" w:after="0" w:line="276" w:lineRule="auto"/>
        <w:jc w:val="both"/>
        <w:rPr>
          <w:rFonts w:ascii="Arial" w:eastAsia="Calibri" w:hAnsi="Arial" w:cs="Arial"/>
          <w:lang w:eastAsia="es-ES"/>
        </w:rPr>
      </w:pPr>
      <w:r w:rsidRPr="000323A2">
        <w:rPr>
          <w:rFonts w:ascii="Arial" w:eastAsia="Calibri" w:hAnsi="Arial" w:cs="Arial"/>
          <w:szCs w:val="20"/>
          <w:lang w:eastAsia="es-ES"/>
        </w:rPr>
        <w:t xml:space="preserve">En caso de que ocurra alguno de los eventos que se listan a continuación, y una vez que Telmex haya demostrado fehacientemente el hecho del que se trate, no se tomará en cuenta su tiempo de duración para </w:t>
      </w:r>
      <w:r w:rsidRPr="000323A2">
        <w:rPr>
          <w:rFonts w:ascii="Arial" w:eastAsia="Calibri" w:hAnsi="Arial" w:cs="Arial"/>
          <w:lang w:eastAsia="es-ES"/>
        </w:rPr>
        <w:t xml:space="preserve">la medición de </w:t>
      </w:r>
      <w:r w:rsidRPr="000323A2">
        <w:rPr>
          <w:rFonts w:ascii="Arial" w:eastAsia="Calibri" w:hAnsi="Arial" w:cs="Arial"/>
          <w:szCs w:val="20"/>
          <w:lang w:eastAsia="es-ES"/>
        </w:rPr>
        <w:t xml:space="preserve">los </w:t>
      </w:r>
      <w:r w:rsidRPr="000323A2">
        <w:rPr>
          <w:rFonts w:ascii="Arial" w:eastAsia="Calibri" w:hAnsi="Arial" w:cs="Arial"/>
          <w:lang w:eastAsia="es-ES"/>
        </w:rPr>
        <w:t>tiempos</w:t>
      </w:r>
      <w:r w:rsidRPr="000323A2">
        <w:rPr>
          <w:rFonts w:ascii="Arial" w:eastAsia="Calibri" w:hAnsi="Arial" w:cs="Arial"/>
          <w:szCs w:val="20"/>
          <w:lang w:eastAsia="es-ES"/>
        </w:rPr>
        <w:t xml:space="preserve"> de reparación </w:t>
      </w:r>
      <w:r w:rsidRPr="000323A2">
        <w:rPr>
          <w:rFonts w:ascii="Arial" w:eastAsia="Calibri" w:hAnsi="Arial" w:cs="Arial"/>
          <w:lang w:eastAsia="es-ES"/>
        </w:rPr>
        <w:t>de cada una de las fallas y disponibilidad de los enlaces:</w:t>
      </w:r>
    </w:p>
    <w:p w14:paraId="7D921D99" w14:textId="77777777" w:rsidR="000323A2" w:rsidRPr="000323A2" w:rsidRDefault="000323A2" w:rsidP="000323A2">
      <w:pPr>
        <w:spacing w:before="240" w:after="0" w:line="276" w:lineRule="auto"/>
        <w:jc w:val="both"/>
        <w:rPr>
          <w:rFonts w:ascii="Arial" w:eastAsia="Calibri" w:hAnsi="Arial" w:cs="Arial"/>
          <w:lang w:eastAsia="es-ES"/>
        </w:rPr>
      </w:pPr>
      <w:r w:rsidRPr="000323A2">
        <w:rPr>
          <w:rFonts w:ascii="Arial" w:eastAsia="Calibri" w:hAnsi="Arial" w:cs="Arial"/>
          <w:szCs w:val="20"/>
          <w:lang w:eastAsia="es-ES"/>
        </w:rPr>
        <w:t>a) Cuando se requiera el traslado al sitio de la falla; dicho tiempo se manejará en función de la localidad y de conformidad con el Anexo “H” de la Oferta.</w:t>
      </w:r>
    </w:p>
    <w:p w14:paraId="69868312" w14:textId="77777777" w:rsidR="000323A2" w:rsidRPr="000323A2" w:rsidRDefault="000323A2" w:rsidP="000323A2">
      <w:pPr>
        <w:spacing w:before="240" w:after="0" w:line="276" w:lineRule="auto"/>
        <w:jc w:val="both"/>
        <w:rPr>
          <w:rFonts w:ascii="Arial" w:eastAsia="Calibri" w:hAnsi="Arial" w:cs="Arial"/>
          <w:lang w:eastAsia="es-ES"/>
        </w:rPr>
      </w:pPr>
      <w:r w:rsidRPr="000323A2">
        <w:rPr>
          <w:rFonts w:ascii="Arial" w:eastAsia="Calibri" w:hAnsi="Arial" w:cs="Arial"/>
          <w:lang w:eastAsia="es-ES"/>
        </w:rPr>
        <w:t>b) Causas de fuerza mayor y casos fortuitos no imputables a Telmex ni al Concesionario Solicitante o Autorizado Solicitante</w:t>
      </w:r>
    </w:p>
    <w:p w14:paraId="685F398E" w14:textId="77777777" w:rsidR="000323A2" w:rsidRPr="000323A2" w:rsidRDefault="000323A2" w:rsidP="00B04B36">
      <w:pPr>
        <w:numPr>
          <w:ilvl w:val="0"/>
          <w:numId w:val="12"/>
        </w:numPr>
        <w:tabs>
          <w:tab w:val="num" w:pos="720"/>
          <w:tab w:val="center" w:pos="1814"/>
          <w:tab w:val="center" w:pos="5216"/>
          <w:tab w:val="center" w:pos="9214"/>
        </w:tabs>
        <w:spacing w:before="240" w:after="0" w:line="276" w:lineRule="auto"/>
        <w:ind w:left="720"/>
        <w:jc w:val="both"/>
        <w:rPr>
          <w:rFonts w:ascii="Arial" w:eastAsia="Calibri" w:hAnsi="Arial" w:cs="Arial"/>
          <w:lang w:eastAsia="es-ES"/>
        </w:rPr>
      </w:pPr>
      <w:r w:rsidRPr="000323A2">
        <w:rPr>
          <w:rFonts w:ascii="Arial" w:eastAsia="Calibri" w:hAnsi="Arial" w:cs="Arial"/>
          <w:lang w:eastAsia="es-ES"/>
        </w:rPr>
        <w:t xml:space="preserve">Los </w:t>
      </w:r>
      <w:proofErr w:type="gramStart"/>
      <w:r w:rsidRPr="000323A2">
        <w:rPr>
          <w:rFonts w:ascii="Arial" w:eastAsia="Calibri" w:hAnsi="Arial" w:cs="Arial"/>
          <w:lang w:eastAsia="es-ES"/>
        </w:rPr>
        <w:t>que</w:t>
      </w:r>
      <w:proofErr w:type="gramEnd"/>
      <w:r w:rsidRPr="000323A2">
        <w:rPr>
          <w:rFonts w:ascii="Arial" w:eastAsia="Calibri" w:hAnsi="Arial" w:cs="Arial"/>
          <w:lang w:eastAsia="es-ES"/>
        </w:rPr>
        <w:t xml:space="preserve"> de manera enunciativa mas no limitativa, pueden consistir en: inundaciones, guerras, huracanes, incendios, huelgas, sismos, terremotos y condiciones climatológicas adversas que retrasen los trabajos de reparación.</w:t>
      </w:r>
    </w:p>
    <w:p w14:paraId="282FEBA2" w14:textId="77777777" w:rsidR="000323A2" w:rsidRPr="000323A2" w:rsidRDefault="000323A2" w:rsidP="000323A2">
      <w:pPr>
        <w:spacing w:before="240" w:after="0" w:line="276" w:lineRule="auto"/>
        <w:jc w:val="both"/>
        <w:rPr>
          <w:rFonts w:ascii="Arial" w:eastAsia="Calibri" w:hAnsi="Arial" w:cs="Arial"/>
          <w:lang w:eastAsia="es-ES"/>
        </w:rPr>
      </w:pPr>
      <w:r w:rsidRPr="000323A2">
        <w:rPr>
          <w:rFonts w:ascii="Arial" w:eastAsia="Calibri" w:hAnsi="Arial" w:cs="Arial"/>
          <w:lang w:eastAsia="es-ES"/>
        </w:rPr>
        <w:t>c) Causas imputables al Concesionario Solicitante o Autorizado Solicitante o su cliente final, las que, de manera enunciativa más no limitativa, pueden consistir en:</w:t>
      </w:r>
    </w:p>
    <w:p w14:paraId="516F60AB" w14:textId="77777777" w:rsidR="000323A2" w:rsidRPr="000323A2" w:rsidRDefault="000323A2" w:rsidP="00B04B36">
      <w:pPr>
        <w:numPr>
          <w:ilvl w:val="0"/>
          <w:numId w:val="12"/>
        </w:numPr>
        <w:tabs>
          <w:tab w:val="num" w:pos="720"/>
          <w:tab w:val="center" w:pos="1814"/>
          <w:tab w:val="center" w:pos="5216"/>
          <w:tab w:val="center" w:pos="9214"/>
        </w:tabs>
        <w:spacing w:before="240" w:after="0" w:line="276" w:lineRule="auto"/>
        <w:ind w:left="720"/>
        <w:jc w:val="both"/>
        <w:rPr>
          <w:rFonts w:ascii="Arial" w:eastAsia="Calibri" w:hAnsi="Arial" w:cs="Arial"/>
          <w:lang w:eastAsia="es-ES"/>
        </w:rPr>
      </w:pPr>
      <w:r w:rsidRPr="000323A2">
        <w:rPr>
          <w:rFonts w:ascii="Arial" w:eastAsia="Calibri" w:hAnsi="Arial" w:cs="Arial"/>
          <w:lang w:eastAsia="es-ES"/>
        </w:rPr>
        <w:t xml:space="preserve">Los retrasos imputables al Concesionario Solicitante o Autorizado Solicitante en la obtención de permisos para acceder a los sitios del propio Concesionario Solicitante o Autorizado Solicitante, del cliente final o de cualquier tercero como pueden ser </w:t>
      </w:r>
      <w:r w:rsidRPr="000323A2">
        <w:rPr>
          <w:rFonts w:ascii="Arial" w:eastAsia="Calibri" w:hAnsi="Arial" w:cs="Arial"/>
          <w:lang w:eastAsia="es-ES"/>
        </w:rPr>
        <w:lastRenderedPageBreak/>
        <w:t>entre otros: plazas comerciales, parques industriales, fábricas, edificios corporativos, aeropuertos.</w:t>
      </w:r>
    </w:p>
    <w:p w14:paraId="38DC7084" w14:textId="77777777" w:rsidR="000323A2" w:rsidRPr="000323A2" w:rsidRDefault="000323A2" w:rsidP="00B04B36">
      <w:pPr>
        <w:numPr>
          <w:ilvl w:val="0"/>
          <w:numId w:val="12"/>
        </w:numPr>
        <w:tabs>
          <w:tab w:val="num" w:pos="720"/>
          <w:tab w:val="center" w:pos="1814"/>
          <w:tab w:val="center" w:pos="5216"/>
          <w:tab w:val="center" w:pos="9214"/>
        </w:tabs>
        <w:spacing w:before="240" w:after="0" w:line="276" w:lineRule="auto"/>
        <w:ind w:left="720"/>
        <w:jc w:val="both"/>
        <w:rPr>
          <w:rFonts w:ascii="Arial" w:eastAsia="Calibri" w:hAnsi="Arial" w:cs="Arial"/>
          <w:lang w:eastAsia="es-ES"/>
        </w:rPr>
      </w:pPr>
      <w:r w:rsidRPr="000323A2">
        <w:rPr>
          <w:rFonts w:ascii="Arial" w:eastAsia="Calibri" w:hAnsi="Arial" w:cs="Arial"/>
          <w:lang w:eastAsia="es-ES"/>
        </w:rPr>
        <w:t>De igual forma, cuando se requieran condiciones especiales para acceso en el domicilio del cliente final, los cuales de manera enunciativa mas no limitativa podrán 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Telmex, entrega de documentación específica con varios días de anticipación de los técnicos de Telmex.</w:t>
      </w:r>
    </w:p>
    <w:p w14:paraId="7BD53D1C" w14:textId="77777777" w:rsidR="000323A2" w:rsidRPr="000323A2" w:rsidRDefault="000323A2" w:rsidP="00B04B36">
      <w:pPr>
        <w:numPr>
          <w:ilvl w:val="0"/>
          <w:numId w:val="12"/>
        </w:numPr>
        <w:tabs>
          <w:tab w:val="num" w:pos="720"/>
          <w:tab w:val="center" w:pos="1814"/>
          <w:tab w:val="center" w:pos="5216"/>
          <w:tab w:val="center" w:pos="9214"/>
        </w:tabs>
        <w:spacing w:before="240" w:after="0" w:line="276" w:lineRule="auto"/>
        <w:ind w:left="720"/>
        <w:jc w:val="both"/>
        <w:rPr>
          <w:rFonts w:ascii="Arial" w:eastAsia="Calibri" w:hAnsi="Arial" w:cs="Arial"/>
          <w:lang w:eastAsia="es-ES"/>
        </w:rPr>
      </w:pPr>
      <w:r w:rsidRPr="000323A2">
        <w:rPr>
          <w:rFonts w:ascii="Arial" w:eastAsia="Calibri" w:hAnsi="Arial" w:cs="Arial"/>
          <w:lang w:eastAsia="es-ES"/>
        </w:rPr>
        <w:t>El tiempo que tarde Telmex en identificar el servicio con falla debido a que el Concesionario Solicitante o Autorizado Solicitante reportó una falla con datos erróneos, siempre y cuando estos se refieran a los datos de identificación del enlace afectado.</w:t>
      </w:r>
    </w:p>
    <w:p w14:paraId="3E964E1D" w14:textId="77777777" w:rsidR="000323A2" w:rsidRPr="000323A2" w:rsidRDefault="000323A2" w:rsidP="00B04B36">
      <w:pPr>
        <w:numPr>
          <w:ilvl w:val="0"/>
          <w:numId w:val="12"/>
        </w:numPr>
        <w:tabs>
          <w:tab w:val="num" w:pos="720"/>
          <w:tab w:val="center" w:pos="1814"/>
          <w:tab w:val="center" w:pos="5216"/>
          <w:tab w:val="center" w:pos="9214"/>
        </w:tabs>
        <w:spacing w:before="240" w:after="0" w:line="276" w:lineRule="auto"/>
        <w:ind w:left="720"/>
        <w:jc w:val="both"/>
        <w:rPr>
          <w:rFonts w:ascii="Arial" w:eastAsia="Calibri" w:hAnsi="Arial" w:cs="Arial"/>
          <w:lang w:eastAsia="es-ES"/>
        </w:rPr>
      </w:pPr>
      <w:r w:rsidRPr="000323A2">
        <w:rPr>
          <w:rFonts w:ascii="Arial" w:eastAsia="Calibri" w:hAnsi="Arial" w:cs="Arial"/>
          <w:lang w:eastAsia="es-ES"/>
        </w:rPr>
        <w:t xml:space="preserve">Cuando la falla fue provocada por problemas en los sitios del Concesionario Solicitante o Autorizado Solicitante o de su cliente final y hasta que sean reparados, como sucede en remodelaciones, cambio de ubicación de sus equipos, goteras, suministro de energía, clima, plagas de roedores, etc. </w:t>
      </w:r>
    </w:p>
    <w:p w14:paraId="273F7A97" w14:textId="77777777" w:rsidR="000323A2" w:rsidRPr="000323A2" w:rsidRDefault="000323A2" w:rsidP="00B04B36">
      <w:pPr>
        <w:numPr>
          <w:ilvl w:val="0"/>
          <w:numId w:val="12"/>
        </w:numPr>
        <w:autoSpaceDE w:val="0"/>
        <w:autoSpaceDN w:val="0"/>
        <w:adjustRightInd w:val="0"/>
        <w:spacing w:before="240" w:after="0" w:line="360" w:lineRule="auto"/>
        <w:contextualSpacing/>
        <w:jc w:val="both"/>
        <w:rPr>
          <w:rFonts w:ascii="Arial" w:eastAsia="Calibri" w:hAnsi="Arial" w:cs="Arial"/>
        </w:rPr>
      </w:pPr>
      <w:r w:rsidRPr="000323A2">
        <w:rPr>
          <w:rFonts w:ascii="Arial" w:eastAsia="Calibri" w:hAnsi="Arial" w:cs="Arial"/>
        </w:rPr>
        <w:t>Cuando el Concesionario Solicitante o Autorizado Solicitante requiere la atención del incidente en ventana de mantenimiento programada en fecha y hora especifica.</w:t>
      </w:r>
    </w:p>
    <w:p w14:paraId="494EB458" w14:textId="77777777" w:rsidR="000323A2" w:rsidRPr="000323A2" w:rsidRDefault="000323A2" w:rsidP="00B04B36">
      <w:pPr>
        <w:numPr>
          <w:ilvl w:val="0"/>
          <w:numId w:val="12"/>
        </w:numPr>
        <w:autoSpaceDE w:val="0"/>
        <w:autoSpaceDN w:val="0"/>
        <w:adjustRightInd w:val="0"/>
        <w:spacing w:before="240" w:after="0" w:line="360" w:lineRule="auto"/>
        <w:contextualSpacing/>
        <w:jc w:val="both"/>
        <w:rPr>
          <w:rFonts w:ascii="Arial" w:eastAsia="Calibri" w:hAnsi="Arial" w:cs="Arial"/>
        </w:rPr>
      </w:pPr>
      <w:r w:rsidRPr="000323A2">
        <w:rPr>
          <w:rFonts w:ascii="Arial" w:eastAsia="Calibri" w:hAnsi="Arial" w:cs="Arial"/>
        </w:rPr>
        <w:t>Negativa de acceso a las instalaciones.</w:t>
      </w:r>
    </w:p>
    <w:p w14:paraId="6B69645D" w14:textId="77777777" w:rsidR="000323A2" w:rsidRPr="000323A2" w:rsidRDefault="000323A2" w:rsidP="00B04B36">
      <w:pPr>
        <w:widowControl w:val="0"/>
        <w:numPr>
          <w:ilvl w:val="0"/>
          <w:numId w:val="71"/>
        </w:numPr>
        <w:autoSpaceDE w:val="0"/>
        <w:autoSpaceDN w:val="0"/>
        <w:adjustRightInd w:val="0"/>
        <w:spacing w:before="240" w:after="0" w:line="360" w:lineRule="auto"/>
        <w:ind w:hanging="720"/>
        <w:contextualSpacing/>
        <w:jc w:val="both"/>
        <w:textAlignment w:val="baseline"/>
        <w:rPr>
          <w:rFonts w:ascii="Arial" w:eastAsia="Calibri" w:hAnsi="Arial" w:cs="Arial"/>
          <w:sz w:val="20"/>
          <w:szCs w:val="20"/>
          <w:lang w:val="es-ES" w:eastAsia="es-ES"/>
        </w:rPr>
      </w:pPr>
      <w:r w:rsidRPr="000323A2">
        <w:rPr>
          <w:rFonts w:ascii="Arial" w:eastAsia="Calibri" w:hAnsi="Arial" w:cs="Arial"/>
          <w:lang w:val="es-ES" w:eastAsia="es-ES"/>
        </w:rPr>
        <w:t>Tiempo que tarda Telmex en identificar la falla por reporte debido a datos erróneos proporcionados por parte del Concesionario Solicitante o Autorizado Solicitante.</w:t>
      </w:r>
    </w:p>
    <w:p w14:paraId="453C402B" w14:textId="77777777" w:rsidR="000323A2" w:rsidRPr="000323A2" w:rsidRDefault="000323A2" w:rsidP="00B04B36">
      <w:pPr>
        <w:numPr>
          <w:ilvl w:val="0"/>
          <w:numId w:val="12"/>
        </w:numPr>
        <w:autoSpaceDE w:val="0"/>
        <w:autoSpaceDN w:val="0"/>
        <w:adjustRightInd w:val="0"/>
        <w:spacing w:before="240" w:after="0" w:line="276" w:lineRule="auto"/>
        <w:contextualSpacing/>
        <w:jc w:val="both"/>
        <w:rPr>
          <w:rFonts w:ascii="Arial" w:eastAsia="Calibri" w:hAnsi="Arial" w:cs="Arial"/>
        </w:rPr>
      </w:pPr>
      <w:r w:rsidRPr="000323A2">
        <w:rPr>
          <w:rFonts w:ascii="Arial" w:eastAsia="Calibri" w:hAnsi="Arial" w:cs="Arial"/>
        </w:rPr>
        <w:t>Fallas en los equipos, las instalaciones y/o sitio del Concesionario Solicitante o Autorizado Solicitante o su Cliente Final.</w:t>
      </w:r>
    </w:p>
    <w:p w14:paraId="3376792E" w14:textId="77777777" w:rsidR="000323A2" w:rsidRPr="000323A2" w:rsidRDefault="000323A2" w:rsidP="000323A2">
      <w:pPr>
        <w:spacing w:before="240" w:after="0" w:line="276" w:lineRule="auto"/>
        <w:ind w:left="67"/>
        <w:jc w:val="both"/>
        <w:rPr>
          <w:rFonts w:ascii="Arial" w:eastAsia="Calibri" w:hAnsi="Arial" w:cs="Arial"/>
          <w:lang w:eastAsia="es-ES"/>
        </w:rPr>
      </w:pPr>
      <w:r w:rsidRPr="000323A2">
        <w:rPr>
          <w:rFonts w:ascii="Arial" w:eastAsia="Calibri" w:hAnsi="Arial" w:cs="Arial"/>
          <w:lang w:eastAsia="es-ES"/>
        </w:rPr>
        <w:t>d) Causas imputables a terceros</w:t>
      </w:r>
    </w:p>
    <w:p w14:paraId="63139F18" w14:textId="77777777" w:rsidR="000323A2" w:rsidRPr="000323A2" w:rsidRDefault="000323A2" w:rsidP="00B04B36">
      <w:pPr>
        <w:widowControl w:val="0"/>
        <w:numPr>
          <w:ilvl w:val="0"/>
          <w:numId w:val="13"/>
        </w:numPr>
        <w:spacing w:before="240" w:after="0" w:line="276" w:lineRule="auto"/>
        <w:jc w:val="both"/>
        <w:rPr>
          <w:rFonts w:ascii="Arial" w:eastAsia="Calibri" w:hAnsi="Arial" w:cs="Arial"/>
          <w:lang w:eastAsia="es-ES"/>
        </w:rPr>
      </w:pPr>
      <w:r w:rsidRPr="000323A2">
        <w:rPr>
          <w:rFonts w:ascii="Arial" w:eastAsia="Calibri" w:hAnsi="Arial" w:cs="Arial"/>
          <w:lang w:eastAsia="es-ES"/>
        </w:rPr>
        <w:t>El tiempo de suministro de equipos por parte de proveedores, cuando la falla requiere el remplazo del equipo completo o refacciones, no pudiendo ser mayor de:</w:t>
      </w:r>
    </w:p>
    <w:p w14:paraId="02CB3D34" w14:textId="77777777" w:rsidR="000323A2" w:rsidRPr="000323A2" w:rsidRDefault="000323A2" w:rsidP="00B04B36">
      <w:pPr>
        <w:numPr>
          <w:ilvl w:val="3"/>
          <w:numId w:val="68"/>
        </w:numPr>
        <w:spacing w:before="240" w:after="0" w:line="276" w:lineRule="auto"/>
        <w:ind w:left="2268" w:right="567" w:hanging="425"/>
        <w:contextualSpacing/>
        <w:jc w:val="both"/>
        <w:rPr>
          <w:rFonts w:ascii="Arial" w:eastAsia="Calibri" w:hAnsi="Arial" w:cs="Arial"/>
          <w:lang w:val="es-ES" w:eastAsia="es-ES"/>
        </w:rPr>
      </w:pPr>
      <w:r w:rsidRPr="000323A2">
        <w:rPr>
          <w:rFonts w:ascii="Arial" w:eastAsia="Calibri" w:hAnsi="Arial" w:cs="Arial"/>
          <w:lang w:val="es-ES" w:eastAsia="es-ES"/>
        </w:rPr>
        <w:t>Con afectación en zona urbana: 3 horas</w:t>
      </w:r>
    </w:p>
    <w:p w14:paraId="49F7B36E" w14:textId="77777777" w:rsidR="000323A2" w:rsidRPr="000323A2" w:rsidRDefault="000323A2" w:rsidP="00B04B36">
      <w:pPr>
        <w:numPr>
          <w:ilvl w:val="3"/>
          <w:numId w:val="68"/>
        </w:numPr>
        <w:spacing w:before="240" w:after="0" w:line="276" w:lineRule="auto"/>
        <w:ind w:left="2268" w:right="567" w:hanging="425"/>
        <w:contextualSpacing/>
        <w:jc w:val="both"/>
        <w:rPr>
          <w:rFonts w:ascii="Arial" w:eastAsia="Calibri" w:hAnsi="Arial" w:cs="Arial"/>
          <w:lang w:val="es-ES" w:eastAsia="es-ES"/>
        </w:rPr>
      </w:pPr>
      <w:r w:rsidRPr="000323A2">
        <w:rPr>
          <w:rFonts w:ascii="Arial" w:eastAsia="Calibri" w:hAnsi="Arial" w:cs="Arial"/>
          <w:lang w:val="es-ES" w:eastAsia="es-ES"/>
        </w:rPr>
        <w:t>Con afectación en zona Suburbana y Rural: 24 horas</w:t>
      </w:r>
    </w:p>
    <w:p w14:paraId="3EAB5E00" w14:textId="77777777" w:rsidR="000323A2" w:rsidRPr="000323A2" w:rsidRDefault="000323A2" w:rsidP="00B04B36">
      <w:pPr>
        <w:numPr>
          <w:ilvl w:val="3"/>
          <w:numId w:val="68"/>
        </w:numPr>
        <w:spacing w:before="240" w:after="0" w:line="276" w:lineRule="auto"/>
        <w:ind w:left="2268" w:right="567" w:hanging="425"/>
        <w:contextualSpacing/>
        <w:jc w:val="both"/>
        <w:rPr>
          <w:rFonts w:ascii="Arial" w:eastAsia="Calibri" w:hAnsi="Arial" w:cs="Arial"/>
          <w:lang w:val="es-ES" w:eastAsia="es-ES"/>
        </w:rPr>
      </w:pPr>
      <w:r w:rsidRPr="000323A2">
        <w:rPr>
          <w:rFonts w:ascii="Arial" w:eastAsia="Calibri" w:hAnsi="Arial" w:cs="Arial"/>
          <w:lang w:val="es-ES" w:eastAsia="es-ES"/>
        </w:rPr>
        <w:t>Sin afectación cualquier zona: 48 horas</w:t>
      </w:r>
    </w:p>
    <w:p w14:paraId="4F420B14" w14:textId="77777777" w:rsidR="000323A2" w:rsidRPr="000323A2" w:rsidRDefault="000323A2" w:rsidP="000323A2">
      <w:pPr>
        <w:autoSpaceDE w:val="0"/>
        <w:autoSpaceDN w:val="0"/>
        <w:adjustRightInd w:val="0"/>
        <w:spacing w:before="240" w:after="0" w:line="276" w:lineRule="auto"/>
        <w:ind w:left="708"/>
        <w:jc w:val="both"/>
        <w:rPr>
          <w:rFonts w:ascii="Arial" w:eastAsia="Calibri" w:hAnsi="Arial" w:cs="Arial"/>
        </w:rPr>
      </w:pPr>
      <w:r w:rsidRPr="000323A2">
        <w:rPr>
          <w:rFonts w:ascii="Arial" w:eastAsia="Calibri" w:hAnsi="Arial" w:cs="Arial"/>
        </w:rPr>
        <w:t xml:space="preserve">Los anteriores son plazos máximos, no obstante Telmex se obliga a reiniciar el cómputo de los plazos de reparación una vez que cuente con las refacciones necesarias </w:t>
      </w:r>
      <w:r w:rsidRPr="000323A2">
        <w:rPr>
          <w:rFonts w:ascii="Arial" w:eastAsia="Calibri" w:hAnsi="Arial" w:cs="Arial"/>
          <w:lang w:eastAsia="es-ES"/>
        </w:rPr>
        <w:t>y no pudiendo ser mayor al 5% de las incidencias totales</w:t>
      </w:r>
      <w:r w:rsidRPr="000323A2">
        <w:rPr>
          <w:rFonts w:ascii="Arial" w:eastAsia="Calibri" w:hAnsi="Arial" w:cs="Arial"/>
        </w:rPr>
        <w:t>.</w:t>
      </w:r>
    </w:p>
    <w:p w14:paraId="33AFD961" w14:textId="77777777" w:rsidR="000323A2" w:rsidRPr="000323A2" w:rsidRDefault="000323A2" w:rsidP="00B04B36">
      <w:pPr>
        <w:widowControl w:val="0"/>
        <w:numPr>
          <w:ilvl w:val="0"/>
          <w:numId w:val="13"/>
        </w:numPr>
        <w:spacing w:before="240" w:after="0" w:line="276" w:lineRule="auto"/>
        <w:jc w:val="both"/>
        <w:rPr>
          <w:rFonts w:ascii="Arial" w:eastAsia="Calibri" w:hAnsi="Arial" w:cs="Arial"/>
          <w:szCs w:val="20"/>
          <w:lang w:eastAsia="es-ES"/>
        </w:rPr>
      </w:pPr>
      <w:r w:rsidRPr="000323A2">
        <w:rPr>
          <w:rFonts w:ascii="Arial" w:eastAsia="Calibri" w:hAnsi="Arial" w:cs="Arial"/>
          <w:lang w:eastAsia="es-ES"/>
        </w:rPr>
        <w:t xml:space="preserve">En los casos de cortes de fibra óptica o cable de cobre, no pudiendo ser mayor de </w:t>
      </w:r>
      <w:r w:rsidRPr="000323A2">
        <w:rPr>
          <w:rFonts w:ascii="Arial" w:eastAsia="Calibri" w:hAnsi="Arial" w:cs="Arial"/>
          <w:lang w:eastAsia="es-ES"/>
        </w:rPr>
        <w:lastRenderedPageBreak/>
        <w:t>12 horas y no pudiendo ser mayor al 5% de las incidencias totales.</w:t>
      </w:r>
    </w:p>
    <w:p w14:paraId="7C333347" w14:textId="77777777" w:rsidR="000323A2" w:rsidRPr="000323A2" w:rsidRDefault="000323A2" w:rsidP="00B04B36">
      <w:pPr>
        <w:widowControl w:val="0"/>
        <w:numPr>
          <w:ilvl w:val="0"/>
          <w:numId w:val="13"/>
        </w:numPr>
        <w:spacing w:before="240" w:after="0" w:line="276" w:lineRule="auto"/>
        <w:jc w:val="both"/>
        <w:rPr>
          <w:rFonts w:ascii="Arial" w:eastAsia="Calibri" w:hAnsi="Arial" w:cs="Arial"/>
          <w:lang w:eastAsia="es-ES"/>
        </w:rPr>
      </w:pPr>
      <w:r w:rsidRPr="000323A2">
        <w:rPr>
          <w:rFonts w:ascii="Arial" w:eastAsia="Calibri" w:hAnsi="Arial" w:cs="Arial"/>
          <w:lang w:eastAsia="es-ES"/>
        </w:rPr>
        <w:t>Vandalismo a la infraestructura de Telmex (robo de cable, infraestructura o combustible).</w:t>
      </w:r>
    </w:p>
    <w:p w14:paraId="53433137" w14:textId="77777777" w:rsidR="000323A2" w:rsidRPr="000323A2" w:rsidRDefault="000323A2" w:rsidP="00B04B36">
      <w:pPr>
        <w:numPr>
          <w:ilvl w:val="0"/>
          <w:numId w:val="13"/>
        </w:numPr>
        <w:tabs>
          <w:tab w:val="center" w:pos="1814"/>
          <w:tab w:val="center" w:pos="5216"/>
          <w:tab w:val="center" w:pos="9214"/>
        </w:tabs>
        <w:spacing w:before="240" w:after="0" w:line="276" w:lineRule="auto"/>
        <w:jc w:val="both"/>
        <w:rPr>
          <w:rFonts w:ascii="Arial" w:eastAsia="Calibri" w:hAnsi="Arial" w:cs="Arial"/>
          <w:lang w:eastAsia="es-ES"/>
        </w:rPr>
      </w:pPr>
      <w:r w:rsidRPr="000323A2">
        <w:rPr>
          <w:rFonts w:ascii="Arial" w:eastAsia="Calibri" w:hAnsi="Arial" w:cs="Arial"/>
          <w:lang w:eastAsia="es-ES"/>
        </w:rPr>
        <w:t xml:space="preserve">Aquellos no imputables a Telmex, los </w:t>
      </w:r>
      <w:proofErr w:type="gramStart"/>
      <w:r w:rsidRPr="000323A2">
        <w:rPr>
          <w:rFonts w:ascii="Arial" w:eastAsia="Calibri" w:hAnsi="Arial" w:cs="Arial"/>
          <w:lang w:eastAsia="es-ES"/>
        </w:rPr>
        <w:t>que</w:t>
      </w:r>
      <w:proofErr w:type="gramEnd"/>
      <w:r w:rsidRPr="000323A2">
        <w:rPr>
          <w:rFonts w:ascii="Arial" w:eastAsia="Calibri" w:hAnsi="Arial" w:cs="Arial"/>
          <w:lang w:eastAsia="es-ES"/>
        </w:rPr>
        <w:t xml:space="preserve"> de manera enunciativa más no limitativa, pueden consistir en: retrasos por permisos de trabajos en vías públicas (municipales, estatales o federales), acceso en zonas ejidales o comunales, plantones en vía pública</w:t>
      </w:r>
      <w:r w:rsidRPr="000323A2">
        <w:rPr>
          <w:rFonts w:ascii="Arial" w:eastAsia="Calibri" w:hAnsi="Arial" w:cs="Arial"/>
          <w:lang w:val="es-ES" w:eastAsia="es-ES"/>
        </w:rPr>
        <w:t xml:space="preserve"> que impida el acceso a la zona de atención</w:t>
      </w:r>
      <w:r w:rsidRPr="000323A2">
        <w:rPr>
          <w:rFonts w:ascii="Arial" w:eastAsia="Calibri" w:hAnsi="Arial" w:cs="Arial"/>
          <w:lang w:eastAsia="es-ES"/>
        </w:rPr>
        <w:t xml:space="preserve">. </w:t>
      </w:r>
    </w:p>
    <w:p w14:paraId="53C3DFB9" w14:textId="77777777" w:rsidR="000323A2" w:rsidRPr="000323A2" w:rsidRDefault="000323A2" w:rsidP="00B04B36">
      <w:pPr>
        <w:widowControl w:val="0"/>
        <w:numPr>
          <w:ilvl w:val="0"/>
          <w:numId w:val="13"/>
        </w:numPr>
        <w:spacing w:before="240" w:after="0" w:line="276" w:lineRule="auto"/>
        <w:jc w:val="both"/>
        <w:rPr>
          <w:rFonts w:ascii="Arial" w:eastAsia="Calibri" w:hAnsi="Arial" w:cs="Arial"/>
          <w:szCs w:val="20"/>
          <w:lang w:eastAsia="es-ES"/>
        </w:rPr>
      </w:pPr>
      <w:r w:rsidRPr="000323A2">
        <w:rPr>
          <w:rFonts w:ascii="Arial" w:eastAsia="Calibri" w:hAnsi="Arial" w:cs="Arial"/>
          <w:lang w:val="es-ES" w:eastAsia="es-ES"/>
        </w:rPr>
        <w:t>En situaciones</w:t>
      </w:r>
      <w:r w:rsidRPr="000323A2">
        <w:rPr>
          <w:rFonts w:ascii="Arial" w:eastAsia="Calibri" w:hAnsi="Arial" w:cs="Arial"/>
          <w:szCs w:val="20"/>
          <w:lang w:eastAsia="es-ES"/>
        </w:rPr>
        <w:t xml:space="preserve"> de inseguridad en las que se requiera el apoyo de la fuerza pública para desplazarse o circular a horas específicas del día</w:t>
      </w:r>
      <w:r w:rsidRPr="000323A2">
        <w:rPr>
          <w:rFonts w:ascii="Arial" w:eastAsia="Calibri" w:hAnsi="Arial" w:cs="Arial"/>
          <w:lang w:val="es-ES" w:eastAsia="es-ES"/>
        </w:rPr>
        <w:t>, se informará mediante una llamada telefónica y/o vía correo electrónico al Concesionario Solicitante o Autorizado Solicitante para hacer de su conocimiento que se detendrá el conteo del tiempo de reparación de falla, y una vez restablecidas las condiciones de seguridad se informará la reanudación de los trabajos.</w:t>
      </w:r>
    </w:p>
    <w:p w14:paraId="1C6AA6C2" w14:textId="77777777" w:rsidR="000323A2" w:rsidRPr="000323A2" w:rsidRDefault="000323A2" w:rsidP="00B04B36">
      <w:pPr>
        <w:numPr>
          <w:ilvl w:val="0"/>
          <w:numId w:val="13"/>
        </w:numPr>
        <w:autoSpaceDE w:val="0"/>
        <w:autoSpaceDN w:val="0"/>
        <w:adjustRightInd w:val="0"/>
        <w:spacing w:before="240" w:after="0" w:line="276" w:lineRule="auto"/>
        <w:contextualSpacing/>
        <w:jc w:val="both"/>
        <w:rPr>
          <w:rFonts w:ascii="Arial" w:eastAsia="Calibri" w:hAnsi="Arial" w:cs="Arial"/>
        </w:rPr>
      </w:pPr>
      <w:r w:rsidRPr="000323A2">
        <w:rPr>
          <w:rFonts w:ascii="Arial" w:eastAsia="Calibri" w:hAnsi="Arial" w:cs="Arial"/>
        </w:rPr>
        <w:t>Restricciones de acceso por parte de autoridades gubernamentales.</w:t>
      </w:r>
    </w:p>
    <w:p w14:paraId="428C1F31" w14:textId="77777777" w:rsidR="000323A2" w:rsidRPr="000323A2" w:rsidRDefault="000323A2" w:rsidP="000323A2">
      <w:pPr>
        <w:spacing w:before="240" w:after="0" w:line="276" w:lineRule="auto"/>
        <w:jc w:val="both"/>
        <w:rPr>
          <w:rFonts w:ascii="Arial" w:eastAsia="Calibri" w:hAnsi="Arial" w:cs="Arial"/>
          <w:lang w:eastAsia="es-ES"/>
        </w:rPr>
      </w:pPr>
      <w:r w:rsidRPr="000323A2">
        <w:rPr>
          <w:rFonts w:ascii="Arial" w:eastAsia="Calibri" w:hAnsi="Arial" w:cs="Arial"/>
          <w:lang w:eastAsia="es-ES"/>
        </w:rPr>
        <w:t>Las fallas provocadas por cortes generalizados en el suministro eléctrico de CFE por un tiempo mayor a 4 (cuatro) horas que afecten a instalaciones de Telmex.</w:t>
      </w:r>
    </w:p>
    <w:p w14:paraId="149575EB" w14:textId="77777777" w:rsidR="000323A2" w:rsidRPr="000323A2" w:rsidRDefault="000323A2" w:rsidP="000323A2">
      <w:pPr>
        <w:spacing w:before="240" w:after="0" w:line="276" w:lineRule="auto"/>
        <w:jc w:val="both"/>
        <w:rPr>
          <w:rFonts w:ascii="Arial" w:eastAsia="Calibri" w:hAnsi="Arial" w:cs="Arial"/>
          <w:lang w:eastAsia="es-ES"/>
        </w:rPr>
      </w:pPr>
      <w:r w:rsidRPr="000323A2">
        <w:rPr>
          <w:rFonts w:ascii="Arial" w:eastAsia="Calibri" w:hAnsi="Arial" w:cs="Arial"/>
          <w:lang w:eastAsia="es-ES"/>
        </w:rPr>
        <w:t>En todos los casos mencionados anteriormente que detienen el tiempo de reparación de la falla se llevará un registro que será del conocimiento tanto del Concesionario Solicitante o Autorizado Solicitante como del Instituto o mediante el Sistema Electrónico de Gestión.</w:t>
      </w:r>
    </w:p>
    <w:p w14:paraId="44D9670D" w14:textId="77777777" w:rsidR="000323A2" w:rsidRPr="000323A2" w:rsidRDefault="000323A2" w:rsidP="000323A2">
      <w:pPr>
        <w:spacing w:before="240" w:after="0"/>
        <w:ind w:right="-93"/>
        <w:jc w:val="both"/>
        <w:rPr>
          <w:rFonts w:ascii="Arial" w:eastAsia="Calibri" w:hAnsi="Arial" w:cs="Arial"/>
          <w:lang w:eastAsia="es-ES"/>
        </w:rPr>
      </w:pPr>
      <w:r w:rsidRPr="000323A2">
        <w:rPr>
          <w:rFonts w:ascii="Arial" w:eastAsia="Calibri" w:hAnsi="Arial" w:cs="Arial"/>
          <w:lang w:eastAsia="es-ES"/>
        </w:rPr>
        <w:t>El Instituto Federal de Telecomunicaciones podrá realizar las verificaciones que resulten pertinentes.</w:t>
      </w:r>
    </w:p>
    <w:p w14:paraId="63533DC7" w14:textId="77777777" w:rsidR="000323A2" w:rsidRPr="000323A2" w:rsidRDefault="000323A2" w:rsidP="000323A2">
      <w:pPr>
        <w:spacing w:before="240" w:after="0" w:line="276" w:lineRule="auto"/>
        <w:jc w:val="both"/>
        <w:rPr>
          <w:rFonts w:ascii="Arial" w:eastAsia="Calibri" w:hAnsi="Arial" w:cs="Arial"/>
          <w:lang w:eastAsia="es-ES"/>
        </w:rPr>
      </w:pPr>
      <w:r w:rsidRPr="000323A2">
        <w:rPr>
          <w:rFonts w:ascii="Arial" w:eastAsia="Calibri" w:hAnsi="Arial" w:cs="Arial"/>
          <w:lang w:eastAsia="es-ES"/>
        </w:rPr>
        <w:t>Todas aquellas actividades efectuadas por Telmex tales como: pruebas, desplazamientos, y trabajos necesarios para la reparación de fallas reportadas por el Concesionario Solicitante que le resulten imputables a este último, serán facturadas con cargo al Concesionario Solicitante.</w:t>
      </w:r>
    </w:p>
    <w:p w14:paraId="0B75F641" w14:textId="77777777" w:rsidR="000323A2" w:rsidRPr="000323A2" w:rsidRDefault="000323A2" w:rsidP="000323A2">
      <w:pPr>
        <w:tabs>
          <w:tab w:val="center" w:pos="1814"/>
          <w:tab w:val="center" w:pos="5216"/>
          <w:tab w:val="center" w:pos="9214"/>
        </w:tabs>
        <w:spacing w:before="240" w:after="0" w:line="276" w:lineRule="auto"/>
        <w:jc w:val="both"/>
        <w:rPr>
          <w:rFonts w:ascii="Arial" w:eastAsia="Calibri" w:hAnsi="Arial" w:cs="Arial"/>
          <w:lang w:eastAsia="es-ES"/>
        </w:rPr>
      </w:pPr>
      <w:r w:rsidRPr="000323A2">
        <w:rPr>
          <w:rFonts w:ascii="Arial" w:eastAsia="Calibri" w:hAnsi="Arial" w:cs="Arial"/>
          <w:lang w:eastAsia="es-ES"/>
        </w:rPr>
        <w:t>Telmex garantizará el cumplimiento Anual por Red de los siguientes parámetros de calidad para los enlaces dedicados:</w:t>
      </w:r>
    </w:p>
    <w:p w14:paraId="4774D1DC" w14:textId="77777777" w:rsidR="000323A2" w:rsidRPr="000323A2" w:rsidRDefault="000323A2" w:rsidP="00B04B36">
      <w:pPr>
        <w:numPr>
          <w:ilvl w:val="1"/>
          <w:numId w:val="18"/>
        </w:numPr>
        <w:autoSpaceDE w:val="0"/>
        <w:autoSpaceDN w:val="0"/>
        <w:adjustRightInd w:val="0"/>
        <w:spacing w:before="240" w:after="0" w:line="276" w:lineRule="auto"/>
        <w:contextualSpacing/>
        <w:jc w:val="both"/>
        <w:rPr>
          <w:rFonts w:ascii="Arial" w:eastAsia="Calibri" w:hAnsi="Arial" w:cs="Arial"/>
          <w:lang w:val="es-ES" w:eastAsia="es-ES"/>
        </w:rPr>
      </w:pPr>
      <w:r w:rsidRPr="000323A2">
        <w:rPr>
          <w:rFonts w:ascii="Arial" w:eastAsia="Calibri" w:hAnsi="Arial" w:cs="Arial"/>
          <w:lang w:val="es-ES" w:eastAsia="es-ES"/>
        </w:rPr>
        <w:t xml:space="preserve">Disponibilidad del Enlace Dedicado sin redundancia: 99.83% (noventa y </w:t>
      </w:r>
      <w:proofErr w:type="gramStart"/>
      <w:r w:rsidRPr="000323A2">
        <w:rPr>
          <w:rFonts w:ascii="Arial" w:eastAsia="Calibri" w:hAnsi="Arial" w:cs="Arial"/>
          <w:lang w:val="es-ES" w:eastAsia="es-ES"/>
        </w:rPr>
        <w:t>nueve punto</w:t>
      </w:r>
      <w:proofErr w:type="gramEnd"/>
      <w:r w:rsidRPr="000323A2">
        <w:rPr>
          <w:rFonts w:ascii="Arial" w:eastAsia="Calibri" w:hAnsi="Arial" w:cs="Arial"/>
          <w:lang w:val="es-ES" w:eastAsia="es-ES"/>
        </w:rPr>
        <w:t xml:space="preserve"> ochenta y tres por ciento).</w:t>
      </w:r>
    </w:p>
    <w:p w14:paraId="67A3D23D" w14:textId="77777777" w:rsidR="000323A2" w:rsidRPr="000323A2" w:rsidRDefault="000323A2" w:rsidP="00B04B36">
      <w:pPr>
        <w:numPr>
          <w:ilvl w:val="1"/>
          <w:numId w:val="18"/>
        </w:numPr>
        <w:autoSpaceDE w:val="0"/>
        <w:autoSpaceDN w:val="0"/>
        <w:adjustRightInd w:val="0"/>
        <w:spacing w:before="240" w:after="0" w:line="276" w:lineRule="auto"/>
        <w:contextualSpacing/>
        <w:jc w:val="both"/>
        <w:rPr>
          <w:rFonts w:ascii="Arial" w:eastAsia="Calibri" w:hAnsi="Arial" w:cs="Arial"/>
          <w:lang w:val="es-ES" w:eastAsia="es-ES"/>
        </w:rPr>
      </w:pPr>
      <w:r w:rsidRPr="000323A2">
        <w:rPr>
          <w:rFonts w:ascii="Arial" w:eastAsia="Calibri" w:hAnsi="Arial" w:cs="Arial"/>
          <w:lang w:val="es-ES" w:eastAsia="es-ES"/>
        </w:rPr>
        <w:t xml:space="preserve">Disponibilidad del Enlace Dedicado con redundancia: 99.905% (noventa y </w:t>
      </w:r>
      <w:proofErr w:type="gramStart"/>
      <w:r w:rsidRPr="000323A2">
        <w:rPr>
          <w:rFonts w:ascii="Arial" w:eastAsia="Calibri" w:hAnsi="Arial" w:cs="Arial"/>
          <w:lang w:val="es-ES" w:eastAsia="es-ES"/>
        </w:rPr>
        <w:t>nueve punto</w:t>
      </w:r>
      <w:proofErr w:type="gramEnd"/>
      <w:r w:rsidRPr="000323A2">
        <w:rPr>
          <w:rFonts w:ascii="Arial" w:eastAsia="Calibri" w:hAnsi="Arial" w:cs="Arial"/>
          <w:lang w:val="es-ES" w:eastAsia="es-ES"/>
        </w:rPr>
        <w:t xml:space="preserve"> novecientos cinco por ciento).</w:t>
      </w:r>
    </w:p>
    <w:p w14:paraId="12C56EE4"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En los servicios Ethernet los parámetros de calidad se validarán a la entrega de los enlaces dedicados basándose en la aplicación del estándar RFC 2544 de la IETF considerando los siguientes valores:</w:t>
      </w:r>
    </w:p>
    <w:p w14:paraId="3B3BD68D" w14:textId="77777777" w:rsidR="000323A2" w:rsidRPr="000323A2" w:rsidRDefault="000323A2" w:rsidP="00B04B36">
      <w:pPr>
        <w:numPr>
          <w:ilvl w:val="0"/>
          <w:numId w:val="19"/>
        </w:numPr>
        <w:autoSpaceDE w:val="0"/>
        <w:autoSpaceDN w:val="0"/>
        <w:adjustRightInd w:val="0"/>
        <w:spacing w:before="240" w:after="0" w:line="276" w:lineRule="auto"/>
        <w:contextualSpacing/>
        <w:jc w:val="both"/>
        <w:rPr>
          <w:rFonts w:ascii="Arial" w:eastAsia="Calibri" w:hAnsi="Arial" w:cs="Arial"/>
          <w:lang w:val="es-ES" w:eastAsia="es-ES"/>
        </w:rPr>
      </w:pPr>
      <w:r w:rsidRPr="000323A2">
        <w:rPr>
          <w:rFonts w:ascii="Arial" w:eastAsia="Calibri" w:hAnsi="Arial" w:cs="Arial"/>
          <w:lang w:val="es-ES" w:eastAsia="es-ES"/>
        </w:rPr>
        <w:t xml:space="preserve">Tasa máxima de pérdida de paquetes de </w:t>
      </w:r>
      <w:r w:rsidRPr="000323A2">
        <w:rPr>
          <w:rFonts w:ascii="Arial" w:eastAsia="Calibri" w:hAnsi="Arial" w:cs="Arial"/>
          <w:sz w:val="24"/>
          <w:szCs w:val="24"/>
        </w:rPr>
        <w:t>10</w:t>
      </w:r>
      <w:r w:rsidRPr="000323A2">
        <w:rPr>
          <w:rFonts w:ascii="Arial" w:eastAsia="Calibri" w:hAnsi="Arial" w:cs="Arial"/>
          <w:sz w:val="24"/>
          <w:szCs w:val="24"/>
          <w:vertAlign w:val="superscript"/>
        </w:rPr>
        <w:t>-4</w:t>
      </w:r>
    </w:p>
    <w:p w14:paraId="01A2C222" w14:textId="77777777" w:rsidR="000323A2" w:rsidRPr="000323A2" w:rsidRDefault="000323A2" w:rsidP="00B04B36">
      <w:pPr>
        <w:numPr>
          <w:ilvl w:val="0"/>
          <w:numId w:val="19"/>
        </w:numPr>
        <w:autoSpaceDE w:val="0"/>
        <w:autoSpaceDN w:val="0"/>
        <w:adjustRightInd w:val="0"/>
        <w:spacing w:before="240" w:after="0" w:line="276" w:lineRule="auto"/>
        <w:contextualSpacing/>
        <w:jc w:val="both"/>
        <w:rPr>
          <w:rFonts w:ascii="Arial" w:eastAsia="Calibri" w:hAnsi="Arial" w:cs="Arial"/>
          <w:lang w:val="es-ES" w:eastAsia="es-ES"/>
        </w:rPr>
      </w:pPr>
      <w:r w:rsidRPr="000323A2">
        <w:rPr>
          <w:rFonts w:ascii="Arial" w:eastAsia="Calibri" w:hAnsi="Arial" w:cs="Arial"/>
          <w:lang w:val="es-ES" w:eastAsia="es-ES"/>
        </w:rPr>
        <w:lastRenderedPageBreak/>
        <w:t>Porcentaje de ancho de banda de la interfaz garantizada: 100% en la interfaz física de interconexión con el cliente.</w:t>
      </w:r>
    </w:p>
    <w:p w14:paraId="5BFE3CD6" w14:textId="77777777" w:rsidR="000323A2" w:rsidRPr="000323A2" w:rsidRDefault="000323A2" w:rsidP="00B04B36">
      <w:pPr>
        <w:numPr>
          <w:ilvl w:val="0"/>
          <w:numId w:val="19"/>
        </w:numPr>
        <w:autoSpaceDE w:val="0"/>
        <w:autoSpaceDN w:val="0"/>
        <w:adjustRightInd w:val="0"/>
        <w:spacing w:before="240" w:after="0" w:line="276" w:lineRule="auto"/>
        <w:contextualSpacing/>
        <w:jc w:val="both"/>
        <w:rPr>
          <w:rFonts w:ascii="Arial" w:eastAsia="Calibri" w:hAnsi="Arial" w:cs="Arial"/>
          <w:lang w:val="es-ES" w:eastAsia="es-ES"/>
        </w:rPr>
      </w:pPr>
      <w:r w:rsidRPr="000323A2">
        <w:rPr>
          <w:rFonts w:ascii="Arial" w:eastAsia="Calibri" w:hAnsi="Arial" w:cs="Arial"/>
          <w:lang w:val="es-ES" w:eastAsia="es-ES"/>
        </w:rPr>
        <w:t>Retardo de Transmisión de Trama: 6.2 mili segundos (en un solo sentido).</w:t>
      </w:r>
    </w:p>
    <w:p w14:paraId="4370B73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Estos parámetros se cumplirán de acuerdo con lo siguiente:</w:t>
      </w:r>
    </w:p>
    <w:p w14:paraId="56314CE9" w14:textId="77777777" w:rsidR="000323A2" w:rsidRPr="000323A2" w:rsidRDefault="000323A2" w:rsidP="00B04B36">
      <w:pPr>
        <w:numPr>
          <w:ilvl w:val="0"/>
          <w:numId w:val="20"/>
        </w:numPr>
        <w:autoSpaceDE w:val="0"/>
        <w:autoSpaceDN w:val="0"/>
        <w:adjustRightInd w:val="0"/>
        <w:spacing w:before="240" w:after="0" w:line="276" w:lineRule="auto"/>
        <w:contextualSpacing/>
        <w:jc w:val="both"/>
        <w:rPr>
          <w:rFonts w:ascii="Arial" w:eastAsia="Calibri" w:hAnsi="Arial" w:cs="Arial"/>
          <w:lang w:val="es-ES" w:eastAsia="es-ES"/>
        </w:rPr>
      </w:pPr>
      <w:r w:rsidRPr="000323A2">
        <w:rPr>
          <w:rFonts w:ascii="Arial" w:eastAsia="Calibri" w:hAnsi="Arial" w:cs="Arial"/>
          <w:lang w:val="es-ES" w:eastAsia="es-ES"/>
        </w:rPr>
        <w:t>El retardo de trama depende de la distancia y los equipos por los que pase el servicio, por lo que este parámetro se cumplirá para una distancia equivalente a 100 Km en un solo sentido y medido a la entrega del servicio para tráfico de usuario en su más alta prioridad (voz).</w:t>
      </w:r>
    </w:p>
    <w:p w14:paraId="3C606C9F" w14:textId="77777777" w:rsidR="000323A2" w:rsidRPr="000323A2" w:rsidRDefault="000323A2" w:rsidP="000323A2">
      <w:pPr>
        <w:tabs>
          <w:tab w:val="center" w:pos="1814"/>
          <w:tab w:val="center" w:pos="5216"/>
          <w:tab w:val="center" w:pos="9214"/>
        </w:tabs>
        <w:spacing w:before="240" w:after="0" w:line="276" w:lineRule="auto"/>
        <w:jc w:val="both"/>
        <w:rPr>
          <w:rFonts w:ascii="Arial" w:eastAsia="Calibri" w:hAnsi="Arial" w:cs="Arial"/>
          <w:lang w:eastAsia="es-ES"/>
        </w:rPr>
      </w:pPr>
      <w:r w:rsidRPr="000323A2">
        <w:rPr>
          <w:rFonts w:ascii="Arial" w:eastAsia="Calibri" w:hAnsi="Arial" w:cs="Arial"/>
          <w:lang w:eastAsia="es-ES"/>
        </w:rPr>
        <w:t>La medición del cumplimento de los plazos de reparación de fallas y disponibilidad de servicio, se comenzarán a computar a partir de que el Concesionario Solicitante o Autorizado Solicitante levante el reporte correspondiente en el Sistema Electrónico de Gestión o bien en el Centro de Atención a Operadores de Telmex.</w:t>
      </w:r>
    </w:p>
    <w:p w14:paraId="5A33F1C4" w14:textId="77777777" w:rsidR="000323A2" w:rsidRPr="000323A2" w:rsidRDefault="000323A2" w:rsidP="000323A2">
      <w:pPr>
        <w:spacing w:before="240" w:after="0" w:line="276" w:lineRule="auto"/>
        <w:jc w:val="both"/>
        <w:rPr>
          <w:rFonts w:ascii="Arial" w:eastAsia="Calibri" w:hAnsi="Arial" w:cs="Arial"/>
          <w:lang w:eastAsia="es-ES"/>
        </w:rPr>
      </w:pPr>
      <w:r w:rsidRPr="000323A2">
        <w:rPr>
          <w:rFonts w:ascii="Arial" w:eastAsia="Calibri" w:hAnsi="Arial" w:cs="Arial"/>
          <w:lang w:eastAsia="es-ES"/>
        </w:rPr>
        <w:t>Una vez reparada la falla Telmex notificará al Concesionario Solicitante o Autorizado Solicitante con la finalidad de que este realice las pruebas correspondientes. El tiempo durante el cual el Concesionario Solicitante o Autorizado Solicitante lleve a cabo dichas pruebas no será tomado en cuenta para el plazo establecido para llevar a cabo la reparación de fallas.</w:t>
      </w:r>
    </w:p>
    <w:p w14:paraId="15CEDC86" w14:textId="77777777" w:rsidR="000323A2" w:rsidRPr="000323A2" w:rsidRDefault="000323A2" w:rsidP="000323A2">
      <w:pPr>
        <w:tabs>
          <w:tab w:val="center" w:pos="1814"/>
          <w:tab w:val="center" w:pos="5216"/>
          <w:tab w:val="center" w:pos="9214"/>
        </w:tabs>
        <w:spacing w:before="240" w:after="0" w:line="276" w:lineRule="auto"/>
        <w:jc w:val="both"/>
        <w:rPr>
          <w:rFonts w:ascii="Arial" w:eastAsia="Calibri" w:hAnsi="Arial" w:cs="Arial"/>
          <w:lang w:eastAsia="es-ES"/>
        </w:rPr>
      </w:pPr>
      <w:r w:rsidRPr="000323A2">
        <w:rPr>
          <w:rFonts w:ascii="Arial" w:eastAsia="Calibri" w:hAnsi="Arial" w:cs="Arial"/>
          <w:lang w:eastAsia="es-ES"/>
        </w:rPr>
        <w:t>Los valores de disponibilidad y tiempos de restauración para los enlaces dedicados internacionales, estarán en función de los niveles de servicio de los operadores internacionales que atienden la parte que les corresponde del servicio.</w:t>
      </w:r>
    </w:p>
    <w:p w14:paraId="3BEEBEDF" w14:textId="77777777" w:rsidR="000323A2" w:rsidRPr="000323A2" w:rsidRDefault="000323A2" w:rsidP="000323A2">
      <w:pPr>
        <w:numPr>
          <w:ilvl w:val="12"/>
          <w:numId w:val="0"/>
        </w:numPr>
        <w:spacing w:before="240" w:after="0" w:line="276" w:lineRule="auto"/>
        <w:jc w:val="both"/>
        <w:rPr>
          <w:rFonts w:ascii="Arial" w:eastAsia="Calibri" w:hAnsi="Arial" w:cs="Arial"/>
          <w:b/>
          <w:lang w:val="es-ES" w:eastAsia="es-ES"/>
        </w:rPr>
      </w:pPr>
      <w:r w:rsidRPr="000323A2">
        <w:rPr>
          <w:rFonts w:ascii="Arial" w:eastAsia="Calibri" w:hAnsi="Arial" w:cs="Arial"/>
          <w:b/>
          <w:lang w:val="es-ES" w:eastAsia="es-ES"/>
        </w:rPr>
        <w:t>B. SUMINISTRO DE SERVICIOS</w:t>
      </w:r>
    </w:p>
    <w:p w14:paraId="511D41B5" w14:textId="77777777" w:rsidR="000323A2" w:rsidRPr="000323A2" w:rsidRDefault="000323A2" w:rsidP="000323A2">
      <w:pPr>
        <w:autoSpaceDE w:val="0"/>
        <w:autoSpaceDN w:val="0"/>
        <w:adjustRightInd w:val="0"/>
        <w:spacing w:before="240" w:after="0" w:line="276" w:lineRule="auto"/>
        <w:contextualSpacing/>
        <w:jc w:val="both"/>
        <w:rPr>
          <w:rFonts w:ascii="Arial" w:eastAsia="Calibri" w:hAnsi="Arial" w:cs="Arial"/>
          <w:lang w:eastAsia="es-ES"/>
        </w:rPr>
      </w:pPr>
      <w:r w:rsidRPr="000323A2">
        <w:rPr>
          <w:rFonts w:ascii="Arial" w:eastAsia="Calibri" w:hAnsi="Arial" w:cs="Arial"/>
          <w:lang w:eastAsia="es-ES"/>
        </w:rPr>
        <w:t xml:space="preserve">Las solicitudes de servicio deberán presentarse, debidamente </w:t>
      </w:r>
      <w:proofErr w:type="spellStart"/>
      <w:r w:rsidRPr="000323A2">
        <w:rPr>
          <w:rFonts w:ascii="Arial" w:eastAsia="Calibri" w:hAnsi="Arial" w:cs="Arial"/>
          <w:lang w:eastAsia="es-ES"/>
        </w:rPr>
        <w:t>requisitadas</w:t>
      </w:r>
      <w:proofErr w:type="spellEnd"/>
      <w:r w:rsidRPr="000323A2">
        <w:rPr>
          <w:rFonts w:ascii="Arial" w:eastAsia="Calibri" w:hAnsi="Arial" w:cs="Arial"/>
          <w:lang w:eastAsia="es-ES"/>
        </w:rPr>
        <w:t xml:space="preserve"> y firmadas como se define en el punto 2.5 de la Oferta mediante el SEG. Solo en el caso de que exista una imposibilidad técnica de realizar la solicitud vía SEG, ésta podrá presentarse por escrito en el domicilio señalado en el CONVENIO, o al correo electrónico del ejecutivo de cuenta que le sea asignado en el formato establecido en el Anexo “B” de la Oferta una vez habilitado el SEG, Telmex deberá garantizar que se pueda dar continuidad al procedimiento correspondiente a través de dicho sistema </w:t>
      </w:r>
    </w:p>
    <w:p w14:paraId="6A6EAEA5" w14:textId="77777777" w:rsidR="000323A2" w:rsidRPr="000323A2" w:rsidRDefault="000323A2" w:rsidP="000323A2">
      <w:pPr>
        <w:numPr>
          <w:ilvl w:val="12"/>
          <w:numId w:val="0"/>
        </w:numPr>
        <w:spacing w:before="240" w:after="0" w:line="276" w:lineRule="auto"/>
        <w:jc w:val="both"/>
        <w:rPr>
          <w:rFonts w:ascii="Arial" w:eastAsia="Calibri" w:hAnsi="Arial" w:cs="Arial"/>
          <w:lang w:eastAsia="es-ES"/>
        </w:rPr>
      </w:pPr>
      <w:r w:rsidRPr="000323A2">
        <w:rPr>
          <w:rFonts w:ascii="Arial" w:eastAsia="Calibri" w:hAnsi="Arial" w:cs="Arial"/>
          <w:lang w:eastAsia="es-ES"/>
        </w:rPr>
        <w:t xml:space="preserve">Las solicitudes serán válidas y exigibles en el momento que Telmex entregue el número de referencia asociado a cada servicio, lo cual sucederá en un plazo máximo de 2 (dos) días hábiles posteriores a la recepción de las solicitudes. </w:t>
      </w:r>
    </w:p>
    <w:p w14:paraId="332ECD61" w14:textId="77777777" w:rsidR="000323A2" w:rsidRPr="000323A2" w:rsidRDefault="000323A2" w:rsidP="000323A2">
      <w:pPr>
        <w:tabs>
          <w:tab w:val="num" w:pos="0"/>
        </w:tabs>
        <w:spacing w:before="240" w:after="0" w:line="276" w:lineRule="auto"/>
        <w:jc w:val="both"/>
        <w:rPr>
          <w:rFonts w:ascii="Arial" w:eastAsia="Calibri" w:hAnsi="Arial" w:cs="Arial"/>
          <w:b/>
          <w:lang w:val="es-ES" w:eastAsia="es-ES"/>
        </w:rPr>
      </w:pPr>
      <w:r w:rsidRPr="000323A2">
        <w:rPr>
          <w:rFonts w:ascii="Arial" w:eastAsia="Calibri" w:hAnsi="Arial" w:cs="Arial"/>
          <w:b/>
          <w:lang w:val="es-ES" w:eastAsia="es-ES"/>
        </w:rPr>
        <w:t>Plazos de entrega</w:t>
      </w:r>
    </w:p>
    <w:p w14:paraId="2589C91F" w14:textId="77777777" w:rsidR="000323A2" w:rsidRPr="000323A2" w:rsidRDefault="000323A2" w:rsidP="000323A2">
      <w:pPr>
        <w:tabs>
          <w:tab w:val="num" w:pos="0"/>
        </w:tabs>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 xml:space="preserve">Los plazos de entrega indicados en la tabla siguiente, no podrán excederse en: </w:t>
      </w:r>
    </w:p>
    <w:p w14:paraId="31F57DA8" w14:textId="77777777" w:rsidR="000323A2" w:rsidRPr="000323A2" w:rsidRDefault="000323A2" w:rsidP="000323A2">
      <w:pPr>
        <w:spacing w:before="240" w:after="0" w:line="276" w:lineRule="auto"/>
        <w:ind w:left="360"/>
        <w:jc w:val="both"/>
        <w:rPr>
          <w:rFonts w:ascii="Arial" w:eastAsia="Calibri" w:hAnsi="Arial" w:cs="Arial"/>
          <w:lang w:eastAsia="es-ES"/>
        </w:rPr>
      </w:pPr>
      <w:r w:rsidRPr="000323A2">
        <w:rPr>
          <w:rFonts w:ascii="Arial" w:eastAsia="Calibri" w:hAnsi="Arial" w:cs="Arial"/>
          <w:lang w:eastAsia="es-ES"/>
        </w:rPr>
        <w:lastRenderedPageBreak/>
        <w:t>1)</w:t>
      </w:r>
      <w:r w:rsidRPr="000323A2">
        <w:rPr>
          <w:rFonts w:ascii="Arial" w:eastAsia="Calibri" w:hAnsi="Arial" w:cs="Arial"/>
          <w:lang w:eastAsia="es-ES"/>
        </w:rPr>
        <w:tab/>
        <w:t>El 85% (ochenta y cinco por ciento) de las solicitudes que se realicen dentro de pronóstico y el restante en el doble del plazo señalado hasta llegar al 100% (cien por ciento).</w:t>
      </w:r>
    </w:p>
    <w:p w14:paraId="31E2763E" w14:textId="77777777" w:rsidR="000323A2" w:rsidRPr="000323A2" w:rsidRDefault="000323A2" w:rsidP="008367DF">
      <w:pPr>
        <w:spacing w:before="240" w:after="240" w:line="276" w:lineRule="auto"/>
        <w:ind w:left="360"/>
        <w:jc w:val="both"/>
        <w:rPr>
          <w:rFonts w:ascii="Arial" w:eastAsia="Calibri" w:hAnsi="Arial" w:cs="Arial"/>
          <w:lang w:eastAsia="es-ES"/>
        </w:rPr>
      </w:pPr>
      <w:r w:rsidRPr="000323A2">
        <w:rPr>
          <w:rFonts w:ascii="Arial" w:eastAsia="Calibri" w:hAnsi="Arial" w:cs="Arial"/>
          <w:lang w:eastAsia="es-ES"/>
        </w:rPr>
        <w:t>2)</w:t>
      </w:r>
      <w:r w:rsidRPr="000323A2">
        <w:rPr>
          <w:rFonts w:ascii="Arial" w:eastAsia="Calibri" w:hAnsi="Arial" w:cs="Arial"/>
          <w:lang w:eastAsia="es-ES"/>
        </w:rPr>
        <w:tab/>
        <w:t xml:space="preserve">Para las contrataciones que se realicen fuera de pronóstico, el 50% (cincuenta por ciento) de las solicitudes y el doble del plazo señalado para el remanente de solicitudes hasta llegar al 100% (cien por ciento). </w:t>
      </w:r>
    </w:p>
    <w:tbl>
      <w:tblPr>
        <w:tblStyle w:val="Tablaconcuadrcula"/>
        <w:tblW w:w="7915" w:type="dxa"/>
        <w:jc w:val="center"/>
        <w:tblLayout w:type="fixed"/>
        <w:tblLook w:val="0000" w:firstRow="0" w:lastRow="0" w:firstColumn="0" w:lastColumn="0" w:noHBand="0" w:noVBand="0"/>
        <w:tblCaption w:val="Tabla"/>
        <w:tblDescription w:val="Denominación y capacidad"/>
      </w:tblPr>
      <w:tblGrid>
        <w:gridCol w:w="1838"/>
        <w:gridCol w:w="2268"/>
        <w:gridCol w:w="2126"/>
        <w:gridCol w:w="1683"/>
      </w:tblGrid>
      <w:tr w:rsidR="008367DF" w:rsidRPr="000323A2" w14:paraId="1D8A1E75" w14:textId="77777777" w:rsidTr="008367DF">
        <w:trPr>
          <w:tblHeader/>
          <w:jc w:val="center"/>
        </w:trPr>
        <w:tc>
          <w:tcPr>
            <w:tcW w:w="1838" w:type="dxa"/>
            <w:vAlign w:val="center"/>
          </w:tcPr>
          <w:p w14:paraId="64C07608" w14:textId="77777777" w:rsidR="008367DF" w:rsidRPr="000323A2" w:rsidRDefault="008367DF" w:rsidP="008367DF">
            <w:pPr>
              <w:autoSpaceDE w:val="0"/>
              <w:autoSpaceDN w:val="0"/>
              <w:adjustRightInd w:val="0"/>
              <w:spacing w:line="276" w:lineRule="auto"/>
              <w:jc w:val="center"/>
              <w:rPr>
                <w:rFonts w:ascii="Arial" w:hAnsi="Arial" w:cs="Arial"/>
                <w:b/>
                <w:bCs/>
                <w:sz w:val="18"/>
                <w:szCs w:val="18"/>
              </w:rPr>
            </w:pPr>
            <w:r w:rsidRPr="000323A2">
              <w:rPr>
                <w:rFonts w:ascii="Arial" w:hAnsi="Arial" w:cs="Arial"/>
                <w:b/>
                <w:bCs/>
                <w:lang w:val="es-ES"/>
              </w:rPr>
              <w:t>Denominación</w:t>
            </w:r>
          </w:p>
        </w:tc>
        <w:tc>
          <w:tcPr>
            <w:tcW w:w="2268" w:type="dxa"/>
            <w:vAlign w:val="center"/>
          </w:tcPr>
          <w:p w14:paraId="467CFE60" w14:textId="7FD4A562" w:rsidR="008367DF" w:rsidRPr="000323A2" w:rsidRDefault="008367DF" w:rsidP="008367DF">
            <w:pPr>
              <w:autoSpaceDE w:val="0"/>
              <w:autoSpaceDN w:val="0"/>
              <w:adjustRightInd w:val="0"/>
              <w:spacing w:line="276" w:lineRule="auto"/>
              <w:jc w:val="center"/>
              <w:rPr>
                <w:rFonts w:ascii="Arial" w:hAnsi="Arial" w:cs="Arial"/>
                <w:b/>
                <w:bCs/>
                <w:sz w:val="18"/>
                <w:szCs w:val="18"/>
              </w:rPr>
            </w:pPr>
            <w:r w:rsidRPr="000323A2">
              <w:rPr>
                <w:rFonts w:ascii="Arial" w:hAnsi="Arial" w:cs="Arial"/>
                <w:b/>
                <w:bCs/>
                <w:lang w:val="es-ES"/>
              </w:rPr>
              <w:t>Capacidad</w:t>
            </w:r>
          </w:p>
        </w:tc>
        <w:tc>
          <w:tcPr>
            <w:tcW w:w="2126" w:type="dxa"/>
            <w:vAlign w:val="center"/>
          </w:tcPr>
          <w:p w14:paraId="4467744A" w14:textId="77777777" w:rsidR="008367DF" w:rsidRDefault="008367DF" w:rsidP="008367DF">
            <w:pPr>
              <w:autoSpaceDE w:val="0"/>
              <w:autoSpaceDN w:val="0"/>
              <w:adjustRightInd w:val="0"/>
              <w:spacing w:line="276" w:lineRule="auto"/>
              <w:jc w:val="center"/>
              <w:rPr>
                <w:rFonts w:ascii="Arial" w:hAnsi="Arial" w:cs="Arial"/>
                <w:b/>
                <w:bCs/>
                <w:sz w:val="18"/>
                <w:szCs w:val="18"/>
              </w:rPr>
            </w:pPr>
            <w:r>
              <w:rPr>
                <w:rFonts w:ascii="Arial" w:hAnsi="Arial" w:cs="Arial"/>
                <w:b/>
                <w:bCs/>
                <w:sz w:val="18"/>
                <w:szCs w:val="18"/>
              </w:rPr>
              <w:t>Plazos máximos</w:t>
            </w:r>
          </w:p>
          <w:p w14:paraId="4437912D" w14:textId="21DA07BC" w:rsidR="008367DF" w:rsidRPr="000323A2" w:rsidRDefault="008367DF" w:rsidP="008367DF">
            <w:pPr>
              <w:autoSpaceDE w:val="0"/>
              <w:autoSpaceDN w:val="0"/>
              <w:adjustRightInd w:val="0"/>
              <w:spacing w:line="276" w:lineRule="auto"/>
              <w:jc w:val="center"/>
              <w:rPr>
                <w:rFonts w:ascii="Arial" w:hAnsi="Arial" w:cs="Arial"/>
                <w:b/>
                <w:bCs/>
                <w:sz w:val="18"/>
                <w:szCs w:val="18"/>
              </w:rPr>
            </w:pPr>
            <w:r w:rsidRPr="000323A2">
              <w:rPr>
                <w:rFonts w:ascii="Arial" w:hAnsi="Arial" w:cs="Arial"/>
                <w:b/>
                <w:bCs/>
                <w:sz w:val="18"/>
                <w:szCs w:val="18"/>
              </w:rPr>
              <w:t>Locales</w:t>
            </w:r>
          </w:p>
        </w:tc>
        <w:tc>
          <w:tcPr>
            <w:tcW w:w="1683" w:type="dxa"/>
            <w:vAlign w:val="center"/>
          </w:tcPr>
          <w:p w14:paraId="43B32296" w14:textId="5B365917" w:rsidR="008367DF" w:rsidRDefault="008367DF" w:rsidP="008367DF">
            <w:pPr>
              <w:autoSpaceDE w:val="0"/>
              <w:autoSpaceDN w:val="0"/>
              <w:adjustRightInd w:val="0"/>
              <w:spacing w:line="276" w:lineRule="auto"/>
              <w:jc w:val="center"/>
              <w:rPr>
                <w:rFonts w:ascii="Arial" w:hAnsi="Arial" w:cs="Arial"/>
                <w:b/>
                <w:bCs/>
                <w:sz w:val="18"/>
                <w:szCs w:val="18"/>
              </w:rPr>
            </w:pPr>
            <w:r>
              <w:rPr>
                <w:rFonts w:ascii="Arial" w:hAnsi="Arial" w:cs="Arial"/>
                <w:b/>
                <w:bCs/>
                <w:sz w:val="18"/>
                <w:szCs w:val="18"/>
              </w:rPr>
              <w:t>Plazos máximos</w:t>
            </w:r>
          </w:p>
          <w:p w14:paraId="22C93F32" w14:textId="71437381" w:rsidR="008367DF" w:rsidRPr="000323A2" w:rsidRDefault="008367DF" w:rsidP="008367DF">
            <w:pPr>
              <w:autoSpaceDE w:val="0"/>
              <w:autoSpaceDN w:val="0"/>
              <w:adjustRightInd w:val="0"/>
              <w:spacing w:line="276" w:lineRule="auto"/>
              <w:jc w:val="center"/>
              <w:rPr>
                <w:rFonts w:ascii="Arial" w:hAnsi="Arial" w:cs="Arial"/>
                <w:b/>
                <w:bCs/>
                <w:sz w:val="18"/>
                <w:szCs w:val="18"/>
              </w:rPr>
            </w:pPr>
            <w:r w:rsidRPr="000323A2">
              <w:rPr>
                <w:rFonts w:ascii="Arial" w:hAnsi="Arial" w:cs="Arial"/>
                <w:b/>
                <w:bCs/>
                <w:sz w:val="18"/>
                <w:szCs w:val="18"/>
              </w:rPr>
              <w:t>Entre Localidades/ Larga distancia</w:t>
            </w:r>
          </w:p>
        </w:tc>
      </w:tr>
      <w:tr w:rsidR="008367DF" w:rsidRPr="000323A2" w14:paraId="259FDCC2" w14:textId="77777777" w:rsidTr="008367DF">
        <w:trPr>
          <w:jc w:val="center"/>
        </w:trPr>
        <w:tc>
          <w:tcPr>
            <w:tcW w:w="1838" w:type="dxa"/>
          </w:tcPr>
          <w:p w14:paraId="56BF384F"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proofErr w:type="spellStart"/>
            <w:r w:rsidRPr="000323A2">
              <w:rPr>
                <w:rFonts w:ascii="Arial" w:hAnsi="Arial" w:cs="Arial"/>
                <w:sz w:val="18"/>
                <w:szCs w:val="18"/>
              </w:rPr>
              <w:t>Nx</w:t>
            </w:r>
            <w:proofErr w:type="spellEnd"/>
            <w:r w:rsidRPr="000323A2">
              <w:rPr>
                <w:rFonts w:ascii="Arial" w:hAnsi="Arial" w:cs="Arial"/>
                <w:sz w:val="18"/>
                <w:szCs w:val="18"/>
              </w:rPr>
              <w:t xml:space="preserve"> 64 kbps</w:t>
            </w:r>
          </w:p>
          <w:p w14:paraId="00E00552"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rPr>
              <w:t>(N=1,…,16)</w:t>
            </w:r>
          </w:p>
        </w:tc>
        <w:tc>
          <w:tcPr>
            <w:tcW w:w="2268" w:type="dxa"/>
          </w:tcPr>
          <w:p w14:paraId="2D38CD5E" w14:textId="04546F1C"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rPr>
              <w:t>64Kbps a 1024 Kbps</w:t>
            </w:r>
          </w:p>
        </w:tc>
        <w:tc>
          <w:tcPr>
            <w:tcW w:w="2126" w:type="dxa"/>
          </w:tcPr>
          <w:p w14:paraId="772B59ED"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13 días hábiles</w:t>
            </w:r>
          </w:p>
        </w:tc>
        <w:tc>
          <w:tcPr>
            <w:tcW w:w="1683" w:type="dxa"/>
          </w:tcPr>
          <w:p w14:paraId="5525C914"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18 días hábiles</w:t>
            </w:r>
          </w:p>
        </w:tc>
      </w:tr>
      <w:tr w:rsidR="008367DF" w:rsidRPr="000323A2" w14:paraId="55597FE6" w14:textId="77777777" w:rsidTr="008367DF">
        <w:trPr>
          <w:jc w:val="center"/>
        </w:trPr>
        <w:tc>
          <w:tcPr>
            <w:tcW w:w="1838" w:type="dxa"/>
          </w:tcPr>
          <w:p w14:paraId="00E4C5D0"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rPr>
              <w:t>E1</w:t>
            </w:r>
          </w:p>
        </w:tc>
        <w:tc>
          <w:tcPr>
            <w:tcW w:w="2268" w:type="dxa"/>
          </w:tcPr>
          <w:p w14:paraId="63856D0A" w14:textId="7CC4C9A8"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rPr>
              <w:t>2.048 Mbps</w:t>
            </w:r>
          </w:p>
        </w:tc>
        <w:tc>
          <w:tcPr>
            <w:tcW w:w="2126" w:type="dxa"/>
          </w:tcPr>
          <w:p w14:paraId="10B5067B"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13 días hábiles</w:t>
            </w:r>
          </w:p>
        </w:tc>
        <w:tc>
          <w:tcPr>
            <w:tcW w:w="1683" w:type="dxa"/>
          </w:tcPr>
          <w:p w14:paraId="0BC66691"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18 días hábiles</w:t>
            </w:r>
          </w:p>
        </w:tc>
      </w:tr>
      <w:tr w:rsidR="008367DF" w:rsidRPr="000323A2" w14:paraId="05DB9A70" w14:textId="77777777" w:rsidTr="008367DF">
        <w:trPr>
          <w:jc w:val="center"/>
        </w:trPr>
        <w:tc>
          <w:tcPr>
            <w:tcW w:w="1838" w:type="dxa"/>
          </w:tcPr>
          <w:p w14:paraId="658C6F5F"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rPr>
              <w:t>E2</w:t>
            </w:r>
          </w:p>
        </w:tc>
        <w:tc>
          <w:tcPr>
            <w:tcW w:w="2268" w:type="dxa"/>
          </w:tcPr>
          <w:p w14:paraId="57998107" w14:textId="5A4C452A"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rPr>
              <w:t>8.448 Mbps</w:t>
            </w:r>
          </w:p>
        </w:tc>
        <w:tc>
          <w:tcPr>
            <w:tcW w:w="2126" w:type="dxa"/>
          </w:tcPr>
          <w:p w14:paraId="36F7CA80"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13 días hábiles</w:t>
            </w:r>
          </w:p>
        </w:tc>
        <w:tc>
          <w:tcPr>
            <w:tcW w:w="1683" w:type="dxa"/>
          </w:tcPr>
          <w:p w14:paraId="5B206BFC"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18 días hábiles</w:t>
            </w:r>
          </w:p>
        </w:tc>
      </w:tr>
      <w:tr w:rsidR="008367DF" w:rsidRPr="000323A2" w14:paraId="0F627E04" w14:textId="77777777" w:rsidTr="008367DF">
        <w:trPr>
          <w:jc w:val="center"/>
        </w:trPr>
        <w:tc>
          <w:tcPr>
            <w:tcW w:w="1838" w:type="dxa"/>
          </w:tcPr>
          <w:p w14:paraId="54C05FC7"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rPr>
              <w:t>E3</w:t>
            </w:r>
          </w:p>
        </w:tc>
        <w:tc>
          <w:tcPr>
            <w:tcW w:w="2268" w:type="dxa"/>
          </w:tcPr>
          <w:p w14:paraId="73272BC2" w14:textId="790B469A"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rPr>
              <w:t>34.368 Mbps</w:t>
            </w:r>
          </w:p>
        </w:tc>
        <w:tc>
          <w:tcPr>
            <w:tcW w:w="2126" w:type="dxa"/>
          </w:tcPr>
          <w:p w14:paraId="40C6A2D8"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21 días hábiles</w:t>
            </w:r>
          </w:p>
        </w:tc>
        <w:tc>
          <w:tcPr>
            <w:tcW w:w="1683" w:type="dxa"/>
          </w:tcPr>
          <w:p w14:paraId="1F620B91"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35 días hábiles</w:t>
            </w:r>
          </w:p>
        </w:tc>
      </w:tr>
      <w:tr w:rsidR="008367DF" w:rsidRPr="000323A2" w14:paraId="1D067410" w14:textId="77777777" w:rsidTr="008367DF">
        <w:trPr>
          <w:jc w:val="center"/>
        </w:trPr>
        <w:tc>
          <w:tcPr>
            <w:tcW w:w="1838" w:type="dxa"/>
          </w:tcPr>
          <w:p w14:paraId="508905BE"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rPr>
              <w:t>E4</w:t>
            </w:r>
          </w:p>
        </w:tc>
        <w:tc>
          <w:tcPr>
            <w:tcW w:w="2268" w:type="dxa"/>
          </w:tcPr>
          <w:p w14:paraId="33AE1CE5" w14:textId="69F28EDC"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139.264 Mbps</w:t>
            </w:r>
          </w:p>
        </w:tc>
        <w:tc>
          <w:tcPr>
            <w:tcW w:w="2126" w:type="dxa"/>
          </w:tcPr>
          <w:p w14:paraId="399752FC"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21 días hábiles</w:t>
            </w:r>
          </w:p>
        </w:tc>
        <w:tc>
          <w:tcPr>
            <w:tcW w:w="1683" w:type="dxa"/>
          </w:tcPr>
          <w:p w14:paraId="7D57668F"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35 días hábiles</w:t>
            </w:r>
          </w:p>
        </w:tc>
      </w:tr>
      <w:tr w:rsidR="008367DF" w:rsidRPr="000323A2" w14:paraId="44882695" w14:textId="77777777" w:rsidTr="008367DF">
        <w:trPr>
          <w:jc w:val="center"/>
        </w:trPr>
        <w:tc>
          <w:tcPr>
            <w:tcW w:w="1838" w:type="dxa"/>
          </w:tcPr>
          <w:p w14:paraId="1B9F43E2"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STM-1</w:t>
            </w:r>
          </w:p>
        </w:tc>
        <w:tc>
          <w:tcPr>
            <w:tcW w:w="2268" w:type="dxa"/>
          </w:tcPr>
          <w:p w14:paraId="47FC062C" w14:textId="00FEDD42"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155.52 Mbps</w:t>
            </w:r>
          </w:p>
        </w:tc>
        <w:tc>
          <w:tcPr>
            <w:tcW w:w="2126" w:type="dxa"/>
          </w:tcPr>
          <w:p w14:paraId="2A85B45B"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21 días hábiles</w:t>
            </w:r>
          </w:p>
        </w:tc>
        <w:tc>
          <w:tcPr>
            <w:tcW w:w="1683" w:type="dxa"/>
          </w:tcPr>
          <w:p w14:paraId="6664CFE3"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35 días hábiles</w:t>
            </w:r>
          </w:p>
        </w:tc>
      </w:tr>
      <w:tr w:rsidR="008367DF" w:rsidRPr="000323A2" w14:paraId="1E7F7BA6" w14:textId="77777777" w:rsidTr="008367DF">
        <w:trPr>
          <w:jc w:val="center"/>
        </w:trPr>
        <w:tc>
          <w:tcPr>
            <w:tcW w:w="1838" w:type="dxa"/>
          </w:tcPr>
          <w:p w14:paraId="363D0A48"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STM-4</w:t>
            </w:r>
          </w:p>
        </w:tc>
        <w:tc>
          <w:tcPr>
            <w:tcW w:w="2268" w:type="dxa"/>
          </w:tcPr>
          <w:p w14:paraId="5EC03210" w14:textId="227FE29E"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622.08 Mbps</w:t>
            </w:r>
          </w:p>
        </w:tc>
        <w:tc>
          <w:tcPr>
            <w:tcW w:w="2126" w:type="dxa"/>
          </w:tcPr>
          <w:p w14:paraId="0E4D7BB6"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c>
          <w:tcPr>
            <w:tcW w:w="1683" w:type="dxa"/>
          </w:tcPr>
          <w:p w14:paraId="4D8FBE2C"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r>
      <w:tr w:rsidR="008367DF" w:rsidRPr="000323A2" w14:paraId="26262B93" w14:textId="77777777" w:rsidTr="008367DF">
        <w:trPr>
          <w:jc w:val="center"/>
        </w:trPr>
        <w:tc>
          <w:tcPr>
            <w:tcW w:w="1838" w:type="dxa"/>
          </w:tcPr>
          <w:p w14:paraId="1BB744BB"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STM-16</w:t>
            </w:r>
          </w:p>
        </w:tc>
        <w:tc>
          <w:tcPr>
            <w:tcW w:w="2268" w:type="dxa"/>
          </w:tcPr>
          <w:p w14:paraId="60D480F7" w14:textId="7BE7B50B"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2,488.32 Mbps</w:t>
            </w:r>
          </w:p>
        </w:tc>
        <w:tc>
          <w:tcPr>
            <w:tcW w:w="2126" w:type="dxa"/>
          </w:tcPr>
          <w:p w14:paraId="53646510"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c>
          <w:tcPr>
            <w:tcW w:w="1683" w:type="dxa"/>
          </w:tcPr>
          <w:p w14:paraId="4D85EEC7"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r>
      <w:tr w:rsidR="008367DF" w:rsidRPr="000323A2" w14:paraId="272B74B2" w14:textId="77777777" w:rsidTr="008367DF">
        <w:trPr>
          <w:jc w:val="center"/>
        </w:trPr>
        <w:tc>
          <w:tcPr>
            <w:tcW w:w="1838" w:type="dxa"/>
          </w:tcPr>
          <w:p w14:paraId="216273BB"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STM-64</w:t>
            </w:r>
          </w:p>
        </w:tc>
        <w:tc>
          <w:tcPr>
            <w:tcW w:w="2268" w:type="dxa"/>
          </w:tcPr>
          <w:p w14:paraId="58FE91CB" w14:textId="0087A20E"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9,953.28 Mbps</w:t>
            </w:r>
          </w:p>
        </w:tc>
        <w:tc>
          <w:tcPr>
            <w:tcW w:w="2126" w:type="dxa"/>
          </w:tcPr>
          <w:p w14:paraId="392BEFD0"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c>
          <w:tcPr>
            <w:tcW w:w="1683" w:type="dxa"/>
          </w:tcPr>
          <w:p w14:paraId="659BDAF2"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r>
      <w:tr w:rsidR="008367DF" w:rsidRPr="000323A2" w14:paraId="12235F8F" w14:textId="77777777" w:rsidTr="008367DF">
        <w:trPr>
          <w:jc w:val="center"/>
        </w:trPr>
        <w:tc>
          <w:tcPr>
            <w:tcW w:w="1838" w:type="dxa"/>
          </w:tcPr>
          <w:p w14:paraId="49289107"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STM-256</w:t>
            </w:r>
          </w:p>
        </w:tc>
        <w:tc>
          <w:tcPr>
            <w:tcW w:w="2268" w:type="dxa"/>
          </w:tcPr>
          <w:p w14:paraId="34509482" w14:textId="0BD1B745"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39,813.12 Mbps</w:t>
            </w:r>
          </w:p>
        </w:tc>
        <w:tc>
          <w:tcPr>
            <w:tcW w:w="2126" w:type="dxa"/>
          </w:tcPr>
          <w:p w14:paraId="125E0656"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c>
          <w:tcPr>
            <w:tcW w:w="1683" w:type="dxa"/>
          </w:tcPr>
          <w:p w14:paraId="3C25D32E"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r>
      <w:tr w:rsidR="008367DF" w:rsidRPr="000323A2" w14:paraId="47DC05EA" w14:textId="77777777" w:rsidTr="008367DF">
        <w:trPr>
          <w:jc w:val="center"/>
        </w:trPr>
        <w:tc>
          <w:tcPr>
            <w:tcW w:w="1838" w:type="dxa"/>
          </w:tcPr>
          <w:p w14:paraId="7215AE3D" w14:textId="7777777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Ethernet</w:t>
            </w:r>
          </w:p>
        </w:tc>
        <w:tc>
          <w:tcPr>
            <w:tcW w:w="2268" w:type="dxa"/>
          </w:tcPr>
          <w:p w14:paraId="44CA4A54" w14:textId="056658A7" w:rsidR="008367DF" w:rsidRPr="000323A2" w:rsidRDefault="008367DF" w:rsidP="008367DF">
            <w:pPr>
              <w:autoSpaceDE w:val="0"/>
              <w:autoSpaceDN w:val="0"/>
              <w:adjustRightInd w:val="0"/>
              <w:spacing w:line="276" w:lineRule="auto"/>
              <w:jc w:val="center"/>
              <w:rPr>
                <w:rFonts w:ascii="Arial" w:hAnsi="Arial" w:cs="Arial"/>
                <w:sz w:val="18"/>
                <w:szCs w:val="18"/>
                <w:lang w:val="en-US"/>
              </w:rPr>
            </w:pPr>
            <w:r w:rsidRPr="000323A2">
              <w:rPr>
                <w:rFonts w:ascii="Arial" w:hAnsi="Arial" w:cs="Arial"/>
                <w:sz w:val="18"/>
                <w:szCs w:val="18"/>
                <w:lang w:val="en-US"/>
              </w:rPr>
              <w:t xml:space="preserve">2 Mbps a 100 </w:t>
            </w:r>
            <w:proofErr w:type="spellStart"/>
            <w:r w:rsidRPr="000323A2">
              <w:rPr>
                <w:rFonts w:ascii="Arial" w:hAnsi="Arial" w:cs="Arial"/>
                <w:sz w:val="18"/>
                <w:szCs w:val="18"/>
                <w:lang w:val="en-US"/>
              </w:rPr>
              <w:t>Gbps</w:t>
            </w:r>
            <w:proofErr w:type="spellEnd"/>
          </w:p>
        </w:tc>
        <w:tc>
          <w:tcPr>
            <w:tcW w:w="2126" w:type="dxa"/>
          </w:tcPr>
          <w:p w14:paraId="1F924F36"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c>
          <w:tcPr>
            <w:tcW w:w="1683" w:type="dxa"/>
          </w:tcPr>
          <w:p w14:paraId="4AF58429" w14:textId="77777777" w:rsidR="008367DF" w:rsidRPr="000323A2" w:rsidRDefault="008367DF" w:rsidP="008367DF">
            <w:pPr>
              <w:autoSpaceDE w:val="0"/>
              <w:autoSpaceDN w:val="0"/>
              <w:adjustRightInd w:val="0"/>
              <w:spacing w:line="276" w:lineRule="auto"/>
              <w:jc w:val="center"/>
              <w:rPr>
                <w:rFonts w:ascii="Arial" w:hAnsi="Arial" w:cs="Arial"/>
                <w:sz w:val="18"/>
                <w:szCs w:val="18"/>
              </w:rPr>
            </w:pPr>
            <w:r w:rsidRPr="000323A2">
              <w:rPr>
                <w:rFonts w:ascii="Arial" w:hAnsi="Arial" w:cs="Arial"/>
                <w:bCs/>
              </w:rPr>
              <w:t>60 días hábiles</w:t>
            </w:r>
          </w:p>
        </w:tc>
      </w:tr>
    </w:tbl>
    <w:p w14:paraId="3068D27F" w14:textId="77777777" w:rsidR="000323A2" w:rsidRPr="000323A2" w:rsidRDefault="000323A2" w:rsidP="000323A2">
      <w:pPr>
        <w:tabs>
          <w:tab w:val="num" w:pos="0"/>
        </w:tabs>
        <w:spacing w:before="240" w:after="0" w:line="276" w:lineRule="auto"/>
        <w:rPr>
          <w:rFonts w:ascii="Arial" w:eastAsia="Calibri" w:hAnsi="Arial" w:cs="Arial"/>
          <w:sz w:val="18"/>
          <w:szCs w:val="16"/>
          <w:lang w:eastAsia="es-ES"/>
        </w:rPr>
      </w:pPr>
      <w:r w:rsidRPr="000323A2">
        <w:rPr>
          <w:rFonts w:ascii="Arial" w:eastAsia="Calibri" w:hAnsi="Arial" w:cs="Arial"/>
          <w:sz w:val="18"/>
          <w:szCs w:val="16"/>
          <w:lang w:eastAsia="es-ES"/>
        </w:rPr>
        <w:t>NOTA: El enlace E2 se entrega en 4xE1 (capacidad equivalente del E2), el enlace E4 se entrega como STM-1 para la capacidad equivalente de E4 y el enlace STM-256 se entrega en su capacidad equivalente de 4xSTM-64.</w:t>
      </w:r>
    </w:p>
    <w:p w14:paraId="40600D2E" w14:textId="77777777" w:rsidR="000323A2" w:rsidRPr="000323A2" w:rsidRDefault="000323A2" w:rsidP="000323A2">
      <w:pPr>
        <w:spacing w:before="240" w:after="0" w:line="240" w:lineRule="auto"/>
        <w:jc w:val="both"/>
        <w:rPr>
          <w:rFonts w:ascii="Arial" w:eastAsia="Calibri" w:hAnsi="Arial" w:cs="Arial"/>
          <w:color w:val="0F0F0F"/>
          <w:sz w:val="24"/>
          <w:szCs w:val="24"/>
          <w:lang w:val="es-ES_tradnl" w:eastAsia="es-ES_tradnl"/>
        </w:rPr>
      </w:pPr>
      <w:r w:rsidRPr="000323A2">
        <w:rPr>
          <w:rFonts w:ascii="Arial" w:eastAsia="Calibri" w:hAnsi="Arial" w:cs="Arial"/>
          <w:sz w:val="24"/>
          <w:szCs w:val="24"/>
        </w:rPr>
        <w:t>Lo anterior sin perjuicio de lo establecido en las medidas DECIMOSEXTA y TRIGESIMA QUINTA en materia de equivalencia de insumos.</w:t>
      </w:r>
    </w:p>
    <w:p w14:paraId="3FE67CA5" w14:textId="77777777" w:rsidR="000323A2" w:rsidRPr="000323A2" w:rsidRDefault="000323A2" w:rsidP="000323A2">
      <w:p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En caso de que un Concesionario Solicitante o Autorizado Solicitante requiera la entrega del Servicio de Arrendamiento de Enlaces Dedicados en un punto donde previamente tenga contratado dicho servicio, los plazos de entrega aplicables serán los siguientes:</w:t>
      </w:r>
    </w:p>
    <w:p w14:paraId="0848A51B" w14:textId="77777777" w:rsidR="000323A2" w:rsidRPr="000323A2" w:rsidRDefault="000323A2" w:rsidP="00B04B36">
      <w:pPr>
        <w:numPr>
          <w:ilvl w:val="0"/>
          <w:numId w:val="17"/>
        </w:numPr>
        <w:spacing w:before="240" w:after="0" w:line="276" w:lineRule="auto"/>
        <w:ind w:right="758"/>
        <w:contextualSpacing/>
        <w:jc w:val="both"/>
        <w:rPr>
          <w:rFonts w:ascii="Arial" w:eastAsia="Calibri" w:hAnsi="Arial" w:cs="Arial"/>
          <w:lang w:val="es-ES" w:eastAsia="es-ES"/>
        </w:rPr>
      </w:pPr>
      <w:r w:rsidRPr="000323A2">
        <w:rPr>
          <w:rFonts w:ascii="Arial" w:eastAsia="Calibri" w:hAnsi="Arial" w:cs="Arial"/>
          <w:lang w:val="es-ES" w:eastAsia="es-ES"/>
        </w:rPr>
        <w:t xml:space="preserve">El 50% (cincuenta por ciento) del plazo original de entrega </w:t>
      </w:r>
      <w:r w:rsidRPr="000323A2">
        <w:rPr>
          <w:rFonts w:ascii="Arial" w:eastAsia="Calibri" w:hAnsi="Arial" w:cs="Arial"/>
        </w:rPr>
        <w:t xml:space="preserve">(tabla del numeral 2.4.1.1 de la Oferta) </w:t>
      </w:r>
      <w:r w:rsidRPr="000323A2">
        <w:rPr>
          <w:rFonts w:ascii="Arial" w:eastAsia="Calibri" w:hAnsi="Arial" w:cs="Arial"/>
          <w:lang w:val="es-ES" w:eastAsia="es-ES"/>
        </w:rPr>
        <w:t>cuando no se requiera la modificación del medio o del equipo de transmisión.</w:t>
      </w:r>
    </w:p>
    <w:p w14:paraId="65F2A425" w14:textId="77777777" w:rsidR="000323A2" w:rsidRPr="000323A2" w:rsidRDefault="000323A2" w:rsidP="00B04B36">
      <w:pPr>
        <w:numPr>
          <w:ilvl w:val="0"/>
          <w:numId w:val="17"/>
        </w:numPr>
        <w:spacing w:before="240" w:after="0" w:line="276" w:lineRule="auto"/>
        <w:ind w:right="758"/>
        <w:contextualSpacing/>
        <w:jc w:val="both"/>
        <w:rPr>
          <w:rFonts w:ascii="Arial" w:eastAsia="Calibri" w:hAnsi="Arial" w:cs="Arial"/>
          <w:lang w:val="es-ES" w:eastAsia="es-ES"/>
        </w:rPr>
      </w:pPr>
      <w:r w:rsidRPr="000323A2">
        <w:rPr>
          <w:rFonts w:ascii="Arial" w:eastAsia="Calibri" w:hAnsi="Arial" w:cs="Arial"/>
          <w:lang w:val="es-ES" w:eastAsia="es-ES"/>
        </w:rPr>
        <w:t xml:space="preserve">El 75% (setenta y cinco por ciento) del plazo original de entrega </w:t>
      </w:r>
      <w:r w:rsidRPr="000323A2">
        <w:rPr>
          <w:rFonts w:ascii="Arial" w:eastAsia="Calibri" w:hAnsi="Arial" w:cs="Arial"/>
        </w:rPr>
        <w:t xml:space="preserve">(tabla del numeral 2.4.1.1 de la Oferta) </w:t>
      </w:r>
      <w:r w:rsidRPr="000323A2">
        <w:rPr>
          <w:rFonts w:ascii="Arial" w:eastAsia="Calibri" w:hAnsi="Arial" w:cs="Arial"/>
          <w:lang w:val="es-ES" w:eastAsia="es-ES"/>
        </w:rPr>
        <w:t>cuando se requiera la modificación del medio o del equipo de transmisión.</w:t>
      </w:r>
    </w:p>
    <w:p w14:paraId="28900725" w14:textId="77777777" w:rsidR="000323A2" w:rsidRPr="000323A2" w:rsidRDefault="000323A2" w:rsidP="00B04B36">
      <w:pPr>
        <w:numPr>
          <w:ilvl w:val="0"/>
          <w:numId w:val="17"/>
        </w:numPr>
        <w:spacing w:before="240" w:after="0" w:line="276" w:lineRule="auto"/>
        <w:ind w:right="758"/>
        <w:contextualSpacing/>
        <w:jc w:val="both"/>
        <w:rPr>
          <w:rFonts w:ascii="Arial" w:eastAsia="Calibri" w:hAnsi="Arial" w:cs="Arial"/>
          <w:lang w:val="es-ES" w:eastAsia="es-ES"/>
        </w:rPr>
      </w:pPr>
      <w:r w:rsidRPr="000323A2">
        <w:rPr>
          <w:rFonts w:ascii="Arial" w:eastAsia="Calibri" w:hAnsi="Arial" w:cs="Arial"/>
          <w:lang w:val="es-ES" w:eastAsia="es-ES"/>
        </w:rPr>
        <w:t>El 100% (cien por ciento) cuando se requiera la ampliación de los medios y de los equipos de transmisión.</w:t>
      </w:r>
    </w:p>
    <w:p w14:paraId="386ED8E7" w14:textId="77777777" w:rsidR="000323A2" w:rsidRPr="000323A2" w:rsidRDefault="000323A2" w:rsidP="000323A2">
      <w:p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lastRenderedPageBreak/>
        <w:t>La fracción del día que en su caso resulte de la división del plazo de entrega, computará como un día completo.</w:t>
      </w:r>
    </w:p>
    <w:p w14:paraId="0F83F42E"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Una vez entregado el servicio, éste se validará a través de la suscripción de un Acta de Entrega, en la cual deberá quedar asentado la aceptación del servicio por parte del Concesionario Solicitante o Autorizado Solicitante, de conformidad con el Anexo “A” de la presente Oferta.</w:t>
      </w:r>
    </w:p>
    <w:p w14:paraId="543B4F84" w14:textId="77777777" w:rsidR="000323A2" w:rsidRPr="000323A2" w:rsidRDefault="000323A2" w:rsidP="000323A2">
      <w:p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Para los casos en que el Concesionario Solicitante o Autorizado Solicitante requiera Enlaces de manera anticipada (tiempos de entrega menores a los señalados en la tabla del numeral 2.4.1.1 de la Oferta), Telmex responderá a esta petición en un plazo máximo de 2 (dos) días hábiles a partir de la Fecha de Solicitud; en caso de respuesta negativa se indicarán las causas, en caso de ser afirmativa, se incluirán también los cargos que este tipo de solicitud generen adicionales a los gastos de instalación convencional; estos cargos adicionales serán equivalentes al doble de los gastos de instalación correspondientes a cada tipo de Enlace Una vez realizada la aceptación y pago por parte del Concesionario Solicitante o Autorizado Solicitante o Autorizado Solicitante se iniciará el conteo del tiempo de entrega acordado entre el Concesionario Solicitante o Autorizado Solicitante y Telmex, el cual no podrá exceder de la mitad de los tiempos señalados en la tabla del numeral 2.4.1.1,  y deberá cumplirse al 100% (cien por ciento) de los casos.</w:t>
      </w:r>
    </w:p>
    <w:p w14:paraId="02666DBF" w14:textId="77777777" w:rsidR="000323A2" w:rsidRPr="000323A2" w:rsidRDefault="000323A2" w:rsidP="000323A2">
      <w:p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En el caso de los enlaces para larga distancia internacional se debe considerar la instalación en dos partes, la primera correspondiente al enlace en el área de concesión de Telmex hasta la frontera cuyo plazo no podrá exceder lo establecido en la tabla de tiempos de entrega del presente numeral y el segundo tramo correspondiente al enlace suministrado por el operador internacional cuyo plazo será proporcionado por el mismo.</w:t>
      </w:r>
    </w:p>
    <w:p w14:paraId="2E8CF65B" w14:textId="77777777" w:rsidR="000323A2" w:rsidRPr="000323A2" w:rsidRDefault="000323A2" w:rsidP="000323A2">
      <w:pPr>
        <w:numPr>
          <w:ilvl w:val="12"/>
          <w:numId w:val="0"/>
        </w:num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El Concesionario Solicitante o Autorizado Solicitante podrá cancelar los servicios solicitados sin cargo alguno, siempre y cuando dicha cancelación se efectúe antes que le sea notificada la fecha de entrega vinculante. En caso de que la cancelación se realice con posterioridad</w:t>
      </w:r>
      <w:r w:rsidRPr="000323A2" w:rsidDel="00B23EE6">
        <w:rPr>
          <w:rFonts w:ascii="Arial" w:eastAsia="Calibri" w:hAnsi="Arial" w:cs="Arial"/>
          <w:lang w:val="es-ES" w:eastAsia="es-ES"/>
        </w:rPr>
        <w:t xml:space="preserve"> </w:t>
      </w:r>
      <w:r w:rsidRPr="000323A2">
        <w:rPr>
          <w:rFonts w:ascii="Arial" w:eastAsia="Calibri" w:hAnsi="Arial" w:cs="Arial"/>
          <w:lang w:val="es-ES" w:eastAsia="es-ES"/>
        </w:rPr>
        <w:t>al plazo anteriormente señalado, el Concesionario Solicitante o Autorizado Solicitante pagará a Telmex los Gastos de Instalación correspondientes, en términos de lo estipulado en el Anexo “A” del Convenio.</w:t>
      </w:r>
    </w:p>
    <w:p w14:paraId="70D3BCDA" w14:textId="77777777" w:rsidR="000323A2" w:rsidRPr="000323A2" w:rsidRDefault="000323A2" w:rsidP="000323A2">
      <w:pPr>
        <w:numPr>
          <w:ilvl w:val="12"/>
          <w:numId w:val="0"/>
        </w:numPr>
        <w:spacing w:before="240" w:after="0" w:line="276" w:lineRule="auto"/>
        <w:ind w:right="20"/>
        <w:jc w:val="both"/>
        <w:rPr>
          <w:rFonts w:ascii="Arial" w:eastAsia="Calibri" w:hAnsi="Arial" w:cs="Arial"/>
          <w:lang w:val="es-ES" w:eastAsia="es-ES"/>
        </w:rPr>
      </w:pPr>
      <w:r w:rsidRPr="000323A2">
        <w:rPr>
          <w:rFonts w:ascii="Arial" w:eastAsia="Calibri" w:hAnsi="Arial" w:cs="Arial"/>
          <w:lang w:val="es-ES" w:eastAsia="es-ES"/>
        </w:rPr>
        <w:t>En caso de que las partes acuerden una fecha compromiso (</w:t>
      </w:r>
      <w:proofErr w:type="spellStart"/>
      <w:r w:rsidRPr="000323A2">
        <w:rPr>
          <w:rFonts w:ascii="Arial" w:eastAsia="Calibri" w:hAnsi="Arial" w:cs="Arial"/>
          <w:lang w:val="es-ES" w:eastAsia="es-ES"/>
        </w:rPr>
        <w:t>Due</w:t>
      </w:r>
      <w:proofErr w:type="spellEnd"/>
      <w:r w:rsidRPr="000323A2">
        <w:rPr>
          <w:rFonts w:ascii="Arial" w:eastAsia="Calibri" w:hAnsi="Arial" w:cs="Arial"/>
          <w:lang w:val="es-ES" w:eastAsia="es-ES"/>
        </w:rPr>
        <w:t xml:space="preserve"> Date) con un plazo mayor a los señalados en la tabla de tiempos de entrega del presente numeral, prevalecerá la fecha acordada,</w:t>
      </w:r>
      <w:r w:rsidRPr="000323A2">
        <w:rPr>
          <w:rFonts w:ascii="Arial" w:eastAsia="Calibri" w:hAnsi="Arial" w:cs="Arial"/>
          <w:sz w:val="24"/>
          <w:szCs w:val="24"/>
        </w:rPr>
        <w:t xml:space="preserve"> misma que estará sujeta a los plazos máximos descritos en el segundo párrafo del numeral 2.4.3.5.</w:t>
      </w:r>
    </w:p>
    <w:p w14:paraId="0600E618" w14:textId="77777777" w:rsidR="000323A2" w:rsidRPr="000323A2" w:rsidRDefault="000323A2" w:rsidP="000323A2">
      <w:pPr>
        <w:numPr>
          <w:ilvl w:val="12"/>
          <w:numId w:val="0"/>
        </w:numPr>
        <w:spacing w:before="240" w:after="0" w:line="276" w:lineRule="auto"/>
        <w:ind w:right="20"/>
        <w:jc w:val="both"/>
        <w:rPr>
          <w:rFonts w:ascii="Arial" w:eastAsia="Calibri" w:hAnsi="Arial" w:cs="Arial"/>
          <w:b/>
          <w:lang w:val="es-ES" w:eastAsia="es-ES"/>
        </w:rPr>
      </w:pPr>
      <w:r w:rsidRPr="000323A2">
        <w:rPr>
          <w:rFonts w:ascii="Arial" w:eastAsia="Calibri" w:hAnsi="Arial" w:cs="Arial"/>
          <w:b/>
          <w:lang w:val="es-ES" w:eastAsia="es-ES"/>
        </w:rPr>
        <w:t>Reprogramación o modificación de fecha de entrega vinculante</w:t>
      </w:r>
    </w:p>
    <w:p w14:paraId="6B87D399" w14:textId="77777777" w:rsidR="000323A2" w:rsidRPr="000323A2" w:rsidRDefault="000323A2" w:rsidP="000323A2">
      <w:pPr>
        <w:widowControl w:val="0"/>
        <w:numPr>
          <w:ilvl w:val="12"/>
          <w:numId w:val="0"/>
        </w:numPr>
        <w:spacing w:before="240" w:after="0" w:line="276" w:lineRule="auto"/>
        <w:ind w:right="20"/>
        <w:jc w:val="both"/>
        <w:rPr>
          <w:rFonts w:ascii="Arial" w:eastAsia="Calibri" w:hAnsi="Arial" w:cs="Arial"/>
          <w:lang w:val="es-ES" w:eastAsia="es-ES"/>
        </w:rPr>
      </w:pPr>
      <w:r w:rsidRPr="000323A2">
        <w:rPr>
          <w:rFonts w:ascii="Arial" w:eastAsia="Calibri" w:hAnsi="Arial" w:cs="Arial"/>
          <w:lang w:val="es-ES" w:eastAsia="es-ES"/>
        </w:rPr>
        <w:t xml:space="preserve">El Concesionario Solicitante o Autorizado Solicitante podrá reprogramar o modificar la fecha de entrega vinculante antes de que Telmex haya informado que el servicio se encuentra </w:t>
      </w:r>
      <w:r w:rsidRPr="000323A2">
        <w:rPr>
          <w:rFonts w:ascii="Arial" w:eastAsia="Calibri" w:hAnsi="Arial" w:cs="Arial"/>
          <w:lang w:val="es-ES" w:eastAsia="es-ES"/>
        </w:rPr>
        <w:lastRenderedPageBreak/>
        <w:t>terminado y listo para realizar las pruebas y en los siguientes casos:</w:t>
      </w:r>
    </w:p>
    <w:p w14:paraId="54CD8D37" w14:textId="77777777" w:rsidR="000323A2" w:rsidRPr="000323A2" w:rsidRDefault="000323A2" w:rsidP="000323A2">
      <w:pPr>
        <w:widowControl w:val="0"/>
        <w:numPr>
          <w:ilvl w:val="12"/>
          <w:numId w:val="0"/>
        </w:numPr>
        <w:spacing w:before="240" w:after="0" w:line="276" w:lineRule="auto"/>
        <w:ind w:right="20"/>
        <w:jc w:val="both"/>
        <w:rPr>
          <w:rFonts w:ascii="Arial" w:eastAsia="Calibri" w:hAnsi="Arial" w:cs="Arial"/>
          <w:lang w:val="es-ES" w:eastAsia="es-ES"/>
        </w:rPr>
      </w:pPr>
      <w:r w:rsidRPr="000323A2">
        <w:rPr>
          <w:rFonts w:ascii="Arial" w:eastAsia="Calibri" w:hAnsi="Arial" w:cs="Arial"/>
          <w:lang w:val="es-ES" w:eastAsia="es-ES"/>
        </w:rPr>
        <w:t xml:space="preserve">Si la solicitud de reprogramación o modificación de la fecha de entrega vinculante es presentada antes de que Telmex proporcione dicha fecha vinculante, se reiniciará el conteo de los plazos de entrega y se aplicarán los criterios señalados en los incisos 1) y 2) del numeral 2.4.1.1 de la Oferta. </w:t>
      </w:r>
    </w:p>
    <w:p w14:paraId="6CAF61E7" w14:textId="77777777" w:rsidR="000323A2" w:rsidRPr="000323A2" w:rsidRDefault="000323A2" w:rsidP="000323A2">
      <w:pPr>
        <w:widowControl w:val="0"/>
        <w:spacing w:before="240" w:after="0" w:line="276" w:lineRule="auto"/>
        <w:ind w:right="20"/>
        <w:jc w:val="both"/>
        <w:rPr>
          <w:rFonts w:ascii="Arial" w:eastAsia="Calibri" w:hAnsi="Arial" w:cs="Arial"/>
          <w:lang w:val="es-ES" w:eastAsia="es-ES"/>
        </w:rPr>
      </w:pPr>
      <w:r w:rsidRPr="000323A2">
        <w:rPr>
          <w:rFonts w:ascii="Arial" w:eastAsia="Calibri" w:hAnsi="Arial" w:cs="Arial"/>
          <w:lang w:val="es-ES" w:eastAsia="es-ES"/>
        </w:rPr>
        <w:t xml:space="preserve">Si la solicitud de reprogramación o modificación de la fecha de entrega vinculante es presentada después de que Telmex proporcione dicha fecha vinculante, la fecha de reprogramación o modificación de entrega se acordará entre las partes y se garantizará un cumplimiento del 100% si la fecha reprogramada es posterior a la fecha de entrega vinculante previamente proporcionada por Telmex. </w:t>
      </w:r>
    </w:p>
    <w:p w14:paraId="1F4BBC7A"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Para el caso de reprogramación o modificación de fecha de entrega vinculante, los plazos de entrega sujetos a fecha compromiso no podrán exceder el doble de los plazos señalados en la tabla del numeral 2.4.1.1 de la Oferta, contados a partir de la fecha de la solicitud de reprogramación.</w:t>
      </w:r>
    </w:p>
    <w:p w14:paraId="378A5AFB" w14:textId="77777777" w:rsidR="000323A2" w:rsidRPr="000323A2" w:rsidRDefault="000323A2" w:rsidP="000323A2">
      <w:pPr>
        <w:tabs>
          <w:tab w:val="center" w:pos="1814"/>
          <w:tab w:val="center" w:pos="5216"/>
          <w:tab w:val="center" w:pos="9214"/>
        </w:tabs>
        <w:spacing w:before="240" w:after="0" w:line="276" w:lineRule="auto"/>
        <w:jc w:val="both"/>
        <w:rPr>
          <w:rFonts w:ascii="Arial" w:eastAsia="Calibri" w:hAnsi="Arial" w:cs="Arial"/>
          <w:b/>
          <w:szCs w:val="20"/>
          <w:lang w:val="es-ES" w:eastAsia="es-ES"/>
        </w:rPr>
      </w:pPr>
      <w:r w:rsidRPr="000323A2">
        <w:rPr>
          <w:rFonts w:ascii="Arial" w:eastAsia="Calibri" w:hAnsi="Arial" w:cs="Arial"/>
          <w:b/>
          <w:szCs w:val="20"/>
          <w:lang w:val="es-ES" w:eastAsia="es-ES"/>
        </w:rPr>
        <w:t>Medición del cumplimiento de los plazos de entrega</w:t>
      </w:r>
    </w:p>
    <w:p w14:paraId="51D10DAC" w14:textId="77777777" w:rsidR="000323A2" w:rsidRPr="000323A2" w:rsidRDefault="000323A2" w:rsidP="000323A2">
      <w:pPr>
        <w:tabs>
          <w:tab w:val="center" w:pos="1814"/>
          <w:tab w:val="center" w:pos="5216"/>
          <w:tab w:val="center" w:pos="9214"/>
        </w:tabs>
        <w:spacing w:before="240" w:after="0" w:line="276" w:lineRule="auto"/>
        <w:jc w:val="both"/>
        <w:rPr>
          <w:rFonts w:ascii="Arial" w:eastAsia="Calibri" w:hAnsi="Arial" w:cs="Arial"/>
          <w:szCs w:val="20"/>
          <w:lang w:val="es-ES" w:eastAsia="es-ES"/>
        </w:rPr>
      </w:pPr>
      <w:r w:rsidRPr="000323A2">
        <w:rPr>
          <w:rFonts w:ascii="Arial" w:eastAsia="Calibri" w:hAnsi="Arial" w:cs="Arial"/>
          <w:szCs w:val="20"/>
          <w:lang w:val="es-ES" w:eastAsia="es-ES"/>
        </w:rPr>
        <w:t>Para la medición del cumplimento de los plazos de entrega, Telmex habiendo demostrado fehacientemente el hecho del que se trate, no se computarán los días de retraso atribuibles a:</w:t>
      </w:r>
    </w:p>
    <w:p w14:paraId="5C066C0E" w14:textId="77777777" w:rsidR="000323A2" w:rsidRPr="000323A2" w:rsidRDefault="000323A2" w:rsidP="000323A2">
      <w:pPr>
        <w:spacing w:before="240" w:after="0" w:line="276" w:lineRule="auto"/>
        <w:ind w:left="67"/>
        <w:jc w:val="both"/>
        <w:rPr>
          <w:rFonts w:ascii="Arial" w:eastAsia="Calibri" w:hAnsi="Arial" w:cs="Arial"/>
          <w:lang w:val="es-ES" w:eastAsia="es-ES"/>
        </w:rPr>
      </w:pPr>
      <w:r w:rsidRPr="000323A2">
        <w:rPr>
          <w:rFonts w:ascii="Arial" w:eastAsia="Calibri" w:hAnsi="Arial" w:cs="Arial"/>
          <w:lang w:val="es-ES" w:eastAsia="es-ES"/>
        </w:rPr>
        <w:t>a) Causas</w:t>
      </w:r>
      <w:r w:rsidRPr="000323A2">
        <w:rPr>
          <w:rFonts w:ascii="Arial" w:eastAsia="Calibri" w:hAnsi="Arial" w:cs="Arial"/>
          <w:szCs w:val="20"/>
          <w:lang w:val="es-ES" w:eastAsia="es-ES"/>
        </w:rPr>
        <w:t xml:space="preserve"> de fuerza mayor </w:t>
      </w:r>
      <w:r w:rsidRPr="000323A2">
        <w:rPr>
          <w:rFonts w:ascii="Arial" w:eastAsia="Calibri" w:hAnsi="Arial" w:cs="Arial"/>
          <w:lang w:val="es-ES" w:eastAsia="es-ES"/>
        </w:rPr>
        <w:t>y casos fortuitos no imputables a Telmex ni al Concesionario Solicitante o Autorizado Solicitante</w:t>
      </w:r>
    </w:p>
    <w:p w14:paraId="7D6C367D" w14:textId="77777777" w:rsidR="000323A2" w:rsidRPr="000323A2" w:rsidRDefault="000323A2" w:rsidP="00B04B36">
      <w:pPr>
        <w:widowControl w:val="0"/>
        <w:numPr>
          <w:ilvl w:val="0"/>
          <w:numId w:val="16"/>
        </w:numPr>
        <w:spacing w:before="240" w:after="0" w:line="276" w:lineRule="auto"/>
        <w:jc w:val="both"/>
        <w:rPr>
          <w:rFonts w:ascii="Arial" w:eastAsia="Calibri" w:hAnsi="Arial" w:cs="Arial"/>
          <w:szCs w:val="20"/>
          <w:lang w:val="es-ES" w:eastAsia="es-ES"/>
        </w:rPr>
      </w:pPr>
      <w:r w:rsidRPr="000323A2">
        <w:rPr>
          <w:rFonts w:ascii="Arial" w:eastAsia="Calibri" w:hAnsi="Arial" w:cs="Arial"/>
          <w:lang w:val="es-ES" w:eastAsia="es-ES"/>
        </w:rPr>
        <w:t>Los</w:t>
      </w:r>
      <w:r w:rsidRPr="000323A2">
        <w:rPr>
          <w:rFonts w:ascii="Arial" w:eastAsia="Calibri" w:hAnsi="Arial" w:cs="Arial"/>
          <w:szCs w:val="20"/>
          <w:lang w:val="es-ES" w:eastAsia="es-ES"/>
        </w:rPr>
        <w:t xml:space="preserve"> </w:t>
      </w:r>
      <w:proofErr w:type="gramStart"/>
      <w:r w:rsidRPr="000323A2">
        <w:rPr>
          <w:rFonts w:ascii="Arial" w:eastAsia="Calibri" w:hAnsi="Arial" w:cs="Arial"/>
          <w:szCs w:val="20"/>
          <w:lang w:val="es-ES" w:eastAsia="es-ES"/>
        </w:rPr>
        <w:t>que</w:t>
      </w:r>
      <w:proofErr w:type="gramEnd"/>
      <w:r w:rsidRPr="000323A2">
        <w:rPr>
          <w:rFonts w:ascii="Arial" w:eastAsia="Calibri" w:hAnsi="Arial" w:cs="Arial"/>
          <w:szCs w:val="20"/>
          <w:lang w:val="es-ES" w:eastAsia="es-ES"/>
        </w:rPr>
        <w:t xml:space="preserve"> de manera enunciativa más no limitativa, pueden consistir en: inundaciones, guerras, huracanes, incendios, huelgas, sismos</w:t>
      </w:r>
      <w:r w:rsidRPr="000323A2">
        <w:rPr>
          <w:rFonts w:ascii="Arial" w:eastAsia="Calibri" w:hAnsi="Arial" w:cs="Arial"/>
          <w:lang w:val="es-ES" w:eastAsia="es-ES"/>
        </w:rPr>
        <w:t>, terremotos y condiciones climatológicas adversas que retrasen los trabajos de instalación del servicio</w:t>
      </w:r>
      <w:r w:rsidRPr="000323A2">
        <w:rPr>
          <w:rFonts w:ascii="Arial" w:eastAsia="Calibri" w:hAnsi="Arial" w:cs="Arial"/>
          <w:szCs w:val="20"/>
          <w:lang w:val="es-ES" w:eastAsia="es-ES"/>
        </w:rPr>
        <w:t>.</w:t>
      </w:r>
    </w:p>
    <w:p w14:paraId="3B735EB5" w14:textId="77777777" w:rsidR="000323A2" w:rsidRPr="000323A2" w:rsidRDefault="000323A2" w:rsidP="000323A2">
      <w:pPr>
        <w:spacing w:before="240" w:after="0" w:line="276" w:lineRule="auto"/>
        <w:ind w:left="67"/>
        <w:jc w:val="both"/>
        <w:rPr>
          <w:rFonts w:ascii="Arial" w:eastAsia="Calibri" w:hAnsi="Arial" w:cs="Arial"/>
          <w:lang w:val="es-ES" w:eastAsia="es-ES"/>
        </w:rPr>
      </w:pPr>
      <w:r w:rsidRPr="000323A2">
        <w:rPr>
          <w:rFonts w:ascii="Arial" w:eastAsia="Calibri" w:hAnsi="Arial" w:cs="Arial"/>
          <w:lang w:val="es-ES" w:eastAsia="es-ES"/>
        </w:rPr>
        <w:t>b) Causas</w:t>
      </w:r>
      <w:r w:rsidRPr="000323A2">
        <w:rPr>
          <w:rFonts w:ascii="Arial" w:eastAsia="Calibri" w:hAnsi="Arial" w:cs="Arial"/>
          <w:szCs w:val="20"/>
          <w:lang w:val="es-ES" w:eastAsia="es-ES"/>
        </w:rPr>
        <w:t xml:space="preserve"> imputables al Concesionario Solicitante o Autorizado Solicitante </w:t>
      </w:r>
      <w:r w:rsidRPr="000323A2">
        <w:rPr>
          <w:rFonts w:ascii="Arial" w:eastAsia="Calibri" w:hAnsi="Arial" w:cs="Arial"/>
          <w:lang w:val="es-ES" w:eastAsia="es-ES"/>
        </w:rPr>
        <w:t>o su cliente final</w:t>
      </w:r>
    </w:p>
    <w:p w14:paraId="540524FD" w14:textId="77777777" w:rsidR="000323A2" w:rsidRPr="000323A2" w:rsidRDefault="000323A2" w:rsidP="00B04B36">
      <w:pPr>
        <w:numPr>
          <w:ilvl w:val="0"/>
          <w:numId w:val="12"/>
        </w:numPr>
        <w:tabs>
          <w:tab w:val="num" w:pos="720"/>
          <w:tab w:val="center" w:pos="1814"/>
          <w:tab w:val="center" w:pos="5216"/>
          <w:tab w:val="center" w:pos="9214"/>
        </w:tabs>
        <w:spacing w:before="240" w:after="0" w:line="276" w:lineRule="auto"/>
        <w:ind w:left="720"/>
        <w:jc w:val="both"/>
        <w:rPr>
          <w:rFonts w:ascii="Arial" w:eastAsia="Calibri" w:hAnsi="Arial" w:cs="Arial"/>
          <w:szCs w:val="20"/>
          <w:lang w:val="es-ES" w:eastAsia="es-ES"/>
        </w:rPr>
      </w:pPr>
      <w:r w:rsidRPr="000323A2">
        <w:rPr>
          <w:rFonts w:ascii="Arial" w:eastAsia="Calibri" w:hAnsi="Arial" w:cs="Arial"/>
          <w:lang w:val="es-ES" w:eastAsia="es-ES"/>
        </w:rPr>
        <w:t xml:space="preserve">Los </w:t>
      </w:r>
      <w:r w:rsidRPr="000323A2">
        <w:rPr>
          <w:rFonts w:ascii="Arial" w:eastAsia="Calibri" w:hAnsi="Arial" w:cs="Arial"/>
          <w:szCs w:val="20"/>
          <w:lang w:val="es-ES" w:eastAsia="es-ES"/>
        </w:rPr>
        <w:t xml:space="preserve">retrasos </w:t>
      </w:r>
      <w:r w:rsidRPr="000323A2">
        <w:rPr>
          <w:rFonts w:ascii="Arial" w:eastAsia="Calibri" w:hAnsi="Arial" w:cs="Arial"/>
          <w:lang w:val="es-ES" w:eastAsia="es-ES"/>
        </w:rPr>
        <w:t xml:space="preserve">imputables al Concesionario Solicitante o Autorizado Solicitante en la obtención de </w:t>
      </w:r>
      <w:r w:rsidRPr="000323A2">
        <w:rPr>
          <w:rFonts w:ascii="Arial" w:eastAsia="Calibri" w:hAnsi="Arial" w:cs="Arial"/>
          <w:szCs w:val="20"/>
          <w:lang w:val="es-ES" w:eastAsia="es-ES"/>
        </w:rPr>
        <w:t xml:space="preserve">permisos para acceder dentro de </w:t>
      </w:r>
      <w:r w:rsidRPr="000323A2">
        <w:rPr>
          <w:rFonts w:ascii="Arial" w:eastAsia="Calibri" w:hAnsi="Arial" w:cs="Arial"/>
          <w:lang w:val="es-ES" w:eastAsia="es-ES"/>
        </w:rPr>
        <w:t>los</w:t>
      </w:r>
      <w:r w:rsidRPr="000323A2">
        <w:rPr>
          <w:rFonts w:ascii="Arial" w:eastAsia="Calibri" w:hAnsi="Arial" w:cs="Arial"/>
          <w:szCs w:val="20"/>
          <w:lang w:val="es-ES" w:eastAsia="es-ES"/>
        </w:rPr>
        <w:t xml:space="preserve"> sitios </w:t>
      </w:r>
      <w:r w:rsidRPr="000323A2">
        <w:rPr>
          <w:rFonts w:ascii="Arial" w:eastAsia="Calibri" w:hAnsi="Arial" w:cs="Arial"/>
          <w:lang w:val="es-ES" w:eastAsia="es-ES"/>
        </w:rPr>
        <w:t>del propio Concesionario Solicitante o Autorizado Solicitante,</w:t>
      </w:r>
      <w:r w:rsidRPr="000323A2">
        <w:rPr>
          <w:rFonts w:ascii="Arial" w:eastAsia="Calibri" w:hAnsi="Arial" w:cs="Arial"/>
          <w:szCs w:val="20"/>
          <w:lang w:val="es-ES" w:eastAsia="es-ES"/>
        </w:rPr>
        <w:t xml:space="preserve"> del cliente final</w:t>
      </w:r>
      <w:r w:rsidRPr="000323A2">
        <w:rPr>
          <w:rFonts w:ascii="Arial" w:eastAsia="Calibri" w:hAnsi="Arial" w:cs="Arial"/>
          <w:lang w:val="es-ES" w:eastAsia="es-ES"/>
        </w:rPr>
        <w:t xml:space="preserve"> o de cualquier tercero como pueden ser entre otros: plazas comerciales, </w:t>
      </w:r>
      <w:r w:rsidRPr="000323A2">
        <w:rPr>
          <w:rFonts w:ascii="Arial" w:eastAsia="Calibri" w:hAnsi="Arial" w:cs="Arial"/>
          <w:szCs w:val="20"/>
          <w:lang w:val="es-ES" w:eastAsia="es-ES"/>
        </w:rPr>
        <w:t>parques industriales, fábricas, edificios corporativos, aeropuertos. Esto es, Telmex solo está obligado a gestionar los permisos necesarios para llevar los servicios a través de la vía pública, siendo responsabilidad del Concesionario Solicitante o Autorizado Solicitante tramitar los permisos necesarios una vez que inicia la propiedad privada.</w:t>
      </w:r>
    </w:p>
    <w:p w14:paraId="6468D294" w14:textId="77777777" w:rsidR="000323A2" w:rsidRPr="000323A2" w:rsidRDefault="000323A2" w:rsidP="00B04B36">
      <w:pPr>
        <w:numPr>
          <w:ilvl w:val="0"/>
          <w:numId w:val="12"/>
        </w:numPr>
        <w:tabs>
          <w:tab w:val="num" w:pos="720"/>
          <w:tab w:val="center" w:pos="1814"/>
          <w:tab w:val="center" w:pos="5216"/>
          <w:tab w:val="center" w:pos="9214"/>
        </w:tabs>
        <w:spacing w:before="240" w:after="0" w:line="276" w:lineRule="auto"/>
        <w:ind w:hanging="293"/>
        <w:jc w:val="both"/>
        <w:rPr>
          <w:rFonts w:ascii="Arial" w:eastAsia="Calibri" w:hAnsi="Arial" w:cs="Arial"/>
          <w:lang w:val="es-ES" w:eastAsia="es-ES"/>
        </w:rPr>
      </w:pPr>
      <w:r w:rsidRPr="000323A2">
        <w:rPr>
          <w:rFonts w:ascii="Arial" w:eastAsia="Calibri" w:hAnsi="Arial" w:cs="Arial"/>
          <w:lang w:val="es-ES" w:eastAsia="es-ES"/>
        </w:rPr>
        <w:t xml:space="preserve">De igual forma cuando se requieran condiciones especiales para acceso en el domicilio del cliente final, los cuales de manera enunciativa mas no limitativa podrán </w:t>
      </w:r>
      <w:r w:rsidRPr="000323A2">
        <w:rPr>
          <w:rFonts w:ascii="Arial" w:eastAsia="Calibri" w:hAnsi="Arial" w:cs="Arial"/>
          <w:lang w:val="es-ES" w:eastAsia="es-ES"/>
        </w:rPr>
        <w:lastRenderedPageBreak/>
        <w:t>ser: horarios limitados de acceso y de permanencia, solicitar el permiso de acceso con varios días de anticipación, requerir un permiso por cada vez que se acceda a las instalaciones, cursos de capacitación obligatorios, exámenes médicos previos al acceso cuya programación no depende de Telmex, entrega de documentación específica con varios días de anticipación de los técnicos de Telmex.</w:t>
      </w:r>
    </w:p>
    <w:p w14:paraId="24635B59" w14:textId="77777777" w:rsidR="000323A2" w:rsidRPr="000323A2" w:rsidRDefault="000323A2" w:rsidP="000323A2">
      <w:pPr>
        <w:spacing w:before="240" w:after="0" w:line="276" w:lineRule="auto"/>
        <w:ind w:left="67"/>
        <w:jc w:val="both"/>
        <w:rPr>
          <w:rFonts w:ascii="Arial" w:eastAsia="Calibri" w:hAnsi="Arial" w:cs="Arial"/>
          <w:lang w:val="es-ES" w:eastAsia="es-ES"/>
        </w:rPr>
      </w:pPr>
      <w:r w:rsidRPr="000323A2">
        <w:rPr>
          <w:rFonts w:ascii="Arial" w:eastAsia="Calibri" w:hAnsi="Arial" w:cs="Arial"/>
          <w:lang w:val="es-ES" w:eastAsia="es-ES"/>
        </w:rPr>
        <w:t>c) Causas imputables a terceros</w:t>
      </w:r>
    </w:p>
    <w:p w14:paraId="12B4282C" w14:textId="77777777" w:rsidR="000323A2" w:rsidRPr="000323A2" w:rsidRDefault="000323A2" w:rsidP="00B04B36">
      <w:pPr>
        <w:numPr>
          <w:ilvl w:val="0"/>
          <w:numId w:val="12"/>
        </w:numPr>
        <w:tabs>
          <w:tab w:val="num" w:pos="720"/>
          <w:tab w:val="center" w:pos="1814"/>
          <w:tab w:val="center" w:pos="5216"/>
          <w:tab w:val="center" w:pos="9214"/>
        </w:tabs>
        <w:spacing w:before="240" w:after="0" w:line="276" w:lineRule="auto"/>
        <w:ind w:left="720"/>
        <w:jc w:val="both"/>
        <w:rPr>
          <w:rFonts w:ascii="Arial" w:eastAsia="Calibri" w:hAnsi="Arial" w:cs="Arial"/>
          <w:szCs w:val="20"/>
          <w:lang w:val="es-ES" w:eastAsia="es-ES"/>
        </w:rPr>
      </w:pPr>
      <w:r w:rsidRPr="000323A2">
        <w:rPr>
          <w:rFonts w:ascii="Arial" w:eastAsia="Calibri" w:hAnsi="Arial" w:cs="Arial"/>
          <w:szCs w:val="20"/>
          <w:lang w:val="es-ES" w:eastAsia="es-ES"/>
        </w:rPr>
        <w:t xml:space="preserve">Aquellos no imputables a Telmex, los </w:t>
      </w:r>
      <w:proofErr w:type="gramStart"/>
      <w:r w:rsidRPr="000323A2">
        <w:rPr>
          <w:rFonts w:ascii="Arial" w:eastAsia="Calibri" w:hAnsi="Arial" w:cs="Arial"/>
          <w:szCs w:val="20"/>
          <w:lang w:val="es-ES" w:eastAsia="es-ES"/>
        </w:rPr>
        <w:t>que</w:t>
      </w:r>
      <w:proofErr w:type="gramEnd"/>
      <w:r w:rsidRPr="000323A2">
        <w:rPr>
          <w:rFonts w:ascii="Arial" w:eastAsia="Calibri" w:hAnsi="Arial" w:cs="Arial"/>
          <w:szCs w:val="20"/>
          <w:lang w:val="es-ES" w:eastAsia="es-ES"/>
        </w:rPr>
        <w:t xml:space="preserve"> de manera enunciativa más no limitativa, pueden consistir en: retrasos por permisos de trabajos en vías públicas (municipales, estatales o federales), </w:t>
      </w:r>
      <w:r w:rsidRPr="000323A2">
        <w:rPr>
          <w:rFonts w:ascii="Arial" w:eastAsia="Calibri" w:hAnsi="Arial" w:cs="Arial"/>
          <w:lang w:val="es-ES" w:eastAsia="es-ES"/>
        </w:rPr>
        <w:t>acceso en zonas ejidales o comunales, plantones en vía pública que impida el acceso a la zona de atención.</w:t>
      </w:r>
    </w:p>
    <w:p w14:paraId="2475D45C" w14:textId="77777777" w:rsidR="000323A2" w:rsidRPr="000323A2" w:rsidRDefault="000323A2" w:rsidP="00B04B36">
      <w:pPr>
        <w:widowControl w:val="0"/>
        <w:numPr>
          <w:ilvl w:val="0"/>
          <w:numId w:val="12"/>
        </w:numPr>
        <w:tabs>
          <w:tab w:val="num" w:pos="720"/>
        </w:tabs>
        <w:spacing w:before="240" w:after="0" w:line="276" w:lineRule="auto"/>
        <w:ind w:hanging="293"/>
        <w:jc w:val="both"/>
        <w:rPr>
          <w:rFonts w:ascii="Arial" w:eastAsia="Calibri" w:hAnsi="Arial" w:cs="Arial"/>
          <w:lang w:val="es-ES" w:eastAsia="es-ES"/>
        </w:rPr>
      </w:pPr>
      <w:r w:rsidRPr="000323A2">
        <w:rPr>
          <w:rFonts w:ascii="Arial" w:eastAsia="Calibri" w:hAnsi="Arial" w:cs="Arial"/>
          <w:lang w:val="es-ES" w:eastAsia="es-ES"/>
        </w:rPr>
        <w:t>En situaciones de inseguridad en las que se requiera el apoyo de la fuerza pública para desplazarse o circular a horas específicas del día, se informará mediante una llamada telefónica y/o vía correo electrónico al Concesionario Solicitante o Autorizado Solicitante para hacer de su conocimiento que se detendrá el conteo del tiempo de instalación, y una vez restablecidas las condiciones de seguridad se informará la reanudación de los trabajos. Telmex se encuentra obligado a subir dicho informe en el SEG.</w:t>
      </w:r>
    </w:p>
    <w:p w14:paraId="5760A5FC" w14:textId="77777777" w:rsidR="000323A2" w:rsidRPr="000323A2" w:rsidRDefault="000323A2" w:rsidP="000323A2">
      <w:pPr>
        <w:spacing w:before="240" w:after="0" w:line="276" w:lineRule="auto"/>
        <w:jc w:val="both"/>
        <w:rPr>
          <w:rFonts w:ascii="Arial" w:eastAsia="Calibri" w:hAnsi="Arial" w:cs="Arial"/>
          <w:lang w:eastAsia="es-ES"/>
        </w:rPr>
      </w:pPr>
      <w:r w:rsidRPr="000323A2">
        <w:rPr>
          <w:rFonts w:ascii="Arial" w:eastAsia="Calibri" w:hAnsi="Arial" w:cs="Arial"/>
          <w:lang w:eastAsia="es-ES"/>
        </w:rPr>
        <w:t>Cuando se requiera el despliegue de nueva obra civil, que implique la obtención de permisos de autoridades federales, estatales o municipales y que excedan un kilómetro lineal, o mayor a 500 metros lineales si el despliegue está destinado a atender zonas turísticas, industriales, residenciales, comerciales de alta relevancia, el conteo del plazo de instalación se detendrá conforme a los términos y condiciones de la Oferta de Compartición de Infraestructura que para este efecto establezca.</w:t>
      </w:r>
    </w:p>
    <w:p w14:paraId="13844F57" w14:textId="77777777" w:rsidR="000323A2" w:rsidRPr="000323A2" w:rsidRDefault="000323A2" w:rsidP="000323A2">
      <w:pPr>
        <w:numPr>
          <w:ilvl w:val="12"/>
          <w:numId w:val="0"/>
        </w:num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 xml:space="preserve">Con la finalidad de que Telmex pueda realizar la instalación de los elementos necesarios para prestar los servicios contratados, el Concesionario Solicitante o Autorizado Solicitante notificará a Telmex que los insumos y las adecuaciones, señalados en el Anexo “E” de la Oferta, se encuentran disponibles en el sitio donde recibirá los servicios contratados. </w:t>
      </w:r>
    </w:p>
    <w:p w14:paraId="55E48476" w14:textId="77777777" w:rsidR="000323A2" w:rsidRPr="000323A2" w:rsidRDefault="000323A2" w:rsidP="000323A2">
      <w:pPr>
        <w:numPr>
          <w:ilvl w:val="12"/>
          <w:numId w:val="0"/>
        </w:num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Una vez que Telmex notifique al Concesionario Solicitante o Autorizado Solicitante que el servicio se encuentra terminado, instalado y listo para realizar las pruebas se detendrá el cómputo del plazo de entrega. Las partes tendrán un plazo de 2 (dos) días hábiles para realizar las pruebas de transmisión y concluir la entrega del servicio. En caso de que dicha prueba no se realice por causas imputables al Concesionario Solicitante o Autorizado Solicitante o su cliente y se venza este plazo, Telmex iniciará la facturación correspondiente y se reprogramará la entrega del servicio cuando el Concesionario Solicitante o Autorizado Solicitante notifique que se encuentra listo para recibirlo.</w:t>
      </w:r>
    </w:p>
    <w:p w14:paraId="206B90A0" w14:textId="77777777" w:rsidR="000323A2" w:rsidRPr="000323A2" w:rsidRDefault="000323A2" w:rsidP="000323A2">
      <w:pPr>
        <w:numPr>
          <w:ilvl w:val="12"/>
          <w:numId w:val="0"/>
        </w:numPr>
        <w:spacing w:before="240" w:after="0" w:line="276" w:lineRule="auto"/>
        <w:jc w:val="both"/>
        <w:rPr>
          <w:rFonts w:ascii="Arial" w:eastAsia="Calibri" w:hAnsi="Arial" w:cs="Arial"/>
          <w:lang w:eastAsia="es-ES"/>
        </w:rPr>
      </w:pPr>
      <w:r w:rsidRPr="000323A2">
        <w:rPr>
          <w:rFonts w:ascii="Arial" w:eastAsia="Calibri" w:hAnsi="Arial" w:cs="Arial"/>
          <w:lang w:eastAsia="es-ES"/>
        </w:rPr>
        <w:t xml:space="preserve">En caso de que los servicios solicitados excedan un 20% o más de los pronosticados, los Enlaces excedentes serán instalados en un plazo definido por mutuo acuerdo bajo esquema </w:t>
      </w:r>
      <w:r w:rsidRPr="000323A2">
        <w:rPr>
          <w:rFonts w:ascii="Arial" w:eastAsia="Calibri" w:hAnsi="Arial" w:cs="Arial"/>
          <w:lang w:eastAsia="es-ES"/>
        </w:rPr>
        <w:lastRenderedPageBreak/>
        <w:t>fecha compromiso (</w:t>
      </w:r>
      <w:proofErr w:type="spellStart"/>
      <w:r w:rsidRPr="000323A2">
        <w:rPr>
          <w:rFonts w:ascii="Arial" w:eastAsia="Calibri" w:hAnsi="Arial" w:cs="Arial"/>
          <w:lang w:eastAsia="es-ES"/>
        </w:rPr>
        <w:t>Due</w:t>
      </w:r>
      <w:proofErr w:type="spellEnd"/>
      <w:r w:rsidRPr="000323A2">
        <w:rPr>
          <w:rFonts w:ascii="Arial" w:eastAsia="Calibri" w:hAnsi="Arial" w:cs="Arial"/>
          <w:lang w:eastAsia="es-ES"/>
        </w:rPr>
        <w:t xml:space="preserve"> Date). Situación que será informada al Instituto, junto con las nuevas fechas de entrega.</w:t>
      </w:r>
    </w:p>
    <w:p w14:paraId="59980B29" w14:textId="77777777" w:rsidR="000323A2" w:rsidRPr="000323A2" w:rsidRDefault="000323A2" w:rsidP="000323A2">
      <w:pPr>
        <w:numPr>
          <w:ilvl w:val="12"/>
          <w:numId w:val="0"/>
        </w:numPr>
        <w:spacing w:before="240" w:after="0" w:line="276" w:lineRule="auto"/>
        <w:jc w:val="both"/>
        <w:rPr>
          <w:rFonts w:ascii="Arial" w:eastAsia="Calibri" w:hAnsi="Arial" w:cs="Arial"/>
        </w:rPr>
      </w:pPr>
      <w:r w:rsidRPr="000323A2">
        <w:rPr>
          <w:rFonts w:ascii="Arial" w:eastAsia="Calibri" w:hAnsi="Arial" w:cs="Arial"/>
        </w:rPr>
        <w:t>En caso de no existir un acuerdo entre las partes para establecer la fecha compromiso (</w:t>
      </w:r>
      <w:proofErr w:type="spellStart"/>
      <w:r w:rsidRPr="000323A2">
        <w:rPr>
          <w:rFonts w:ascii="Arial" w:eastAsia="Calibri" w:hAnsi="Arial" w:cs="Arial"/>
        </w:rPr>
        <w:t>Due</w:t>
      </w:r>
      <w:proofErr w:type="spellEnd"/>
      <w:r w:rsidRPr="000323A2">
        <w:rPr>
          <w:rFonts w:ascii="Arial" w:eastAsia="Calibri" w:hAnsi="Arial" w:cs="Arial"/>
        </w:rPr>
        <w:t xml:space="preserve"> Date), prevalecerán los siguientes plazos: tratándose de velocidades de NX64 hasta STM-1 dicha fecha compromiso no podrá exceder de 40 días hábiles para enlaces locales y de 50 días hábiles para enlaces entre localidades; mientras que para velocidades de STM-4 hasta STM-256 y enlaces Ethernet no podrá exceder de 60 días hábiles tanto para enlaces locales como para enlaces entre localidades.</w:t>
      </w:r>
    </w:p>
    <w:p w14:paraId="38F11736" w14:textId="77777777" w:rsidR="000323A2" w:rsidRPr="000323A2" w:rsidRDefault="000323A2" w:rsidP="000323A2">
      <w:pPr>
        <w:numPr>
          <w:ilvl w:val="12"/>
          <w:numId w:val="0"/>
        </w:numPr>
        <w:spacing w:before="240" w:after="0" w:line="276" w:lineRule="auto"/>
        <w:jc w:val="both"/>
        <w:rPr>
          <w:rFonts w:ascii="Arial" w:eastAsia="Calibri" w:hAnsi="Arial" w:cs="Arial"/>
          <w:b/>
          <w:lang w:val="es-ES" w:eastAsia="es-ES"/>
        </w:rPr>
      </w:pPr>
      <w:r w:rsidRPr="000323A2">
        <w:rPr>
          <w:rFonts w:ascii="Arial" w:eastAsia="Calibri" w:hAnsi="Arial" w:cs="Arial"/>
          <w:b/>
          <w:lang w:val="es-ES" w:eastAsia="es-ES"/>
        </w:rPr>
        <w:t>Proceso de Validación de las solicitudes de Servicios.</w:t>
      </w:r>
    </w:p>
    <w:p w14:paraId="14143B00" w14:textId="77777777" w:rsidR="000323A2" w:rsidRPr="000323A2" w:rsidRDefault="000323A2" w:rsidP="000323A2">
      <w:pPr>
        <w:numPr>
          <w:ilvl w:val="12"/>
          <w:numId w:val="0"/>
        </w:num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Las solicitudes serán válidas y exigibles en el momento que Telmex entregue el número de referencia asociado a cada servicio, lo cual sucederá en un plazo máximo de 2 (dos) días hábiles posteriores a la recepción de las solicitudes. En caso de ser rechazada por información incompleta o incorrecta, se presentará una nueva solicitud.</w:t>
      </w:r>
    </w:p>
    <w:p w14:paraId="6728344E"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Las solicitudes incluirán las coordenadas (latitud y longitud) y croquis de localización del inmueble en donde se entregará el servicio, así como la ubicación específica del local al interior del inmueble donde se indique la ubicación del equipo a instalar.</w:t>
      </w:r>
    </w:p>
    <w:p w14:paraId="0C6B9537"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 xml:space="preserve">Una vez aceptada la solicitud y entregada la referencia correspondiente, el Concesionario Solicitante o Autorizado Solicitante, proporcionará dentro de los 3 (tres) días hábiles siguientes el diagrama con las indicaciones de las trayectorias de los cableados desde las acometidas del predio hasta el punto de ubicación del mismo equipo indicando las condiciones especiales que se deban atender. En caso de que el Concesionario Solicitante o Autorizado Solicitante no proporcione el diagrama, se realizará un paro de reloj hasta que el diagrama sea entregado o el Concesionario Solicitante o Autorizado Solicitante podrá solicitar a Telmex el </w:t>
      </w:r>
      <w:proofErr w:type="spellStart"/>
      <w:r w:rsidRPr="000323A2">
        <w:rPr>
          <w:rFonts w:ascii="Arial" w:eastAsia="Calibri" w:hAnsi="Arial" w:cs="Arial"/>
          <w:lang w:val="es-ES" w:eastAsia="es-ES"/>
        </w:rPr>
        <w:t>site</w:t>
      </w:r>
      <w:proofErr w:type="spellEnd"/>
      <w:r w:rsidRPr="000323A2">
        <w:rPr>
          <w:rFonts w:ascii="Arial" w:eastAsia="Calibri" w:hAnsi="Arial" w:cs="Arial"/>
          <w:lang w:val="es-ES" w:eastAsia="es-ES"/>
        </w:rPr>
        <w:t xml:space="preserve"> </w:t>
      </w:r>
      <w:proofErr w:type="spellStart"/>
      <w:r w:rsidRPr="000323A2">
        <w:rPr>
          <w:rFonts w:ascii="Arial" w:eastAsia="Calibri" w:hAnsi="Arial" w:cs="Arial"/>
          <w:lang w:val="es-ES" w:eastAsia="es-ES"/>
        </w:rPr>
        <w:t>survey</w:t>
      </w:r>
      <w:proofErr w:type="spellEnd"/>
      <w:r w:rsidRPr="000323A2">
        <w:rPr>
          <w:rFonts w:ascii="Arial" w:eastAsia="Calibri" w:hAnsi="Arial" w:cs="Arial"/>
          <w:lang w:val="es-ES" w:eastAsia="es-ES"/>
        </w:rPr>
        <w:t xml:space="preserve"> y se hará un paro de reloj hasta que se concluya el mismo, el cual incluirá previamente una cotización para la realización de este trabajo de acuerdo a las condiciones particulares de cada sitio.</w:t>
      </w:r>
    </w:p>
    <w:p w14:paraId="164822A5" w14:textId="77777777" w:rsidR="000323A2" w:rsidRPr="000323A2" w:rsidRDefault="000323A2" w:rsidP="000323A2">
      <w:pPr>
        <w:numPr>
          <w:ilvl w:val="12"/>
          <w:numId w:val="0"/>
        </w:num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 xml:space="preserve">El Concesionario Solicitante o Autorizado Solicitante llevará a cabo todas las acciones necesarias con la finalidad de que Telmex acceda a los sitios en la hora y día indicados por ésta para la realización de los trabajos correspondientes, lo cual implica, de manera enunciativa más no limitativa, trámites con terceros, permisos, condiciones de seguridad y documentación que sea requerida. </w:t>
      </w:r>
    </w:p>
    <w:p w14:paraId="6865C83D" w14:textId="77777777" w:rsidR="000323A2" w:rsidRPr="000323A2" w:rsidRDefault="000323A2" w:rsidP="000323A2">
      <w:pPr>
        <w:numPr>
          <w:ilvl w:val="12"/>
          <w:numId w:val="0"/>
        </w:num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 xml:space="preserve">Telmex notificará la fecha de entrega vinculante de los Enlaces al Concesionario Solicitante o Autorizado Solicitante en un plazo máximo de 7 (siete) días hábiles a partir de la entrega del número de referencia para enlaces de velocidades 8.448 Mbps e inferiores, de 10 (diez) días hábiles a partir de la entrega del número de referencia para velocidades de 34.368 Mbps a 155.52 Mbps y de 30 (treinta) días hábiles a partir de la entrega del número de referencia para velocidades de 622.08 Mbps y superiores, así como Enlaces Ethernet, </w:t>
      </w:r>
      <w:r w:rsidRPr="000323A2">
        <w:rPr>
          <w:rFonts w:ascii="Arial" w:eastAsia="Calibri" w:hAnsi="Arial" w:cs="Arial"/>
          <w:lang w:val="es-ES" w:eastAsia="es-ES"/>
        </w:rPr>
        <w:lastRenderedPageBreak/>
        <w:t xml:space="preserve">tratándose de la entrega del servicio en un punto en el que previamente ya se tenga contratado el servicio o en caso de que se requiera la provisión del servicio de manera anticipada, deberá notificar la fecha de entrega vinculante en un plazo máximo de 5 (cinco) días hábiles a partir de la entrega del número de referencia. </w:t>
      </w:r>
    </w:p>
    <w:p w14:paraId="23BFC41F" w14:textId="77777777" w:rsidR="000323A2" w:rsidRPr="000323A2" w:rsidRDefault="000323A2" w:rsidP="000323A2">
      <w:p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 xml:space="preserve">En caso de que Telmex no pueda proporcionar el servicio bajo las condiciones existentes de infraestructura (tales como exceder la distancia </w:t>
      </w:r>
      <w:r w:rsidRPr="000323A2">
        <w:rPr>
          <w:rFonts w:ascii="Arial" w:eastAsia="Calibri" w:hAnsi="Arial" w:cs="Arial"/>
          <w:lang w:eastAsia="es-ES"/>
        </w:rPr>
        <w:t>de la última milla establecido por el diseño de los equipos terminales para la correcta operación de un servicio, o que el Concesionario Solicitante o Autorizado Solicitante requiera algún medio de transmisión en particular diferente al existente)</w:t>
      </w:r>
      <w:r w:rsidRPr="000323A2">
        <w:rPr>
          <w:rFonts w:ascii="Arial" w:eastAsia="Calibri" w:hAnsi="Arial" w:cs="Arial"/>
          <w:lang w:val="es-ES" w:eastAsia="es-ES"/>
        </w:rPr>
        <w:t xml:space="preserve">, la acción para solucionar esta situación será tratada como Proyecto Especial. </w:t>
      </w:r>
    </w:p>
    <w:p w14:paraId="0ED3ABB0" w14:textId="77777777" w:rsidR="000323A2" w:rsidRPr="000323A2" w:rsidRDefault="000323A2" w:rsidP="000323A2">
      <w:pPr>
        <w:numPr>
          <w:ilvl w:val="12"/>
          <w:numId w:val="0"/>
        </w:numPr>
        <w:spacing w:before="240" w:after="0" w:line="276" w:lineRule="auto"/>
        <w:jc w:val="both"/>
        <w:rPr>
          <w:rFonts w:ascii="Arial" w:eastAsia="Calibri" w:hAnsi="Arial" w:cs="Arial"/>
          <w:szCs w:val="20"/>
          <w:lang w:eastAsia="es-ES"/>
        </w:rPr>
      </w:pPr>
      <w:r w:rsidRPr="000323A2">
        <w:rPr>
          <w:rFonts w:ascii="Arial" w:eastAsia="Calibri" w:hAnsi="Arial" w:cs="Arial"/>
        </w:rPr>
        <w:t xml:space="preserve">Telmex notificará los términos de este Proyecto Especial en un plazo máximo de 7 (siete) días hábiles contados a partir de la recepción de la solicitud del Servicio, el cual contendrá la justificación y la solución técnica propuestas, la cotización para proporcionar los enlaces solicitados y el plazo de entrega. </w:t>
      </w:r>
      <w:r w:rsidRPr="000323A2">
        <w:rPr>
          <w:rFonts w:ascii="Arial" w:eastAsia="Calibri" w:hAnsi="Arial" w:cs="Arial"/>
          <w:sz w:val="24"/>
          <w:szCs w:val="24"/>
        </w:rPr>
        <w:t xml:space="preserve">La justificación y la solución propuesta deberán señalar expresamente las razones por las cuales se considera un Proyecto Especial e identificar claramente los elementos de costo adicionales a aquellos considerados dentro de la presenta Oferta. </w:t>
      </w:r>
      <w:r w:rsidRPr="000323A2">
        <w:rPr>
          <w:rFonts w:ascii="Arial" w:eastAsia="Calibri" w:hAnsi="Arial" w:cs="Arial"/>
        </w:rPr>
        <w:t>La cotización entregada al Concesionario Solicitante o Autorizado Solicitante se entenderá como una oferta comercial que contará con una vigencia de 10 (diez) días hábiles contados a partir de su notificación, plazo dentro del cual el Concesionario Solicitante o Autorizado Solicitante notificará su aceptación a Telmex, realizará el pago respectivo a través de los medios convenidos, e informará posteriormente cuando el acondicionamiento del sitio está listo. En caso de no recibir respuesta o no realizar el pago dentro del plazo de vigencia de 10 (diez) días hábiles referido, se tendrá por cancelada la solicitud y oferta.</w:t>
      </w:r>
    </w:p>
    <w:p w14:paraId="696E2AEB" w14:textId="77777777" w:rsidR="000323A2" w:rsidRPr="000323A2" w:rsidRDefault="000323A2" w:rsidP="000323A2">
      <w:pPr>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Los cambios de domicilio, cambios de ubicación y cambios de velocidad representarán una solicitud de alta, por lo que se les dará el tratamiento de una solicitud de alta por el nuevo servicio que sustituirá al anterior y una vez entregado, se aceptará la baja de este último servicio.</w:t>
      </w:r>
    </w:p>
    <w:p w14:paraId="42716B1D"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lang w:val="es-ES" w:eastAsia="es-ES"/>
        </w:rPr>
      </w:pPr>
      <w:r w:rsidRPr="000323A2">
        <w:rPr>
          <w:rFonts w:ascii="Arial" w:eastAsia="Calibri" w:hAnsi="Arial" w:cs="Arial"/>
          <w:lang w:val="es-ES" w:eastAsia="es-ES"/>
        </w:rPr>
        <w:t>En el caso de aumentos de velocidad que no impliquen cambio de tecnología sino solamente cambio o modificación en los equipos terminales, no existirá penalidad por el incumplimiento del plazo forzoso en tanto el plazo forzoso del nuevo enlace que lo sustituye sea mayor al tiempo remanente del enlace anterior.</w:t>
      </w:r>
    </w:p>
    <w:p w14:paraId="14270709" w14:textId="77777777" w:rsidR="000323A2" w:rsidRPr="000323A2" w:rsidRDefault="000323A2" w:rsidP="000323A2">
      <w:pPr>
        <w:tabs>
          <w:tab w:val="center" w:pos="1814"/>
          <w:tab w:val="center" w:pos="5216"/>
          <w:tab w:val="center" w:pos="9214"/>
        </w:tabs>
        <w:spacing w:before="240" w:after="0" w:line="276" w:lineRule="auto"/>
        <w:jc w:val="both"/>
        <w:rPr>
          <w:rFonts w:ascii="Arial" w:eastAsia="Calibri" w:hAnsi="Arial" w:cs="Arial"/>
          <w:lang w:eastAsia="es-ES"/>
        </w:rPr>
      </w:pPr>
      <w:r w:rsidRPr="000323A2">
        <w:rPr>
          <w:rFonts w:ascii="Arial" w:eastAsia="Calibri" w:hAnsi="Arial" w:cs="Arial"/>
          <w:lang w:eastAsia="es-ES"/>
        </w:rPr>
        <w:t xml:space="preserve">Los avisos y notificaciones se harán </w:t>
      </w:r>
      <w:r w:rsidRPr="000323A2">
        <w:rPr>
          <w:rFonts w:ascii="Arial" w:eastAsia="Calibri" w:hAnsi="Arial" w:cs="Arial"/>
        </w:rPr>
        <w:t xml:space="preserve">mediante el Sistema Electrónico de Gestión.  Solo en el caso de que exista una imposibilidad técnica para realizar los avisos y notificaciones vía SEG, éste podrá </w:t>
      </w:r>
      <w:r w:rsidRPr="000323A2">
        <w:rPr>
          <w:rFonts w:ascii="Arial" w:eastAsia="Calibri" w:hAnsi="Arial" w:cs="Arial"/>
          <w:sz w:val="24"/>
          <w:szCs w:val="24"/>
        </w:rPr>
        <w:t>llevarse a cabo vía una llamada telefónica</w:t>
      </w:r>
      <w:r w:rsidRPr="000323A2">
        <w:rPr>
          <w:rFonts w:ascii="Arial" w:eastAsia="Calibri" w:hAnsi="Arial" w:cs="Arial"/>
        </w:rPr>
        <w:t>, o al correo electrónico del ejecutivo de cuenta que le sea asignado en el formato establecido en el Anexo “B” de la Oferta; una vez habilitado el SEG, Telmex deberá garantizar que se pueda dar continuidad al procedimiento correspondiente a través de dicho sistema.</w:t>
      </w:r>
    </w:p>
    <w:p w14:paraId="3845B365" w14:textId="77777777" w:rsidR="000323A2" w:rsidRPr="000323A2" w:rsidRDefault="000323A2" w:rsidP="000323A2">
      <w:pPr>
        <w:spacing w:before="240" w:after="0" w:line="276" w:lineRule="auto"/>
        <w:jc w:val="both"/>
        <w:rPr>
          <w:rFonts w:ascii="Arial" w:eastAsia="Calibri" w:hAnsi="Arial" w:cs="Arial"/>
          <w:b/>
          <w:lang w:val="es-ES" w:eastAsia="es-ES"/>
        </w:rPr>
      </w:pPr>
      <w:r w:rsidRPr="000323A2">
        <w:rPr>
          <w:rFonts w:ascii="Arial" w:eastAsia="Calibri" w:hAnsi="Arial" w:cs="Arial"/>
          <w:b/>
          <w:lang w:val="es-ES" w:eastAsia="es-ES"/>
        </w:rPr>
        <w:lastRenderedPageBreak/>
        <w:t>C.</w:t>
      </w:r>
      <w:r w:rsidRPr="000323A2">
        <w:rPr>
          <w:rFonts w:ascii="Arial" w:eastAsia="Calibri" w:hAnsi="Arial" w:cs="Arial"/>
          <w:b/>
          <w:lang w:val="es-ES" w:eastAsia="es-ES"/>
        </w:rPr>
        <w:tab/>
        <w:t>PENALIZACIONES.</w:t>
      </w:r>
    </w:p>
    <w:p w14:paraId="64FFFC56"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color w:val="000000"/>
        </w:rPr>
      </w:pPr>
      <w:r w:rsidRPr="000323A2">
        <w:rPr>
          <w:rFonts w:ascii="Arial" w:eastAsia="Calibri" w:hAnsi="Arial" w:cs="Arial"/>
          <w:color w:val="000000"/>
        </w:rPr>
        <w:t>1.-La penalización por cualquier entrega tardía de enlaces conforme a la fecha aplicable,</w:t>
      </w:r>
      <w:r w:rsidRPr="000323A2" w:rsidDel="00CE69F2">
        <w:rPr>
          <w:rFonts w:ascii="Arial" w:eastAsia="Calibri" w:hAnsi="Arial" w:cs="Arial"/>
          <w:color w:val="000000"/>
        </w:rPr>
        <w:t xml:space="preserve"> </w:t>
      </w:r>
      <w:r w:rsidRPr="000323A2">
        <w:rPr>
          <w:rFonts w:ascii="Arial" w:eastAsia="Calibri" w:hAnsi="Arial" w:cs="Arial"/>
          <w:color w:val="000000"/>
        </w:rPr>
        <w:t>se calculará considerando el monto económico correspondiente al 10% de la renta mensual por cada día hábil de retraso en la entrega, respecto a las fechas vinculantes, Fecha Vinculante por Omisión compromiso (</w:t>
      </w:r>
      <w:proofErr w:type="spellStart"/>
      <w:r w:rsidRPr="000323A2">
        <w:rPr>
          <w:rFonts w:ascii="Arial" w:eastAsia="Calibri" w:hAnsi="Arial" w:cs="Arial"/>
          <w:color w:val="000000"/>
        </w:rPr>
        <w:t>Due</w:t>
      </w:r>
      <w:proofErr w:type="spellEnd"/>
      <w:r w:rsidRPr="000323A2">
        <w:rPr>
          <w:rFonts w:ascii="Arial" w:eastAsia="Calibri" w:hAnsi="Arial" w:cs="Arial"/>
          <w:color w:val="000000"/>
        </w:rPr>
        <w:t xml:space="preserve"> Date) del servicio en cuestión, hasta por un máximo de 3 rentas mensuales. El cálculo del monto de penalización por enlace se realiza conforme la siguiente fórmula:</w:t>
      </w:r>
    </w:p>
    <w:p w14:paraId="4B80567E" w14:textId="77777777" w:rsidR="000323A2" w:rsidRPr="000323A2" w:rsidRDefault="000323A2" w:rsidP="000323A2">
      <w:pPr>
        <w:autoSpaceDE w:val="0"/>
        <w:autoSpaceDN w:val="0"/>
        <w:adjustRightInd w:val="0"/>
        <w:spacing w:before="240" w:after="0" w:line="276" w:lineRule="auto"/>
        <w:jc w:val="center"/>
        <w:rPr>
          <w:rFonts w:ascii="Arial" w:eastAsia="Calibri" w:hAnsi="Arial" w:cs="Arial"/>
        </w:rPr>
      </w:pPr>
      <m:oMath>
        <m:sSub>
          <m:sSubPr>
            <m:ctrlPr>
              <w:rPr>
                <w:rFonts w:ascii="Cambria Math" w:eastAsia="Calibri" w:hAnsi="Cambria Math" w:cs="Arial"/>
              </w:rPr>
            </m:ctrlPr>
          </m:sSubPr>
          <m:e>
            <m:r>
              <m:rPr>
                <m:sty m:val="p"/>
              </m:rPr>
              <w:rPr>
                <w:rFonts w:ascii="Cambria Math" w:eastAsia="Calibri" w:hAnsi="Cambria Math" w:cs="Arial"/>
              </w:rPr>
              <m:t>Monto de penalizaci</m:t>
            </m:r>
            <m:r>
              <m:rPr>
                <m:sty m:val="p"/>
              </m:rPr>
              <w:rPr>
                <w:rFonts w:ascii="Cambria Math" w:eastAsia="Calibri" w:hAnsi="Cambria Math" w:cs="Arial" w:hint="eastAsia"/>
              </w:rPr>
              <m:t>ó</m:t>
            </m:r>
            <m:r>
              <m:rPr>
                <m:sty m:val="p"/>
              </m:rPr>
              <w:rPr>
                <w:rFonts w:ascii="Cambria Math" w:eastAsia="Calibri" w:hAnsi="Cambria Math" w:cs="Arial"/>
              </w:rPr>
              <m:t>n</m:t>
            </m:r>
          </m:e>
          <m:sub>
            <m:r>
              <m:rPr>
                <m:sty m:val="p"/>
              </m:rPr>
              <w:rPr>
                <w:rFonts w:ascii="Cambria Math" w:eastAsia="Calibri" w:hAnsi="Cambria Math" w:cs="Arial"/>
              </w:rPr>
              <m:t>i</m:t>
            </m:r>
          </m:sub>
        </m:sSub>
        <m:r>
          <m:rPr>
            <m:sty m:val="p"/>
          </m:rPr>
          <w:rPr>
            <w:rFonts w:ascii="Cambria Math" w:eastAsia="Calibri" w:hAnsi="Cambria Math" w:cs="Arial"/>
          </w:rPr>
          <m:t>=</m:t>
        </m:r>
        <m:d>
          <m:dPr>
            <m:ctrlPr>
              <w:rPr>
                <w:rFonts w:ascii="Cambria Math" w:eastAsia="Calibri" w:hAnsi="Cambria Math" w:cs="Arial"/>
              </w:rPr>
            </m:ctrlPr>
          </m:dPr>
          <m:e>
            <m:sSub>
              <m:sSubPr>
                <m:ctrlPr>
                  <w:rPr>
                    <w:rFonts w:ascii="Cambria Math" w:eastAsia="Calibri" w:hAnsi="Cambria Math" w:cs="Arial"/>
                  </w:rPr>
                </m:ctrlPr>
              </m:sSubPr>
              <m:e>
                <m:r>
                  <m:rPr>
                    <m:sty m:val="p"/>
                  </m:rPr>
                  <w:rPr>
                    <w:rFonts w:ascii="Cambria Math" w:eastAsia="Calibri" w:hAnsi="Cambria Math" w:cs="Arial"/>
                  </w:rPr>
                  <m:t>D</m:t>
                </m:r>
                <m:r>
                  <m:rPr>
                    <m:sty m:val="p"/>
                  </m:rPr>
                  <w:rPr>
                    <w:rFonts w:ascii="Cambria Math" w:eastAsia="Calibri" w:hAnsi="Cambria Math" w:cs="Arial" w:hint="eastAsia"/>
                  </w:rPr>
                  <m:t>í</m:t>
                </m:r>
                <m:r>
                  <m:rPr>
                    <m:sty m:val="p"/>
                  </m:rPr>
                  <w:rPr>
                    <w:rFonts w:ascii="Cambria Math" w:eastAsia="Calibri" w:hAnsi="Cambria Math" w:cs="Arial"/>
                  </w:rPr>
                  <m:t>as de retraso</m:t>
                </m:r>
              </m:e>
              <m:sub>
                <m:r>
                  <m:rPr>
                    <m:sty m:val="p"/>
                  </m:rPr>
                  <w:rPr>
                    <w:rFonts w:ascii="Cambria Math" w:eastAsia="Calibri" w:hAnsi="Cambria Math" w:cs="Arial"/>
                  </w:rPr>
                  <m:t>i</m:t>
                </m:r>
              </m:sub>
            </m:sSub>
          </m:e>
        </m:d>
        <m:r>
          <m:rPr>
            <m:sty m:val="p"/>
          </m:rP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0.1</m:t>
            </m:r>
          </m:e>
        </m:d>
        <m:r>
          <m:rPr>
            <m:sty m:val="p"/>
          </m:rPr>
          <w:rPr>
            <w:rFonts w:ascii="Cambria Math" w:eastAsia="Calibri" w:hAnsi="Cambria Math" w:cs="Arial"/>
          </w:rPr>
          <m:t>*(</m:t>
        </m:r>
        <m:sSub>
          <m:sSubPr>
            <m:ctrlPr>
              <w:rPr>
                <w:rFonts w:ascii="Cambria Math" w:eastAsia="Calibri" w:hAnsi="Cambria Math" w:cs="Arial"/>
              </w:rPr>
            </m:ctrlPr>
          </m:sSubPr>
          <m:e>
            <m:r>
              <m:rPr>
                <m:sty m:val="p"/>
              </m:rPr>
              <w:rPr>
                <w:rFonts w:ascii="Cambria Math" w:eastAsia="Calibri" w:hAnsi="Cambria Math" w:cs="Arial"/>
              </w:rPr>
              <m:t>Renta mensual</m:t>
            </m:r>
          </m:e>
          <m:sub>
            <m:r>
              <m:rPr>
                <m:sty m:val="p"/>
              </m:rPr>
              <w:rPr>
                <w:rFonts w:ascii="Cambria Math" w:eastAsia="Calibri" w:hAnsi="Cambria Math" w:cs="Arial"/>
              </w:rPr>
              <m:t>i</m:t>
            </m:r>
          </m:sub>
        </m:sSub>
        <m:r>
          <m:rPr>
            <m:sty m:val="p"/>
          </m:rPr>
          <w:rPr>
            <w:rFonts w:ascii="Cambria Math" w:eastAsia="Calibri" w:hAnsi="Cambria Math" w:cs="Arial"/>
          </w:rPr>
          <m:t>)</m:t>
        </m:r>
      </m:oMath>
      <w:r w:rsidRPr="000323A2">
        <w:rPr>
          <w:rFonts w:ascii="Arial" w:eastAsia="Calibri" w:hAnsi="Arial" w:cs="Arial"/>
        </w:rPr>
        <w:t xml:space="preserve"> ,</w:t>
      </w:r>
    </w:p>
    <w:p w14:paraId="15830528"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rPr>
      </w:pPr>
      <w:r w:rsidRPr="000323A2">
        <w:rPr>
          <w:rFonts w:ascii="Arial" w:eastAsia="Calibri" w:hAnsi="Arial" w:cs="Arial"/>
        </w:rPr>
        <w:t>donde i es el enlace solicitado</w:t>
      </w:r>
    </w:p>
    <w:p w14:paraId="5E6979CA"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rPr>
      </w:pPr>
      <w:r w:rsidRPr="000323A2">
        <w:rPr>
          <w:rFonts w:ascii="Arial" w:eastAsia="Calibri" w:hAnsi="Arial" w:cs="Arial"/>
        </w:rPr>
        <w:t>2.- El 6% de la renta mensual del enlace por cada hora o fracción por incumplimiento en los parámetros de disponibilidad, esto es que el enlace no se encuentre disponible con los parámetros de calidad con los que fue contratado el servicio</w:t>
      </w:r>
    </w:p>
    <w:p w14:paraId="0F72254F" w14:textId="77777777" w:rsidR="000323A2" w:rsidRPr="000323A2" w:rsidRDefault="000323A2" w:rsidP="000323A2">
      <w:pPr>
        <w:autoSpaceDE w:val="0"/>
        <w:autoSpaceDN w:val="0"/>
        <w:adjustRightInd w:val="0"/>
        <w:spacing w:before="240" w:after="0" w:line="276" w:lineRule="auto"/>
        <w:jc w:val="center"/>
        <w:rPr>
          <w:rFonts w:ascii="Arial" w:eastAsia="Calibri" w:hAnsi="Arial" w:cs="Arial"/>
        </w:rPr>
      </w:pPr>
      <m:oMath>
        <m:sSub>
          <m:sSubPr>
            <m:ctrlPr>
              <w:rPr>
                <w:rFonts w:ascii="Cambria Math" w:eastAsia="Calibri" w:hAnsi="Cambria Math" w:cs="Arial"/>
              </w:rPr>
            </m:ctrlPr>
          </m:sSubPr>
          <m:e>
            <m:r>
              <m:rPr>
                <m:sty m:val="p"/>
              </m:rPr>
              <w:rPr>
                <w:rFonts w:ascii="Cambria Math" w:eastAsia="Calibri" w:hAnsi="Cambria Math" w:cs="Arial"/>
              </w:rPr>
              <m:t>Monto de penalizaci</m:t>
            </m:r>
            <m:r>
              <m:rPr>
                <m:sty m:val="p"/>
              </m:rPr>
              <w:rPr>
                <w:rFonts w:ascii="Cambria Math" w:eastAsia="Calibri" w:hAnsi="Cambria Math" w:cs="Arial" w:hint="eastAsia"/>
              </w:rPr>
              <m:t>ó</m:t>
            </m:r>
            <m:r>
              <m:rPr>
                <m:sty m:val="p"/>
              </m:rPr>
              <w:rPr>
                <w:rFonts w:ascii="Cambria Math" w:eastAsia="Calibri" w:hAnsi="Cambria Math" w:cs="Arial"/>
              </w:rPr>
              <m:t>n</m:t>
            </m:r>
          </m:e>
          <m:sub>
            <m:r>
              <m:rPr>
                <m:sty m:val="p"/>
              </m:rPr>
              <w:rPr>
                <w:rFonts w:ascii="Cambria Math" w:eastAsia="Calibri" w:hAnsi="Cambria Math" w:cs="Arial"/>
              </w:rPr>
              <m:t>i</m:t>
            </m:r>
          </m:sub>
        </m:sSub>
        <m:r>
          <m:rPr>
            <m:sty m:val="p"/>
          </m:rPr>
          <w:rPr>
            <w:rFonts w:ascii="Cambria Math" w:eastAsia="Calibri" w:hAnsi="Cambria Math" w:cs="Arial"/>
          </w:rPr>
          <m:t>=</m:t>
        </m:r>
        <m:d>
          <m:dPr>
            <m:ctrlPr>
              <w:rPr>
                <w:rFonts w:ascii="Cambria Math" w:eastAsia="Calibri" w:hAnsi="Cambria Math" w:cs="Arial"/>
              </w:rPr>
            </m:ctrlPr>
          </m:dPr>
          <m:e>
            <m:sSub>
              <m:sSubPr>
                <m:ctrlPr>
                  <w:rPr>
                    <w:rFonts w:ascii="Cambria Math" w:eastAsia="Calibri" w:hAnsi="Cambria Math" w:cs="Arial"/>
                  </w:rPr>
                </m:ctrlPr>
              </m:sSubPr>
              <m:e>
                <m:r>
                  <m:rPr>
                    <m:sty m:val="p"/>
                  </m:rPr>
                  <w:rPr>
                    <w:rFonts w:ascii="Cambria Math" w:eastAsia="Calibri" w:hAnsi="Cambria Math" w:cs="Arial"/>
                  </w:rPr>
                  <m:t>Horas o fracci</m:t>
                </m:r>
                <m:r>
                  <m:rPr>
                    <m:sty m:val="p"/>
                  </m:rPr>
                  <w:rPr>
                    <w:rFonts w:ascii="Cambria Math" w:eastAsia="Calibri" w:hAnsi="Cambria Math" w:cs="Arial" w:hint="eastAsia"/>
                  </w:rPr>
                  <m:t>ó</m:t>
                </m:r>
                <m:r>
                  <m:rPr>
                    <m:sty m:val="p"/>
                  </m:rPr>
                  <w:rPr>
                    <w:rFonts w:ascii="Cambria Math" w:eastAsia="Calibri" w:hAnsi="Cambria Math" w:cs="Arial"/>
                  </w:rPr>
                  <m:t>n de incumplimiento</m:t>
                </m:r>
              </m:e>
              <m:sub>
                <m:r>
                  <m:rPr>
                    <m:sty m:val="p"/>
                  </m:rPr>
                  <w:rPr>
                    <w:rFonts w:ascii="Cambria Math" w:eastAsia="Calibri" w:hAnsi="Cambria Math" w:cs="Arial"/>
                  </w:rPr>
                  <m:t>i</m:t>
                </m:r>
              </m:sub>
            </m:sSub>
          </m:e>
        </m:d>
        <m:r>
          <m:rPr>
            <m:sty m:val="p"/>
          </m:rPr>
          <w:rPr>
            <w:rFonts w:ascii="Cambria Math" w:eastAsia="Calibri" w:hAnsi="Cambria Math" w:cs="Arial"/>
          </w:rPr>
          <m:t>*</m:t>
        </m:r>
        <m:d>
          <m:dPr>
            <m:ctrlPr>
              <w:rPr>
                <w:rFonts w:ascii="Cambria Math" w:eastAsia="Calibri" w:hAnsi="Cambria Math" w:cs="Arial"/>
              </w:rPr>
            </m:ctrlPr>
          </m:dPr>
          <m:e>
            <m:r>
              <m:rPr>
                <m:sty m:val="p"/>
              </m:rPr>
              <w:rPr>
                <w:rFonts w:ascii="Cambria Math" w:eastAsia="Calibri" w:hAnsi="Cambria Math" w:cs="Arial"/>
              </w:rPr>
              <m:t>0.06</m:t>
            </m:r>
          </m:e>
        </m:d>
        <m:r>
          <m:rPr>
            <m:sty m:val="p"/>
          </m:rPr>
          <w:rPr>
            <w:rFonts w:ascii="Cambria Math" w:eastAsia="Calibri" w:hAnsi="Cambria Math" w:cs="Arial"/>
          </w:rPr>
          <m:t>*(</m:t>
        </m:r>
        <m:sSub>
          <m:sSubPr>
            <m:ctrlPr>
              <w:rPr>
                <w:rFonts w:ascii="Cambria Math" w:eastAsia="Calibri" w:hAnsi="Cambria Math" w:cs="Arial"/>
              </w:rPr>
            </m:ctrlPr>
          </m:sSubPr>
          <m:e>
            <m:r>
              <m:rPr>
                <m:sty m:val="p"/>
              </m:rPr>
              <w:rPr>
                <w:rFonts w:ascii="Cambria Math" w:eastAsia="Calibri" w:hAnsi="Cambria Math" w:cs="Arial"/>
              </w:rPr>
              <m:t>Renta mensual</m:t>
            </m:r>
          </m:e>
          <m:sub>
            <m:r>
              <m:rPr>
                <m:sty m:val="p"/>
              </m:rPr>
              <w:rPr>
                <w:rFonts w:ascii="Cambria Math" w:eastAsia="Calibri" w:hAnsi="Cambria Math" w:cs="Arial"/>
              </w:rPr>
              <m:t>i</m:t>
            </m:r>
          </m:sub>
        </m:sSub>
        <m:r>
          <m:rPr>
            <m:sty m:val="p"/>
          </m:rPr>
          <w:rPr>
            <w:rFonts w:ascii="Cambria Math" w:eastAsia="Calibri" w:hAnsi="Cambria Math" w:cs="Arial"/>
          </w:rPr>
          <m:t>)</m:t>
        </m:r>
      </m:oMath>
      <w:r w:rsidRPr="000323A2">
        <w:rPr>
          <w:rFonts w:ascii="Arial" w:eastAsia="Calibri" w:hAnsi="Arial" w:cs="Arial"/>
        </w:rPr>
        <w:t xml:space="preserve"> ,</w:t>
      </w:r>
    </w:p>
    <w:p w14:paraId="290E02E5"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rPr>
      </w:pPr>
      <w:r w:rsidRPr="000323A2">
        <w:rPr>
          <w:rFonts w:ascii="Arial" w:eastAsia="Calibri" w:hAnsi="Arial" w:cs="Arial"/>
        </w:rPr>
        <w:t>donde i es el enlace solicitado</w:t>
      </w:r>
    </w:p>
    <w:p w14:paraId="1991D1B4"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rPr>
      </w:pPr>
      <w:r w:rsidRPr="000323A2">
        <w:rPr>
          <w:rFonts w:ascii="Arial" w:eastAsia="Calibri" w:hAnsi="Arial" w:cs="Arial"/>
        </w:rPr>
        <w:t>Para efecto del cálculo de las penalidades en el presente inciso C), las tarifas para los Servicios de Arrendamiento de Enlaces Dedicados Locales, Servicios de Arrendamiento de Enlaces Dedicados entre Localidades, y Servicios de Arrendamiento de Enlaces Dedicados de Larga Distancia Internacional, serán aquellas establecidas en el Anexo “A” del Modelo de Convenio.</w:t>
      </w:r>
    </w:p>
    <w:p w14:paraId="0A2696F3" w14:textId="77777777" w:rsidR="000323A2" w:rsidRPr="000323A2" w:rsidRDefault="000323A2" w:rsidP="000323A2">
      <w:pPr>
        <w:autoSpaceDE w:val="0"/>
        <w:autoSpaceDN w:val="0"/>
        <w:adjustRightInd w:val="0"/>
        <w:spacing w:before="240" w:after="0" w:line="276" w:lineRule="auto"/>
        <w:jc w:val="both"/>
        <w:rPr>
          <w:rFonts w:ascii="Arial" w:eastAsia="Calibri" w:hAnsi="Arial" w:cs="Arial"/>
        </w:rPr>
      </w:pPr>
      <w:r w:rsidRPr="000323A2">
        <w:rPr>
          <w:rFonts w:ascii="Arial" w:eastAsia="Calibri" w:hAnsi="Arial" w:cs="Arial"/>
        </w:rPr>
        <w:t>En todos aquellos casos donde se demuestre que la falla es imputable al Concesionario Solicitante o Autorizado Solicitante o a su Cliente Final, el tiempo de indisponibilidad se restará al final del periodo para efectos del cómputo de las penas correspondientes.</w:t>
      </w:r>
    </w:p>
    <w:p w14:paraId="0579905E" w14:textId="1E42EC59" w:rsidR="000323A2" w:rsidRPr="000323A2" w:rsidRDefault="000323A2" w:rsidP="000323A2">
      <w:pPr>
        <w:spacing w:before="240" w:after="0" w:line="240" w:lineRule="auto"/>
        <w:jc w:val="both"/>
        <w:rPr>
          <w:rFonts w:ascii="Arial" w:eastAsia="Calibri" w:hAnsi="Arial" w:cs="Arial"/>
        </w:rPr>
      </w:pPr>
      <w:r w:rsidRPr="000323A2">
        <w:rPr>
          <w:rFonts w:ascii="Arial" w:eastAsia="Calibri" w:hAnsi="Arial" w:cs="Arial"/>
        </w:rPr>
        <w:t xml:space="preserve">Este Anexo “C” se firma por los representantes debidamente facultados de las Partes, el </w:t>
      </w:r>
      <w:r w:rsidR="008367DF" w:rsidRPr="008367DF">
        <w:rPr>
          <w:rFonts w:ascii="ITC Avant Garde" w:hAnsi="ITC Avant Garde"/>
          <w:b/>
          <w:color w:val="00B0F0"/>
          <w:lang w:val="es-ES_tradnl"/>
        </w:rPr>
        <w:t>(…)</w:t>
      </w:r>
      <w:r w:rsidRPr="000323A2">
        <w:rPr>
          <w:rFonts w:ascii="Arial" w:eastAsia="Calibri" w:hAnsi="Arial" w:cs="Arial"/>
        </w:rPr>
        <w:t xml:space="preserve"> de </w:t>
      </w:r>
      <w:r w:rsidR="008367DF" w:rsidRPr="008367DF">
        <w:rPr>
          <w:rFonts w:ascii="ITC Avant Garde" w:hAnsi="ITC Avant Garde"/>
          <w:b/>
          <w:color w:val="00B0F0"/>
          <w:lang w:val="es-ES_tradnl"/>
        </w:rPr>
        <w:t>(…)</w:t>
      </w:r>
      <w:r w:rsidRPr="000323A2">
        <w:rPr>
          <w:rFonts w:ascii="Arial" w:eastAsia="Calibri" w:hAnsi="Arial" w:cs="Arial"/>
        </w:rPr>
        <w:t xml:space="preserve"> del 20</w:t>
      </w:r>
      <w:r w:rsidR="008367DF" w:rsidRPr="008367DF">
        <w:rPr>
          <w:rFonts w:ascii="ITC Avant Garde" w:hAnsi="ITC Avant Garde"/>
          <w:b/>
          <w:color w:val="00B0F0"/>
          <w:lang w:val="es-ES_tradnl"/>
        </w:rPr>
        <w:t>(…)</w:t>
      </w:r>
      <w:r w:rsidRPr="000323A2">
        <w:rPr>
          <w:rFonts w:ascii="Arial" w:eastAsia="Calibri" w:hAnsi="Arial" w:cs="Arial"/>
        </w:rPr>
        <w:t>.</w:t>
      </w:r>
    </w:p>
    <w:p w14:paraId="23A42072" w14:textId="77777777" w:rsidR="000323A2" w:rsidRPr="000323A2" w:rsidRDefault="000323A2" w:rsidP="000323A2">
      <w:pPr>
        <w:spacing w:before="240" w:after="0" w:line="240" w:lineRule="auto"/>
        <w:rPr>
          <w:rFonts w:ascii="Arial" w:eastAsia="Calibri" w:hAnsi="Arial" w:cs="Arial"/>
        </w:rPr>
      </w:pPr>
      <w:r w:rsidRPr="000323A2">
        <w:rPr>
          <w:rFonts w:ascii="Arial" w:eastAsia="Calibri" w:hAnsi="Arial" w:cs="Arial"/>
        </w:rPr>
        <w:br w:type="page"/>
      </w:r>
    </w:p>
    <w:p w14:paraId="6A7D7507" w14:textId="77777777" w:rsidR="000323A2" w:rsidRPr="000323A2" w:rsidRDefault="000323A2" w:rsidP="000323A2">
      <w:pPr>
        <w:spacing w:before="240" w:after="0" w:line="240" w:lineRule="auto"/>
        <w:jc w:val="both"/>
        <w:rPr>
          <w:rFonts w:ascii="Arial" w:eastAsia="Calibri" w:hAnsi="Arial" w:cs="Arial"/>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8838"/>
      </w:tblGrid>
      <w:tr w:rsidR="000323A2" w:rsidRPr="000323A2" w14:paraId="07673E2E" w14:textId="77777777" w:rsidTr="000323A2">
        <w:trPr>
          <w:trHeight w:val="624"/>
          <w:tblHeader/>
          <w:jc w:val="center"/>
        </w:trPr>
        <w:tc>
          <w:tcPr>
            <w:tcW w:w="8925" w:type="dxa"/>
          </w:tcPr>
          <w:p w14:paraId="69FF6F8C"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TELÉFONOS DE MÉXICO, S.A.B. DE C.V.</w:t>
            </w:r>
          </w:p>
        </w:tc>
      </w:tr>
      <w:tr w:rsidR="000323A2" w:rsidRPr="000323A2" w14:paraId="2632F69E" w14:textId="77777777" w:rsidTr="000323A2">
        <w:trPr>
          <w:tblHeader/>
          <w:jc w:val="center"/>
        </w:trPr>
        <w:tc>
          <w:tcPr>
            <w:tcW w:w="8925" w:type="dxa"/>
          </w:tcPr>
          <w:p w14:paraId="1EC928E7" w14:textId="3A4440DC" w:rsidR="000323A2" w:rsidRPr="000323A2" w:rsidRDefault="008367DF" w:rsidP="000323A2">
            <w:pPr>
              <w:tabs>
                <w:tab w:val="left" w:pos="851"/>
              </w:tabs>
              <w:spacing w:before="240"/>
              <w:jc w:val="center"/>
              <w:outlineLvl w:val="0"/>
              <w:rPr>
                <w:rFonts w:ascii="ITC Avant Garde" w:hAnsi="ITC Avant Garde"/>
                <w:b/>
                <w:lang w:val="es-ES_tradnl"/>
              </w:rPr>
            </w:pPr>
            <w:r w:rsidRPr="008367DF">
              <w:rPr>
                <w:rFonts w:ascii="ITC Avant Garde" w:hAnsi="ITC Avant Garde"/>
                <w:b/>
                <w:color w:val="00B0F0"/>
                <w:lang w:val="es-ES_tradnl"/>
              </w:rPr>
              <w:t>(…)</w:t>
            </w:r>
          </w:p>
        </w:tc>
      </w:tr>
      <w:tr w:rsidR="000323A2" w:rsidRPr="000323A2" w14:paraId="08E11F89" w14:textId="77777777" w:rsidTr="000323A2">
        <w:trPr>
          <w:tblHeader/>
          <w:jc w:val="center"/>
        </w:trPr>
        <w:tc>
          <w:tcPr>
            <w:tcW w:w="8925" w:type="dxa"/>
          </w:tcPr>
          <w:p w14:paraId="0C2BD6EE"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r w:rsidR="000323A2" w:rsidRPr="000323A2" w14:paraId="35778710" w14:textId="77777777" w:rsidTr="000323A2">
        <w:trPr>
          <w:trHeight w:val="624"/>
          <w:tblHeader/>
          <w:jc w:val="center"/>
        </w:trPr>
        <w:tc>
          <w:tcPr>
            <w:tcW w:w="8925" w:type="dxa"/>
          </w:tcPr>
          <w:p w14:paraId="3F8391A7"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CONCESIONARIO SOLICITANTE O AUTORIZADO SOLICITANTE</w:t>
            </w:r>
          </w:p>
        </w:tc>
      </w:tr>
      <w:tr w:rsidR="000323A2" w:rsidRPr="000323A2" w14:paraId="26820F59" w14:textId="77777777" w:rsidTr="000323A2">
        <w:trPr>
          <w:tblHeader/>
          <w:jc w:val="center"/>
        </w:trPr>
        <w:tc>
          <w:tcPr>
            <w:tcW w:w="8925" w:type="dxa"/>
          </w:tcPr>
          <w:p w14:paraId="45855105" w14:textId="6AD4CD6F" w:rsidR="000323A2" w:rsidRPr="000323A2" w:rsidRDefault="008367DF" w:rsidP="000323A2">
            <w:pPr>
              <w:tabs>
                <w:tab w:val="left" w:pos="851"/>
              </w:tabs>
              <w:spacing w:before="240"/>
              <w:jc w:val="center"/>
              <w:outlineLvl w:val="0"/>
              <w:rPr>
                <w:rFonts w:ascii="ITC Avant Garde" w:hAnsi="ITC Avant Garde"/>
                <w:b/>
                <w:lang w:val="es-ES_tradnl"/>
              </w:rPr>
            </w:pPr>
            <w:r w:rsidRPr="008367DF">
              <w:rPr>
                <w:rFonts w:ascii="ITC Avant Garde" w:hAnsi="ITC Avant Garde"/>
                <w:b/>
                <w:color w:val="00B0F0"/>
                <w:lang w:val="es-ES_tradnl"/>
              </w:rPr>
              <w:t>(…)</w:t>
            </w:r>
          </w:p>
        </w:tc>
      </w:tr>
      <w:tr w:rsidR="000323A2" w:rsidRPr="000323A2" w14:paraId="4815CA19" w14:textId="77777777" w:rsidTr="000323A2">
        <w:trPr>
          <w:tblHeader/>
          <w:jc w:val="center"/>
        </w:trPr>
        <w:tc>
          <w:tcPr>
            <w:tcW w:w="8925" w:type="dxa"/>
          </w:tcPr>
          <w:p w14:paraId="66939DB3"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bl>
    <w:p w14:paraId="06F6F468" w14:textId="77777777" w:rsidR="000323A2" w:rsidRPr="000323A2" w:rsidRDefault="000323A2" w:rsidP="000323A2">
      <w:pPr>
        <w:spacing w:before="240"/>
        <w:rPr>
          <w:rFonts w:ascii="Calibri" w:eastAsia="Calibri" w:hAnsi="Calibri" w:cs="Times New Roman"/>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419"/>
        <w:gridCol w:w="4419"/>
      </w:tblGrid>
      <w:tr w:rsidR="000323A2" w:rsidRPr="000323A2" w14:paraId="2E9D4092" w14:textId="77777777" w:rsidTr="000323A2">
        <w:trPr>
          <w:trHeight w:val="624"/>
          <w:tblHeader/>
          <w:jc w:val="center"/>
        </w:trPr>
        <w:tc>
          <w:tcPr>
            <w:tcW w:w="4462" w:type="dxa"/>
          </w:tcPr>
          <w:p w14:paraId="4B0AECA8"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Testigo</w:t>
            </w:r>
          </w:p>
        </w:tc>
        <w:tc>
          <w:tcPr>
            <w:tcW w:w="4463" w:type="dxa"/>
          </w:tcPr>
          <w:p w14:paraId="7D25CFAE"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Testigo</w:t>
            </w:r>
          </w:p>
        </w:tc>
      </w:tr>
    </w:tbl>
    <w:p w14:paraId="61C2EC57" w14:textId="77777777" w:rsidR="000323A2" w:rsidRPr="000323A2" w:rsidRDefault="000323A2" w:rsidP="000323A2">
      <w:pPr>
        <w:spacing w:before="240" w:after="0" w:line="240" w:lineRule="auto"/>
        <w:rPr>
          <w:rFonts w:ascii="Calibri" w:eastAsia="Calibri" w:hAnsi="Calibri" w:cs="Times New Roman"/>
          <w:lang w:eastAsia="es-ES"/>
        </w:rPr>
      </w:pPr>
    </w:p>
    <w:p w14:paraId="0DF1B481" w14:textId="77777777" w:rsidR="000323A2" w:rsidRPr="000323A2" w:rsidRDefault="000323A2" w:rsidP="000323A2">
      <w:pPr>
        <w:spacing w:before="240" w:after="0" w:line="240" w:lineRule="auto"/>
        <w:rPr>
          <w:rFonts w:ascii="Calibri" w:eastAsia="Calibri" w:hAnsi="Calibri" w:cs="Times New Roman"/>
          <w:lang w:eastAsia="es-ES"/>
        </w:rPr>
      </w:pPr>
      <w:r w:rsidRPr="000323A2">
        <w:rPr>
          <w:rFonts w:ascii="Calibri" w:eastAsia="Calibri" w:hAnsi="Calibri" w:cs="Times New Roman"/>
          <w:lang w:eastAsia="es-ES"/>
        </w:rPr>
        <w:br w:type="page"/>
      </w:r>
    </w:p>
    <w:p w14:paraId="0CA665C0" w14:textId="77777777" w:rsidR="000323A2" w:rsidRPr="000323A2" w:rsidRDefault="000323A2" w:rsidP="000323A2">
      <w:pPr>
        <w:pBdr>
          <w:top w:val="single" w:sz="24" w:space="1" w:color="auto"/>
          <w:left w:val="single" w:sz="24" w:space="22" w:color="auto"/>
          <w:bottom w:val="single" w:sz="24" w:space="1" w:color="auto"/>
          <w:right w:val="single" w:sz="24" w:space="24" w:color="auto"/>
        </w:pBdr>
        <w:spacing w:before="240" w:after="0" w:line="240" w:lineRule="auto"/>
        <w:ind w:left="567" w:right="567"/>
        <w:rPr>
          <w:rFonts w:ascii="ITC Avant Garde" w:eastAsia="Calibri" w:hAnsi="ITC Avant Garde" w:cs="Arial"/>
          <w:sz w:val="56"/>
          <w:szCs w:val="20"/>
          <w:lang w:val="es-ES"/>
        </w:rPr>
      </w:pPr>
    </w:p>
    <w:p w14:paraId="669A22A8" w14:textId="77777777" w:rsidR="000323A2" w:rsidRPr="000323A2" w:rsidRDefault="000323A2" w:rsidP="000323A2">
      <w:pPr>
        <w:keepNext/>
        <w:pBdr>
          <w:top w:val="single" w:sz="24" w:space="1" w:color="auto"/>
          <w:left w:val="single" w:sz="24" w:space="22" w:color="auto"/>
          <w:bottom w:val="single" w:sz="24" w:space="1" w:color="auto"/>
          <w:right w:val="single" w:sz="24" w:space="24" w:color="auto"/>
        </w:pBdr>
        <w:spacing w:before="240" w:after="0" w:line="240" w:lineRule="auto"/>
        <w:ind w:left="567" w:right="567"/>
        <w:jc w:val="center"/>
        <w:outlineLvl w:val="0"/>
        <w:rPr>
          <w:rFonts w:ascii="Arial" w:eastAsia="Calibri" w:hAnsi="Arial" w:cs="Arial"/>
          <w:sz w:val="56"/>
          <w:szCs w:val="20"/>
          <w:u w:val="single"/>
          <w:lang w:val="es-ES_tradnl"/>
        </w:rPr>
      </w:pPr>
      <w:r w:rsidRPr="000323A2">
        <w:rPr>
          <w:rFonts w:ascii="Arial" w:eastAsia="Calibri" w:hAnsi="Arial" w:cs="Arial"/>
          <w:sz w:val="56"/>
          <w:szCs w:val="20"/>
          <w:u w:val="single"/>
          <w:lang w:val="es-ES_tradnl"/>
        </w:rPr>
        <w:t>ANEXO “D”</w:t>
      </w:r>
    </w:p>
    <w:p w14:paraId="423071CE" w14:textId="77777777" w:rsidR="000323A2" w:rsidRPr="000323A2" w:rsidRDefault="000323A2" w:rsidP="000323A2">
      <w:pPr>
        <w:keepNext/>
        <w:pBdr>
          <w:top w:val="single" w:sz="24" w:space="1" w:color="auto"/>
          <w:left w:val="single" w:sz="24" w:space="22" w:color="auto"/>
          <w:bottom w:val="single" w:sz="24" w:space="1" w:color="auto"/>
          <w:right w:val="single" w:sz="24" w:space="24" w:color="auto"/>
        </w:pBdr>
        <w:spacing w:before="240" w:after="0" w:line="240" w:lineRule="auto"/>
        <w:ind w:left="567" w:right="567"/>
        <w:jc w:val="center"/>
        <w:outlineLvl w:val="1"/>
        <w:rPr>
          <w:rFonts w:ascii="Arial" w:eastAsia="Calibri" w:hAnsi="Arial" w:cs="Arial"/>
          <w:sz w:val="48"/>
          <w:szCs w:val="48"/>
          <w:u w:val="single"/>
          <w:lang w:val="es-ES"/>
        </w:rPr>
      </w:pPr>
      <w:r w:rsidRPr="000323A2">
        <w:rPr>
          <w:rFonts w:ascii="Arial" w:eastAsia="Calibri" w:hAnsi="Arial" w:cs="Arial"/>
          <w:b/>
          <w:sz w:val="48"/>
          <w:szCs w:val="48"/>
          <w:lang w:val="es-ES"/>
        </w:rPr>
        <w:t xml:space="preserve">PROCEDIMIENTO DE ENTREGA/RECEPCIÓN </w:t>
      </w:r>
    </w:p>
    <w:p w14:paraId="578ABF74" w14:textId="77777777" w:rsidR="000323A2" w:rsidRPr="000323A2" w:rsidRDefault="000323A2" w:rsidP="000323A2">
      <w:pPr>
        <w:spacing w:before="240" w:after="0" w:line="240" w:lineRule="auto"/>
        <w:rPr>
          <w:rFonts w:ascii="Arial" w:eastAsia="Calibri" w:hAnsi="Arial" w:cs="Arial"/>
          <w:b/>
          <w:sz w:val="32"/>
          <w:szCs w:val="32"/>
          <w:lang w:val="es-ES"/>
        </w:rPr>
      </w:pPr>
      <w:r w:rsidRPr="000323A2">
        <w:rPr>
          <w:rFonts w:ascii="Arial" w:eastAsia="Calibri" w:hAnsi="Arial" w:cs="Arial"/>
          <w:b/>
          <w:sz w:val="32"/>
          <w:szCs w:val="32"/>
          <w:lang w:val="es-ES"/>
        </w:rPr>
        <w:br w:type="page"/>
      </w:r>
    </w:p>
    <w:p w14:paraId="00DFBA42" w14:textId="77777777" w:rsidR="000323A2" w:rsidRPr="000323A2" w:rsidRDefault="000323A2" w:rsidP="000323A2">
      <w:pPr>
        <w:spacing w:before="240" w:after="0" w:line="240" w:lineRule="auto"/>
        <w:jc w:val="center"/>
        <w:rPr>
          <w:rFonts w:ascii="Arial" w:eastAsia="Calibri" w:hAnsi="Arial" w:cs="Arial"/>
          <w:b/>
          <w:sz w:val="32"/>
          <w:szCs w:val="32"/>
          <w:lang w:val="es-ES"/>
        </w:rPr>
      </w:pPr>
      <w:r w:rsidRPr="000323A2">
        <w:rPr>
          <w:rFonts w:ascii="Arial" w:eastAsia="Calibri" w:hAnsi="Arial" w:cs="Arial"/>
          <w:b/>
          <w:sz w:val="32"/>
          <w:szCs w:val="32"/>
          <w:lang w:val="es-ES"/>
        </w:rPr>
        <w:lastRenderedPageBreak/>
        <w:t>ANEXO “D”</w:t>
      </w:r>
    </w:p>
    <w:p w14:paraId="21F925C8" w14:textId="77777777" w:rsidR="000323A2" w:rsidRPr="000323A2" w:rsidRDefault="000323A2" w:rsidP="000323A2">
      <w:pPr>
        <w:spacing w:before="240" w:after="0" w:line="240" w:lineRule="auto"/>
        <w:jc w:val="center"/>
        <w:rPr>
          <w:rFonts w:ascii="Arial" w:eastAsia="Calibri" w:hAnsi="Arial" w:cs="Arial"/>
          <w:b/>
          <w:sz w:val="32"/>
          <w:szCs w:val="32"/>
          <w:lang w:val="es-ES"/>
        </w:rPr>
      </w:pPr>
      <w:r w:rsidRPr="000323A2">
        <w:rPr>
          <w:rFonts w:ascii="Arial" w:eastAsia="Calibri" w:hAnsi="Arial" w:cs="Arial"/>
          <w:b/>
          <w:sz w:val="32"/>
          <w:szCs w:val="32"/>
          <w:lang w:val="es-ES"/>
        </w:rPr>
        <w:t>PROCEDIMIENTO DE ENTREGA / RECEPCIÓN</w:t>
      </w:r>
    </w:p>
    <w:p w14:paraId="6E2B3F26" w14:textId="77777777" w:rsidR="000323A2" w:rsidRPr="000323A2" w:rsidRDefault="000323A2" w:rsidP="000323A2">
      <w:pPr>
        <w:spacing w:before="240" w:after="0" w:line="276" w:lineRule="auto"/>
        <w:jc w:val="both"/>
        <w:rPr>
          <w:rFonts w:ascii="Arial" w:eastAsia="Calibri" w:hAnsi="Arial" w:cs="Arial"/>
          <w:lang w:val="es-ES"/>
        </w:rPr>
      </w:pPr>
      <w:r w:rsidRPr="000323A2">
        <w:rPr>
          <w:rFonts w:ascii="Arial" w:eastAsia="Calibri" w:hAnsi="Arial" w:cs="Arial"/>
          <w:lang w:val="es-ES"/>
        </w:rPr>
        <w:t>Telmex notificará al Concesionario Solicitante o Autorizado Solicitante, mediante el Sistema Electrónico de Gestión, cuando un servicio esté listo para ser entregado, con la finalidad de que ambas partes acuerden la fecha y hora de entrega para realizar las pruebas correspondientes, en el entendido de que las pruebas deberán realizarse dentro de los dos (2) días hábiles siguientes a la notificación antes citada.</w:t>
      </w:r>
    </w:p>
    <w:p w14:paraId="0C2283D0" w14:textId="77777777" w:rsidR="000323A2" w:rsidRPr="000323A2" w:rsidRDefault="000323A2" w:rsidP="00B04B36">
      <w:pPr>
        <w:numPr>
          <w:ilvl w:val="0"/>
          <w:numId w:val="21"/>
        </w:numPr>
        <w:tabs>
          <w:tab w:val="num" w:pos="426"/>
        </w:tabs>
        <w:spacing w:before="240" w:after="0" w:line="276" w:lineRule="auto"/>
        <w:ind w:left="426" w:hanging="426"/>
        <w:jc w:val="both"/>
        <w:rPr>
          <w:rFonts w:ascii="Arial" w:eastAsia="Calibri" w:hAnsi="Arial" w:cs="Arial"/>
          <w:lang w:val="es-ES_tradnl" w:eastAsia="es-ES"/>
        </w:rPr>
      </w:pPr>
      <w:r w:rsidRPr="000323A2">
        <w:rPr>
          <w:rFonts w:ascii="Arial" w:eastAsia="Calibri" w:hAnsi="Arial" w:cs="Arial"/>
          <w:lang w:val="es-ES_tradnl" w:eastAsia="es-ES"/>
        </w:rPr>
        <w:t xml:space="preserve">Las áreas de Suministro de Telmex entregarán al </w:t>
      </w:r>
      <w:r w:rsidRPr="000323A2">
        <w:rPr>
          <w:rFonts w:ascii="Arial" w:eastAsia="Calibri" w:hAnsi="Arial" w:cs="Arial"/>
          <w:lang w:val="es-ES" w:eastAsia="es-ES"/>
        </w:rPr>
        <w:t>Concesionario Solicitante o Autorizado Solicitante</w:t>
      </w:r>
      <w:r w:rsidRPr="000323A2">
        <w:rPr>
          <w:rFonts w:ascii="Arial" w:eastAsia="Calibri" w:hAnsi="Arial" w:cs="Arial"/>
          <w:lang w:val="es-ES_tradnl" w:eastAsia="es-ES"/>
        </w:rPr>
        <w:t xml:space="preserve"> las ACTAS DE ACEPTACIÓN en un término de dos (2) días hábiles posteriores a la notificación mencionada en el párrafo inmediato anterior, esperando que ésta sea devuelta a Telmex en un plazo no mayor a dos (2) días hábiles contados a partir de la recepción de la misma por parte del Concesionario Solicitante o Autorizado Solicitante.</w:t>
      </w:r>
    </w:p>
    <w:p w14:paraId="23278D1E" w14:textId="77777777" w:rsidR="000323A2" w:rsidRPr="000323A2" w:rsidRDefault="000323A2" w:rsidP="00B04B36">
      <w:pPr>
        <w:numPr>
          <w:ilvl w:val="0"/>
          <w:numId w:val="21"/>
        </w:numPr>
        <w:spacing w:before="240" w:after="0" w:line="276" w:lineRule="auto"/>
        <w:ind w:left="426" w:hanging="426"/>
        <w:jc w:val="both"/>
        <w:rPr>
          <w:rFonts w:ascii="Arial" w:eastAsia="Calibri" w:hAnsi="Arial" w:cs="Arial"/>
          <w:lang w:val="es-ES_tradnl" w:eastAsia="es-ES"/>
        </w:rPr>
      </w:pPr>
      <w:r w:rsidRPr="000323A2">
        <w:rPr>
          <w:rFonts w:ascii="Arial" w:eastAsia="Calibri" w:hAnsi="Arial" w:cs="Arial"/>
          <w:lang w:val="es-ES_tradnl" w:eastAsia="es-ES"/>
        </w:rPr>
        <w:t xml:space="preserve">Una vez que Telmex notifique al Concesionario Solicitante o Autorizado Solicitante que el servicio se encuentra terminado, instalado y listo para realizar las pruebas se detendrá el cómputo del plazo de entrega. Las partes tendrán un plazo de dos (2) días hábiles para realizar las pruebas de transmisión y concluir la entrega del servicio. En caso de que dicha prueba no se realice dentro de este plazo por causas imputables al Concesionario Solicitante o Autorizado Solicitante o su cliente, Telmex iniciará la facturación correspondiente y se </w:t>
      </w:r>
      <w:proofErr w:type="spellStart"/>
      <w:r w:rsidRPr="000323A2">
        <w:rPr>
          <w:rFonts w:ascii="Arial" w:eastAsia="Calibri" w:hAnsi="Arial" w:cs="Arial"/>
          <w:lang w:val="es-ES_tradnl" w:eastAsia="es-ES"/>
        </w:rPr>
        <w:t>reagendará</w:t>
      </w:r>
      <w:proofErr w:type="spellEnd"/>
      <w:r w:rsidRPr="000323A2">
        <w:rPr>
          <w:rFonts w:ascii="Arial" w:eastAsia="Calibri" w:hAnsi="Arial" w:cs="Arial"/>
          <w:lang w:val="es-ES_tradnl" w:eastAsia="es-ES"/>
        </w:rPr>
        <w:t xml:space="preserve"> la entrega del servicio cuando el Concesionario Solicitante o Autorizado Solicitante notifique que se encuentra listo para recibirlo.</w:t>
      </w:r>
    </w:p>
    <w:p w14:paraId="3F5D8779" w14:textId="77777777" w:rsidR="000323A2" w:rsidRPr="000323A2" w:rsidRDefault="000323A2" w:rsidP="00B04B36">
      <w:pPr>
        <w:numPr>
          <w:ilvl w:val="0"/>
          <w:numId w:val="21"/>
        </w:numPr>
        <w:spacing w:before="240" w:after="0" w:line="276" w:lineRule="auto"/>
        <w:jc w:val="both"/>
        <w:rPr>
          <w:rFonts w:ascii="Arial" w:eastAsia="Calibri" w:hAnsi="Arial" w:cs="Arial"/>
          <w:lang w:val="es-ES"/>
        </w:rPr>
      </w:pPr>
      <w:r w:rsidRPr="000323A2">
        <w:rPr>
          <w:rFonts w:ascii="Arial" w:eastAsia="Calibri" w:hAnsi="Arial" w:cs="Arial"/>
          <w:lang w:val="es-ES"/>
        </w:rPr>
        <w:t>Si dentro del periodo de pruebas de dos (2) días el Concesionario Solicitante o Autorizado Solicitante observa que el servicio presenta fallas o problemas, lo notificará al Área de Suministro de Telmex correspondiente, mediante correo electrónico o bien una conferencia telefónica, organizada por el Concesionario Solicitante o Autorizado Solicitante con el responsable local del Concesionario Solicitante o Autorizado Solicitante, indicando la causa exacta que impide la aceptación del servicio para su atención y solución.</w:t>
      </w:r>
    </w:p>
    <w:p w14:paraId="0223030E" w14:textId="77777777" w:rsidR="000323A2" w:rsidRPr="000323A2" w:rsidRDefault="000323A2" w:rsidP="00B04B36">
      <w:pPr>
        <w:numPr>
          <w:ilvl w:val="0"/>
          <w:numId w:val="21"/>
        </w:numPr>
        <w:spacing w:before="240" w:after="0" w:line="276" w:lineRule="auto"/>
        <w:jc w:val="both"/>
        <w:rPr>
          <w:rFonts w:ascii="Arial" w:eastAsia="Calibri" w:hAnsi="Arial" w:cs="Arial"/>
          <w:lang w:val="es-ES"/>
        </w:rPr>
      </w:pPr>
      <w:r w:rsidRPr="000323A2">
        <w:rPr>
          <w:rFonts w:ascii="Arial" w:eastAsia="Calibri" w:hAnsi="Arial" w:cs="Arial"/>
          <w:lang w:val="es-ES"/>
        </w:rPr>
        <w:t xml:space="preserve">Si el Concesionario Solicitante o Autorizado Solicitante reportó falla en el servicio y no se encuentra problema en el mismo, el área Operativa de Telmex deberá de </w:t>
      </w:r>
      <w:proofErr w:type="spellStart"/>
      <w:r w:rsidRPr="000323A2">
        <w:rPr>
          <w:rFonts w:ascii="Arial" w:eastAsia="Calibri" w:hAnsi="Arial" w:cs="Arial"/>
          <w:lang w:val="es-ES"/>
        </w:rPr>
        <w:t>reentregar</w:t>
      </w:r>
      <w:proofErr w:type="spellEnd"/>
      <w:r w:rsidRPr="000323A2">
        <w:rPr>
          <w:rFonts w:ascii="Arial" w:eastAsia="Calibri" w:hAnsi="Arial" w:cs="Arial"/>
          <w:lang w:val="es-ES"/>
        </w:rPr>
        <w:t xml:space="preserve"> el servicio a Concesionario Solicitante o Autorizado Solicitante incluyendo de ser posible en la notificación oficial de entrega copia de la prueba (tirilla de prueba).</w:t>
      </w:r>
    </w:p>
    <w:p w14:paraId="1438D840" w14:textId="77777777" w:rsidR="000323A2" w:rsidRPr="000323A2" w:rsidRDefault="000323A2" w:rsidP="00B04B36">
      <w:pPr>
        <w:numPr>
          <w:ilvl w:val="0"/>
          <w:numId w:val="21"/>
        </w:numPr>
        <w:spacing w:before="240" w:after="0" w:line="276" w:lineRule="auto"/>
        <w:jc w:val="both"/>
        <w:rPr>
          <w:rFonts w:ascii="Arial" w:eastAsia="Calibri" w:hAnsi="Arial" w:cs="Arial"/>
          <w:lang w:val="es-ES"/>
        </w:rPr>
      </w:pPr>
      <w:r w:rsidRPr="000323A2">
        <w:rPr>
          <w:rFonts w:ascii="Arial" w:eastAsia="Calibri" w:hAnsi="Arial" w:cs="Arial"/>
          <w:lang w:val="es-ES"/>
        </w:rPr>
        <w:t>A partir de la aceptación de los servicios, las actividades de mantenimiento serán coordinadas mediante la interacción del Concesionario Solicitante o Autorizado Solicitante y el Área de Mantenimiento de Telmex.</w:t>
      </w:r>
    </w:p>
    <w:p w14:paraId="63CCD083" w14:textId="77777777" w:rsidR="000323A2" w:rsidRPr="000323A2" w:rsidRDefault="000323A2" w:rsidP="00B04B36">
      <w:pPr>
        <w:numPr>
          <w:ilvl w:val="0"/>
          <w:numId w:val="21"/>
        </w:numPr>
        <w:spacing w:before="240" w:after="0" w:line="276" w:lineRule="auto"/>
        <w:jc w:val="both"/>
        <w:rPr>
          <w:rFonts w:ascii="Arial" w:eastAsia="Calibri" w:hAnsi="Arial" w:cs="Arial"/>
          <w:lang w:val="es-ES"/>
        </w:rPr>
      </w:pPr>
      <w:r w:rsidRPr="000323A2">
        <w:rPr>
          <w:rFonts w:ascii="Arial" w:eastAsia="Calibri" w:hAnsi="Arial" w:cs="Arial"/>
          <w:lang w:val="es-ES"/>
        </w:rPr>
        <w:lastRenderedPageBreak/>
        <w:t>En caso del reporte de una falla, la retroalimentación del avance y tiempos probables de solución de los SERVICIOS, se darán al Concesionario Solicitante o Autorizado Solicitante mediante el Sistema Electrónico de Gestión. Telmex realizará la entrega de los servicios con falla dentro de los plazos establecidos en la tabla siguiente:</w:t>
      </w:r>
    </w:p>
    <w:p w14:paraId="43682A73" w14:textId="77777777" w:rsidR="000323A2" w:rsidRPr="000323A2" w:rsidRDefault="000323A2" w:rsidP="000323A2">
      <w:pPr>
        <w:spacing w:before="240" w:after="0" w:line="276" w:lineRule="auto"/>
        <w:ind w:left="720"/>
        <w:contextualSpacing/>
        <w:jc w:val="center"/>
        <w:rPr>
          <w:rFonts w:ascii="Arial" w:eastAsia="Calibri" w:hAnsi="Arial" w:cs="Arial"/>
          <w:sz w:val="24"/>
          <w:szCs w:val="20"/>
          <w:lang w:val="es-ES"/>
        </w:rPr>
      </w:pPr>
      <w:r w:rsidRPr="000323A2">
        <w:rPr>
          <w:rFonts w:ascii="Arial" w:eastAsia="Calibri" w:hAnsi="Arial" w:cs="Arial"/>
          <w:b/>
          <w:bCs/>
          <w:sz w:val="20"/>
          <w:szCs w:val="20"/>
          <w:lang w:val="es-ES"/>
        </w:rPr>
        <w:t>Plazos máximos</w:t>
      </w:r>
    </w:p>
    <w:tbl>
      <w:tblPr>
        <w:tblStyle w:val="Cuadrculadetablaclara1"/>
        <w:tblW w:w="0" w:type="auto"/>
        <w:jc w:val="center"/>
        <w:tblLook w:val="00A0" w:firstRow="1" w:lastRow="0" w:firstColumn="1" w:lastColumn="0" w:noHBand="0" w:noVBand="0"/>
        <w:tblCaption w:val="Tabla"/>
        <w:tblDescription w:val="Plazos máximos"/>
      </w:tblPr>
      <w:tblGrid>
        <w:gridCol w:w="2084"/>
        <w:gridCol w:w="2135"/>
      </w:tblGrid>
      <w:tr w:rsidR="000323A2" w:rsidRPr="000323A2" w14:paraId="593718B1" w14:textId="77777777" w:rsidTr="000323A2">
        <w:trPr>
          <w:tblHeader/>
          <w:jc w:val="center"/>
        </w:trPr>
        <w:tc>
          <w:tcPr>
            <w:tcW w:w="2084" w:type="dxa"/>
            <w:shd w:val="clear" w:color="auto" w:fill="D9D9D9"/>
          </w:tcPr>
          <w:p w14:paraId="0E315718" w14:textId="77777777" w:rsidR="000323A2" w:rsidRPr="000323A2" w:rsidRDefault="000323A2" w:rsidP="000323A2">
            <w:pPr>
              <w:autoSpaceDE w:val="0"/>
              <w:autoSpaceDN w:val="0"/>
              <w:adjustRightInd w:val="0"/>
              <w:spacing w:before="240" w:line="276" w:lineRule="auto"/>
              <w:jc w:val="center"/>
              <w:rPr>
                <w:rFonts w:ascii="Arial" w:hAnsi="Arial" w:cs="Arial"/>
                <w:b/>
                <w:sz w:val="20"/>
                <w:szCs w:val="20"/>
                <w:lang w:val="es-ES"/>
              </w:rPr>
            </w:pPr>
            <w:r w:rsidRPr="000323A2">
              <w:rPr>
                <w:rFonts w:ascii="Arial" w:hAnsi="Arial" w:cs="Arial"/>
                <w:b/>
                <w:sz w:val="20"/>
                <w:szCs w:val="20"/>
                <w:lang w:val="es-ES"/>
              </w:rPr>
              <w:t>Tipo de incidencia</w:t>
            </w:r>
          </w:p>
        </w:tc>
        <w:tc>
          <w:tcPr>
            <w:tcW w:w="2135" w:type="dxa"/>
            <w:shd w:val="clear" w:color="auto" w:fill="D9D9D9"/>
          </w:tcPr>
          <w:p w14:paraId="15E6FAFA" w14:textId="77777777" w:rsidR="000323A2" w:rsidRPr="000323A2" w:rsidRDefault="000323A2" w:rsidP="000323A2">
            <w:pPr>
              <w:autoSpaceDE w:val="0"/>
              <w:autoSpaceDN w:val="0"/>
              <w:adjustRightInd w:val="0"/>
              <w:spacing w:before="240" w:line="276" w:lineRule="auto"/>
              <w:jc w:val="center"/>
              <w:rPr>
                <w:rFonts w:ascii="Arial" w:hAnsi="Arial" w:cs="Arial"/>
                <w:sz w:val="20"/>
                <w:szCs w:val="20"/>
                <w:lang w:val="es-ES"/>
              </w:rPr>
            </w:pPr>
            <w:r w:rsidRPr="000323A2">
              <w:rPr>
                <w:rFonts w:ascii="Arial" w:hAnsi="Arial" w:cs="Arial"/>
                <w:b/>
                <w:bCs/>
                <w:sz w:val="20"/>
                <w:szCs w:val="20"/>
                <w:lang w:val="es-ES"/>
              </w:rPr>
              <w:t>Enlaces locales, entre Localidades y larga distancia internacional</w:t>
            </w:r>
          </w:p>
        </w:tc>
      </w:tr>
      <w:tr w:rsidR="000323A2" w:rsidRPr="000323A2" w14:paraId="6DFA45EE" w14:textId="77777777" w:rsidTr="000323A2">
        <w:trPr>
          <w:tblHeader/>
          <w:jc w:val="center"/>
        </w:trPr>
        <w:tc>
          <w:tcPr>
            <w:tcW w:w="2084" w:type="dxa"/>
          </w:tcPr>
          <w:p w14:paraId="31BB3045" w14:textId="77777777" w:rsidR="000323A2" w:rsidRPr="000323A2" w:rsidRDefault="000323A2" w:rsidP="000323A2">
            <w:pPr>
              <w:autoSpaceDE w:val="0"/>
              <w:autoSpaceDN w:val="0"/>
              <w:adjustRightInd w:val="0"/>
              <w:spacing w:before="240" w:line="276" w:lineRule="auto"/>
              <w:jc w:val="center"/>
              <w:rPr>
                <w:rFonts w:ascii="Arial" w:hAnsi="Arial" w:cs="Arial"/>
                <w:sz w:val="20"/>
                <w:szCs w:val="20"/>
                <w:lang w:val="es-ES"/>
              </w:rPr>
            </w:pPr>
            <w:r w:rsidRPr="000323A2">
              <w:rPr>
                <w:rFonts w:ascii="Arial" w:hAnsi="Arial" w:cs="Arial"/>
                <w:sz w:val="20"/>
                <w:szCs w:val="20"/>
                <w:lang w:val="es-ES"/>
              </w:rPr>
              <w:t>Prioridad 1</w:t>
            </w:r>
          </w:p>
        </w:tc>
        <w:tc>
          <w:tcPr>
            <w:tcW w:w="2135" w:type="dxa"/>
          </w:tcPr>
          <w:p w14:paraId="7537851B" w14:textId="77777777" w:rsidR="000323A2" w:rsidRPr="000323A2" w:rsidRDefault="000323A2" w:rsidP="000323A2">
            <w:pPr>
              <w:spacing w:before="240" w:line="276" w:lineRule="auto"/>
              <w:jc w:val="center"/>
              <w:rPr>
                <w:rFonts w:ascii="Arial" w:hAnsi="Arial" w:cs="Arial"/>
                <w:sz w:val="20"/>
                <w:szCs w:val="20"/>
                <w:lang w:val="es-ES"/>
              </w:rPr>
            </w:pPr>
            <w:r w:rsidRPr="000323A2">
              <w:rPr>
                <w:rFonts w:ascii="Arial" w:hAnsi="Arial" w:cs="Arial"/>
                <w:bCs/>
                <w:sz w:val="20"/>
                <w:szCs w:val="20"/>
                <w:lang w:eastAsia="es-ES"/>
              </w:rPr>
              <w:t>4 horas</w:t>
            </w:r>
          </w:p>
        </w:tc>
      </w:tr>
      <w:tr w:rsidR="000323A2" w:rsidRPr="000323A2" w14:paraId="58AD2FF8" w14:textId="77777777" w:rsidTr="000323A2">
        <w:trPr>
          <w:tblHeader/>
          <w:jc w:val="center"/>
        </w:trPr>
        <w:tc>
          <w:tcPr>
            <w:tcW w:w="2084" w:type="dxa"/>
          </w:tcPr>
          <w:p w14:paraId="3559B5AC" w14:textId="77777777" w:rsidR="000323A2" w:rsidRPr="000323A2" w:rsidRDefault="000323A2" w:rsidP="000323A2">
            <w:pPr>
              <w:autoSpaceDE w:val="0"/>
              <w:autoSpaceDN w:val="0"/>
              <w:adjustRightInd w:val="0"/>
              <w:spacing w:before="240" w:line="276" w:lineRule="auto"/>
              <w:jc w:val="center"/>
              <w:rPr>
                <w:rFonts w:ascii="Arial" w:hAnsi="Arial" w:cs="Arial"/>
                <w:sz w:val="20"/>
                <w:szCs w:val="20"/>
                <w:lang w:val="es-ES"/>
              </w:rPr>
            </w:pPr>
            <w:r w:rsidRPr="000323A2">
              <w:rPr>
                <w:rFonts w:ascii="Arial" w:hAnsi="Arial" w:cs="Arial"/>
                <w:sz w:val="20"/>
                <w:szCs w:val="20"/>
                <w:lang w:val="es-ES"/>
              </w:rPr>
              <w:t>Prioridad 2</w:t>
            </w:r>
          </w:p>
        </w:tc>
        <w:tc>
          <w:tcPr>
            <w:tcW w:w="2135" w:type="dxa"/>
          </w:tcPr>
          <w:p w14:paraId="4D9B44DA" w14:textId="77777777" w:rsidR="000323A2" w:rsidRPr="000323A2" w:rsidRDefault="000323A2" w:rsidP="000323A2">
            <w:pPr>
              <w:spacing w:before="240" w:line="276" w:lineRule="auto"/>
              <w:jc w:val="center"/>
              <w:rPr>
                <w:rFonts w:ascii="Arial" w:hAnsi="Arial" w:cs="Arial"/>
                <w:sz w:val="20"/>
                <w:szCs w:val="20"/>
                <w:lang w:val="es-ES"/>
              </w:rPr>
            </w:pPr>
            <w:r w:rsidRPr="000323A2">
              <w:rPr>
                <w:rFonts w:ascii="Arial" w:hAnsi="Arial" w:cs="Arial"/>
                <w:bCs/>
                <w:sz w:val="20"/>
                <w:szCs w:val="20"/>
                <w:lang w:eastAsia="es-ES"/>
              </w:rPr>
              <w:t>8 horas</w:t>
            </w:r>
          </w:p>
        </w:tc>
      </w:tr>
      <w:tr w:rsidR="000323A2" w:rsidRPr="000323A2" w14:paraId="4577783E" w14:textId="77777777" w:rsidTr="000323A2">
        <w:trPr>
          <w:tblHeader/>
          <w:jc w:val="center"/>
        </w:trPr>
        <w:tc>
          <w:tcPr>
            <w:tcW w:w="2084" w:type="dxa"/>
          </w:tcPr>
          <w:p w14:paraId="07160F98" w14:textId="77777777" w:rsidR="000323A2" w:rsidRPr="000323A2" w:rsidRDefault="000323A2" w:rsidP="000323A2">
            <w:pPr>
              <w:autoSpaceDE w:val="0"/>
              <w:autoSpaceDN w:val="0"/>
              <w:adjustRightInd w:val="0"/>
              <w:spacing w:before="240" w:line="276" w:lineRule="auto"/>
              <w:jc w:val="center"/>
              <w:rPr>
                <w:rFonts w:ascii="Arial" w:hAnsi="Arial" w:cs="Arial"/>
                <w:sz w:val="20"/>
                <w:szCs w:val="20"/>
                <w:lang w:val="es-ES"/>
              </w:rPr>
            </w:pPr>
            <w:r w:rsidRPr="000323A2">
              <w:rPr>
                <w:rFonts w:ascii="Arial" w:hAnsi="Arial" w:cs="Arial"/>
                <w:sz w:val="20"/>
                <w:szCs w:val="20"/>
                <w:lang w:val="es-ES"/>
              </w:rPr>
              <w:t>Prioridad 3</w:t>
            </w:r>
          </w:p>
        </w:tc>
        <w:tc>
          <w:tcPr>
            <w:tcW w:w="2135" w:type="dxa"/>
          </w:tcPr>
          <w:p w14:paraId="7460ED2B" w14:textId="77777777" w:rsidR="000323A2" w:rsidRPr="000323A2" w:rsidRDefault="000323A2" w:rsidP="000323A2">
            <w:pPr>
              <w:spacing w:before="240" w:line="276" w:lineRule="auto"/>
              <w:jc w:val="center"/>
              <w:rPr>
                <w:rFonts w:ascii="Arial" w:hAnsi="Arial" w:cs="Arial"/>
                <w:sz w:val="20"/>
                <w:szCs w:val="20"/>
                <w:lang w:val="es-ES"/>
              </w:rPr>
            </w:pPr>
            <w:r w:rsidRPr="000323A2">
              <w:rPr>
                <w:rFonts w:ascii="Arial" w:hAnsi="Arial" w:cs="Arial"/>
                <w:bCs/>
                <w:sz w:val="20"/>
                <w:szCs w:val="20"/>
                <w:lang w:eastAsia="es-ES"/>
              </w:rPr>
              <w:t>10 horas</w:t>
            </w:r>
          </w:p>
        </w:tc>
      </w:tr>
    </w:tbl>
    <w:p w14:paraId="134CB27A" w14:textId="77777777" w:rsidR="000323A2" w:rsidRPr="000323A2" w:rsidRDefault="000323A2" w:rsidP="000323A2">
      <w:pPr>
        <w:spacing w:before="240" w:after="0" w:line="276" w:lineRule="auto"/>
        <w:ind w:left="720"/>
        <w:contextualSpacing/>
        <w:rPr>
          <w:rFonts w:ascii="Arial" w:eastAsia="Calibri" w:hAnsi="Arial" w:cs="Arial"/>
          <w:sz w:val="24"/>
          <w:szCs w:val="20"/>
          <w:lang w:val="es-ES"/>
        </w:rPr>
      </w:pPr>
    </w:p>
    <w:p w14:paraId="00679E88" w14:textId="77777777" w:rsidR="000323A2" w:rsidRPr="000323A2" w:rsidRDefault="000323A2" w:rsidP="00B04B36">
      <w:pPr>
        <w:numPr>
          <w:ilvl w:val="0"/>
          <w:numId w:val="21"/>
        </w:numPr>
        <w:spacing w:before="240" w:after="0" w:line="276" w:lineRule="auto"/>
        <w:jc w:val="both"/>
        <w:rPr>
          <w:rFonts w:ascii="Arial" w:eastAsia="Calibri" w:hAnsi="Arial" w:cs="Arial"/>
          <w:lang w:val="es-ES"/>
        </w:rPr>
      </w:pPr>
      <w:r w:rsidRPr="000323A2">
        <w:rPr>
          <w:rFonts w:ascii="Arial" w:eastAsia="Calibri" w:hAnsi="Arial" w:cs="Arial"/>
          <w:lang w:val="es-ES"/>
        </w:rPr>
        <w:t>El Concesionario Solicitante o Autorizado Solicitante notificará a Telmex cuando los sitios se encuentren totalmente acondicionados y preparados para recibir los SERVICIOS, de acuerdo con las condiciones de instalación definidas para cada uno de los SERVICIOS establecidas en el Anexo “E”.</w:t>
      </w:r>
    </w:p>
    <w:p w14:paraId="22398154" w14:textId="77777777" w:rsidR="000323A2" w:rsidRPr="000323A2" w:rsidRDefault="000323A2" w:rsidP="000323A2">
      <w:pPr>
        <w:spacing w:before="240" w:after="0" w:line="276" w:lineRule="auto"/>
        <w:jc w:val="center"/>
        <w:rPr>
          <w:rFonts w:ascii="Arial" w:eastAsia="Calibri" w:hAnsi="Arial" w:cs="Arial"/>
          <w:b/>
          <w:sz w:val="24"/>
          <w:szCs w:val="24"/>
          <w:lang w:val="es-ES"/>
        </w:rPr>
      </w:pPr>
      <w:r w:rsidRPr="000323A2">
        <w:rPr>
          <w:rFonts w:ascii="Arial" w:eastAsia="Calibri" w:hAnsi="Arial" w:cs="Arial"/>
          <w:sz w:val="24"/>
          <w:szCs w:val="20"/>
          <w:lang w:val="es-ES"/>
        </w:rPr>
        <w:br w:type="page"/>
      </w:r>
      <w:r w:rsidRPr="000323A2">
        <w:rPr>
          <w:rFonts w:ascii="Arial" w:eastAsia="Calibri" w:hAnsi="Arial" w:cs="Arial"/>
          <w:b/>
          <w:sz w:val="24"/>
          <w:szCs w:val="24"/>
          <w:lang w:val="es-ES"/>
        </w:rPr>
        <w:lastRenderedPageBreak/>
        <w:t>APÉNDICE A-LISTA DE CONTACTOS Y ESCALACION CONCESIONARIO SOLICITANTE O AUTORIZADO SOLICITANTE</w:t>
      </w:r>
    </w:p>
    <w:p w14:paraId="132336A8" w14:textId="77777777" w:rsidR="000323A2" w:rsidRPr="000323A2" w:rsidRDefault="000323A2" w:rsidP="000323A2">
      <w:pPr>
        <w:spacing w:before="240" w:after="0" w:line="276" w:lineRule="auto"/>
        <w:rPr>
          <w:rFonts w:ascii="Arial" w:eastAsia="Calibri" w:hAnsi="Arial" w:cs="Arial"/>
          <w:sz w:val="24"/>
          <w:szCs w:val="20"/>
          <w:lang w:val="es-ES"/>
        </w:rPr>
      </w:pPr>
    </w:p>
    <w:tbl>
      <w:tblPr>
        <w:tblStyle w:val="Cuadrculadetablaclara1"/>
        <w:tblW w:w="0" w:type="auto"/>
        <w:jc w:val="center"/>
        <w:tblLayout w:type="fixed"/>
        <w:tblLook w:val="0000" w:firstRow="0" w:lastRow="0" w:firstColumn="0" w:lastColumn="0" w:noHBand="0" w:noVBand="0"/>
        <w:tblCaption w:val="Tabla"/>
        <w:tblDescription w:val="Escalación"/>
      </w:tblPr>
      <w:tblGrid>
        <w:gridCol w:w="2538"/>
        <w:gridCol w:w="4050"/>
        <w:gridCol w:w="2817"/>
      </w:tblGrid>
      <w:tr w:rsidR="000323A2" w:rsidRPr="000323A2" w14:paraId="7603511D" w14:textId="77777777" w:rsidTr="000323A2">
        <w:trPr>
          <w:tblHeader/>
          <w:jc w:val="center"/>
        </w:trPr>
        <w:tc>
          <w:tcPr>
            <w:tcW w:w="2538" w:type="dxa"/>
          </w:tcPr>
          <w:p w14:paraId="48F4834D"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ESCALACIÓN</w:t>
            </w:r>
          </w:p>
        </w:tc>
        <w:tc>
          <w:tcPr>
            <w:tcW w:w="4050" w:type="dxa"/>
          </w:tcPr>
          <w:p w14:paraId="675E0A9F"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Ing. Operador de Turno</w:t>
            </w:r>
          </w:p>
        </w:tc>
        <w:tc>
          <w:tcPr>
            <w:tcW w:w="2817" w:type="dxa"/>
          </w:tcPr>
          <w:p w14:paraId="1DCA53F3"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TELÉFONOS</w:t>
            </w:r>
          </w:p>
        </w:tc>
      </w:tr>
      <w:tr w:rsidR="000323A2" w:rsidRPr="000323A2" w14:paraId="5C8A3156" w14:textId="77777777" w:rsidTr="000323A2">
        <w:trPr>
          <w:tblHeader/>
          <w:jc w:val="center"/>
        </w:trPr>
        <w:tc>
          <w:tcPr>
            <w:tcW w:w="2538" w:type="dxa"/>
          </w:tcPr>
          <w:p w14:paraId="784BBC71" w14:textId="77777777" w:rsidR="000323A2" w:rsidRPr="000323A2" w:rsidRDefault="000323A2" w:rsidP="000323A2">
            <w:pPr>
              <w:spacing w:before="240" w:line="276" w:lineRule="auto"/>
              <w:rPr>
                <w:rFonts w:ascii="Arial" w:hAnsi="Arial" w:cs="Arial"/>
                <w:lang w:val="es-ES"/>
              </w:rPr>
            </w:pPr>
            <w:r w:rsidRPr="000323A2">
              <w:rPr>
                <w:rFonts w:ascii="Arial" w:hAnsi="Arial" w:cs="Arial"/>
                <w:lang w:val="es-ES"/>
              </w:rPr>
              <w:t>1er escalación:</w:t>
            </w:r>
          </w:p>
        </w:tc>
        <w:tc>
          <w:tcPr>
            <w:tcW w:w="4050" w:type="dxa"/>
          </w:tcPr>
          <w:p w14:paraId="0C894572" w14:textId="39756DBC" w:rsidR="000323A2" w:rsidRPr="000323A2" w:rsidRDefault="000323A2" w:rsidP="000323A2">
            <w:pPr>
              <w:spacing w:before="240" w:line="276" w:lineRule="auto"/>
              <w:rPr>
                <w:rFonts w:ascii="Arial" w:hAnsi="Arial" w:cs="Arial"/>
                <w:lang w:val="es-ES"/>
              </w:rPr>
            </w:pPr>
            <w:r w:rsidRPr="000323A2">
              <w:rPr>
                <w:rFonts w:ascii="Arial" w:hAnsi="Arial" w:cs="Arial"/>
                <w:lang w:val="es-ES"/>
              </w:rPr>
              <w:t xml:space="preserve">Ing. </w:t>
            </w:r>
            <w:r w:rsidR="00544A1F" w:rsidRPr="00544A1F">
              <w:rPr>
                <w:rFonts w:ascii="Arial" w:hAnsi="Arial" w:cs="Arial"/>
                <w:b/>
                <w:color w:val="00B0F0"/>
                <w:lang w:val="es-ES"/>
              </w:rPr>
              <w:t>(…)</w:t>
            </w:r>
          </w:p>
        </w:tc>
        <w:tc>
          <w:tcPr>
            <w:tcW w:w="2817" w:type="dxa"/>
          </w:tcPr>
          <w:p w14:paraId="0939ECC7" w14:textId="60618712" w:rsidR="000323A2" w:rsidRPr="000323A2" w:rsidRDefault="000323A2" w:rsidP="000323A2">
            <w:pPr>
              <w:spacing w:before="240" w:line="276" w:lineRule="auto"/>
              <w:rPr>
                <w:rFonts w:ascii="Arial" w:hAnsi="Arial" w:cs="Arial"/>
                <w:lang w:val="es-ES"/>
              </w:rPr>
            </w:pPr>
            <w:r w:rsidRPr="000323A2">
              <w:rPr>
                <w:rFonts w:ascii="Arial" w:hAnsi="Arial" w:cs="Arial"/>
                <w:lang w:val="es-ES"/>
              </w:rPr>
              <w:t xml:space="preserve">Tel. (55) </w:t>
            </w:r>
            <w:r w:rsidR="00055D63" w:rsidRPr="008367DF">
              <w:rPr>
                <w:rFonts w:ascii="ITC Avant Garde" w:hAnsi="ITC Avant Garde"/>
                <w:b/>
                <w:color w:val="00B0F0"/>
                <w:lang w:val="es-ES_tradnl"/>
              </w:rPr>
              <w:t>(…)</w:t>
            </w:r>
          </w:p>
          <w:p w14:paraId="0E3D30EA" w14:textId="6D93408E" w:rsidR="000323A2" w:rsidRPr="000323A2" w:rsidRDefault="000323A2" w:rsidP="000323A2">
            <w:pPr>
              <w:spacing w:before="240" w:line="276" w:lineRule="auto"/>
              <w:rPr>
                <w:rFonts w:ascii="Arial" w:hAnsi="Arial" w:cs="Arial"/>
                <w:lang w:val="es-ES"/>
              </w:rPr>
            </w:pPr>
            <w:r w:rsidRPr="000323A2">
              <w:rPr>
                <w:rFonts w:ascii="Arial" w:hAnsi="Arial" w:cs="Arial"/>
                <w:lang w:val="es-ES"/>
              </w:rPr>
              <w:t xml:space="preserve">Móvil: </w:t>
            </w:r>
            <w:r w:rsidR="00055D63" w:rsidRPr="008367DF">
              <w:rPr>
                <w:rFonts w:ascii="ITC Avant Garde" w:hAnsi="ITC Avant Garde"/>
                <w:b/>
                <w:color w:val="00B0F0"/>
                <w:lang w:val="es-ES_tradnl"/>
              </w:rPr>
              <w:t>(…)</w:t>
            </w:r>
          </w:p>
        </w:tc>
      </w:tr>
      <w:tr w:rsidR="000323A2" w:rsidRPr="000323A2" w14:paraId="1F63B670" w14:textId="77777777" w:rsidTr="000323A2">
        <w:trPr>
          <w:tblHeader/>
          <w:jc w:val="center"/>
        </w:trPr>
        <w:tc>
          <w:tcPr>
            <w:tcW w:w="2538" w:type="dxa"/>
          </w:tcPr>
          <w:p w14:paraId="3C939027" w14:textId="338A756F" w:rsidR="000323A2" w:rsidRPr="000323A2" w:rsidRDefault="00544A1F" w:rsidP="000323A2">
            <w:pPr>
              <w:spacing w:before="240" w:line="276" w:lineRule="auto"/>
              <w:rPr>
                <w:rFonts w:ascii="Arial" w:hAnsi="Arial" w:cs="Arial"/>
                <w:lang w:val="es-ES"/>
              </w:rPr>
            </w:pPr>
            <w:r>
              <w:rPr>
                <w:rFonts w:ascii="Arial" w:hAnsi="Arial" w:cs="Arial"/>
                <w:lang w:val="es-ES"/>
              </w:rPr>
              <w:t>2</w:t>
            </w:r>
            <w:r w:rsidR="000323A2" w:rsidRPr="000323A2">
              <w:rPr>
                <w:rFonts w:ascii="Arial" w:hAnsi="Arial" w:cs="Arial"/>
                <w:lang w:val="es-ES"/>
              </w:rPr>
              <w:t>da escalación</w:t>
            </w:r>
          </w:p>
        </w:tc>
        <w:tc>
          <w:tcPr>
            <w:tcW w:w="4050" w:type="dxa"/>
          </w:tcPr>
          <w:p w14:paraId="040DEED4" w14:textId="3B67EB87" w:rsidR="000323A2" w:rsidRPr="000323A2" w:rsidRDefault="000323A2" w:rsidP="000323A2">
            <w:pPr>
              <w:spacing w:before="240" w:line="276" w:lineRule="auto"/>
              <w:rPr>
                <w:rFonts w:ascii="Arial" w:hAnsi="Arial" w:cs="Arial"/>
                <w:lang w:val="es-ES"/>
              </w:rPr>
            </w:pPr>
            <w:r w:rsidRPr="000323A2">
              <w:rPr>
                <w:rFonts w:ascii="Arial" w:hAnsi="Arial" w:cs="Arial"/>
                <w:lang w:val="es-ES"/>
              </w:rPr>
              <w:t xml:space="preserve">Ing. </w:t>
            </w:r>
            <w:r w:rsidR="00055D63" w:rsidRPr="008367DF">
              <w:rPr>
                <w:rFonts w:ascii="ITC Avant Garde" w:hAnsi="ITC Avant Garde"/>
                <w:b/>
                <w:color w:val="00B0F0"/>
                <w:lang w:val="es-ES_tradnl"/>
              </w:rPr>
              <w:t>(…)</w:t>
            </w:r>
          </w:p>
        </w:tc>
        <w:tc>
          <w:tcPr>
            <w:tcW w:w="2817" w:type="dxa"/>
          </w:tcPr>
          <w:p w14:paraId="258FF982" w14:textId="66489472" w:rsidR="000323A2" w:rsidRPr="000323A2" w:rsidRDefault="000323A2" w:rsidP="000323A2">
            <w:pPr>
              <w:spacing w:before="240" w:line="276" w:lineRule="auto"/>
              <w:rPr>
                <w:rFonts w:ascii="Arial" w:hAnsi="Arial" w:cs="Arial"/>
                <w:lang w:val="es-ES"/>
              </w:rPr>
            </w:pPr>
            <w:r w:rsidRPr="000323A2">
              <w:rPr>
                <w:rFonts w:ascii="Arial" w:hAnsi="Arial" w:cs="Arial"/>
                <w:lang w:val="es-ES"/>
              </w:rPr>
              <w:t xml:space="preserve">Tel. </w:t>
            </w:r>
            <w:r w:rsidR="00055D63" w:rsidRPr="008367DF">
              <w:rPr>
                <w:rFonts w:ascii="ITC Avant Garde" w:hAnsi="ITC Avant Garde"/>
                <w:b/>
                <w:color w:val="00B0F0"/>
                <w:lang w:val="es-ES_tradnl"/>
              </w:rPr>
              <w:t>(…)</w:t>
            </w:r>
          </w:p>
        </w:tc>
      </w:tr>
      <w:tr w:rsidR="000323A2" w:rsidRPr="000323A2" w14:paraId="011CB2E7" w14:textId="77777777" w:rsidTr="000323A2">
        <w:trPr>
          <w:tblHeader/>
          <w:jc w:val="center"/>
        </w:trPr>
        <w:tc>
          <w:tcPr>
            <w:tcW w:w="2538" w:type="dxa"/>
          </w:tcPr>
          <w:p w14:paraId="4F5AA1BB" w14:textId="2A18CF38" w:rsidR="000323A2" w:rsidRPr="000323A2" w:rsidRDefault="00544A1F" w:rsidP="000323A2">
            <w:pPr>
              <w:spacing w:before="240" w:line="276" w:lineRule="auto"/>
              <w:rPr>
                <w:rFonts w:ascii="Arial" w:hAnsi="Arial" w:cs="Arial"/>
                <w:lang w:val="es-ES"/>
              </w:rPr>
            </w:pPr>
            <w:r>
              <w:rPr>
                <w:rFonts w:ascii="Arial" w:hAnsi="Arial" w:cs="Arial"/>
                <w:lang w:val="es-ES"/>
              </w:rPr>
              <w:t>3</w:t>
            </w:r>
            <w:r w:rsidR="000323A2" w:rsidRPr="000323A2">
              <w:rPr>
                <w:rFonts w:ascii="Arial" w:hAnsi="Arial" w:cs="Arial"/>
                <w:lang w:val="es-ES"/>
              </w:rPr>
              <w:t xml:space="preserve">er escalación  </w:t>
            </w:r>
          </w:p>
        </w:tc>
        <w:tc>
          <w:tcPr>
            <w:tcW w:w="4050" w:type="dxa"/>
          </w:tcPr>
          <w:p w14:paraId="62FB61DE" w14:textId="40F7ACEF" w:rsidR="000323A2" w:rsidRPr="000323A2" w:rsidRDefault="000323A2" w:rsidP="000323A2">
            <w:pPr>
              <w:spacing w:before="240" w:line="276" w:lineRule="auto"/>
              <w:rPr>
                <w:rFonts w:ascii="Arial" w:hAnsi="Arial" w:cs="Arial"/>
                <w:lang w:val="es-ES"/>
              </w:rPr>
            </w:pPr>
            <w:r w:rsidRPr="000323A2">
              <w:rPr>
                <w:rFonts w:ascii="Arial" w:hAnsi="Arial" w:cs="Arial"/>
                <w:lang w:val="es-ES"/>
              </w:rPr>
              <w:t xml:space="preserve">Ing. </w:t>
            </w:r>
            <w:r w:rsidR="00055D63" w:rsidRPr="008367DF">
              <w:rPr>
                <w:rFonts w:ascii="ITC Avant Garde" w:hAnsi="ITC Avant Garde"/>
                <w:b/>
                <w:color w:val="00B0F0"/>
                <w:lang w:val="es-ES_tradnl"/>
              </w:rPr>
              <w:t>(…)</w:t>
            </w:r>
          </w:p>
        </w:tc>
        <w:tc>
          <w:tcPr>
            <w:tcW w:w="2817" w:type="dxa"/>
          </w:tcPr>
          <w:p w14:paraId="60E660CE" w14:textId="62479C69" w:rsidR="000323A2" w:rsidRPr="000323A2" w:rsidRDefault="000323A2" w:rsidP="000323A2">
            <w:pPr>
              <w:spacing w:before="240" w:line="276" w:lineRule="auto"/>
              <w:rPr>
                <w:rFonts w:ascii="Arial" w:hAnsi="Arial" w:cs="Arial"/>
                <w:lang w:val="es-ES"/>
              </w:rPr>
            </w:pPr>
            <w:r w:rsidRPr="000323A2">
              <w:rPr>
                <w:rFonts w:ascii="Arial" w:hAnsi="Arial" w:cs="Arial"/>
                <w:lang w:val="es-ES"/>
              </w:rPr>
              <w:t xml:space="preserve">Tel. </w:t>
            </w:r>
            <w:r w:rsidR="00055D63" w:rsidRPr="008367DF">
              <w:rPr>
                <w:rFonts w:ascii="ITC Avant Garde" w:hAnsi="ITC Avant Garde"/>
                <w:b/>
                <w:color w:val="00B0F0"/>
                <w:lang w:val="es-ES_tradnl"/>
              </w:rPr>
              <w:t>(…)</w:t>
            </w:r>
          </w:p>
        </w:tc>
      </w:tr>
    </w:tbl>
    <w:p w14:paraId="45080941" w14:textId="77777777" w:rsidR="000323A2" w:rsidRPr="000323A2" w:rsidRDefault="000323A2" w:rsidP="000323A2">
      <w:pPr>
        <w:spacing w:before="240" w:after="0" w:line="276" w:lineRule="auto"/>
        <w:jc w:val="center"/>
        <w:rPr>
          <w:rFonts w:ascii="Arial" w:eastAsia="Calibri" w:hAnsi="Arial" w:cs="Arial"/>
          <w:b/>
          <w:sz w:val="24"/>
          <w:szCs w:val="24"/>
          <w:lang w:val="es-ES"/>
        </w:rPr>
      </w:pPr>
    </w:p>
    <w:p w14:paraId="6057EB70" w14:textId="77777777" w:rsidR="000323A2" w:rsidRPr="000323A2" w:rsidRDefault="000323A2" w:rsidP="000323A2">
      <w:pPr>
        <w:spacing w:before="240" w:after="0" w:line="276" w:lineRule="auto"/>
        <w:jc w:val="center"/>
        <w:rPr>
          <w:rFonts w:ascii="Arial" w:eastAsia="Calibri" w:hAnsi="Arial" w:cs="Arial"/>
          <w:b/>
          <w:sz w:val="24"/>
          <w:szCs w:val="24"/>
          <w:lang w:val="es-ES"/>
        </w:rPr>
      </w:pPr>
      <w:r w:rsidRPr="000323A2">
        <w:rPr>
          <w:rFonts w:ascii="Arial" w:eastAsia="Calibri" w:hAnsi="Arial" w:cs="Arial"/>
          <w:b/>
          <w:sz w:val="24"/>
          <w:szCs w:val="24"/>
          <w:lang w:val="es-ES"/>
        </w:rPr>
        <w:t>APÉNDICE B-LISTA DE CONTACTOS Y ESCALACION TELMEX</w:t>
      </w:r>
    </w:p>
    <w:tbl>
      <w:tblPr>
        <w:tblStyle w:val="Cuadrculadetablaclara1"/>
        <w:tblW w:w="9322" w:type="dxa"/>
        <w:jc w:val="center"/>
        <w:tblLayout w:type="fixed"/>
        <w:tblLook w:val="0000" w:firstRow="0" w:lastRow="0" w:firstColumn="0" w:lastColumn="0" w:noHBand="0" w:noVBand="0"/>
        <w:tblCaption w:val="Tabla"/>
        <w:tblDescription w:val="Escalación"/>
      </w:tblPr>
      <w:tblGrid>
        <w:gridCol w:w="2538"/>
        <w:gridCol w:w="4050"/>
        <w:gridCol w:w="2734"/>
      </w:tblGrid>
      <w:tr w:rsidR="000323A2" w:rsidRPr="000323A2" w14:paraId="65753923" w14:textId="77777777" w:rsidTr="00055D63">
        <w:trPr>
          <w:tblHeader/>
          <w:jc w:val="center"/>
        </w:trPr>
        <w:tc>
          <w:tcPr>
            <w:tcW w:w="2538" w:type="dxa"/>
          </w:tcPr>
          <w:p w14:paraId="3FD8CE4C"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ESCALACIÓN</w:t>
            </w:r>
          </w:p>
        </w:tc>
        <w:tc>
          <w:tcPr>
            <w:tcW w:w="4050" w:type="dxa"/>
          </w:tcPr>
          <w:p w14:paraId="7B6F1BB0"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Ing. Operador de Turno</w:t>
            </w:r>
          </w:p>
        </w:tc>
        <w:tc>
          <w:tcPr>
            <w:tcW w:w="2734" w:type="dxa"/>
          </w:tcPr>
          <w:p w14:paraId="70862638"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TELÉFONOS</w:t>
            </w:r>
          </w:p>
        </w:tc>
      </w:tr>
      <w:tr w:rsidR="000323A2" w:rsidRPr="000323A2" w14:paraId="1E6F3FAC" w14:textId="77777777" w:rsidTr="00055D63">
        <w:trPr>
          <w:tblHeader/>
          <w:jc w:val="center"/>
        </w:trPr>
        <w:tc>
          <w:tcPr>
            <w:tcW w:w="2538" w:type="dxa"/>
          </w:tcPr>
          <w:p w14:paraId="5D1DEB39" w14:textId="77777777" w:rsidR="000323A2" w:rsidRPr="000323A2" w:rsidRDefault="000323A2" w:rsidP="000323A2">
            <w:pPr>
              <w:spacing w:before="240" w:line="276" w:lineRule="auto"/>
              <w:rPr>
                <w:rFonts w:ascii="Arial" w:hAnsi="Arial" w:cs="Arial"/>
                <w:lang w:val="es-ES"/>
              </w:rPr>
            </w:pPr>
            <w:r w:rsidRPr="000323A2">
              <w:rPr>
                <w:rFonts w:ascii="Arial" w:hAnsi="Arial" w:cs="Arial"/>
                <w:lang w:val="es-ES"/>
              </w:rPr>
              <w:t>1er. escalación:</w:t>
            </w:r>
          </w:p>
        </w:tc>
        <w:tc>
          <w:tcPr>
            <w:tcW w:w="4050" w:type="dxa"/>
          </w:tcPr>
          <w:p w14:paraId="5FD5DF0B" w14:textId="0E5C6EB8"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2734" w:type="dxa"/>
          </w:tcPr>
          <w:p w14:paraId="2ADA9412" w14:textId="7CC7C214"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r>
      <w:tr w:rsidR="000323A2" w:rsidRPr="000323A2" w14:paraId="5110599A" w14:textId="77777777" w:rsidTr="00055D63">
        <w:trPr>
          <w:tblHeader/>
          <w:jc w:val="center"/>
        </w:trPr>
        <w:tc>
          <w:tcPr>
            <w:tcW w:w="2538" w:type="dxa"/>
          </w:tcPr>
          <w:p w14:paraId="2CEA67C0" w14:textId="77777777" w:rsidR="000323A2" w:rsidRPr="000323A2" w:rsidRDefault="000323A2" w:rsidP="000323A2">
            <w:pPr>
              <w:spacing w:before="240" w:line="276" w:lineRule="auto"/>
              <w:rPr>
                <w:rFonts w:ascii="Arial" w:hAnsi="Arial" w:cs="Arial"/>
                <w:lang w:val="es-ES"/>
              </w:rPr>
            </w:pPr>
            <w:r w:rsidRPr="000323A2">
              <w:rPr>
                <w:rFonts w:ascii="Arial" w:hAnsi="Arial" w:cs="Arial"/>
                <w:lang w:val="es-ES"/>
              </w:rPr>
              <w:t>2da. escalación</w:t>
            </w:r>
          </w:p>
        </w:tc>
        <w:tc>
          <w:tcPr>
            <w:tcW w:w="4050" w:type="dxa"/>
          </w:tcPr>
          <w:p w14:paraId="379B086B" w14:textId="037EA89A"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2734" w:type="dxa"/>
          </w:tcPr>
          <w:p w14:paraId="519EB847" w14:textId="5168D8FB"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r>
      <w:tr w:rsidR="000323A2" w:rsidRPr="000323A2" w14:paraId="75B0BC53" w14:textId="77777777" w:rsidTr="00055D63">
        <w:trPr>
          <w:trHeight w:val="345"/>
          <w:tblHeader/>
          <w:jc w:val="center"/>
        </w:trPr>
        <w:tc>
          <w:tcPr>
            <w:tcW w:w="2538" w:type="dxa"/>
          </w:tcPr>
          <w:p w14:paraId="7B4A52AA" w14:textId="77777777" w:rsidR="000323A2" w:rsidRPr="000323A2" w:rsidRDefault="000323A2" w:rsidP="000323A2">
            <w:pPr>
              <w:spacing w:before="240" w:line="276" w:lineRule="auto"/>
              <w:rPr>
                <w:rFonts w:ascii="Arial" w:hAnsi="Arial" w:cs="Arial"/>
                <w:lang w:val="es-ES"/>
              </w:rPr>
            </w:pPr>
            <w:r w:rsidRPr="000323A2">
              <w:rPr>
                <w:rFonts w:ascii="Arial" w:hAnsi="Arial" w:cs="Arial"/>
                <w:lang w:val="es-ES"/>
              </w:rPr>
              <w:t xml:space="preserve">3er. escalación  </w:t>
            </w:r>
          </w:p>
        </w:tc>
        <w:tc>
          <w:tcPr>
            <w:tcW w:w="4050" w:type="dxa"/>
          </w:tcPr>
          <w:p w14:paraId="6D524F46" w14:textId="6DDEDFAD" w:rsidR="000323A2" w:rsidRPr="000323A2" w:rsidRDefault="00055D63" w:rsidP="000323A2">
            <w:pPr>
              <w:spacing w:before="240" w:line="276" w:lineRule="auto"/>
              <w:ind w:left="175" w:hanging="175"/>
              <w:rPr>
                <w:rFonts w:ascii="Arial" w:hAnsi="Arial" w:cs="Arial"/>
                <w:lang w:val="es-ES"/>
              </w:rPr>
            </w:pPr>
            <w:r w:rsidRPr="008367DF">
              <w:rPr>
                <w:rFonts w:ascii="ITC Avant Garde" w:hAnsi="ITC Avant Garde"/>
                <w:b/>
                <w:color w:val="00B0F0"/>
                <w:lang w:val="es-ES_tradnl"/>
              </w:rPr>
              <w:t>(…)</w:t>
            </w:r>
          </w:p>
        </w:tc>
        <w:tc>
          <w:tcPr>
            <w:tcW w:w="2734" w:type="dxa"/>
          </w:tcPr>
          <w:p w14:paraId="09B812AA" w14:textId="34E625C6"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r>
    </w:tbl>
    <w:p w14:paraId="6153D7B2" w14:textId="77777777" w:rsidR="000323A2" w:rsidRPr="000323A2" w:rsidRDefault="000323A2" w:rsidP="000323A2">
      <w:pPr>
        <w:spacing w:before="240" w:after="0" w:line="276" w:lineRule="auto"/>
        <w:jc w:val="both"/>
        <w:rPr>
          <w:rFonts w:ascii="Arial" w:eastAsia="Calibri" w:hAnsi="Arial" w:cs="Arial"/>
          <w:lang w:val="es-ES"/>
        </w:rPr>
      </w:pPr>
      <w:r w:rsidRPr="000323A2">
        <w:rPr>
          <w:rFonts w:ascii="Arial" w:eastAsia="Calibri" w:hAnsi="Arial" w:cs="Arial"/>
          <w:lang w:val="es-ES"/>
        </w:rPr>
        <w:t>En caso de modificación a este apéndice, Telmex y/o el Concesionario Solicitante o Autorizado Solicitante harán la notificación correspondiente a la contraparte por escrito, o vía correo electrónico asegurándose de que la contraparte se dé por notificada con el acuse de recibo correspondiente.</w:t>
      </w:r>
    </w:p>
    <w:p w14:paraId="6886BD4D" w14:textId="77777777" w:rsidR="000323A2" w:rsidRPr="000323A2" w:rsidRDefault="000323A2" w:rsidP="000323A2">
      <w:pPr>
        <w:spacing w:before="240" w:after="0" w:line="276" w:lineRule="auto"/>
        <w:jc w:val="center"/>
        <w:rPr>
          <w:rFonts w:ascii="Arial" w:eastAsia="Calibri" w:hAnsi="Arial" w:cs="Arial"/>
          <w:b/>
          <w:u w:val="single"/>
          <w:lang w:val="es-ES"/>
        </w:rPr>
      </w:pPr>
      <w:r w:rsidRPr="000323A2">
        <w:rPr>
          <w:rFonts w:ascii="Arial" w:eastAsia="Calibri" w:hAnsi="Arial" w:cs="Arial"/>
          <w:b/>
          <w:u w:val="single"/>
          <w:lang w:val="es-ES"/>
        </w:rPr>
        <w:t>PROCESO DE ESCALACIÓN EN EL CASO DE REPORTE DE FALLAS</w:t>
      </w:r>
    </w:p>
    <w:p w14:paraId="21100D99" w14:textId="77777777" w:rsidR="000323A2" w:rsidRPr="000323A2" w:rsidRDefault="000323A2" w:rsidP="000323A2">
      <w:pPr>
        <w:spacing w:before="240" w:after="0" w:line="276" w:lineRule="auto"/>
        <w:rPr>
          <w:rFonts w:ascii="Arial" w:eastAsia="Calibri" w:hAnsi="Arial" w:cs="Arial"/>
          <w:b/>
          <w:lang w:val="es-ES"/>
        </w:rPr>
      </w:pPr>
      <w:r w:rsidRPr="000323A2">
        <w:rPr>
          <w:rFonts w:ascii="Arial" w:eastAsia="Calibri" w:hAnsi="Arial" w:cs="Arial"/>
          <w:b/>
          <w:lang w:val="es-ES"/>
        </w:rPr>
        <w:t>PROCESO DE ESCALACIÓN TELMEX PARA ENLACES ADMINISTRATIVOS:</w:t>
      </w:r>
    </w:p>
    <w:p w14:paraId="7FE66658" w14:textId="77777777" w:rsidR="000323A2" w:rsidRPr="000323A2" w:rsidRDefault="000323A2" w:rsidP="000323A2">
      <w:pPr>
        <w:spacing w:before="240" w:after="0" w:line="276" w:lineRule="auto"/>
        <w:jc w:val="center"/>
        <w:rPr>
          <w:rFonts w:ascii="Arial" w:eastAsia="Calibri" w:hAnsi="Arial" w:cs="Arial"/>
          <w:b/>
          <w:lang w:val="es-ES"/>
        </w:rPr>
      </w:pPr>
      <w:r w:rsidRPr="000323A2">
        <w:rPr>
          <w:rFonts w:ascii="Arial" w:eastAsia="Calibri" w:hAnsi="Arial" w:cs="Arial"/>
          <w:b/>
          <w:lang w:val="es-ES"/>
        </w:rPr>
        <w:t>Tiempos de escalación según la severidad de la falla</w:t>
      </w:r>
    </w:p>
    <w:tbl>
      <w:tblPr>
        <w:tblStyle w:val="Cuadrculadetablaclara1"/>
        <w:tblW w:w="9209" w:type="dxa"/>
        <w:jc w:val="center"/>
        <w:tblLayout w:type="fixed"/>
        <w:tblLook w:val="0000" w:firstRow="0" w:lastRow="0" w:firstColumn="0" w:lastColumn="0" w:noHBand="0" w:noVBand="0"/>
        <w:tblCaption w:val="Tabla"/>
        <w:tblDescription w:val="Tiempos de escalación según la falla"/>
      </w:tblPr>
      <w:tblGrid>
        <w:gridCol w:w="2122"/>
        <w:gridCol w:w="1701"/>
        <w:gridCol w:w="1200"/>
        <w:gridCol w:w="1190"/>
        <w:gridCol w:w="1400"/>
        <w:gridCol w:w="1596"/>
      </w:tblGrid>
      <w:tr w:rsidR="000323A2" w:rsidRPr="000323A2" w14:paraId="790B75BF" w14:textId="77777777" w:rsidTr="00055D63">
        <w:trPr>
          <w:trHeight w:val="270"/>
          <w:tblHeader/>
          <w:jc w:val="center"/>
        </w:trPr>
        <w:tc>
          <w:tcPr>
            <w:tcW w:w="2122" w:type="dxa"/>
          </w:tcPr>
          <w:p w14:paraId="44F12DE9" w14:textId="77777777" w:rsidR="000323A2" w:rsidRPr="000323A2" w:rsidRDefault="000323A2" w:rsidP="00055D63">
            <w:pPr>
              <w:spacing w:line="276" w:lineRule="auto"/>
              <w:jc w:val="center"/>
              <w:rPr>
                <w:rFonts w:ascii="Arial" w:hAnsi="Arial" w:cs="Arial"/>
                <w:b/>
                <w:u w:val="single"/>
                <w:lang w:val="es-ES"/>
              </w:rPr>
            </w:pPr>
            <w:r w:rsidRPr="000323A2">
              <w:rPr>
                <w:rFonts w:ascii="Arial" w:hAnsi="Arial" w:cs="Arial"/>
                <w:b/>
                <w:lang w:val="es-ES"/>
              </w:rPr>
              <w:lastRenderedPageBreak/>
              <w:t>Puesto</w:t>
            </w:r>
          </w:p>
        </w:tc>
        <w:tc>
          <w:tcPr>
            <w:tcW w:w="1701" w:type="dxa"/>
          </w:tcPr>
          <w:p w14:paraId="737B2BDE" w14:textId="77777777" w:rsidR="000323A2" w:rsidRPr="000323A2" w:rsidRDefault="000323A2" w:rsidP="00055D63">
            <w:pPr>
              <w:spacing w:line="276" w:lineRule="auto"/>
              <w:jc w:val="center"/>
              <w:rPr>
                <w:rFonts w:ascii="Arial" w:hAnsi="Arial" w:cs="Arial"/>
                <w:b/>
                <w:lang w:val="es-ES"/>
              </w:rPr>
            </w:pPr>
            <w:r w:rsidRPr="000323A2">
              <w:rPr>
                <w:rFonts w:ascii="Arial" w:hAnsi="Arial" w:cs="Arial"/>
                <w:b/>
                <w:lang w:val="es-ES"/>
              </w:rPr>
              <w:t>Responsable</w:t>
            </w:r>
          </w:p>
        </w:tc>
        <w:tc>
          <w:tcPr>
            <w:tcW w:w="1200" w:type="dxa"/>
          </w:tcPr>
          <w:p w14:paraId="574ED6E3" w14:textId="77777777" w:rsidR="000323A2" w:rsidRPr="000323A2" w:rsidRDefault="000323A2" w:rsidP="00055D63">
            <w:pPr>
              <w:spacing w:line="276" w:lineRule="auto"/>
              <w:jc w:val="center"/>
              <w:rPr>
                <w:rFonts w:ascii="Arial" w:hAnsi="Arial" w:cs="Arial"/>
                <w:b/>
                <w:lang w:val="es-ES"/>
              </w:rPr>
            </w:pPr>
            <w:r w:rsidRPr="000323A2">
              <w:rPr>
                <w:rFonts w:ascii="Arial" w:hAnsi="Arial" w:cs="Arial"/>
                <w:b/>
                <w:lang w:val="es-ES"/>
              </w:rPr>
              <w:t>Teléfono 1</w:t>
            </w:r>
          </w:p>
        </w:tc>
        <w:tc>
          <w:tcPr>
            <w:tcW w:w="1190" w:type="dxa"/>
          </w:tcPr>
          <w:p w14:paraId="0696AA65" w14:textId="77777777" w:rsidR="000323A2" w:rsidRPr="000323A2" w:rsidRDefault="000323A2" w:rsidP="00055D63">
            <w:pPr>
              <w:spacing w:line="276" w:lineRule="auto"/>
              <w:jc w:val="center"/>
              <w:rPr>
                <w:rFonts w:ascii="Arial" w:hAnsi="Arial" w:cs="Arial"/>
                <w:b/>
                <w:lang w:val="es-ES"/>
              </w:rPr>
            </w:pPr>
            <w:r w:rsidRPr="000323A2">
              <w:rPr>
                <w:rFonts w:ascii="Arial" w:hAnsi="Arial" w:cs="Arial"/>
                <w:b/>
                <w:lang w:val="es-ES"/>
              </w:rPr>
              <w:t>Teléfono 2</w:t>
            </w:r>
          </w:p>
        </w:tc>
        <w:tc>
          <w:tcPr>
            <w:tcW w:w="1400" w:type="dxa"/>
          </w:tcPr>
          <w:p w14:paraId="5D1395B1" w14:textId="77777777" w:rsidR="000323A2" w:rsidRPr="000323A2" w:rsidRDefault="000323A2" w:rsidP="00055D63">
            <w:pPr>
              <w:spacing w:line="276" w:lineRule="auto"/>
              <w:jc w:val="center"/>
              <w:rPr>
                <w:rFonts w:ascii="Arial" w:hAnsi="Arial" w:cs="Arial"/>
                <w:b/>
                <w:lang w:val="es-ES"/>
              </w:rPr>
            </w:pPr>
            <w:r w:rsidRPr="000323A2">
              <w:rPr>
                <w:rFonts w:ascii="Arial" w:hAnsi="Arial" w:cs="Arial"/>
                <w:b/>
                <w:lang w:val="es-ES"/>
              </w:rPr>
              <w:t>Afectación total</w:t>
            </w:r>
          </w:p>
          <w:p w14:paraId="53629F8F" w14:textId="77777777" w:rsidR="000323A2" w:rsidRPr="000323A2" w:rsidRDefault="000323A2" w:rsidP="00055D63">
            <w:pPr>
              <w:spacing w:line="276" w:lineRule="auto"/>
              <w:jc w:val="center"/>
              <w:rPr>
                <w:rFonts w:ascii="Arial" w:hAnsi="Arial" w:cs="Arial"/>
                <w:b/>
                <w:lang w:val="es-ES"/>
              </w:rPr>
            </w:pPr>
          </w:p>
        </w:tc>
        <w:tc>
          <w:tcPr>
            <w:tcW w:w="1596" w:type="dxa"/>
          </w:tcPr>
          <w:p w14:paraId="09901F3F" w14:textId="77777777" w:rsidR="000323A2" w:rsidRPr="000323A2" w:rsidRDefault="000323A2" w:rsidP="00055D63">
            <w:pPr>
              <w:spacing w:line="276" w:lineRule="auto"/>
              <w:jc w:val="center"/>
              <w:rPr>
                <w:rFonts w:ascii="Arial" w:hAnsi="Arial" w:cs="Arial"/>
                <w:b/>
                <w:lang w:val="es-ES"/>
              </w:rPr>
            </w:pPr>
            <w:r w:rsidRPr="000323A2">
              <w:rPr>
                <w:rFonts w:ascii="Arial" w:hAnsi="Arial" w:cs="Arial"/>
                <w:b/>
                <w:lang w:val="es-ES"/>
              </w:rPr>
              <w:t xml:space="preserve">Afectación parcial </w:t>
            </w:r>
          </w:p>
        </w:tc>
      </w:tr>
      <w:tr w:rsidR="000323A2" w:rsidRPr="000323A2" w14:paraId="436C3290" w14:textId="77777777" w:rsidTr="00055D63">
        <w:trPr>
          <w:trHeight w:val="270"/>
          <w:tblHeader/>
          <w:jc w:val="center"/>
        </w:trPr>
        <w:tc>
          <w:tcPr>
            <w:tcW w:w="2122" w:type="dxa"/>
          </w:tcPr>
          <w:p w14:paraId="47B113A0" w14:textId="77777777" w:rsidR="000323A2" w:rsidRPr="000323A2" w:rsidRDefault="000323A2" w:rsidP="000323A2">
            <w:pPr>
              <w:spacing w:before="240" w:line="276" w:lineRule="auto"/>
              <w:jc w:val="center"/>
              <w:rPr>
                <w:rFonts w:ascii="Arial" w:hAnsi="Arial" w:cs="Arial"/>
                <w:b/>
                <w:u w:val="single"/>
                <w:lang w:val="es-ES"/>
              </w:rPr>
            </w:pPr>
            <w:r w:rsidRPr="000323A2">
              <w:rPr>
                <w:rFonts w:ascii="Arial" w:hAnsi="Arial" w:cs="Arial"/>
                <w:b/>
                <w:lang w:val="es-ES"/>
              </w:rPr>
              <w:t>Centro de atención Telmex</w:t>
            </w:r>
          </w:p>
        </w:tc>
        <w:tc>
          <w:tcPr>
            <w:tcW w:w="1701" w:type="dxa"/>
          </w:tcPr>
          <w:p w14:paraId="6F4AC90C" w14:textId="3F1AB43F" w:rsidR="000323A2" w:rsidRPr="000323A2" w:rsidRDefault="00055D63" w:rsidP="00055D63">
            <w:pPr>
              <w:spacing w:before="240" w:line="276" w:lineRule="auto"/>
              <w:rPr>
                <w:rFonts w:ascii="Arial" w:hAnsi="Arial" w:cs="Arial"/>
                <w:lang w:val="es-ES"/>
              </w:rPr>
            </w:pPr>
            <w:r w:rsidRPr="008367DF">
              <w:rPr>
                <w:rFonts w:ascii="ITC Avant Garde" w:hAnsi="ITC Avant Garde"/>
                <w:b/>
                <w:color w:val="00B0F0"/>
                <w:lang w:val="es-ES_tradnl"/>
              </w:rPr>
              <w:t>(…)</w:t>
            </w:r>
          </w:p>
        </w:tc>
        <w:tc>
          <w:tcPr>
            <w:tcW w:w="1200" w:type="dxa"/>
          </w:tcPr>
          <w:p w14:paraId="230FCF17" w14:textId="44B70F0F"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190" w:type="dxa"/>
          </w:tcPr>
          <w:p w14:paraId="30887767" w14:textId="3D41C8F9"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400" w:type="dxa"/>
          </w:tcPr>
          <w:p w14:paraId="7E598048"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Llamado Inmediato</w:t>
            </w:r>
          </w:p>
        </w:tc>
        <w:tc>
          <w:tcPr>
            <w:tcW w:w="1596" w:type="dxa"/>
          </w:tcPr>
          <w:p w14:paraId="4A9B5081"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Llamado Inmediato</w:t>
            </w:r>
          </w:p>
        </w:tc>
      </w:tr>
      <w:tr w:rsidR="000323A2" w:rsidRPr="000323A2" w14:paraId="773F70A0" w14:textId="77777777" w:rsidTr="00055D63">
        <w:trPr>
          <w:trHeight w:val="255"/>
          <w:tblHeader/>
          <w:jc w:val="center"/>
        </w:trPr>
        <w:tc>
          <w:tcPr>
            <w:tcW w:w="2122" w:type="dxa"/>
          </w:tcPr>
          <w:p w14:paraId="28DCA604"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 xml:space="preserve">Supervisores </w:t>
            </w:r>
          </w:p>
        </w:tc>
        <w:tc>
          <w:tcPr>
            <w:tcW w:w="1701" w:type="dxa"/>
          </w:tcPr>
          <w:p w14:paraId="33D9A9EA" w14:textId="2816082F"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200" w:type="dxa"/>
          </w:tcPr>
          <w:p w14:paraId="40585445" w14:textId="1482D112"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190" w:type="dxa"/>
          </w:tcPr>
          <w:p w14:paraId="17A5A1E0" w14:textId="17200361"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400" w:type="dxa"/>
          </w:tcPr>
          <w:p w14:paraId="483FDACD"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30 minutos</w:t>
            </w:r>
          </w:p>
        </w:tc>
        <w:tc>
          <w:tcPr>
            <w:tcW w:w="1596" w:type="dxa"/>
          </w:tcPr>
          <w:p w14:paraId="54B9CECD"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1 hora</w:t>
            </w:r>
          </w:p>
        </w:tc>
      </w:tr>
      <w:tr w:rsidR="000323A2" w:rsidRPr="000323A2" w14:paraId="7F8C6927" w14:textId="77777777" w:rsidTr="00055D63">
        <w:trPr>
          <w:trHeight w:val="270"/>
          <w:tblHeader/>
          <w:jc w:val="center"/>
        </w:trPr>
        <w:tc>
          <w:tcPr>
            <w:tcW w:w="2122" w:type="dxa"/>
          </w:tcPr>
          <w:p w14:paraId="57D0A861"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Subgerente</w:t>
            </w:r>
          </w:p>
        </w:tc>
        <w:tc>
          <w:tcPr>
            <w:tcW w:w="1701" w:type="dxa"/>
          </w:tcPr>
          <w:p w14:paraId="7AD86D9F" w14:textId="5940C240"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200" w:type="dxa"/>
          </w:tcPr>
          <w:p w14:paraId="5BF26B8A" w14:textId="74C314F8"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190" w:type="dxa"/>
          </w:tcPr>
          <w:p w14:paraId="7E1473DB" w14:textId="52C87E37"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400" w:type="dxa"/>
          </w:tcPr>
          <w:p w14:paraId="71AD99E2"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30 minutos</w:t>
            </w:r>
          </w:p>
        </w:tc>
        <w:tc>
          <w:tcPr>
            <w:tcW w:w="1596" w:type="dxa"/>
          </w:tcPr>
          <w:p w14:paraId="2BF560B9"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1 hora</w:t>
            </w:r>
          </w:p>
        </w:tc>
      </w:tr>
      <w:tr w:rsidR="000323A2" w:rsidRPr="000323A2" w14:paraId="7FE041F7" w14:textId="77777777" w:rsidTr="00055D63">
        <w:trPr>
          <w:trHeight w:val="270"/>
          <w:tblHeader/>
          <w:jc w:val="center"/>
        </w:trPr>
        <w:tc>
          <w:tcPr>
            <w:tcW w:w="2122" w:type="dxa"/>
          </w:tcPr>
          <w:p w14:paraId="48AAF61A"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Gerente</w:t>
            </w:r>
          </w:p>
        </w:tc>
        <w:tc>
          <w:tcPr>
            <w:tcW w:w="1701" w:type="dxa"/>
          </w:tcPr>
          <w:p w14:paraId="61B023E0" w14:textId="351B999C"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200" w:type="dxa"/>
          </w:tcPr>
          <w:p w14:paraId="3D5D3FD0" w14:textId="63B010CF"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190" w:type="dxa"/>
          </w:tcPr>
          <w:p w14:paraId="3D65D692" w14:textId="50E69D20"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400" w:type="dxa"/>
          </w:tcPr>
          <w:p w14:paraId="06E567E0"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w:t>
            </w:r>
          </w:p>
          <w:p w14:paraId="29CE9EC5"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1 hora</w:t>
            </w:r>
          </w:p>
        </w:tc>
        <w:tc>
          <w:tcPr>
            <w:tcW w:w="1596" w:type="dxa"/>
          </w:tcPr>
          <w:p w14:paraId="76ADAD5A"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2 hora</w:t>
            </w:r>
          </w:p>
        </w:tc>
      </w:tr>
    </w:tbl>
    <w:p w14:paraId="5BD5A57D" w14:textId="77777777" w:rsidR="000323A2" w:rsidRPr="000323A2" w:rsidRDefault="000323A2" w:rsidP="000323A2">
      <w:pPr>
        <w:spacing w:before="240" w:after="0" w:line="240" w:lineRule="auto"/>
        <w:rPr>
          <w:rFonts w:ascii="Arial" w:eastAsia="Calibri" w:hAnsi="Arial" w:cs="Arial"/>
          <w:b/>
          <w:lang w:val="es-ES"/>
        </w:rPr>
      </w:pPr>
      <w:r w:rsidRPr="000323A2">
        <w:rPr>
          <w:rFonts w:ascii="Arial" w:eastAsia="Calibri" w:hAnsi="Arial" w:cs="Arial"/>
          <w:b/>
          <w:lang w:val="es-ES"/>
        </w:rPr>
        <w:br w:type="page"/>
      </w:r>
    </w:p>
    <w:p w14:paraId="2E3A8CEB" w14:textId="77777777" w:rsidR="000323A2" w:rsidRPr="000323A2" w:rsidRDefault="000323A2" w:rsidP="000323A2">
      <w:pPr>
        <w:spacing w:before="240" w:after="0" w:line="276" w:lineRule="auto"/>
        <w:rPr>
          <w:rFonts w:ascii="Arial" w:eastAsia="Calibri" w:hAnsi="Arial" w:cs="Arial"/>
          <w:b/>
          <w:lang w:val="es-ES"/>
        </w:rPr>
      </w:pPr>
      <w:r w:rsidRPr="000323A2">
        <w:rPr>
          <w:rFonts w:ascii="Arial" w:eastAsia="Calibri" w:hAnsi="Arial" w:cs="Arial"/>
          <w:b/>
          <w:lang w:val="es-ES"/>
        </w:rPr>
        <w:lastRenderedPageBreak/>
        <w:t>PROCESO DE ESCALACION DEL CONCESIONARIO SOLICITANTE O AUTORIZADO SOLICITANTE (NOC):</w:t>
      </w:r>
    </w:p>
    <w:p w14:paraId="173CEB6A" w14:textId="77777777" w:rsidR="000323A2" w:rsidRPr="000323A2" w:rsidRDefault="000323A2" w:rsidP="000323A2">
      <w:pPr>
        <w:spacing w:before="240" w:after="0" w:line="276" w:lineRule="auto"/>
        <w:jc w:val="center"/>
        <w:rPr>
          <w:rFonts w:ascii="Arial" w:eastAsia="Calibri" w:hAnsi="Arial" w:cs="Arial"/>
          <w:b/>
          <w:lang w:val="es-ES"/>
        </w:rPr>
      </w:pPr>
      <w:r w:rsidRPr="000323A2">
        <w:rPr>
          <w:rFonts w:ascii="Arial" w:eastAsia="Calibri" w:hAnsi="Arial" w:cs="Arial"/>
          <w:b/>
          <w:lang w:val="es-ES"/>
        </w:rPr>
        <w:t>Tiempos de escalación según la severidad de la falla</w:t>
      </w:r>
    </w:p>
    <w:tbl>
      <w:tblPr>
        <w:tblStyle w:val="Cuadrculadetablaclara1"/>
        <w:tblW w:w="9204" w:type="dxa"/>
        <w:jc w:val="center"/>
        <w:tblLayout w:type="fixed"/>
        <w:tblLook w:val="0000" w:firstRow="0" w:lastRow="0" w:firstColumn="0" w:lastColumn="0" w:noHBand="0" w:noVBand="0"/>
        <w:tblCaption w:val="Tabla"/>
        <w:tblDescription w:val="Tiempos de escalación según la severidad de la falla"/>
      </w:tblPr>
      <w:tblGrid>
        <w:gridCol w:w="1995"/>
        <w:gridCol w:w="1723"/>
        <w:gridCol w:w="1364"/>
        <w:gridCol w:w="1408"/>
        <w:gridCol w:w="1384"/>
        <w:gridCol w:w="1330"/>
      </w:tblGrid>
      <w:tr w:rsidR="000323A2" w:rsidRPr="000323A2" w14:paraId="76ED0CA1" w14:textId="77777777" w:rsidTr="000323A2">
        <w:trPr>
          <w:trHeight w:val="270"/>
          <w:tblHeader/>
          <w:jc w:val="center"/>
        </w:trPr>
        <w:tc>
          <w:tcPr>
            <w:tcW w:w="1995" w:type="dxa"/>
          </w:tcPr>
          <w:p w14:paraId="17200565"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Puesto</w:t>
            </w:r>
          </w:p>
        </w:tc>
        <w:tc>
          <w:tcPr>
            <w:tcW w:w="1723" w:type="dxa"/>
          </w:tcPr>
          <w:p w14:paraId="427BBCE6"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Responsable</w:t>
            </w:r>
          </w:p>
        </w:tc>
        <w:tc>
          <w:tcPr>
            <w:tcW w:w="1364" w:type="dxa"/>
          </w:tcPr>
          <w:p w14:paraId="200A88CA"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Teléfono 1</w:t>
            </w:r>
          </w:p>
        </w:tc>
        <w:tc>
          <w:tcPr>
            <w:tcW w:w="1408" w:type="dxa"/>
          </w:tcPr>
          <w:p w14:paraId="4F2E80ED"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Teléfono 2</w:t>
            </w:r>
          </w:p>
        </w:tc>
        <w:tc>
          <w:tcPr>
            <w:tcW w:w="1384" w:type="dxa"/>
          </w:tcPr>
          <w:p w14:paraId="4614F23E"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Prioridad 1</w:t>
            </w:r>
          </w:p>
          <w:p w14:paraId="2C9E0ED0"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Afectación total</w:t>
            </w:r>
          </w:p>
        </w:tc>
        <w:tc>
          <w:tcPr>
            <w:tcW w:w="1330" w:type="dxa"/>
          </w:tcPr>
          <w:p w14:paraId="46AB16AE"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Prioridad 2</w:t>
            </w:r>
          </w:p>
          <w:p w14:paraId="2C91F83D"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Afectación parcial</w:t>
            </w:r>
          </w:p>
        </w:tc>
      </w:tr>
      <w:tr w:rsidR="000323A2" w:rsidRPr="000323A2" w14:paraId="6D8CA64A" w14:textId="77777777" w:rsidTr="000323A2">
        <w:trPr>
          <w:trHeight w:val="270"/>
          <w:tblHeader/>
          <w:jc w:val="center"/>
        </w:trPr>
        <w:tc>
          <w:tcPr>
            <w:tcW w:w="1995" w:type="dxa"/>
          </w:tcPr>
          <w:p w14:paraId="7F0A7FD6"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Ingeniero Junior de Monitoreo</w:t>
            </w:r>
          </w:p>
        </w:tc>
        <w:tc>
          <w:tcPr>
            <w:tcW w:w="1723" w:type="dxa"/>
          </w:tcPr>
          <w:p w14:paraId="50D71E9D" w14:textId="28409294"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364" w:type="dxa"/>
          </w:tcPr>
          <w:p w14:paraId="67BE6033" w14:textId="3D2D4EFC"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408" w:type="dxa"/>
          </w:tcPr>
          <w:p w14:paraId="0D7D6557" w14:textId="611E9234"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384" w:type="dxa"/>
          </w:tcPr>
          <w:p w14:paraId="1EA561CC"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Llamado Inmediato</w:t>
            </w:r>
          </w:p>
        </w:tc>
        <w:tc>
          <w:tcPr>
            <w:tcW w:w="1330" w:type="dxa"/>
          </w:tcPr>
          <w:p w14:paraId="49A58283"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Llamado Inmediato</w:t>
            </w:r>
          </w:p>
        </w:tc>
      </w:tr>
      <w:tr w:rsidR="000323A2" w:rsidRPr="000323A2" w14:paraId="4B5FF8DA" w14:textId="77777777" w:rsidTr="000323A2">
        <w:trPr>
          <w:trHeight w:val="255"/>
          <w:tblHeader/>
          <w:jc w:val="center"/>
        </w:trPr>
        <w:tc>
          <w:tcPr>
            <w:tcW w:w="1995" w:type="dxa"/>
          </w:tcPr>
          <w:p w14:paraId="47D468C2"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Ingeniero Senior de Monitoreo</w:t>
            </w:r>
          </w:p>
        </w:tc>
        <w:tc>
          <w:tcPr>
            <w:tcW w:w="1723" w:type="dxa"/>
          </w:tcPr>
          <w:p w14:paraId="3AC3A854" w14:textId="14A37A6A"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364" w:type="dxa"/>
          </w:tcPr>
          <w:p w14:paraId="7F1D6DC9" w14:textId="5176DCB5"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408" w:type="dxa"/>
          </w:tcPr>
          <w:p w14:paraId="2709BEF8" w14:textId="6F1437DA"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384" w:type="dxa"/>
          </w:tcPr>
          <w:p w14:paraId="3BEFE8D1"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30 minutos</w:t>
            </w:r>
          </w:p>
        </w:tc>
        <w:tc>
          <w:tcPr>
            <w:tcW w:w="1330" w:type="dxa"/>
          </w:tcPr>
          <w:p w14:paraId="7DC360A8"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1 hora</w:t>
            </w:r>
          </w:p>
        </w:tc>
      </w:tr>
      <w:tr w:rsidR="000323A2" w:rsidRPr="000323A2" w14:paraId="2153CC66" w14:textId="77777777" w:rsidTr="000323A2">
        <w:trPr>
          <w:trHeight w:val="270"/>
          <w:tblHeader/>
          <w:jc w:val="center"/>
        </w:trPr>
        <w:tc>
          <w:tcPr>
            <w:tcW w:w="1995" w:type="dxa"/>
          </w:tcPr>
          <w:p w14:paraId="3BDAABB9"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Gerente de Monitoreo</w:t>
            </w:r>
          </w:p>
        </w:tc>
        <w:tc>
          <w:tcPr>
            <w:tcW w:w="1723" w:type="dxa"/>
          </w:tcPr>
          <w:p w14:paraId="4EFA9A98" w14:textId="6A02031D"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364" w:type="dxa"/>
          </w:tcPr>
          <w:p w14:paraId="7F099082" w14:textId="3A7FAD47"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408" w:type="dxa"/>
          </w:tcPr>
          <w:p w14:paraId="2CF9BC85" w14:textId="4CDF8824"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384" w:type="dxa"/>
          </w:tcPr>
          <w:p w14:paraId="03C2065F"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1 hora</w:t>
            </w:r>
          </w:p>
        </w:tc>
        <w:tc>
          <w:tcPr>
            <w:tcW w:w="1330" w:type="dxa"/>
          </w:tcPr>
          <w:p w14:paraId="457B2C00"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2 horas</w:t>
            </w:r>
          </w:p>
        </w:tc>
      </w:tr>
      <w:tr w:rsidR="000323A2" w:rsidRPr="000323A2" w14:paraId="5D96F4BB" w14:textId="77777777" w:rsidTr="000323A2">
        <w:trPr>
          <w:trHeight w:val="270"/>
          <w:tblHeader/>
          <w:jc w:val="center"/>
        </w:trPr>
        <w:tc>
          <w:tcPr>
            <w:tcW w:w="1995" w:type="dxa"/>
          </w:tcPr>
          <w:p w14:paraId="26D53B13"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Director del NOC</w:t>
            </w:r>
          </w:p>
        </w:tc>
        <w:tc>
          <w:tcPr>
            <w:tcW w:w="1723" w:type="dxa"/>
          </w:tcPr>
          <w:p w14:paraId="5D480F75" w14:textId="1C927CEC"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364" w:type="dxa"/>
          </w:tcPr>
          <w:p w14:paraId="3085E741" w14:textId="53931190"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408" w:type="dxa"/>
          </w:tcPr>
          <w:p w14:paraId="1C0563BC" w14:textId="5139FC74"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384" w:type="dxa"/>
          </w:tcPr>
          <w:p w14:paraId="15CFE2D7"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2 horas</w:t>
            </w:r>
          </w:p>
        </w:tc>
        <w:tc>
          <w:tcPr>
            <w:tcW w:w="1330" w:type="dxa"/>
          </w:tcPr>
          <w:p w14:paraId="633E06C7"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4 horas</w:t>
            </w:r>
          </w:p>
        </w:tc>
      </w:tr>
      <w:tr w:rsidR="000323A2" w:rsidRPr="000323A2" w14:paraId="1766E22D" w14:textId="77777777" w:rsidTr="000323A2">
        <w:trPr>
          <w:trHeight w:val="270"/>
          <w:tblHeader/>
          <w:jc w:val="center"/>
        </w:trPr>
        <w:tc>
          <w:tcPr>
            <w:tcW w:w="1995" w:type="dxa"/>
          </w:tcPr>
          <w:p w14:paraId="03378E1E" w14:textId="77777777" w:rsidR="000323A2" w:rsidRPr="000323A2" w:rsidRDefault="000323A2" w:rsidP="000323A2">
            <w:pPr>
              <w:spacing w:before="240" w:line="276" w:lineRule="auto"/>
              <w:jc w:val="center"/>
              <w:rPr>
                <w:rFonts w:ascii="Arial" w:hAnsi="Arial" w:cs="Arial"/>
                <w:b/>
                <w:lang w:val="es-ES"/>
              </w:rPr>
            </w:pPr>
            <w:r w:rsidRPr="000323A2">
              <w:rPr>
                <w:rFonts w:ascii="Arial" w:hAnsi="Arial" w:cs="Arial"/>
                <w:b/>
                <w:lang w:val="es-ES"/>
              </w:rPr>
              <w:t>Director de Operaciones</w:t>
            </w:r>
          </w:p>
        </w:tc>
        <w:tc>
          <w:tcPr>
            <w:tcW w:w="1723" w:type="dxa"/>
          </w:tcPr>
          <w:p w14:paraId="0553C2C2" w14:textId="11DAC818" w:rsidR="000323A2" w:rsidRPr="000323A2" w:rsidRDefault="00055D63" w:rsidP="000323A2">
            <w:pPr>
              <w:spacing w:before="240" w:line="276" w:lineRule="auto"/>
              <w:rPr>
                <w:rFonts w:ascii="Arial" w:hAnsi="Arial" w:cs="Arial"/>
                <w:lang w:val="es-ES"/>
              </w:rPr>
            </w:pPr>
            <w:r w:rsidRPr="008367DF">
              <w:rPr>
                <w:rFonts w:ascii="ITC Avant Garde" w:hAnsi="ITC Avant Garde"/>
                <w:b/>
                <w:color w:val="00B0F0"/>
                <w:lang w:val="es-ES_tradnl"/>
              </w:rPr>
              <w:t>(…)</w:t>
            </w:r>
          </w:p>
        </w:tc>
        <w:tc>
          <w:tcPr>
            <w:tcW w:w="1364" w:type="dxa"/>
          </w:tcPr>
          <w:p w14:paraId="7963463F" w14:textId="7EC36C79"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408" w:type="dxa"/>
          </w:tcPr>
          <w:p w14:paraId="708AD171" w14:textId="18CCF456" w:rsidR="000323A2" w:rsidRPr="000323A2" w:rsidRDefault="00055D63" w:rsidP="000323A2">
            <w:pPr>
              <w:spacing w:before="240" w:line="276" w:lineRule="auto"/>
              <w:jc w:val="center"/>
              <w:rPr>
                <w:rFonts w:ascii="Arial" w:hAnsi="Arial" w:cs="Arial"/>
                <w:lang w:val="es-ES"/>
              </w:rPr>
            </w:pPr>
            <w:r w:rsidRPr="008367DF">
              <w:rPr>
                <w:rFonts w:ascii="ITC Avant Garde" w:hAnsi="ITC Avant Garde"/>
                <w:b/>
                <w:color w:val="00B0F0"/>
                <w:lang w:val="es-ES_tradnl"/>
              </w:rPr>
              <w:t>(…)</w:t>
            </w:r>
          </w:p>
        </w:tc>
        <w:tc>
          <w:tcPr>
            <w:tcW w:w="1384" w:type="dxa"/>
          </w:tcPr>
          <w:p w14:paraId="1891C2A1"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4 horas</w:t>
            </w:r>
          </w:p>
        </w:tc>
        <w:tc>
          <w:tcPr>
            <w:tcW w:w="1330" w:type="dxa"/>
          </w:tcPr>
          <w:p w14:paraId="2AE46797" w14:textId="77777777" w:rsidR="000323A2" w:rsidRPr="000323A2" w:rsidRDefault="000323A2" w:rsidP="000323A2">
            <w:pPr>
              <w:spacing w:before="240" w:line="276" w:lineRule="auto"/>
              <w:jc w:val="center"/>
              <w:rPr>
                <w:rFonts w:ascii="Arial" w:hAnsi="Arial" w:cs="Arial"/>
                <w:lang w:val="es-ES"/>
              </w:rPr>
            </w:pPr>
            <w:r w:rsidRPr="000323A2">
              <w:rPr>
                <w:rFonts w:ascii="Arial" w:hAnsi="Arial" w:cs="Arial"/>
                <w:lang w:val="es-ES"/>
              </w:rPr>
              <w:t>Después de 8 horas</w:t>
            </w:r>
          </w:p>
        </w:tc>
      </w:tr>
    </w:tbl>
    <w:p w14:paraId="4813DEC5" w14:textId="684E52F8" w:rsidR="000323A2" w:rsidRPr="000323A2" w:rsidRDefault="000323A2" w:rsidP="00055D63">
      <w:pPr>
        <w:spacing w:before="240" w:after="360" w:line="276" w:lineRule="auto"/>
        <w:jc w:val="both"/>
        <w:rPr>
          <w:rFonts w:ascii="ITC Avant Garde" w:eastAsia="Times New Roman" w:hAnsi="ITC Avant Garde" w:cs="Arial"/>
        </w:rPr>
      </w:pPr>
      <w:r w:rsidRPr="000323A2">
        <w:rPr>
          <w:rFonts w:ascii="ITC Avant Garde" w:eastAsia="Times New Roman" w:hAnsi="ITC Avant Garde" w:cs="Arial"/>
        </w:rPr>
        <w:t xml:space="preserve">Este Anexo “D” se firma por los representantes debidamente facultados de las Partes, el </w:t>
      </w:r>
      <w:r w:rsidR="00055D63" w:rsidRPr="008367DF">
        <w:rPr>
          <w:rFonts w:ascii="ITC Avant Garde" w:hAnsi="ITC Avant Garde"/>
          <w:b/>
          <w:color w:val="00B0F0"/>
          <w:lang w:val="es-ES_tradnl"/>
        </w:rPr>
        <w:t>(…)</w:t>
      </w:r>
      <w:r w:rsidRPr="000323A2">
        <w:rPr>
          <w:rFonts w:ascii="ITC Avant Garde" w:eastAsia="Times New Roman" w:hAnsi="ITC Avant Garde" w:cs="Arial"/>
        </w:rPr>
        <w:t xml:space="preserve"> de </w:t>
      </w:r>
      <w:r w:rsidR="00055D63" w:rsidRPr="008367DF">
        <w:rPr>
          <w:rFonts w:ascii="ITC Avant Garde" w:hAnsi="ITC Avant Garde"/>
          <w:b/>
          <w:color w:val="00B0F0"/>
          <w:lang w:val="es-ES_tradnl"/>
        </w:rPr>
        <w:t>(…)</w:t>
      </w:r>
      <w:r w:rsidRPr="000323A2">
        <w:rPr>
          <w:rFonts w:ascii="ITC Avant Garde" w:eastAsia="Times New Roman" w:hAnsi="ITC Avant Garde" w:cs="Arial"/>
        </w:rPr>
        <w:t xml:space="preserve"> del 20</w:t>
      </w:r>
      <w:r w:rsidR="00055D63" w:rsidRPr="008367DF">
        <w:rPr>
          <w:rFonts w:ascii="ITC Avant Garde" w:hAnsi="ITC Avant Garde"/>
          <w:b/>
          <w:color w:val="00B0F0"/>
          <w:lang w:val="es-ES_tradnl"/>
        </w:rPr>
        <w:t>(…)</w:t>
      </w:r>
      <w:r w:rsidRPr="000323A2">
        <w:rPr>
          <w:rFonts w:ascii="ITC Avant Garde" w:eastAsia="Times New Roman" w:hAnsi="ITC Avant Garde" w:cs="Arial"/>
        </w:rPr>
        <w:t>.</w:t>
      </w: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8838"/>
      </w:tblGrid>
      <w:tr w:rsidR="000323A2" w:rsidRPr="000323A2" w14:paraId="1E830A31" w14:textId="77777777" w:rsidTr="00055D63">
        <w:trPr>
          <w:trHeight w:val="624"/>
          <w:tblHeader/>
          <w:jc w:val="center"/>
        </w:trPr>
        <w:tc>
          <w:tcPr>
            <w:tcW w:w="8838" w:type="dxa"/>
          </w:tcPr>
          <w:p w14:paraId="2978E8AD"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TELÉFONOS DE MÉXICO, S.A.B. DE C.V.</w:t>
            </w:r>
          </w:p>
        </w:tc>
      </w:tr>
      <w:tr w:rsidR="000323A2" w:rsidRPr="000323A2" w14:paraId="196233A0" w14:textId="77777777" w:rsidTr="00055D63">
        <w:trPr>
          <w:tblHeader/>
          <w:jc w:val="center"/>
        </w:trPr>
        <w:tc>
          <w:tcPr>
            <w:tcW w:w="8838" w:type="dxa"/>
          </w:tcPr>
          <w:p w14:paraId="242ACF5F" w14:textId="403D0229" w:rsidR="000323A2" w:rsidRPr="000323A2" w:rsidRDefault="00055D63" w:rsidP="000323A2">
            <w:pPr>
              <w:tabs>
                <w:tab w:val="left" w:pos="851"/>
              </w:tabs>
              <w:spacing w:before="240"/>
              <w:jc w:val="center"/>
              <w:outlineLvl w:val="0"/>
              <w:rPr>
                <w:rFonts w:ascii="ITC Avant Garde" w:hAnsi="ITC Avant Garde"/>
                <w:b/>
                <w:lang w:val="es-ES_tradnl"/>
              </w:rPr>
            </w:pPr>
            <w:r w:rsidRPr="008367DF">
              <w:rPr>
                <w:rFonts w:ascii="ITC Avant Garde" w:hAnsi="ITC Avant Garde"/>
                <w:b/>
                <w:color w:val="00B0F0"/>
                <w:lang w:val="es-ES_tradnl"/>
              </w:rPr>
              <w:t>(…)</w:t>
            </w:r>
          </w:p>
        </w:tc>
      </w:tr>
      <w:tr w:rsidR="000323A2" w:rsidRPr="000323A2" w14:paraId="6489A23E" w14:textId="77777777" w:rsidTr="00055D63">
        <w:trPr>
          <w:tblHeader/>
          <w:jc w:val="center"/>
        </w:trPr>
        <w:tc>
          <w:tcPr>
            <w:tcW w:w="8838" w:type="dxa"/>
          </w:tcPr>
          <w:p w14:paraId="676338DF"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r w:rsidR="000323A2" w:rsidRPr="000323A2" w14:paraId="2B216E2B" w14:textId="77777777" w:rsidTr="00055D63">
        <w:trPr>
          <w:trHeight w:val="624"/>
          <w:tblHeader/>
          <w:jc w:val="center"/>
        </w:trPr>
        <w:tc>
          <w:tcPr>
            <w:tcW w:w="8838" w:type="dxa"/>
          </w:tcPr>
          <w:p w14:paraId="0F221F8F"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CONCESIONARIO SOLICITANTE O AUTORIZADO SOLICITANTE</w:t>
            </w:r>
          </w:p>
        </w:tc>
      </w:tr>
      <w:tr w:rsidR="000323A2" w:rsidRPr="000323A2" w14:paraId="6845A53D" w14:textId="77777777" w:rsidTr="00055D63">
        <w:trPr>
          <w:tblHeader/>
          <w:jc w:val="center"/>
        </w:trPr>
        <w:tc>
          <w:tcPr>
            <w:tcW w:w="8838" w:type="dxa"/>
          </w:tcPr>
          <w:p w14:paraId="3C8C2A75" w14:textId="176A9E2B" w:rsidR="000323A2" w:rsidRPr="000323A2" w:rsidRDefault="00055D63" w:rsidP="000323A2">
            <w:pPr>
              <w:tabs>
                <w:tab w:val="left" w:pos="851"/>
              </w:tabs>
              <w:spacing w:before="240"/>
              <w:jc w:val="center"/>
              <w:outlineLvl w:val="0"/>
              <w:rPr>
                <w:rFonts w:ascii="ITC Avant Garde" w:hAnsi="ITC Avant Garde"/>
                <w:b/>
                <w:lang w:val="es-ES_tradnl"/>
              </w:rPr>
            </w:pPr>
            <w:r w:rsidRPr="008367DF">
              <w:rPr>
                <w:rFonts w:ascii="ITC Avant Garde" w:hAnsi="ITC Avant Garde"/>
                <w:b/>
                <w:color w:val="00B0F0"/>
                <w:lang w:val="es-ES_tradnl"/>
              </w:rPr>
              <w:t>(…)</w:t>
            </w:r>
          </w:p>
        </w:tc>
      </w:tr>
      <w:tr w:rsidR="000323A2" w:rsidRPr="000323A2" w14:paraId="1FCC84A8" w14:textId="77777777" w:rsidTr="00055D63">
        <w:trPr>
          <w:tblHeader/>
          <w:jc w:val="center"/>
        </w:trPr>
        <w:tc>
          <w:tcPr>
            <w:tcW w:w="8838" w:type="dxa"/>
          </w:tcPr>
          <w:p w14:paraId="52E11416"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bl>
    <w:p w14:paraId="0409F3C2" w14:textId="77777777" w:rsidR="000323A2" w:rsidRPr="000323A2" w:rsidRDefault="000323A2" w:rsidP="000323A2">
      <w:pPr>
        <w:spacing w:before="240"/>
        <w:rPr>
          <w:rFonts w:ascii="Calibri" w:eastAsia="Calibri" w:hAnsi="Calibri" w:cs="Times New Roman"/>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327"/>
        <w:gridCol w:w="4511"/>
      </w:tblGrid>
      <w:tr w:rsidR="000323A2" w:rsidRPr="000323A2" w14:paraId="36D896B2" w14:textId="77777777" w:rsidTr="000323A2">
        <w:trPr>
          <w:trHeight w:val="624"/>
          <w:tblHeader/>
          <w:jc w:val="center"/>
        </w:trPr>
        <w:tc>
          <w:tcPr>
            <w:tcW w:w="4414" w:type="dxa"/>
          </w:tcPr>
          <w:p w14:paraId="0CD8FAF9"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lastRenderedPageBreak/>
              <w:t>Testigo</w:t>
            </w:r>
          </w:p>
        </w:tc>
        <w:tc>
          <w:tcPr>
            <w:tcW w:w="4511" w:type="dxa"/>
          </w:tcPr>
          <w:p w14:paraId="7B20DD59"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Testigo</w:t>
            </w:r>
          </w:p>
        </w:tc>
      </w:tr>
      <w:tr w:rsidR="000323A2" w:rsidRPr="000323A2" w14:paraId="780FD33D" w14:textId="77777777" w:rsidTr="000323A2">
        <w:trPr>
          <w:tblHeader/>
          <w:jc w:val="center"/>
        </w:trPr>
        <w:tc>
          <w:tcPr>
            <w:tcW w:w="4414" w:type="dxa"/>
          </w:tcPr>
          <w:p w14:paraId="2E19EBC7"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_____________________________________</w:t>
            </w:r>
          </w:p>
        </w:tc>
        <w:tc>
          <w:tcPr>
            <w:tcW w:w="4511" w:type="dxa"/>
          </w:tcPr>
          <w:p w14:paraId="33770537"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_______________________________________</w:t>
            </w:r>
          </w:p>
        </w:tc>
      </w:tr>
    </w:tbl>
    <w:p w14:paraId="1227B736" w14:textId="77777777" w:rsidR="000323A2" w:rsidRPr="000323A2" w:rsidRDefault="000323A2" w:rsidP="000323A2">
      <w:pPr>
        <w:spacing w:before="240" w:after="0" w:line="240" w:lineRule="auto"/>
        <w:rPr>
          <w:rFonts w:ascii="Calibri" w:eastAsia="Calibri" w:hAnsi="Calibri" w:cs="Times New Roman"/>
          <w:lang w:eastAsia="es-ES"/>
        </w:rPr>
      </w:pPr>
    </w:p>
    <w:p w14:paraId="18AC4366" w14:textId="77777777" w:rsidR="000323A2" w:rsidRPr="000323A2" w:rsidRDefault="000323A2" w:rsidP="000323A2">
      <w:pPr>
        <w:spacing w:before="240" w:after="0" w:line="240" w:lineRule="auto"/>
        <w:rPr>
          <w:rFonts w:ascii="Calibri" w:eastAsia="Calibri" w:hAnsi="Calibri" w:cs="Times New Roman"/>
          <w:lang w:eastAsia="es-ES"/>
        </w:rPr>
      </w:pPr>
      <w:r w:rsidRPr="000323A2">
        <w:rPr>
          <w:rFonts w:ascii="Calibri" w:eastAsia="Calibri" w:hAnsi="Calibri" w:cs="Times New Roman"/>
          <w:lang w:eastAsia="es-ES"/>
        </w:rPr>
        <w:br w:type="page"/>
      </w:r>
    </w:p>
    <w:p w14:paraId="23A25D0C" w14:textId="77777777" w:rsidR="000323A2" w:rsidRPr="000323A2" w:rsidRDefault="000323A2" w:rsidP="000323A2">
      <w:pPr>
        <w:pBdr>
          <w:top w:val="single" w:sz="24" w:space="1" w:color="auto"/>
          <w:left w:val="single" w:sz="24" w:space="0" w:color="auto"/>
          <w:bottom w:val="single" w:sz="24" w:space="1" w:color="auto"/>
          <w:right w:val="single" w:sz="24" w:space="24" w:color="auto"/>
        </w:pBdr>
        <w:autoSpaceDE w:val="0"/>
        <w:autoSpaceDN w:val="0"/>
        <w:spacing w:before="240" w:after="0" w:line="240" w:lineRule="auto"/>
        <w:ind w:left="567" w:right="567"/>
        <w:jc w:val="center"/>
        <w:rPr>
          <w:rFonts w:ascii="ITC Avant Garde" w:eastAsia="Calibri" w:hAnsi="ITC Avant Garde" w:cs="Arial"/>
          <w:b/>
          <w:sz w:val="44"/>
          <w:szCs w:val="44"/>
          <w:lang w:val="es-ES_tradnl" w:eastAsia="es-ES"/>
        </w:rPr>
      </w:pPr>
    </w:p>
    <w:p w14:paraId="26D869A8" w14:textId="77777777" w:rsidR="000323A2" w:rsidRPr="000323A2" w:rsidRDefault="000323A2" w:rsidP="000323A2">
      <w:pPr>
        <w:pBdr>
          <w:top w:val="single" w:sz="24" w:space="1" w:color="auto"/>
          <w:left w:val="single" w:sz="24" w:space="0" w:color="auto"/>
          <w:bottom w:val="single" w:sz="24" w:space="1" w:color="auto"/>
          <w:right w:val="single" w:sz="24" w:space="24" w:color="auto"/>
        </w:pBdr>
        <w:autoSpaceDE w:val="0"/>
        <w:autoSpaceDN w:val="0"/>
        <w:spacing w:before="240" w:after="0" w:line="240" w:lineRule="auto"/>
        <w:ind w:left="567" w:right="567"/>
        <w:jc w:val="center"/>
        <w:rPr>
          <w:rFonts w:ascii="Arial" w:eastAsia="Calibri" w:hAnsi="Arial" w:cs="Arial"/>
          <w:sz w:val="56"/>
          <w:szCs w:val="56"/>
          <w:u w:val="single"/>
          <w:lang w:val="es-ES_tradnl" w:eastAsia="es-ES"/>
        </w:rPr>
      </w:pPr>
      <w:r w:rsidRPr="000323A2">
        <w:rPr>
          <w:rFonts w:ascii="Arial" w:eastAsia="Calibri" w:hAnsi="Arial" w:cs="Arial"/>
          <w:sz w:val="56"/>
          <w:szCs w:val="56"/>
          <w:u w:val="single"/>
          <w:lang w:val="es-ES_tradnl" w:eastAsia="es-ES"/>
        </w:rPr>
        <w:t>ANEXO “E”</w:t>
      </w:r>
    </w:p>
    <w:p w14:paraId="575A12C5" w14:textId="77777777" w:rsidR="000323A2" w:rsidRPr="000323A2" w:rsidRDefault="000323A2" w:rsidP="000323A2">
      <w:pPr>
        <w:pBdr>
          <w:top w:val="single" w:sz="24" w:space="1" w:color="auto"/>
          <w:left w:val="single" w:sz="24" w:space="0" w:color="auto"/>
          <w:bottom w:val="single" w:sz="24" w:space="1" w:color="auto"/>
          <w:right w:val="single" w:sz="24" w:space="24" w:color="auto"/>
        </w:pBdr>
        <w:autoSpaceDE w:val="0"/>
        <w:autoSpaceDN w:val="0"/>
        <w:spacing w:before="240" w:after="0" w:line="240" w:lineRule="auto"/>
        <w:ind w:left="567" w:right="567"/>
        <w:jc w:val="center"/>
        <w:rPr>
          <w:rFonts w:ascii="Arial" w:eastAsia="Calibri" w:hAnsi="Arial" w:cs="Arial"/>
          <w:b/>
          <w:sz w:val="48"/>
          <w:szCs w:val="48"/>
          <w:lang w:val="es-ES_tradnl" w:eastAsia="es-ES"/>
        </w:rPr>
      </w:pPr>
      <w:r w:rsidRPr="000323A2">
        <w:rPr>
          <w:rFonts w:ascii="Arial" w:eastAsia="Calibri" w:hAnsi="Arial" w:cs="Arial"/>
          <w:b/>
          <w:sz w:val="48"/>
          <w:szCs w:val="48"/>
          <w:lang w:val="es-ES_tradnl" w:eastAsia="es-ES"/>
        </w:rPr>
        <w:t>NORMA Y ESPECIFICACIONES DE CONSTRUCCION LOCAL DEL CLIENTE PARA SU CONEXIÓN A LA RED DIGITAL DE ACCESO</w:t>
      </w:r>
    </w:p>
    <w:p w14:paraId="358EE702" w14:textId="77777777" w:rsidR="000323A2" w:rsidRPr="000323A2" w:rsidRDefault="000323A2" w:rsidP="000323A2">
      <w:pPr>
        <w:spacing w:before="240" w:after="0" w:line="240" w:lineRule="auto"/>
        <w:rPr>
          <w:rFonts w:ascii="Arial" w:eastAsia="Calibri" w:hAnsi="Arial" w:cs="Arial"/>
          <w:b/>
          <w:bCs/>
          <w:kern w:val="32"/>
          <w:lang w:val="es-ES" w:eastAsia="es-ES"/>
        </w:rPr>
      </w:pPr>
      <w:r w:rsidRPr="000323A2">
        <w:rPr>
          <w:rFonts w:ascii="Arial" w:eastAsia="Calibri" w:hAnsi="Arial" w:cs="Arial"/>
          <w:b/>
          <w:bCs/>
          <w:kern w:val="32"/>
          <w:lang w:val="es-ES" w:eastAsia="es-ES"/>
        </w:rPr>
        <w:br w:type="page"/>
      </w:r>
    </w:p>
    <w:p w14:paraId="46411097" w14:textId="77777777" w:rsidR="000323A2" w:rsidRPr="000323A2" w:rsidRDefault="000323A2" w:rsidP="000323A2">
      <w:pPr>
        <w:keepNext/>
        <w:keepLines/>
        <w:spacing w:before="240" w:after="0" w:line="276" w:lineRule="auto"/>
        <w:rPr>
          <w:rFonts w:ascii="Arial" w:eastAsia="Calibri" w:hAnsi="Arial" w:cs="Arial"/>
          <w:b/>
          <w:bCs/>
          <w:kern w:val="32"/>
          <w:lang w:val="es-ES" w:eastAsia="es-ES"/>
        </w:rPr>
      </w:pPr>
      <w:r w:rsidRPr="000323A2">
        <w:rPr>
          <w:rFonts w:ascii="Arial" w:eastAsia="Calibri" w:hAnsi="Arial" w:cs="Arial"/>
          <w:b/>
          <w:bCs/>
          <w:kern w:val="32"/>
          <w:lang w:val="es-ES" w:eastAsia="es-ES"/>
        </w:rPr>
        <w:lastRenderedPageBreak/>
        <w:t>INDICE</w:t>
      </w:r>
    </w:p>
    <w:p w14:paraId="49265B07" w14:textId="77777777" w:rsidR="000323A2" w:rsidRPr="000323A2" w:rsidRDefault="000323A2" w:rsidP="000323A2">
      <w:pPr>
        <w:autoSpaceDE w:val="0"/>
        <w:autoSpaceDN w:val="0"/>
        <w:spacing w:before="240" w:after="0" w:line="276" w:lineRule="auto"/>
        <w:rPr>
          <w:rFonts w:ascii="Arial" w:eastAsia="Calibri" w:hAnsi="Arial" w:cs="Arial"/>
          <w:lang w:val="es-ES" w:eastAsia="es-ES"/>
        </w:rPr>
      </w:pPr>
    </w:p>
    <w:p w14:paraId="5F7F0424" w14:textId="77777777" w:rsidR="000323A2" w:rsidRPr="000323A2" w:rsidRDefault="000323A2" w:rsidP="000323A2">
      <w:pPr>
        <w:tabs>
          <w:tab w:val="left" w:pos="440"/>
          <w:tab w:val="right" w:leader="dot" w:pos="9397"/>
        </w:tabs>
        <w:autoSpaceDE w:val="0"/>
        <w:autoSpaceDN w:val="0"/>
        <w:spacing w:before="240" w:after="0" w:line="276" w:lineRule="auto"/>
        <w:rPr>
          <w:rFonts w:ascii="Arial" w:eastAsia="Calibri" w:hAnsi="Arial" w:cs="Arial"/>
          <w:noProof/>
          <w:u w:val="single"/>
          <w:lang w:val="es-ES_tradnl" w:eastAsia="es-ES"/>
        </w:rPr>
      </w:pPr>
      <w:r w:rsidRPr="000323A2">
        <w:rPr>
          <w:rFonts w:ascii="Arial" w:eastAsia="Calibri" w:hAnsi="Arial" w:cs="Arial"/>
          <w:lang w:val="es-ES_tradnl" w:eastAsia="es-ES"/>
        </w:rPr>
        <w:fldChar w:fldCharType="begin"/>
      </w:r>
      <w:r w:rsidRPr="000323A2">
        <w:rPr>
          <w:rFonts w:ascii="Arial" w:eastAsia="Calibri" w:hAnsi="Arial" w:cs="Arial"/>
          <w:lang w:val="es-ES_tradnl" w:eastAsia="es-ES"/>
        </w:rPr>
        <w:instrText xml:space="preserve"> TOC \o "1-3" \h \z \u </w:instrText>
      </w:r>
      <w:r w:rsidRPr="000323A2">
        <w:rPr>
          <w:rFonts w:ascii="Arial" w:eastAsia="Calibri" w:hAnsi="Arial" w:cs="Arial"/>
          <w:lang w:val="es-ES_tradnl" w:eastAsia="es-ES"/>
        </w:rPr>
        <w:fldChar w:fldCharType="separate"/>
      </w:r>
      <w:hyperlink w:anchor="_Toc398759570" w:history="1">
        <w:r w:rsidRPr="000323A2">
          <w:rPr>
            <w:rFonts w:ascii="Arial" w:eastAsia="Calibri" w:hAnsi="Arial" w:cs="Arial"/>
            <w:noProof/>
            <w:u w:val="single"/>
            <w:lang w:val="es-ES_tradnl" w:eastAsia="es-ES"/>
          </w:rPr>
          <w:t>1.</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OBJETIVO.</w:t>
        </w:r>
        <w:r w:rsidRPr="000323A2">
          <w:rPr>
            <w:rFonts w:ascii="Arial" w:eastAsia="Calibri" w:hAnsi="Arial" w:cs="Arial"/>
            <w:noProof/>
            <w:webHidden/>
            <w:lang w:val="es-ES_tradnl" w:eastAsia="es-ES"/>
          </w:rPr>
          <w:tab/>
        </w:r>
      </w:hyperlink>
      <w:r w:rsidRPr="000323A2">
        <w:rPr>
          <w:rFonts w:ascii="Arial" w:eastAsia="Calibri" w:hAnsi="Arial" w:cs="Arial"/>
          <w:noProof/>
          <w:lang w:val="es-ES_tradnl" w:eastAsia="es-ES"/>
        </w:rPr>
        <w:t>50</w:t>
      </w:r>
    </w:p>
    <w:p w14:paraId="26CEC8CC" w14:textId="525924E5" w:rsidR="000323A2" w:rsidRPr="000323A2" w:rsidRDefault="000323A2" w:rsidP="000323A2">
      <w:pPr>
        <w:tabs>
          <w:tab w:val="left" w:pos="440"/>
          <w:tab w:val="right" w:leader="dot" w:pos="9397"/>
        </w:tabs>
        <w:autoSpaceDE w:val="0"/>
        <w:autoSpaceDN w:val="0"/>
        <w:spacing w:before="240" w:after="0" w:line="276" w:lineRule="auto"/>
        <w:rPr>
          <w:rFonts w:ascii="Arial" w:eastAsia="Calibri" w:hAnsi="Arial" w:cs="Arial"/>
          <w:noProof/>
          <w:u w:val="single"/>
          <w:lang w:val="es-ES_tradnl" w:eastAsia="es-ES"/>
        </w:rPr>
      </w:pPr>
      <w:hyperlink w:anchor="_Toc398759571" w:history="1">
        <w:r w:rsidRPr="000323A2">
          <w:rPr>
            <w:rFonts w:ascii="Arial" w:eastAsia="Calibri" w:hAnsi="Arial" w:cs="Arial"/>
            <w:noProof/>
            <w:u w:val="single"/>
            <w:lang w:val="es-ES_tradnl" w:eastAsia="es-ES"/>
          </w:rPr>
          <w:t>2.</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ALCANCE.</w:t>
        </w:r>
        <w:r w:rsidRPr="000323A2">
          <w:rPr>
            <w:rFonts w:ascii="Arial" w:eastAsia="Calibri" w:hAnsi="Arial" w:cs="Arial"/>
            <w:noProof/>
            <w:webHidden/>
            <w:lang w:val="es-ES_tradnl" w:eastAsia="es-ES"/>
          </w:rPr>
          <w:tab/>
        </w:r>
        <w:r w:rsidRPr="000323A2">
          <w:rPr>
            <w:rFonts w:ascii="Arial" w:eastAsia="Calibri" w:hAnsi="Arial" w:cs="Arial"/>
            <w:noProof/>
            <w:webHidden/>
            <w:lang w:val="es-ES_tradnl" w:eastAsia="es-ES"/>
          </w:rPr>
          <w:fldChar w:fldCharType="begin"/>
        </w:r>
        <w:r w:rsidRPr="000323A2">
          <w:rPr>
            <w:rFonts w:ascii="Arial" w:eastAsia="Calibri" w:hAnsi="Arial" w:cs="Arial"/>
            <w:noProof/>
            <w:webHidden/>
            <w:lang w:val="es-ES_tradnl" w:eastAsia="es-ES"/>
          </w:rPr>
          <w:instrText xml:space="preserve"> PAGEREF _Toc398759571 \h </w:instrText>
        </w:r>
        <w:r w:rsidRPr="000323A2">
          <w:rPr>
            <w:rFonts w:ascii="Arial" w:eastAsia="Calibri" w:hAnsi="Arial" w:cs="Arial"/>
            <w:noProof/>
            <w:webHidden/>
            <w:lang w:val="es-ES_tradnl" w:eastAsia="es-ES"/>
          </w:rPr>
        </w:r>
        <w:r w:rsidRPr="000323A2">
          <w:rPr>
            <w:rFonts w:ascii="Arial" w:eastAsia="Calibri" w:hAnsi="Arial" w:cs="Arial"/>
            <w:noProof/>
            <w:webHidden/>
            <w:lang w:val="es-ES_tradnl" w:eastAsia="es-ES"/>
          </w:rPr>
          <w:fldChar w:fldCharType="separate"/>
        </w:r>
        <w:r w:rsidR="0017463C">
          <w:rPr>
            <w:rFonts w:ascii="Arial" w:eastAsia="Calibri" w:hAnsi="Arial" w:cs="Arial"/>
            <w:noProof/>
            <w:webHidden/>
            <w:lang w:val="es-ES_tradnl" w:eastAsia="es-ES"/>
          </w:rPr>
          <w:t>2</w:t>
        </w:r>
        <w:r w:rsidRPr="000323A2">
          <w:rPr>
            <w:rFonts w:ascii="Arial" w:eastAsia="Calibri" w:hAnsi="Arial" w:cs="Arial"/>
            <w:noProof/>
            <w:webHidden/>
            <w:lang w:val="es-ES_tradnl" w:eastAsia="es-ES"/>
          </w:rPr>
          <w:fldChar w:fldCharType="end"/>
        </w:r>
      </w:hyperlink>
    </w:p>
    <w:p w14:paraId="65FA0D47" w14:textId="3765E693" w:rsidR="000323A2" w:rsidRPr="000323A2" w:rsidRDefault="000323A2" w:rsidP="000323A2">
      <w:pPr>
        <w:tabs>
          <w:tab w:val="left" w:pos="440"/>
          <w:tab w:val="right" w:leader="dot" w:pos="9397"/>
        </w:tabs>
        <w:autoSpaceDE w:val="0"/>
        <w:autoSpaceDN w:val="0"/>
        <w:spacing w:before="240" w:after="0" w:line="276" w:lineRule="auto"/>
        <w:rPr>
          <w:rFonts w:ascii="Arial" w:eastAsia="Calibri" w:hAnsi="Arial" w:cs="Arial"/>
          <w:noProof/>
          <w:u w:val="single"/>
          <w:lang w:val="es-ES_tradnl" w:eastAsia="es-ES"/>
        </w:rPr>
      </w:pPr>
      <w:hyperlink w:anchor="_Toc398759572" w:history="1">
        <w:r w:rsidRPr="000323A2">
          <w:rPr>
            <w:rFonts w:ascii="Arial" w:eastAsia="Calibri" w:hAnsi="Arial" w:cs="Arial"/>
            <w:noProof/>
            <w:u w:val="single"/>
            <w:lang w:val="es-ES_tradnl" w:eastAsia="es-ES"/>
          </w:rPr>
          <w:t>3.</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VIGENCIA.</w:t>
        </w:r>
        <w:r w:rsidRPr="000323A2">
          <w:rPr>
            <w:rFonts w:ascii="Arial" w:eastAsia="Calibri" w:hAnsi="Arial" w:cs="Arial"/>
            <w:noProof/>
            <w:webHidden/>
            <w:lang w:val="es-ES_tradnl" w:eastAsia="es-ES"/>
          </w:rPr>
          <w:tab/>
        </w:r>
        <w:r w:rsidRPr="000323A2">
          <w:rPr>
            <w:rFonts w:ascii="Arial" w:eastAsia="Calibri" w:hAnsi="Arial" w:cs="Arial"/>
            <w:noProof/>
            <w:webHidden/>
            <w:lang w:val="es-ES_tradnl" w:eastAsia="es-ES"/>
          </w:rPr>
          <w:fldChar w:fldCharType="begin"/>
        </w:r>
        <w:r w:rsidRPr="000323A2">
          <w:rPr>
            <w:rFonts w:ascii="Arial" w:eastAsia="Calibri" w:hAnsi="Arial" w:cs="Arial"/>
            <w:noProof/>
            <w:webHidden/>
            <w:lang w:val="es-ES_tradnl" w:eastAsia="es-ES"/>
          </w:rPr>
          <w:instrText xml:space="preserve"> PAGEREF _Toc398759572 \h </w:instrText>
        </w:r>
        <w:r w:rsidRPr="000323A2">
          <w:rPr>
            <w:rFonts w:ascii="Arial" w:eastAsia="Calibri" w:hAnsi="Arial" w:cs="Arial"/>
            <w:noProof/>
            <w:webHidden/>
            <w:lang w:val="es-ES_tradnl" w:eastAsia="es-ES"/>
          </w:rPr>
        </w:r>
        <w:r w:rsidRPr="000323A2">
          <w:rPr>
            <w:rFonts w:ascii="Arial" w:eastAsia="Calibri" w:hAnsi="Arial" w:cs="Arial"/>
            <w:noProof/>
            <w:webHidden/>
            <w:lang w:val="es-ES_tradnl" w:eastAsia="es-ES"/>
          </w:rPr>
          <w:fldChar w:fldCharType="separate"/>
        </w:r>
        <w:r w:rsidR="0017463C">
          <w:rPr>
            <w:rFonts w:ascii="Arial" w:eastAsia="Calibri" w:hAnsi="Arial" w:cs="Arial"/>
            <w:noProof/>
            <w:webHidden/>
            <w:lang w:val="es-ES_tradnl" w:eastAsia="es-ES"/>
          </w:rPr>
          <w:t>2</w:t>
        </w:r>
        <w:r w:rsidRPr="000323A2">
          <w:rPr>
            <w:rFonts w:ascii="Arial" w:eastAsia="Calibri" w:hAnsi="Arial" w:cs="Arial"/>
            <w:noProof/>
            <w:webHidden/>
            <w:lang w:val="es-ES_tradnl" w:eastAsia="es-ES"/>
          </w:rPr>
          <w:fldChar w:fldCharType="end"/>
        </w:r>
      </w:hyperlink>
    </w:p>
    <w:p w14:paraId="44DC4E76" w14:textId="790882E8" w:rsidR="000323A2" w:rsidRPr="000323A2" w:rsidRDefault="000323A2" w:rsidP="000323A2">
      <w:pPr>
        <w:tabs>
          <w:tab w:val="left" w:pos="440"/>
          <w:tab w:val="right" w:leader="dot" w:pos="9397"/>
        </w:tabs>
        <w:autoSpaceDE w:val="0"/>
        <w:autoSpaceDN w:val="0"/>
        <w:spacing w:before="240" w:after="0" w:line="276" w:lineRule="auto"/>
        <w:rPr>
          <w:rFonts w:ascii="Arial" w:eastAsia="Calibri" w:hAnsi="Arial" w:cs="Arial"/>
          <w:noProof/>
          <w:u w:val="single"/>
          <w:lang w:val="es-ES_tradnl" w:eastAsia="es-ES"/>
        </w:rPr>
      </w:pPr>
      <w:hyperlink w:anchor="_Toc398759573" w:history="1">
        <w:r w:rsidRPr="000323A2">
          <w:rPr>
            <w:rFonts w:ascii="Arial" w:eastAsia="Calibri" w:hAnsi="Arial" w:cs="Arial"/>
            <w:noProof/>
            <w:u w:val="single"/>
            <w:lang w:val="es-ES_tradnl" w:eastAsia="es-ES"/>
          </w:rPr>
          <w:t>4.</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TERMINOLOGIA.</w:t>
        </w:r>
        <w:r w:rsidRPr="000323A2">
          <w:rPr>
            <w:rFonts w:ascii="Arial" w:eastAsia="Calibri" w:hAnsi="Arial" w:cs="Arial"/>
            <w:noProof/>
            <w:webHidden/>
            <w:lang w:val="es-ES_tradnl" w:eastAsia="es-ES"/>
          </w:rPr>
          <w:tab/>
        </w:r>
        <w:r w:rsidRPr="000323A2">
          <w:rPr>
            <w:rFonts w:ascii="Arial" w:eastAsia="Calibri" w:hAnsi="Arial" w:cs="Arial"/>
            <w:noProof/>
            <w:webHidden/>
            <w:lang w:val="es-ES_tradnl" w:eastAsia="es-ES"/>
          </w:rPr>
          <w:fldChar w:fldCharType="begin"/>
        </w:r>
        <w:r w:rsidRPr="000323A2">
          <w:rPr>
            <w:rFonts w:ascii="Arial" w:eastAsia="Calibri" w:hAnsi="Arial" w:cs="Arial"/>
            <w:noProof/>
            <w:webHidden/>
            <w:lang w:val="es-ES_tradnl" w:eastAsia="es-ES"/>
          </w:rPr>
          <w:instrText xml:space="preserve"> PAGEREF _Toc398759573 \h </w:instrText>
        </w:r>
        <w:r w:rsidRPr="000323A2">
          <w:rPr>
            <w:rFonts w:ascii="Arial" w:eastAsia="Calibri" w:hAnsi="Arial" w:cs="Arial"/>
            <w:noProof/>
            <w:webHidden/>
            <w:lang w:val="es-ES_tradnl" w:eastAsia="es-ES"/>
          </w:rPr>
        </w:r>
        <w:r w:rsidRPr="000323A2">
          <w:rPr>
            <w:rFonts w:ascii="Arial" w:eastAsia="Calibri" w:hAnsi="Arial" w:cs="Arial"/>
            <w:noProof/>
            <w:webHidden/>
            <w:lang w:val="es-ES_tradnl" w:eastAsia="es-ES"/>
          </w:rPr>
          <w:fldChar w:fldCharType="separate"/>
        </w:r>
        <w:r w:rsidR="0017463C">
          <w:rPr>
            <w:rFonts w:ascii="Arial" w:eastAsia="Calibri" w:hAnsi="Arial" w:cs="Arial"/>
            <w:noProof/>
            <w:webHidden/>
            <w:lang w:val="es-ES_tradnl" w:eastAsia="es-ES"/>
          </w:rPr>
          <w:t>2</w:t>
        </w:r>
        <w:r w:rsidRPr="000323A2">
          <w:rPr>
            <w:rFonts w:ascii="Arial" w:eastAsia="Calibri" w:hAnsi="Arial" w:cs="Arial"/>
            <w:noProof/>
            <w:webHidden/>
            <w:lang w:val="es-ES_tradnl" w:eastAsia="es-ES"/>
          </w:rPr>
          <w:fldChar w:fldCharType="end"/>
        </w:r>
      </w:hyperlink>
    </w:p>
    <w:p w14:paraId="52BACD66" w14:textId="77777777" w:rsidR="000323A2" w:rsidRPr="000323A2" w:rsidRDefault="000323A2" w:rsidP="000323A2">
      <w:pPr>
        <w:tabs>
          <w:tab w:val="left" w:pos="440"/>
          <w:tab w:val="right" w:leader="dot" w:pos="9397"/>
        </w:tabs>
        <w:autoSpaceDE w:val="0"/>
        <w:autoSpaceDN w:val="0"/>
        <w:spacing w:before="240" w:after="0" w:line="276" w:lineRule="auto"/>
        <w:rPr>
          <w:rFonts w:ascii="Arial" w:eastAsia="Calibri" w:hAnsi="Arial" w:cs="Arial"/>
          <w:noProof/>
          <w:u w:val="single"/>
          <w:lang w:val="es-ES_tradnl" w:eastAsia="es-ES"/>
        </w:rPr>
      </w:pPr>
      <w:hyperlink w:anchor="_Toc398759574" w:history="1">
        <w:r w:rsidRPr="000323A2">
          <w:rPr>
            <w:rFonts w:ascii="Arial" w:eastAsia="Calibri" w:hAnsi="Arial" w:cs="Arial"/>
            <w:noProof/>
            <w:u w:val="single"/>
            <w:lang w:val="es-ES_tradnl" w:eastAsia="es-ES"/>
          </w:rPr>
          <w:t>5.</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ESPECIFICACIONES GENERALES PARA ESPACIOS FISICOS RDA.</w:t>
        </w:r>
        <w:r w:rsidRPr="000323A2">
          <w:rPr>
            <w:rFonts w:ascii="Arial" w:eastAsia="Calibri" w:hAnsi="Arial" w:cs="Arial"/>
            <w:noProof/>
            <w:webHidden/>
            <w:lang w:val="es-ES_tradnl" w:eastAsia="es-ES"/>
          </w:rPr>
          <w:tab/>
          <w:t>51</w:t>
        </w:r>
      </w:hyperlink>
    </w:p>
    <w:p w14:paraId="6366954C" w14:textId="77777777" w:rsidR="000323A2" w:rsidRPr="000323A2" w:rsidRDefault="000323A2" w:rsidP="000323A2">
      <w:pPr>
        <w:tabs>
          <w:tab w:val="left" w:pos="440"/>
          <w:tab w:val="right" w:leader="dot" w:pos="9397"/>
        </w:tabs>
        <w:autoSpaceDE w:val="0"/>
        <w:autoSpaceDN w:val="0"/>
        <w:spacing w:before="240" w:after="0" w:line="276" w:lineRule="auto"/>
        <w:rPr>
          <w:rFonts w:ascii="Arial" w:eastAsia="Calibri" w:hAnsi="Arial" w:cs="Arial"/>
          <w:noProof/>
          <w:u w:val="single"/>
          <w:lang w:val="es-ES_tradnl" w:eastAsia="es-ES"/>
        </w:rPr>
      </w:pPr>
      <w:hyperlink w:anchor="_Toc398759575" w:history="1">
        <w:r w:rsidRPr="000323A2">
          <w:rPr>
            <w:rFonts w:ascii="Arial" w:eastAsia="Calibri" w:hAnsi="Arial" w:cs="Arial"/>
            <w:noProof/>
            <w:u w:val="single"/>
            <w:lang w:val="es-ES_tradnl" w:eastAsia="es-ES"/>
          </w:rPr>
          <w:t>6.</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ESPECIFICACIONES DE FUERZA PARA EL SITIO LOCAL CLIENTE</w:t>
        </w:r>
        <w:r w:rsidRPr="000323A2">
          <w:rPr>
            <w:rFonts w:ascii="Arial" w:eastAsia="Calibri" w:hAnsi="Arial" w:cs="Arial"/>
            <w:noProof/>
            <w:webHidden/>
            <w:lang w:val="es-ES_tradnl" w:eastAsia="es-ES"/>
          </w:rPr>
          <w:tab/>
        </w:r>
      </w:hyperlink>
      <w:r w:rsidRPr="000323A2">
        <w:rPr>
          <w:rFonts w:ascii="Arial" w:eastAsia="Calibri" w:hAnsi="Arial" w:cs="Arial"/>
          <w:noProof/>
          <w:lang w:val="es-ES_tradnl" w:eastAsia="es-ES"/>
        </w:rPr>
        <w:t>64</w:t>
      </w:r>
    </w:p>
    <w:p w14:paraId="717A7D3E" w14:textId="77777777" w:rsidR="000323A2" w:rsidRPr="000323A2" w:rsidRDefault="000323A2" w:rsidP="000323A2">
      <w:pPr>
        <w:tabs>
          <w:tab w:val="left" w:pos="440"/>
          <w:tab w:val="right" w:leader="dot" w:pos="9397"/>
        </w:tabs>
        <w:autoSpaceDE w:val="0"/>
        <w:autoSpaceDN w:val="0"/>
        <w:spacing w:before="240" w:after="0" w:line="276" w:lineRule="auto"/>
        <w:rPr>
          <w:rFonts w:ascii="Arial" w:eastAsia="Calibri" w:hAnsi="Arial" w:cs="Arial"/>
          <w:noProof/>
          <w:u w:val="single"/>
          <w:lang w:val="es-ES_tradnl" w:eastAsia="es-ES"/>
        </w:rPr>
      </w:pPr>
      <w:hyperlink w:anchor="_Toc398759576" w:history="1">
        <w:r w:rsidRPr="000323A2">
          <w:rPr>
            <w:rFonts w:ascii="Arial" w:eastAsia="Calibri" w:hAnsi="Arial" w:cs="Arial"/>
            <w:noProof/>
            <w:u w:val="single"/>
            <w:lang w:val="es-ES_tradnl" w:eastAsia="es-ES"/>
          </w:rPr>
          <w:t>7.</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ESPECIFICACIONES PARA LA PUESTA A TIERRA DEL SITIO CLIENTE</w:t>
        </w:r>
        <w:r w:rsidRPr="000323A2">
          <w:rPr>
            <w:rFonts w:ascii="Arial" w:eastAsia="Calibri" w:hAnsi="Arial" w:cs="Arial"/>
            <w:noProof/>
            <w:webHidden/>
            <w:lang w:val="es-ES_tradnl" w:eastAsia="es-ES"/>
          </w:rPr>
          <w:tab/>
        </w:r>
      </w:hyperlink>
      <w:r w:rsidRPr="000323A2">
        <w:rPr>
          <w:rFonts w:ascii="Arial" w:eastAsia="Calibri" w:hAnsi="Arial" w:cs="Arial"/>
          <w:noProof/>
          <w:lang w:val="es-ES_tradnl" w:eastAsia="es-ES"/>
        </w:rPr>
        <w:t>68</w:t>
      </w:r>
    </w:p>
    <w:p w14:paraId="03239E4D" w14:textId="77777777" w:rsidR="000323A2" w:rsidRPr="000323A2" w:rsidRDefault="000323A2" w:rsidP="000323A2">
      <w:pPr>
        <w:tabs>
          <w:tab w:val="left" w:pos="440"/>
          <w:tab w:val="right" w:leader="dot" w:pos="9397"/>
        </w:tabs>
        <w:autoSpaceDE w:val="0"/>
        <w:autoSpaceDN w:val="0"/>
        <w:spacing w:before="240" w:after="0" w:line="276" w:lineRule="auto"/>
        <w:rPr>
          <w:rFonts w:ascii="Arial" w:eastAsia="Calibri" w:hAnsi="Arial" w:cs="Arial"/>
          <w:noProof/>
          <w:u w:val="single"/>
          <w:lang w:val="es-ES_tradnl" w:eastAsia="es-ES"/>
        </w:rPr>
      </w:pPr>
      <w:hyperlink w:anchor="_Toc398759577" w:history="1">
        <w:r w:rsidRPr="000323A2">
          <w:rPr>
            <w:rFonts w:ascii="Arial" w:eastAsia="Calibri" w:hAnsi="Arial" w:cs="Arial"/>
            <w:noProof/>
            <w:u w:val="single"/>
            <w:lang w:val="es-ES_tradnl" w:eastAsia="es-ES"/>
          </w:rPr>
          <w:t>8.</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CABLEADO</w:t>
        </w:r>
        <w:r w:rsidRPr="000323A2">
          <w:rPr>
            <w:rFonts w:ascii="Arial" w:eastAsia="Calibri" w:hAnsi="Arial" w:cs="Arial"/>
            <w:noProof/>
            <w:webHidden/>
            <w:lang w:val="es-ES_tradnl" w:eastAsia="es-ES"/>
          </w:rPr>
          <w:tab/>
        </w:r>
      </w:hyperlink>
      <w:r w:rsidRPr="000323A2">
        <w:rPr>
          <w:rFonts w:ascii="Arial" w:eastAsia="Calibri" w:hAnsi="Arial" w:cs="Arial"/>
          <w:noProof/>
          <w:lang w:val="es-ES_tradnl" w:eastAsia="es-ES"/>
        </w:rPr>
        <w:t>87</w:t>
      </w:r>
    </w:p>
    <w:p w14:paraId="087C9D4F" w14:textId="5EFA9B13" w:rsidR="000323A2" w:rsidRPr="000323A2" w:rsidRDefault="000323A2" w:rsidP="000323A2">
      <w:pPr>
        <w:tabs>
          <w:tab w:val="left" w:pos="440"/>
          <w:tab w:val="right" w:leader="dot" w:pos="9397"/>
        </w:tabs>
        <w:autoSpaceDE w:val="0"/>
        <w:autoSpaceDN w:val="0"/>
        <w:spacing w:before="240" w:after="0" w:line="276" w:lineRule="auto"/>
        <w:rPr>
          <w:rFonts w:ascii="Arial" w:eastAsia="Calibri" w:hAnsi="Arial" w:cs="Arial"/>
          <w:noProof/>
          <w:u w:val="single"/>
          <w:lang w:val="es-ES_tradnl" w:eastAsia="es-ES"/>
        </w:rPr>
      </w:pPr>
      <w:hyperlink w:anchor="_Toc398759578" w:history="1">
        <w:r w:rsidRPr="000323A2">
          <w:rPr>
            <w:rFonts w:ascii="Arial" w:eastAsia="Calibri" w:hAnsi="Arial" w:cs="Arial"/>
            <w:noProof/>
            <w:u w:val="single"/>
            <w:lang w:val="es-ES_tradnl" w:eastAsia="es-ES"/>
          </w:rPr>
          <w:t>9.</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REQUERIMIENTOS PARA ACOMETIDA DE FIBRA ÓPTICA PARA SITIO CLIENTE.</w:t>
        </w:r>
        <w:r w:rsidRPr="000323A2">
          <w:rPr>
            <w:rFonts w:ascii="Arial" w:eastAsia="Calibri" w:hAnsi="Arial" w:cs="Arial"/>
            <w:noProof/>
            <w:webHidden/>
            <w:lang w:val="es-ES_tradnl" w:eastAsia="es-ES"/>
          </w:rPr>
          <w:tab/>
        </w:r>
        <w:r w:rsidRPr="000323A2">
          <w:rPr>
            <w:rFonts w:ascii="Arial" w:eastAsia="Calibri" w:hAnsi="Arial" w:cs="Arial"/>
            <w:noProof/>
            <w:webHidden/>
            <w:lang w:val="es-ES_tradnl" w:eastAsia="es-ES"/>
          </w:rPr>
          <w:fldChar w:fldCharType="begin"/>
        </w:r>
        <w:r w:rsidRPr="000323A2">
          <w:rPr>
            <w:rFonts w:ascii="Arial" w:eastAsia="Calibri" w:hAnsi="Arial" w:cs="Arial"/>
            <w:noProof/>
            <w:webHidden/>
            <w:lang w:val="es-ES_tradnl" w:eastAsia="es-ES"/>
          </w:rPr>
          <w:instrText xml:space="preserve"> PAGEREF _Toc398759578 \h </w:instrText>
        </w:r>
        <w:r w:rsidRPr="000323A2">
          <w:rPr>
            <w:rFonts w:ascii="Arial" w:eastAsia="Calibri" w:hAnsi="Arial" w:cs="Arial"/>
            <w:noProof/>
            <w:webHidden/>
            <w:lang w:val="es-ES_tradnl" w:eastAsia="es-ES"/>
          </w:rPr>
        </w:r>
        <w:r w:rsidRPr="000323A2">
          <w:rPr>
            <w:rFonts w:ascii="Arial" w:eastAsia="Calibri" w:hAnsi="Arial" w:cs="Arial"/>
            <w:noProof/>
            <w:webHidden/>
            <w:lang w:val="es-ES_tradnl" w:eastAsia="es-ES"/>
          </w:rPr>
          <w:fldChar w:fldCharType="separate"/>
        </w:r>
        <w:r w:rsidR="0017463C">
          <w:rPr>
            <w:rFonts w:ascii="Arial" w:eastAsia="Calibri" w:hAnsi="Arial" w:cs="Arial"/>
            <w:noProof/>
            <w:webHidden/>
            <w:lang w:val="es-ES_tradnl" w:eastAsia="es-ES"/>
          </w:rPr>
          <w:t>2</w:t>
        </w:r>
        <w:r w:rsidRPr="000323A2">
          <w:rPr>
            <w:rFonts w:ascii="Arial" w:eastAsia="Calibri" w:hAnsi="Arial" w:cs="Arial"/>
            <w:noProof/>
            <w:webHidden/>
            <w:lang w:val="es-ES_tradnl" w:eastAsia="es-ES"/>
          </w:rPr>
          <w:fldChar w:fldCharType="end"/>
        </w:r>
      </w:hyperlink>
    </w:p>
    <w:p w14:paraId="2FAB8F0F" w14:textId="77777777" w:rsidR="000323A2" w:rsidRPr="000323A2" w:rsidRDefault="000323A2" w:rsidP="000323A2">
      <w:pPr>
        <w:tabs>
          <w:tab w:val="left" w:pos="660"/>
          <w:tab w:val="right" w:leader="dot" w:pos="9397"/>
        </w:tabs>
        <w:autoSpaceDE w:val="0"/>
        <w:autoSpaceDN w:val="0"/>
        <w:spacing w:before="240" w:after="0" w:line="276" w:lineRule="auto"/>
        <w:rPr>
          <w:rFonts w:ascii="Arial" w:eastAsia="Calibri" w:hAnsi="Arial" w:cs="Arial"/>
          <w:noProof/>
          <w:u w:val="single"/>
          <w:lang w:val="es-ES_tradnl" w:eastAsia="es-ES"/>
        </w:rPr>
      </w:pPr>
      <w:hyperlink w:anchor="_Toc398759579" w:history="1">
        <w:r w:rsidRPr="000323A2">
          <w:rPr>
            <w:rFonts w:ascii="Arial" w:eastAsia="Calibri" w:hAnsi="Arial" w:cs="Arial"/>
            <w:noProof/>
            <w:u w:val="single"/>
            <w:lang w:val="es-ES_tradnl" w:eastAsia="es-ES"/>
          </w:rPr>
          <w:t>10.</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REQUERIMIENTO PARA SERVICIOS CON RADIO ENLACES.</w:t>
        </w:r>
        <w:r w:rsidRPr="000323A2">
          <w:rPr>
            <w:rFonts w:ascii="Arial" w:eastAsia="Calibri" w:hAnsi="Arial" w:cs="Arial"/>
            <w:noProof/>
            <w:webHidden/>
            <w:lang w:val="es-ES_tradnl" w:eastAsia="es-ES"/>
          </w:rPr>
          <w:tab/>
        </w:r>
      </w:hyperlink>
      <w:r w:rsidRPr="000323A2">
        <w:rPr>
          <w:rFonts w:ascii="Arial" w:eastAsia="Calibri" w:hAnsi="Arial" w:cs="Arial"/>
          <w:noProof/>
          <w:lang w:val="es-ES_tradnl" w:eastAsia="es-ES"/>
        </w:rPr>
        <w:t>90</w:t>
      </w:r>
    </w:p>
    <w:p w14:paraId="639BF520" w14:textId="7FFA4D83" w:rsidR="000323A2" w:rsidRPr="000323A2" w:rsidRDefault="000323A2" w:rsidP="000323A2">
      <w:pPr>
        <w:tabs>
          <w:tab w:val="left" w:pos="660"/>
          <w:tab w:val="right" w:leader="dot" w:pos="9397"/>
        </w:tabs>
        <w:autoSpaceDE w:val="0"/>
        <w:autoSpaceDN w:val="0"/>
        <w:spacing w:before="240" w:after="0" w:line="276" w:lineRule="auto"/>
        <w:rPr>
          <w:rFonts w:ascii="Arial" w:eastAsia="Calibri" w:hAnsi="Arial" w:cs="Arial"/>
          <w:noProof/>
          <w:lang w:val="es-ES" w:eastAsia="es-ES"/>
        </w:rPr>
      </w:pPr>
      <w:hyperlink w:anchor="_Toc398759580" w:history="1">
        <w:r w:rsidRPr="000323A2">
          <w:rPr>
            <w:rFonts w:ascii="Arial" w:eastAsia="Calibri" w:hAnsi="Arial" w:cs="Arial"/>
            <w:noProof/>
            <w:u w:val="single"/>
            <w:lang w:val="es-ES_tradnl" w:eastAsia="es-ES"/>
          </w:rPr>
          <w:t>11.</w:t>
        </w:r>
        <w:r w:rsidRPr="000323A2">
          <w:rPr>
            <w:rFonts w:ascii="Arial" w:eastAsia="Calibri" w:hAnsi="Arial" w:cs="Arial"/>
            <w:noProof/>
            <w:lang w:val="es-ES" w:eastAsia="es-ES"/>
          </w:rPr>
          <w:tab/>
        </w:r>
        <w:r w:rsidRPr="000323A2">
          <w:rPr>
            <w:rFonts w:ascii="Arial" w:eastAsia="Calibri" w:hAnsi="Arial" w:cs="Arial"/>
            <w:noProof/>
            <w:u w:val="single"/>
            <w:lang w:val="es-ES_tradnl" w:eastAsia="es-ES"/>
          </w:rPr>
          <w:t>REQUERIMIENTO PARA ACOMETIDA DE COBRE EN EL SITIO CLIENTE.</w:t>
        </w:r>
        <w:r w:rsidRPr="000323A2">
          <w:rPr>
            <w:rFonts w:ascii="Arial" w:eastAsia="Calibri" w:hAnsi="Arial" w:cs="Arial"/>
            <w:noProof/>
            <w:webHidden/>
            <w:lang w:val="es-ES_tradnl" w:eastAsia="es-ES"/>
          </w:rPr>
          <w:tab/>
        </w:r>
        <w:r w:rsidRPr="000323A2">
          <w:rPr>
            <w:rFonts w:ascii="Arial" w:eastAsia="Calibri" w:hAnsi="Arial" w:cs="Arial"/>
            <w:noProof/>
            <w:webHidden/>
            <w:lang w:val="es-ES_tradnl" w:eastAsia="es-ES"/>
          </w:rPr>
          <w:fldChar w:fldCharType="begin"/>
        </w:r>
        <w:r w:rsidRPr="000323A2">
          <w:rPr>
            <w:rFonts w:ascii="Arial" w:eastAsia="Calibri" w:hAnsi="Arial" w:cs="Arial"/>
            <w:noProof/>
            <w:webHidden/>
            <w:lang w:val="es-ES_tradnl" w:eastAsia="es-ES"/>
          </w:rPr>
          <w:instrText xml:space="preserve"> PAGEREF _Toc398759580 \h </w:instrText>
        </w:r>
        <w:r w:rsidRPr="000323A2">
          <w:rPr>
            <w:rFonts w:ascii="Arial" w:eastAsia="Calibri" w:hAnsi="Arial" w:cs="Arial"/>
            <w:noProof/>
            <w:webHidden/>
            <w:lang w:val="es-ES_tradnl" w:eastAsia="es-ES"/>
          </w:rPr>
        </w:r>
        <w:r w:rsidRPr="000323A2">
          <w:rPr>
            <w:rFonts w:ascii="Arial" w:eastAsia="Calibri" w:hAnsi="Arial" w:cs="Arial"/>
            <w:noProof/>
            <w:webHidden/>
            <w:lang w:val="es-ES_tradnl" w:eastAsia="es-ES"/>
          </w:rPr>
          <w:fldChar w:fldCharType="separate"/>
        </w:r>
        <w:r w:rsidR="0017463C">
          <w:rPr>
            <w:rFonts w:ascii="Arial" w:eastAsia="Calibri" w:hAnsi="Arial" w:cs="Arial"/>
            <w:noProof/>
            <w:webHidden/>
            <w:lang w:val="es-ES_tradnl" w:eastAsia="es-ES"/>
          </w:rPr>
          <w:t>2</w:t>
        </w:r>
        <w:r w:rsidRPr="000323A2">
          <w:rPr>
            <w:rFonts w:ascii="Arial" w:eastAsia="Calibri" w:hAnsi="Arial" w:cs="Arial"/>
            <w:noProof/>
            <w:webHidden/>
            <w:lang w:val="es-ES_tradnl" w:eastAsia="es-ES"/>
          </w:rPr>
          <w:fldChar w:fldCharType="end"/>
        </w:r>
      </w:hyperlink>
    </w:p>
    <w:p w14:paraId="7117B08A" w14:textId="77777777" w:rsidR="000323A2" w:rsidRPr="000323A2" w:rsidRDefault="000323A2" w:rsidP="000323A2">
      <w:pPr>
        <w:tabs>
          <w:tab w:val="left" w:pos="1740"/>
        </w:tabs>
        <w:autoSpaceDE w:val="0"/>
        <w:autoSpaceDN w:val="0"/>
        <w:spacing w:before="240" w:after="0" w:line="276" w:lineRule="auto"/>
        <w:rPr>
          <w:rFonts w:ascii="Arial" w:eastAsia="Calibri" w:hAnsi="Arial" w:cs="Arial"/>
          <w:lang w:val="es-ES_tradnl" w:eastAsia="es-ES"/>
        </w:rPr>
      </w:pPr>
      <w:r w:rsidRPr="000323A2">
        <w:rPr>
          <w:rFonts w:ascii="Arial" w:eastAsia="Calibri" w:hAnsi="Arial" w:cs="Arial"/>
          <w:lang w:val="es-ES_tradnl" w:eastAsia="es-ES"/>
        </w:rPr>
        <w:fldChar w:fldCharType="end"/>
      </w:r>
      <w:r w:rsidRPr="000323A2">
        <w:rPr>
          <w:rFonts w:ascii="Arial" w:eastAsia="Calibri" w:hAnsi="Arial" w:cs="Arial"/>
          <w:lang w:val="es-ES_tradnl" w:eastAsia="es-ES"/>
        </w:rPr>
        <w:tab/>
      </w:r>
    </w:p>
    <w:p w14:paraId="34DC9379" w14:textId="77777777" w:rsidR="000323A2" w:rsidRPr="000323A2" w:rsidRDefault="000323A2" w:rsidP="000323A2">
      <w:pPr>
        <w:spacing w:before="240" w:after="0" w:line="240" w:lineRule="auto"/>
        <w:rPr>
          <w:rFonts w:ascii="Arial" w:eastAsia="Calibri" w:hAnsi="Arial" w:cs="Arial"/>
          <w:lang w:val="es-ES_tradnl" w:eastAsia="es-ES"/>
        </w:rPr>
      </w:pPr>
      <w:r w:rsidRPr="000323A2">
        <w:rPr>
          <w:rFonts w:ascii="Arial" w:eastAsia="Calibri" w:hAnsi="Arial" w:cs="Arial"/>
          <w:lang w:val="es-ES_tradnl" w:eastAsia="es-ES"/>
        </w:rPr>
        <w:br w:type="page"/>
      </w:r>
    </w:p>
    <w:p w14:paraId="0D124DD2" w14:textId="77777777" w:rsidR="000323A2" w:rsidRPr="000323A2" w:rsidRDefault="000323A2" w:rsidP="00B04B36">
      <w:pPr>
        <w:widowControl w:val="0"/>
        <w:numPr>
          <w:ilvl w:val="0"/>
          <w:numId w:val="81"/>
        </w:numPr>
        <w:adjustRightInd w:val="0"/>
        <w:spacing w:before="240" w:after="0" w:line="360" w:lineRule="atLeast"/>
        <w:jc w:val="both"/>
        <w:textAlignment w:val="baseline"/>
        <w:rPr>
          <w:rFonts w:ascii="Arial" w:eastAsia="Calibri" w:hAnsi="Arial" w:cs="Arial"/>
          <w:b/>
          <w:lang w:val="es-ES" w:eastAsia="es-ES"/>
        </w:rPr>
      </w:pPr>
      <w:bookmarkStart w:id="28" w:name="_Toc398539575"/>
      <w:bookmarkStart w:id="29" w:name="_Toc398759570"/>
      <w:r w:rsidRPr="000323A2">
        <w:rPr>
          <w:rFonts w:ascii="Arial" w:eastAsia="Calibri" w:hAnsi="Arial" w:cs="Arial"/>
          <w:b/>
          <w:lang w:val="es-ES" w:eastAsia="es-ES"/>
        </w:rPr>
        <w:lastRenderedPageBreak/>
        <w:t>OBJETIVO</w:t>
      </w:r>
      <w:bookmarkEnd w:id="28"/>
      <w:bookmarkEnd w:id="29"/>
    </w:p>
    <w:p w14:paraId="124021FF"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i/>
          <w:iCs/>
          <w:lang w:val="es-ES_tradnl" w:eastAsia="es-ES"/>
        </w:rPr>
      </w:pPr>
    </w:p>
    <w:p w14:paraId="4164E9A9" w14:textId="77777777" w:rsidR="000323A2" w:rsidRPr="000323A2" w:rsidRDefault="000323A2" w:rsidP="000323A2">
      <w:pPr>
        <w:tabs>
          <w:tab w:val="left" w:pos="426"/>
        </w:tabs>
        <w:autoSpaceDE w:val="0"/>
        <w:autoSpaceDN w:val="0"/>
        <w:spacing w:before="240" w:after="0" w:line="276" w:lineRule="auto"/>
        <w:ind w:right="-234"/>
        <w:jc w:val="both"/>
        <w:rPr>
          <w:rFonts w:ascii="Arial" w:eastAsia="Calibri" w:hAnsi="Arial" w:cs="Arial"/>
          <w:iCs/>
          <w:lang w:val="es-ES_tradnl"/>
        </w:rPr>
      </w:pPr>
      <w:r w:rsidRPr="000323A2">
        <w:rPr>
          <w:rFonts w:ascii="Arial" w:eastAsia="Calibri" w:hAnsi="Arial" w:cs="Arial"/>
          <w:iCs/>
          <w:lang w:val="es-ES_tradnl"/>
        </w:rPr>
        <w:t>Proveer los requerimientos y especificaciones generales de construcción para el acondicionamiento del Local-Cliente del suministro de Servicios Privados, así como la protección al personal y equipo.</w:t>
      </w:r>
    </w:p>
    <w:p w14:paraId="5764D0CF" w14:textId="77777777" w:rsidR="000323A2" w:rsidRPr="000323A2" w:rsidRDefault="000323A2" w:rsidP="00B04B36">
      <w:pPr>
        <w:widowControl w:val="0"/>
        <w:numPr>
          <w:ilvl w:val="0"/>
          <w:numId w:val="81"/>
        </w:numPr>
        <w:adjustRightInd w:val="0"/>
        <w:spacing w:before="240" w:after="0" w:line="360" w:lineRule="atLeast"/>
        <w:jc w:val="both"/>
        <w:textAlignment w:val="baseline"/>
        <w:rPr>
          <w:rFonts w:ascii="Arial" w:eastAsia="Calibri" w:hAnsi="Arial" w:cs="Arial"/>
          <w:b/>
          <w:lang w:val="es-ES" w:eastAsia="es-ES"/>
        </w:rPr>
      </w:pPr>
      <w:bookmarkStart w:id="30" w:name="_Toc398539576"/>
      <w:bookmarkStart w:id="31" w:name="_Toc398759571"/>
      <w:r w:rsidRPr="000323A2">
        <w:rPr>
          <w:rFonts w:ascii="Arial" w:eastAsia="Calibri" w:hAnsi="Arial" w:cs="Arial"/>
          <w:b/>
          <w:lang w:val="es-ES" w:eastAsia="es-ES"/>
        </w:rPr>
        <w:t>ALCANCE.</w:t>
      </w:r>
      <w:bookmarkEnd w:id="30"/>
      <w:bookmarkEnd w:id="31"/>
    </w:p>
    <w:p w14:paraId="51AB7BED"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iCs/>
          <w:lang w:val="es-ES_tradnl" w:eastAsia="es-ES"/>
        </w:rPr>
      </w:pPr>
    </w:p>
    <w:p w14:paraId="3ABE0E10" w14:textId="77777777" w:rsidR="000323A2" w:rsidRPr="000323A2" w:rsidRDefault="000323A2" w:rsidP="000323A2">
      <w:pPr>
        <w:tabs>
          <w:tab w:val="left" w:pos="426"/>
        </w:tabs>
        <w:autoSpaceDE w:val="0"/>
        <w:autoSpaceDN w:val="0"/>
        <w:spacing w:before="240" w:after="0" w:line="276" w:lineRule="auto"/>
        <w:ind w:right="-234"/>
        <w:jc w:val="both"/>
        <w:rPr>
          <w:rFonts w:ascii="Arial" w:eastAsia="Calibri" w:hAnsi="Arial" w:cs="Arial"/>
          <w:iCs/>
          <w:lang w:val="es-ES_tradnl"/>
        </w:rPr>
      </w:pPr>
      <w:r w:rsidRPr="000323A2">
        <w:rPr>
          <w:rFonts w:ascii="Arial" w:eastAsia="Calibri" w:hAnsi="Arial" w:cs="Arial"/>
          <w:iCs/>
          <w:lang w:val="es-ES_tradnl"/>
        </w:rPr>
        <w:t>Este documento debe ser aplicado al sitio del cliente en el suministro de Enlaces Dedicados.</w:t>
      </w:r>
    </w:p>
    <w:p w14:paraId="282E42EC" w14:textId="77777777" w:rsidR="000323A2" w:rsidRPr="000323A2" w:rsidRDefault="000323A2" w:rsidP="00B04B36">
      <w:pPr>
        <w:widowControl w:val="0"/>
        <w:numPr>
          <w:ilvl w:val="0"/>
          <w:numId w:val="81"/>
        </w:numPr>
        <w:adjustRightInd w:val="0"/>
        <w:spacing w:before="240" w:after="0" w:line="360" w:lineRule="atLeast"/>
        <w:jc w:val="both"/>
        <w:textAlignment w:val="baseline"/>
        <w:rPr>
          <w:rFonts w:ascii="Arial" w:eastAsia="Calibri" w:hAnsi="Arial" w:cs="Arial"/>
          <w:b/>
          <w:lang w:val="es-ES" w:eastAsia="es-ES"/>
        </w:rPr>
      </w:pPr>
      <w:bookmarkStart w:id="32" w:name="_Toc398539577"/>
      <w:bookmarkStart w:id="33" w:name="_Toc398759572"/>
      <w:r w:rsidRPr="000323A2">
        <w:rPr>
          <w:rFonts w:ascii="Arial" w:eastAsia="Calibri" w:hAnsi="Arial" w:cs="Arial"/>
          <w:b/>
          <w:lang w:val="es-ES" w:eastAsia="es-ES"/>
        </w:rPr>
        <w:t>VIGENCIA.</w:t>
      </w:r>
      <w:bookmarkEnd w:id="32"/>
      <w:bookmarkEnd w:id="33"/>
    </w:p>
    <w:p w14:paraId="11CA19AD"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lang w:val="es-ES_tradnl" w:eastAsia="es-ES"/>
        </w:rPr>
      </w:pPr>
    </w:p>
    <w:p w14:paraId="1147AF55"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iCs/>
          <w:lang w:val="es-ES_tradnl" w:eastAsia="es-ES"/>
        </w:rPr>
      </w:pPr>
      <w:proofErr w:type="gramStart"/>
      <w:r w:rsidRPr="000323A2">
        <w:rPr>
          <w:rFonts w:ascii="Arial" w:eastAsia="Calibri" w:hAnsi="Arial" w:cs="Arial"/>
          <w:iCs/>
          <w:lang w:val="es-ES_tradnl" w:eastAsia="es-ES"/>
        </w:rPr>
        <w:t>La presente anexo</w:t>
      </w:r>
      <w:proofErr w:type="gramEnd"/>
      <w:r w:rsidRPr="000323A2">
        <w:rPr>
          <w:rFonts w:ascii="Arial" w:eastAsia="Calibri" w:hAnsi="Arial" w:cs="Arial"/>
          <w:iCs/>
          <w:lang w:val="es-ES_tradnl" w:eastAsia="es-ES"/>
        </w:rPr>
        <w:t xml:space="preserve"> entra en vigor a partir de la presente edición y permanecerá vigente hasta la edición de una nueva revisión o cuando sea sustituida por otro documento o derogada por indicaciones específicas.</w:t>
      </w:r>
    </w:p>
    <w:p w14:paraId="061E0D2D" w14:textId="77777777" w:rsidR="000323A2" w:rsidRPr="000323A2" w:rsidRDefault="000323A2" w:rsidP="00B04B36">
      <w:pPr>
        <w:widowControl w:val="0"/>
        <w:numPr>
          <w:ilvl w:val="0"/>
          <w:numId w:val="81"/>
        </w:numPr>
        <w:adjustRightInd w:val="0"/>
        <w:spacing w:before="240" w:after="0" w:line="360" w:lineRule="atLeast"/>
        <w:jc w:val="both"/>
        <w:textAlignment w:val="baseline"/>
        <w:rPr>
          <w:rFonts w:ascii="Arial" w:eastAsia="Calibri" w:hAnsi="Arial" w:cs="Arial"/>
          <w:b/>
          <w:lang w:val="es-ES" w:eastAsia="es-ES"/>
        </w:rPr>
      </w:pPr>
      <w:bookmarkStart w:id="34" w:name="_Toc398759573"/>
      <w:r w:rsidRPr="000323A2">
        <w:rPr>
          <w:rFonts w:ascii="Arial" w:eastAsia="Calibri" w:hAnsi="Arial" w:cs="Arial"/>
          <w:b/>
          <w:lang w:val="es-ES" w:eastAsia="es-ES"/>
        </w:rPr>
        <w:t>TERMINOLOGIA.</w:t>
      </w:r>
      <w:bookmarkEnd w:id="34"/>
    </w:p>
    <w:p w14:paraId="49EC1ACA"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i/>
          <w:iCs/>
          <w:lang w:val="es-ES_tradnl" w:eastAsia="es-ES"/>
        </w:rPr>
      </w:pPr>
    </w:p>
    <w:p w14:paraId="01CC8E01"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AA:</w:t>
      </w:r>
      <w:r w:rsidRPr="000323A2">
        <w:rPr>
          <w:rFonts w:ascii="Arial" w:eastAsia="Calibri" w:hAnsi="Arial" w:cs="Arial"/>
          <w:bCs/>
          <w:lang w:val="es-ES_tradnl" w:eastAsia="es-ES"/>
        </w:rPr>
        <w:tab/>
        <w:t xml:space="preserve"> </w:t>
      </w:r>
      <w:r w:rsidRPr="000323A2">
        <w:rPr>
          <w:rFonts w:ascii="Arial" w:eastAsia="Calibri" w:hAnsi="Arial" w:cs="Arial"/>
          <w:bCs/>
          <w:lang w:val="es-ES_tradnl" w:eastAsia="es-ES"/>
        </w:rPr>
        <w:tab/>
        <w:t>AIRE ACONDICIONADO.</w:t>
      </w:r>
    </w:p>
    <w:p w14:paraId="1F706EF1"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AMP:</w:t>
      </w:r>
      <w:r w:rsidRPr="000323A2">
        <w:rPr>
          <w:rFonts w:ascii="Arial" w:eastAsia="Calibri" w:hAnsi="Arial" w:cs="Arial"/>
          <w:bCs/>
          <w:lang w:val="es-ES_tradnl" w:eastAsia="es-ES"/>
        </w:rPr>
        <w:tab/>
        <w:t>AMPER.</w:t>
      </w:r>
    </w:p>
    <w:p w14:paraId="375CDE55"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BAT:</w:t>
      </w:r>
      <w:r w:rsidRPr="000323A2">
        <w:rPr>
          <w:rFonts w:ascii="Arial" w:eastAsia="Calibri" w:hAnsi="Arial" w:cs="Arial"/>
          <w:bCs/>
          <w:lang w:val="es-ES_tradnl" w:eastAsia="es-ES"/>
        </w:rPr>
        <w:tab/>
        <w:t>BATERIA.</w:t>
      </w:r>
    </w:p>
    <w:p w14:paraId="00CA3800"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BTLC: BARRA DE TIERRA LOCAL-CLIENTE.</w:t>
      </w:r>
    </w:p>
    <w:p w14:paraId="68D318A9"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CA:</w:t>
      </w:r>
      <w:r w:rsidRPr="000323A2">
        <w:rPr>
          <w:rFonts w:ascii="Arial" w:eastAsia="Calibri" w:hAnsi="Arial" w:cs="Arial"/>
          <w:bCs/>
          <w:lang w:val="es-ES_tradnl" w:eastAsia="es-ES"/>
        </w:rPr>
        <w:tab/>
        <w:t>CORRIENTE ALTERNA.</w:t>
      </w:r>
    </w:p>
    <w:p w14:paraId="0566023C"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CD:</w:t>
      </w:r>
      <w:r w:rsidRPr="000323A2">
        <w:rPr>
          <w:rFonts w:ascii="Arial" w:eastAsia="Calibri" w:hAnsi="Arial" w:cs="Arial"/>
          <w:bCs/>
          <w:lang w:val="es-ES_tradnl" w:eastAsia="es-ES"/>
        </w:rPr>
        <w:tab/>
        <w:t>CORRIENTE DIRECTA.</w:t>
      </w:r>
    </w:p>
    <w:p w14:paraId="357079E2"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CM:</w:t>
      </w:r>
      <w:r w:rsidRPr="000323A2">
        <w:rPr>
          <w:rFonts w:ascii="Arial" w:eastAsia="Calibri" w:hAnsi="Arial" w:cs="Arial"/>
          <w:bCs/>
          <w:lang w:val="es-ES_tradnl" w:eastAsia="es-ES"/>
        </w:rPr>
        <w:tab/>
        <w:t>CENTIMETROS.</w:t>
      </w:r>
    </w:p>
    <w:p w14:paraId="3700B4E2"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CPT:</w:t>
      </w:r>
      <w:r w:rsidRPr="000323A2">
        <w:rPr>
          <w:rFonts w:ascii="Arial" w:eastAsia="Calibri" w:hAnsi="Arial" w:cs="Arial"/>
          <w:bCs/>
          <w:lang w:val="es-ES_tradnl" w:eastAsia="es-ES"/>
        </w:rPr>
        <w:tab/>
        <w:t>CONDUCTOR DE PUESTA A TIERRA.</w:t>
      </w:r>
    </w:p>
    <w:p w14:paraId="31281D84"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CT:</w:t>
      </w:r>
      <w:r w:rsidRPr="000323A2">
        <w:rPr>
          <w:rFonts w:ascii="Arial" w:eastAsia="Calibri" w:hAnsi="Arial" w:cs="Arial"/>
          <w:bCs/>
          <w:lang w:val="es-ES_tradnl" w:eastAsia="es-ES"/>
        </w:rPr>
        <w:tab/>
      </w:r>
      <w:r w:rsidRPr="000323A2">
        <w:rPr>
          <w:rFonts w:ascii="Arial" w:eastAsia="Calibri" w:hAnsi="Arial" w:cs="Arial"/>
          <w:bCs/>
          <w:lang w:val="es-ES_tradnl" w:eastAsia="es-ES"/>
        </w:rPr>
        <w:tab/>
        <w:t>COLA DE TIERRA.</w:t>
      </w:r>
    </w:p>
    <w:p w14:paraId="6B011B81"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D:</w:t>
      </w:r>
      <w:r w:rsidRPr="000323A2">
        <w:rPr>
          <w:rFonts w:ascii="Arial" w:eastAsia="Calibri" w:hAnsi="Arial" w:cs="Arial"/>
          <w:bCs/>
          <w:lang w:val="es-ES_tradnl" w:eastAsia="es-ES"/>
        </w:rPr>
        <w:tab/>
      </w:r>
      <w:r w:rsidRPr="000323A2">
        <w:rPr>
          <w:rFonts w:ascii="Arial" w:eastAsia="Calibri" w:hAnsi="Arial" w:cs="Arial"/>
          <w:bCs/>
          <w:lang w:val="es-ES_tradnl" w:eastAsia="es-ES"/>
        </w:rPr>
        <w:tab/>
        <w:t>DIAMETRO.</w:t>
      </w:r>
    </w:p>
    <w:p w14:paraId="248919CD"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lastRenderedPageBreak/>
        <w:t>F’C:</w:t>
      </w:r>
      <w:r w:rsidRPr="000323A2">
        <w:rPr>
          <w:rFonts w:ascii="Arial" w:eastAsia="Calibri" w:hAnsi="Arial" w:cs="Arial"/>
          <w:bCs/>
          <w:lang w:val="es-ES_tradnl" w:eastAsia="es-ES"/>
        </w:rPr>
        <w:tab/>
        <w:t>FACTOR DE RESISTENCIA DEL CONCRETO.</w:t>
      </w:r>
    </w:p>
    <w:p w14:paraId="3AAFA3B7"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NPT:</w:t>
      </w:r>
      <w:r w:rsidRPr="000323A2">
        <w:rPr>
          <w:rFonts w:ascii="Arial" w:eastAsia="Calibri" w:hAnsi="Arial" w:cs="Arial"/>
          <w:bCs/>
          <w:lang w:val="es-ES_tradnl" w:eastAsia="es-ES"/>
        </w:rPr>
        <w:tab/>
        <w:t>NIVEL DE PISO TERMINADO.</w:t>
      </w:r>
    </w:p>
    <w:p w14:paraId="7F287FF0"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R:</w:t>
      </w:r>
      <w:r w:rsidRPr="000323A2">
        <w:rPr>
          <w:rFonts w:ascii="Arial" w:eastAsia="Calibri" w:hAnsi="Arial" w:cs="Arial"/>
          <w:bCs/>
          <w:lang w:val="es-ES_tradnl" w:eastAsia="es-ES"/>
        </w:rPr>
        <w:tab/>
      </w:r>
      <w:r w:rsidRPr="000323A2">
        <w:rPr>
          <w:rFonts w:ascii="Arial" w:eastAsia="Calibri" w:hAnsi="Arial" w:cs="Arial"/>
          <w:bCs/>
          <w:lang w:val="es-ES_tradnl" w:eastAsia="es-ES"/>
        </w:rPr>
        <w:tab/>
        <w:t>RADIO.</w:t>
      </w:r>
    </w:p>
    <w:p w14:paraId="4FC11FEF"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RDA: RED DIGITAL DE ACCESO.</w:t>
      </w:r>
    </w:p>
    <w:p w14:paraId="3EF2F681"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TPG:</w:t>
      </w:r>
      <w:r w:rsidRPr="000323A2">
        <w:rPr>
          <w:rFonts w:ascii="Arial" w:eastAsia="Calibri" w:hAnsi="Arial" w:cs="Arial"/>
          <w:bCs/>
          <w:lang w:val="es-ES_tradnl" w:eastAsia="es-ES"/>
        </w:rPr>
        <w:tab/>
        <w:t>TABLERO DE PROTECCION GENERAL.</w:t>
      </w:r>
    </w:p>
    <w:p w14:paraId="09E7952C"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VCA:</w:t>
      </w:r>
      <w:r w:rsidRPr="000323A2">
        <w:rPr>
          <w:rFonts w:ascii="Arial" w:eastAsia="Calibri" w:hAnsi="Arial" w:cs="Arial"/>
          <w:bCs/>
          <w:lang w:val="es-ES_tradnl" w:eastAsia="es-ES"/>
        </w:rPr>
        <w:tab/>
        <w:t>VOLTAJE DE CORRIENTE ALTERNA.</w:t>
      </w:r>
    </w:p>
    <w:p w14:paraId="14527874" w14:textId="77777777" w:rsidR="000323A2" w:rsidRPr="000323A2" w:rsidRDefault="000323A2" w:rsidP="000323A2">
      <w:pPr>
        <w:widowControl w:val="0"/>
        <w:tabs>
          <w:tab w:val="left" w:pos="426"/>
        </w:tabs>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TOP:</w:t>
      </w:r>
      <w:r w:rsidRPr="000323A2">
        <w:rPr>
          <w:rFonts w:ascii="Arial" w:eastAsia="Calibri" w:hAnsi="Arial" w:cs="Arial"/>
          <w:bCs/>
          <w:lang w:val="es-ES_tradnl" w:eastAsia="es-ES"/>
        </w:rPr>
        <w:tab/>
        <w:t>EQUIPO TERMINAL OPTICO.</w:t>
      </w:r>
    </w:p>
    <w:p w14:paraId="3AE3A7D9" w14:textId="77777777" w:rsidR="000323A2" w:rsidRPr="000323A2" w:rsidRDefault="000323A2" w:rsidP="000323A2">
      <w:pPr>
        <w:widowControl w:val="0"/>
        <w:autoSpaceDE w:val="0"/>
        <w:autoSpaceDN w:val="0"/>
        <w:spacing w:before="240" w:after="0" w:line="276" w:lineRule="auto"/>
        <w:ind w:right="-234"/>
        <w:jc w:val="both"/>
        <w:rPr>
          <w:rFonts w:ascii="Arial" w:eastAsia="Calibri" w:hAnsi="Arial" w:cs="Arial"/>
          <w:lang w:val="es-ES_tradnl" w:eastAsia="es-ES"/>
        </w:rPr>
      </w:pPr>
    </w:p>
    <w:p w14:paraId="4AAB0207" w14:textId="77777777" w:rsidR="000323A2" w:rsidRPr="000323A2" w:rsidRDefault="000323A2" w:rsidP="00B04B36">
      <w:pPr>
        <w:widowControl w:val="0"/>
        <w:numPr>
          <w:ilvl w:val="0"/>
          <w:numId w:val="81"/>
        </w:numPr>
        <w:adjustRightInd w:val="0"/>
        <w:spacing w:before="240" w:after="0" w:line="360" w:lineRule="atLeast"/>
        <w:jc w:val="both"/>
        <w:textAlignment w:val="baseline"/>
        <w:rPr>
          <w:rFonts w:ascii="Arial" w:eastAsia="Calibri" w:hAnsi="Arial" w:cs="Arial"/>
          <w:b/>
          <w:lang w:val="es-ES" w:eastAsia="es-ES"/>
        </w:rPr>
      </w:pPr>
      <w:bookmarkStart w:id="35" w:name="_Toc398759574"/>
      <w:r w:rsidRPr="000323A2">
        <w:rPr>
          <w:rFonts w:ascii="Arial" w:eastAsia="Calibri" w:hAnsi="Arial" w:cs="Arial"/>
          <w:b/>
          <w:lang w:val="es-ES" w:eastAsia="es-ES"/>
        </w:rPr>
        <w:t>ESPECIFICACIONES GENERALES PARA ESPACIOS FISICOS RDA.</w:t>
      </w:r>
      <w:bookmarkEnd w:id="35"/>
    </w:p>
    <w:p w14:paraId="1D79AA5A" w14:textId="77777777" w:rsidR="000323A2" w:rsidRPr="000323A2" w:rsidRDefault="000323A2" w:rsidP="00B04B36">
      <w:pPr>
        <w:numPr>
          <w:ilvl w:val="1"/>
          <w:numId w:val="44"/>
        </w:numPr>
        <w:tabs>
          <w:tab w:val="left" w:pos="1843"/>
        </w:tabs>
        <w:autoSpaceDE w:val="0"/>
        <w:autoSpaceDN w:val="0"/>
        <w:spacing w:before="240" w:after="0" w:line="276" w:lineRule="auto"/>
        <w:ind w:right="-234"/>
        <w:rPr>
          <w:rFonts w:ascii="Arial" w:eastAsia="Calibri" w:hAnsi="Arial" w:cs="Arial"/>
          <w:b/>
          <w:bCs/>
          <w:lang w:val="es-ES_tradnl"/>
        </w:rPr>
      </w:pPr>
      <w:r w:rsidRPr="000323A2">
        <w:rPr>
          <w:rFonts w:ascii="Arial" w:eastAsia="Calibri" w:hAnsi="Arial" w:cs="Arial"/>
          <w:b/>
          <w:bCs/>
          <w:lang w:val="es-ES_tradnl"/>
        </w:rPr>
        <w:t>Espacio físico.</w:t>
      </w:r>
    </w:p>
    <w:p w14:paraId="5F88F012" w14:textId="77777777" w:rsidR="000323A2" w:rsidRPr="000323A2" w:rsidRDefault="000323A2" w:rsidP="000323A2">
      <w:pPr>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Cuando en las instalaciones del cliente exista infraestructura de telecomunicaciones construida e instalada (cableado, escalerillas, ductos) y el cliente lo permita, se debe hacer uso de esta infraestructura para el suministro de LADA enlaces.</w:t>
      </w:r>
    </w:p>
    <w:p w14:paraId="236ED748" w14:textId="77777777" w:rsidR="000323A2" w:rsidRPr="000323A2" w:rsidRDefault="000323A2" w:rsidP="000323A2">
      <w:pPr>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Cuando la infraestructura construida e instalada sea responsabilidad de un tercero, el cliente es responsable de negociar el uso de esta infraestructura, en caso de que no sea posible hacer uso de esta, el cliente es responsable de obtener los permisos necesarios para la construcción y puesta en servicio de infraestructura para suministrar el servicio LADA enlace correspondiente.</w:t>
      </w:r>
    </w:p>
    <w:p w14:paraId="6E45987B" w14:textId="77777777" w:rsidR="000323A2" w:rsidRPr="000323A2" w:rsidRDefault="000323A2" w:rsidP="000323A2">
      <w:pPr>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El cliente debe proporcionar la infraestructura de telecomunicaciones (escalerillas, canaletas, canalizaciones) necesaria para suministrar el servicio.</w:t>
      </w:r>
    </w:p>
    <w:p w14:paraId="7EF790C7" w14:textId="77777777" w:rsidR="000323A2" w:rsidRPr="000323A2" w:rsidRDefault="000323A2" w:rsidP="000323A2">
      <w:pPr>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Telmex es responsable de construir el cableado correspondiente (fibra óptica y/o cobre) desde el pozo de visita hasta el sitio designado por el cliente para la puesta en servicio del equipo de telecomunicaciones.</w:t>
      </w:r>
    </w:p>
    <w:p w14:paraId="7A7A2A49" w14:textId="77777777" w:rsidR="000323A2" w:rsidRPr="000323A2" w:rsidRDefault="000323A2" w:rsidP="000323A2">
      <w:pPr>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En caso de que el contrato comercial lo especifique, Telmex construirá la infraestructura de telecomunicaciones (escalerillas, canaletas, canalizaciones, -) necesaria para suministrar el servicio.</w:t>
      </w:r>
    </w:p>
    <w:p w14:paraId="3BB5266F" w14:textId="77777777" w:rsidR="000323A2" w:rsidRPr="000323A2" w:rsidRDefault="000323A2" w:rsidP="000323A2">
      <w:pPr>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Se consideran tres variantes para el espacio que designe el cliente para la colocación del equipo que servirá para la entrega de los Servicios Dedicados.</w:t>
      </w:r>
    </w:p>
    <w:p w14:paraId="2F904A2A" w14:textId="77777777" w:rsidR="000323A2" w:rsidRPr="000323A2" w:rsidRDefault="000323A2" w:rsidP="00B04B36">
      <w:pPr>
        <w:numPr>
          <w:ilvl w:val="0"/>
          <w:numId w:val="22"/>
        </w:numPr>
        <w:tabs>
          <w:tab w:val="center" w:pos="709"/>
          <w:tab w:val="right" w:pos="8504"/>
        </w:tabs>
        <w:overflowPunct w:val="0"/>
        <w:autoSpaceDE w:val="0"/>
        <w:autoSpaceDN w:val="0"/>
        <w:adjustRightInd w:val="0"/>
        <w:spacing w:before="240" w:after="0" w:line="276" w:lineRule="auto"/>
        <w:ind w:right="-234"/>
        <w:jc w:val="both"/>
        <w:textAlignment w:val="baseline"/>
        <w:rPr>
          <w:rFonts w:ascii="Arial" w:eastAsia="Calibri" w:hAnsi="Arial" w:cs="Arial"/>
          <w:bCs/>
          <w:lang w:val="es-ES_tradnl" w:eastAsia="es-ES"/>
        </w:rPr>
      </w:pPr>
      <w:r w:rsidRPr="000323A2">
        <w:rPr>
          <w:rFonts w:ascii="Arial" w:eastAsia="Calibri" w:hAnsi="Arial" w:cs="Arial"/>
          <w:bCs/>
          <w:lang w:val="es-ES_tradnl" w:eastAsia="es-ES"/>
        </w:rPr>
        <w:t>Gabinete Universal</w:t>
      </w:r>
    </w:p>
    <w:p w14:paraId="4D79FEEE" w14:textId="77777777" w:rsidR="000323A2" w:rsidRPr="000323A2" w:rsidRDefault="000323A2" w:rsidP="00B04B36">
      <w:pPr>
        <w:numPr>
          <w:ilvl w:val="0"/>
          <w:numId w:val="22"/>
        </w:numPr>
        <w:tabs>
          <w:tab w:val="center" w:pos="709"/>
          <w:tab w:val="right" w:pos="8504"/>
        </w:tabs>
        <w:overflowPunct w:val="0"/>
        <w:autoSpaceDE w:val="0"/>
        <w:autoSpaceDN w:val="0"/>
        <w:adjustRightInd w:val="0"/>
        <w:spacing w:before="240" w:after="0" w:line="276" w:lineRule="auto"/>
        <w:ind w:right="-234"/>
        <w:jc w:val="both"/>
        <w:textAlignment w:val="baseline"/>
        <w:rPr>
          <w:rFonts w:ascii="Arial" w:eastAsia="Calibri" w:hAnsi="Arial" w:cs="Arial"/>
          <w:bCs/>
          <w:lang w:val="es-ES_tradnl" w:eastAsia="es-ES"/>
        </w:rPr>
      </w:pPr>
      <w:r w:rsidRPr="000323A2">
        <w:rPr>
          <w:rFonts w:ascii="Arial" w:eastAsia="Calibri" w:hAnsi="Arial" w:cs="Arial"/>
          <w:bCs/>
          <w:lang w:val="es-ES_tradnl" w:eastAsia="es-ES"/>
        </w:rPr>
        <w:lastRenderedPageBreak/>
        <w:t>Sala abierta</w:t>
      </w:r>
    </w:p>
    <w:p w14:paraId="5C35C9D9" w14:textId="77777777" w:rsidR="000323A2" w:rsidRPr="000323A2" w:rsidRDefault="000323A2" w:rsidP="00B04B36">
      <w:pPr>
        <w:numPr>
          <w:ilvl w:val="0"/>
          <w:numId w:val="22"/>
        </w:numPr>
        <w:tabs>
          <w:tab w:val="center" w:pos="709"/>
          <w:tab w:val="right" w:pos="8504"/>
        </w:tabs>
        <w:overflowPunct w:val="0"/>
        <w:autoSpaceDE w:val="0"/>
        <w:autoSpaceDN w:val="0"/>
        <w:adjustRightInd w:val="0"/>
        <w:spacing w:before="240" w:after="0" w:line="276" w:lineRule="auto"/>
        <w:ind w:right="-234"/>
        <w:jc w:val="both"/>
        <w:textAlignment w:val="baseline"/>
        <w:rPr>
          <w:rFonts w:ascii="Arial" w:eastAsia="Calibri" w:hAnsi="Arial" w:cs="Arial"/>
          <w:bCs/>
          <w:lang w:val="es-ES_tradnl" w:eastAsia="es-ES"/>
        </w:rPr>
      </w:pPr>
      <w:r w:rsidRPr="000323A2">
        <w:rPr>
          <w:rFonts w:ascii="Arial" w:eastAsia="Calibri" w:hAnsi="Arial" w:cs="Arial"/>
          <w:bCs/>
          <w:lang w:val="es-ES_tradnl" w:eastAsia="es-ES"/>
        </w:rPr>
        <w:t>Sala cerrada</w:t>
      </w:r>
    </w:p>
    <w:p w14:paraId="168D7E6C" w14:textId="77777777" w:rsidR="000323A2" w:rsidRPr="000323A2" w:rsidRDefault="000323A2" w:rsidP="00B04B36">
      <w:pPr>
        <w:numPr>
          <w:ilvl w:val="2"/>
          <w:numId w:val="44"/>
        </w:numPr>
        <w:tabs>
          <w:tab w:val="left" w:pos="851"/>
        </w:tabs>
        <w:autoSpaceDE w:val="0"/>
        <w:autoSpaceDN w:val="0"/>
        <w:spacing w:before="240" w:after="0" w:line="276" w:lineRule="auto"/>
        <w:ind w:right="-234"/>
        <w:rPr>
          <w:rFonts w:ascii="Arial" w:eastAsia="Calibri" w:hAnsi="Arial" w:cs="Arial"/>
          <w:b/>
          <w:bCs/>
          <w:lang w:val="es-ES_tradnl"/>
        </w:rPr>
      </w:pPr>
      <w:r w:rsidRPr="000323A2">
        <w:rPr>
          <w:rFonts w:ascii="Arial" w:eastAsia="Calibri" w:hAnsi="Arial" w:cs="Arial"/>
          <w:b/>
          <w:bCs/>
          <w:lang w:val="es-ES_tradnl"/>
        </w:rPr>
        <w:t>Gabinete Universal</w:t>
      </w:r>
    </w:p>
    <w:p w14:paraId="4D37C0FD" w14:textId="77777777" w:rsidR="000323A2" w:rsidRPr="000323A2" w:rsidRDefault="000323A2" w:rsidP="000323A2">
      <w:pPr>
        <w:autoSpaceDE w:val="0"/>
        <w:autoSpaceDN w:val="0"/>
        <w:spacing w:before="240" w:after="0" w:line="276" w:lineRule="auto"/>
        <w:ind w:right="-234"/>
        <w:jc w:val="both"/>
        <w:rPr>
          <w:rFonts w:ascii="Arial" w:eastAsia="Calibri" w:hAnsi="Arial" w:cs="Arial"/>
          <w:bCs/>
          <w:lang w:val="es-ES_tradnl" w:eastAsia="es-ES"/>
        </w:rPr>
      </w:pPr>
      <w:r w:rsidRPr="000323A2">
        <w:rPr>
          <w:rFonts w:ascii="Arial" w:eastAsia="Calibri" w:hAnsi="Arial" w:cs="Arial"/>
          <w:bCs/>
          <w:lang w:val="es-ES_tradnl" w:eastAsia="es-ES"/>
        </w:rPr>
        <w:t>Dependiendo de lo contratado, se hace uso del Gabinete Universal Telmex (GUT) y se deben cubrir los siguientes requisitos:</w:t>
      </w:r>
    </w:p>
    <w:p w14:paraId="6EF375E3" w14:textId="77777777" w:rsidR="000323A2" w:rsidRPr="000323A2" w:rsidRDefault="000323A2" w:rsidP="00B04B36">
      <w:pPr>
        <w:numPr>
          <w:ilvl w:val="0"/>
          <w:numId w:val="43"/>
        </w:numPr>
        <w:tabs>
          <w:tab w:val="left" w:pos="709"/>
        </w:tabs>
        <w:autoSpaceDE w:val="0"/>
        <w:autoSpaceDN w:val="0"/>
        <w:spacing w:before="240" w:after="0" w:line="276" w:lineRule="auto"/>
        <w:ind w:right="-234" w:hanging="436"/>
        <w:jc w:val="both"/>
        <w:rPr>
          <w:rFonts w:ascii="Arial" w:eastAsia="Calibri" w:hAnsi="Arial" w:cs="Arial"/>
          <w:bCs/>
          <w:lang w:val="es-ES_tradnl" w:eastAsia="es-ES"/>
        </w:rPr>
      </w:pPr>
      <w:r w:rsidRPr="000323A2">
        <w:rPr>
          <w:rFonts w:ascii="Arial" w:eastAsia="Calibri" w:hAnsi="Arial" w:cs="Arial"/>
          <w:bCs/>
          <w:lang w:val="es-ES_tradnl" w:eastAsia="es-ES"/>
        </w:rPr>
        <w:t>Debe localizarse en un área segura y de fácil acceso durante las 24 horas de los 365 días del año, no debe tener tuberías hidrosanitarias ni presencia de humedad ni fuentes de calor extremas. El área asignada debe estar libre de polvo y fuera del área del paso común.</w:t>
      </w:r>
    </w:p>
    <w:p w14:paraId="0CFE665A" w14:textId="77777777" w:rsidR="000323A2" w:rsidRPr="000323A2" w:rsidRDefault="000323A2" w:rsidP="00B04B36">
      <w:pPr>
        <w:numPr>
          <w:ilvl w:val="0"/>
          <w:numId w:val="43"/>
        </w:numPr>
        <w:tabs>
          <w:tab w:val="left" w:pos="709"/>
        </w:tabs>
        <w:autoSpaceDE w:val="0"/>
        <w:autoSpaceDN w:val="0"/>
        <w:spacing w:before="240" w:after="0" w:line="276" w:lineRule="auto"/>
        <w:ind w:right="-234" w:hanging="436"/>
        <w:jc w:val="both"/>
        <w:rPr>
          <w:rFonts w:ascii="Arial" w:eastAsia="Calibri" w:hAnsi="Arial" w:cs="Arial"/>
          <w:bCs/>
          <w:lang w:val="es-ES_tradnl" w:eastAsia="es-ES"/>
        </w:rPr>
      </w:pPr>
      <w:r w:rsidRPr="000323A2">
        <w:rPr>
          <w:rFonts w:ascii="Arial" w:eastAsia="Calibri" w:hAnsi="Arial" w:cs="Arial"/>
          <w:bCs/>
          <w:lang w:val="es-ES_tradnl" w:eastAsia="es-ES"/>
        </w:rPr>
        <w:t>Para la puesta en servicio del GUT es necesario un espacio de acuerdo a lo indicado en las siguientes opciones:</w:t>
      </w:r>
    </w:p>
    <w:p w14:paraId="16A938EE" w14:textId="77777777" w:rsidR="000323A2" w:rsidRPr="000323A2" w:rsidRDefault="000323A2" w:rsidP="000323A2">
      <w:pPr>
        <w:tabs>
          <w:tab w:val="center" w:pos="4252"/>
          <w:tab w:val="right" w:pos="8504"/>
        </w:tabs>
        <w:autoSpaceDE w:val="0"/>
        <w:autoSpaceDN w:val="0"/>
        <w:spacing w:before="240" w:after="0" w:line="276" w:lineRule="auto"/>
        <w:ind w:left="720" w:right="-234"/>
        <w:jc w:val="both"/>
        <w:rPr>
          <w:rFonts w:ascii="ITC Avant Garde" w:eastAsia="Calibri" w:hAnsi="ITC Avant Garde" w:cs="Times New Roman"/>
          <w:noProof/>
          <w:lang w:val="es-ES_tradnl" w:eastAsia="es-ES"/>
        </w:rPr>
      </w:pPr>
      <w:r w:rsidRPr="000323A2">
        <w:rPr>
          <w:rFonts w:ascii="ITC Avant Garde" w:eastAsia="Calibri" w:hAnsi="ITC Avant Garde" w:cs="Times New Roman"/>
          <w:noProof/>
          <w:lang w:val="es-ES_tradnl" w:eastAsia="es-ES"/>
        </w:rPr>
        <w:t>Opcion A.</w:t>
      </w:r>
    </w:p>
    <w:p w14:paraId="74F9B8B5" w14:textId="77777777" w:rsidR="000323A2" w:rsidRPr="000323A2" w:rsidRDefault="000323A2" w:rsidP="000323A2">
      <w:pPr>
        <w:tabs>
          <w:tab w:val="center" w:pos="4252"/>
          <w:tab w:val="right" w:pos="8504"/>
        </w:tabs>
        <w:autoSpaceDE w:val="0"/>
        <w:autoSpaceDN w:val="0"/>
        <w:spacing w:before="240" w:after="0" w:line="276" w:lineRule="auto"/>
        <w:ind w:right="-234"/>
        <w:jc w:val="center"/>
        <w:rPr>
          <w:rFonts w:ascii="ITC Avant Garde" w:eastAsia="Calibri" w:hAnsi="ITC Avant Garde" w:cs="Times New Roman"/>
          <w:b/>
          <w:lang w:val="es-ES_tradnl" w:eastAsia="es-ES"/>
        </w:rPr>
      </w:pPr>
    </w:p>
    <w:p w14:paraId="2B2FE513" w14:textId="77777777" w:rsidR="000323A2" w:rsidRPr="000323A2" w:rsidRDefault="000323A2" w:rsidP="000323A2">
      <w:pPr>
        <w:tabs>
          <w:tab w:val="center" w:pos="4252"/>
          <w:tab w:val="right" w:pos="8504"/>
        </w:tabs>
        <w:autoSpaceDE w:val="0"/>
        <w:autoSpaceDN w:val="0"/>
        <w:spacing w:before="240" w:after="0" w:line="276" w:lineRule="auto"/>
        <w:ind w:right="-234"/>
        <w:jc w:val="center"/>
        <w:rPr>
          <w:rFonts w:ascii="ITC Avant Garde" w:eastAsia="Calibri" w:hAnsi="ITC Avant Garde" w:cs="Times New Roman"/>
          <w:b/>
          <w:lang w:val="es-ES_tradnl" w:eastAsia="es-ES"/>
        </w:rPr>
      </w:pPr>
      <w:r w:rsidRPr="000323A2">
        <w:rPr>
          <w:rFonts w:ascii="ITC Avant Garde" w:eastAsia="Calibri" w:hAnsi="ITC Avant Garde" w:cs="Times New Roman"/>
          <w:noProof/>
          <w:lang w:eastAsia="es-MX"/>
        </w:rPr>
        <w:drawing>
          <wp:inline distT="0" distB="0" distL="0" distR="0" wp14:anchorId="6894629C" wp14:editId="1F97E1DA">
            <wp:extent cx="4448175" cy="4019550"/>
            <wp:effectExtent l="0" t="0" r="0" b="0"/>
            <wp:docPr id="1" name="Imagen 72" descr="Gabinete Universal - Opción 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4"/>
                    <a:srcRect/>
                    <a:stretch>
                      <a:fillRect/>
                    </a:stretch>
                  </pic:blipFill>
                  <pic:spPr bwMode="auto">
                    <a:xfrm>
                      <a:off x="0" y="0"/>
                      <a:ext cx="4448175" cy="4019550"/>
                    </a:xfrm>
                    <a:prstGeom prst="rect">
                      <a:avLst/>
                    </a:prstGeom>
                    <a:noFill/>
                    <a:ln w="9525">
                      <a:noFill/>
                      <a:miter lim="800000"/>
                      <a:headEnd/>
                      <a:tailEnd/>
                    </a:ln>
                  </pic:spPr>
                </pic:pic>
              </a:graphicData>
            </a:graphic>
          </wp:inline>
        </w:drawing>
      </w:r>
    </w:p>
    <w:p w14:paraId="6773E457" w14:textId="77777777" w:rsidR="000323A2" w:rsidRPr="000323A2" w:rsidRDefault="000323A2" w:rsidP="000323A2">
      <w:pPr>
        <w:tabs>
          <w:tab w:val="center" w:pos="4252"/>
          <w:tab w:val="right" w:pos="8504"/>
        </w:tabs>
        <w:autoSpaceDE w:val="0"/>
        <w:autoSpaceDN w:val="0"/>
        <w:spacing w:before="240" w:after="0" w:line="276" w:lineRule="auto"/>
        <w:ind w:left="720" w:right="-234"/>
        <w:jc w:val="both"/>
        <w:rPr>
          <w:rFonts w:ascii="ITC Avant Garde" w:eastAsia="Calibri" w:hAnsi="ITC Avant Garde" w:cs="Times New Roman"/>
          <w:noProof/>
          <w:lang w:val="es-ES_tradnl" w:eastAsia="es-ES"/>
        </w:rPr>
      </w:pPr>
    </w:p>
    <w:p w14:paraId="640BC0A9" w14:textId="77777777" w:rsidR="000323A2" w:rsidRPr="000323A2" w:rsidRDefault="000323A2" w:rsidP="000323A2">
      <w:pPr>
        <w:tabs>
          <w:tab w:val="center" w:pos="4252"/>
          <w:tab w:val="right" w:pos="8504"/>
        </w:tabs>
        <w:autoSpaceDE w:val="0"/>
        <w:autoSpaceDN w:val="0"/>
        <w:spacing w:before="240" w:after="0" w:line="276" w:lineRule="auto"/>
        <w:ind w:left="720" w:right="-234"/>
        <w:jc w:val="both"/>
        <w:rPr>
          <w:rFonts w:ascii="ITC Avant Garde" w:eastAsia="Calibri" w:hAnsi="ITC Avant Garde" w:cs="Times New Roman"/>
          <w:noProof/>
          <w:lang w:val="es-ES_tradnl" w:eastAsia="es-ES"/>
        </w:rPr>
      </w:pPr>
      <w:r w:rsidRPr="000323A2">
        <w:rPr>
          <w:rFonts w:ascii="ITC Avant Garde" w:eastAsia="Calibri" w:hAnsi="ITC Avant Garde" w:cs="Times New Roman"/>
          <w:noProof/>
          <w:lang w:val="es-ES_tradnl" w:eastAsia="es-ES"/>
        </w:rPr>
        <w:t>Opción B.</w:t>
      </w:r>
    </w:p>
    <w:p w14:paraId="31EAF22E" w14:textId="77777777" w:rsidR="000323A2" w:rsidRPr="000323A2" w:rsidRDefault="000323A2" w:rsidP="000323A2">
      <w:pPr>
        <w:tabs>
          <w:tab w:val="left" w:pos="2552"/>
        </w:tabs>
        <w:autoSpaceDE w:val="0"/>
        <w:autoSpaceDN w:val="0"/>
        <w:spacing w:before="240" w:after="0" w:line="276" w:lineRule="auto"/>
        <w:ind w:right="-234"/>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20C0203E" wp14:editId="05A1BF45">
            <wp:extent cx="4876800" cy="2619375"/>
            <wp:effectExtent l="0" t="0" r="0" b="0"/>
            <wp:docPr id="2" name="Imagen 71" descr="Gabinete Universal - Opción B"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15"/>
                    <a:srcRect/>
                    <a:stretch>
                      <a:fillRect/>
                    </a:stretch>
                  </pic:blipFill>
                  <pic:spPr bwMode="auto">
                    <a:xfrm>
                      <a:off x="0" y="0"/>
                      <a:ext cx="4876800" cy="2619375"/>
                    </a:xfrm>
                    <a:prstGeom prst="rect">
                      <a:avLst/>
                    </a:prstGeom>
                    <a:noFill/>
                    <a:ln w="9525">
                      <a:noFill/>
                      <a:miter lim="800000"/>
                      <a:headEnd/>
                      <a:tailEnd/>
                    </a:ln>
                  </pic:spPr>
                </pic:pic>
              </a:graphicData>
            </a:graphic>
          </wp:inline>
        </w:drawing>
      </w:r>
    </w:p>
    <w:p w14:paraId="1D599FF0" w14:textId="77777777" w:rsidR="000323A2" w:rsidRPr="000323A2" w:rsidRDefault="000323A2" w:rsidP="000323A2">
      <w:pPr>
        <w:tabs>
          <w:tab w:val="center" w:pos="4252"/>
          <w:tab w:val="right" w:pos="8504"/>
        </w:tabs>
        <w:autoSpaceDE w:val="0"/>
        <w:autoSpaceDN w:val="0"/>
        <w:spacing w:before="240" w:after="0" w:line="276" w:lineRule="auto"/>
        <w:ind w:left="720" w:right="-234"/>
        <w:jc w:val="both"/>
        <w:rPr>
          <w:rFonts w:ascii="ITC Avant Garde" w:eastAsia="Calibri" w:hAnsi="ITC Avant Garde" w:cs="Times New Roman"/>
          <w:noProof/>
          <w:lang w:val="es-ES_tradnl" w:eastAsia="es-ES"/>
        </w:rPr>
      </w:pPr>
    </w:p>
    <w:p w14:paraId="125969C5" w14:textId="77777777" w:rsidR="000323A2" w:rsidRPr="000323A2" w:rsidRDefault="000323A2" w:rsidP="000323A2">
      <w:pPr>
        <w:tabs>
          <w:tab w:val="center" w:pos="4252"/>
          <w:tab w:val="right" w:pos="8504"/>
        </w:tabs>
        <w:autoSpaceDE w:val="0"/>
        <w:autoSpaceDN w:val="0"/>
        <w:spacing w:before="240" w:after="0" w:line="276" w:lineRule="auto"/>
        <w:ind w:left="720" w:right="-234"/>
        <w:jc w:val="both"/>
        <w:rPr>
          <w:rFonts w:ascii="ITC Avant Garde" w:eastAsia="Calibri" w:hAnsi="ITC Avant Garde" w:cs="Times New Roman"/>
          <w:noProof/>
          <w:lang w:val="es-ES_tradnl" w:eastAsia="es-ES"/>
        </w:rPr>
      </w:pPr>
      <w:r w:rsidRPr="000323A2">
        <w:rPr>
          <w:rFonts w:ascii="ITC Avant Garde" w:eastAsia="Calibri" w:hAnsi="ITC Avant Garde" w:cs="Times New Roman"/>
          <w:noProof/>
          <w:lang w:val="es-ES_tradnl" w:eastAsia="es-ES"/>
        </w:rPr>
        <w:t>Opción C</w:t>
      </w:r>
    </w:p>
    <w:p w14:paraId="0B3B6B28"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29337E41" wp14:editId="377F4254">
            <wp:extent cx="4543425" cy="2695575"/>
            <wp:effectExtent l="0" t="0" r="9525" b="9525"/>
            <wp:docPr id="3" name="Imagen 70" descr="Gabinete Universal - Opción 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16"/>
                    <a:srcRect l="-1450" t="-1215" r="-1056" b="-1543"/>
                    <a:stretch>
                      <a:fillRect/>
                    </a:stretch>
                  </pic:blipFill>
                  <pic:spPr bwMode="auto">
                    <a:xfrm>
                      <a:off x="0" y="0"/>
                      <a:ext cx="4543425" cy="2695575"/>
                    </a:xfrm>
                    <a:prstGeom prst="rect">
                      <a:avLst/>
                    </a:prstGeom>
                    <a:noFill/>
                    <a:ln w="9525">
                      <a:noFill/>
                      <a:miter lim="800000"/>
                      <a:headEnd/>
                      <a:tailEnd/>
                    </a:ln>
                  </pic:spPr>
                </pic:pic>
              </a:graphicData>
            </a:graphic>
          </wp:inline>
        </w:drawing>
      </w:r>
    </w:p>
    <w:p w14:paraId="018AA70A" w14:textId="77777777" w:rsidR="000323A2" w:rsidRPr="000323A2" w:rsidRDefault="000323A2" w:rsidP="000323A2">
      <w:pPr>
        <w:spacing w:before="240" w:after="0" w:line="240" w:lineRule="auto"/>
        <w:rPr>
          <w:rFonts w:ascii="ITC Avant Garde" w:eastAsia="Calibri" w:hAnsi="ITC Avant Garde" w:cs="Times New Roman"/>
          <w:noProof/>
          <w:lang w:val="es-ES_tradnl" w:eastAsia="es-ES"/>
        </w:rPr>
      </w:pPr>
      <w:r w:rsidRPr="000323A2">
        <w:rPr>
          <w:rFonts w:ascii="ITC Avant Garde" w:eastAsia="Calibri" w:hAnsi="ITC Avant Garde" w:cs="Times New Roman"/>
          <w:noProof/>
          <w:lang w:val="es-ES_tradnl" w:eastAsia="es-ES"/>
        </w:rPr>
        <w:br w:type="page"/>
      </w:r>
    </w:p>
    <w:p w14:paraId="3F36E561" w14:textId="77777777" w:rsidR="000323A2" w:rsidRPr="000323A2" w:rsidRDefault="000323A2" w:rsidP="000323A2">
      <w:pPr>
        <w:tabs>
          <w:tab w:val="center" w:pos="4252"/>
          <w:tab w:val="right" w:pos="8504"/>
        </w:tabs>
        <w:autoSpaceDE w:val="0"/>
        <w:autoSpaceDN w:val="0"/>
        <w:spacing w:before="240" w:after="0" w:line="276" w:lineRule="auto"/>
        <w:ind w:left="720" w:right="-234"/>
        <w:jc w:val="both"/>
        <w:rPr>
          <w:rFonts w:ascii="ITC Avant Garde" w:eastAsia="Calibri" w:hAnsi="ITC Avant Garde" w:cs="Times New Roman"/>
          <w:noProof/>
          <w:lang w:val="es-ES_tradnl" w:eastAsia="es-ES"/>
        </w:rPr>
      </w:pPr>
      <w:r w:rsidRPr="000323A2">
        <w:rPr>
          <w:rFonts w:ascii="ITC Avant Garde" w:eastAsia="Calibri" w:hAnsi="ITC Avant Garde" w:cs="Times New Roman"/>
          <w:noProof/>
          <w:lang w:val="es-ES_tradnl" w:eastAsia="es-ES"/>
        </w:rPr>
        <w:lastRenderedPageBreak/>
        <w:t>Opción D</w:t>
      </w:r>
    </w:p>
    <w:p w14:paraId="380A7D4D"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28206BA1" wp14:editId="7ECDD487">
            <wp:extent cx="3581400" cy="2800350"/>
            <wp:effectExtent l="0" t="0" r="0" b="0"/>
            <wp:docPr id="4" name="Imagen 69" descr="Gabinete Universal - Opción 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17"/>
                    <a:srcRect/>
                    <a:stretch>
                      <a:fillRect/>
                    </a:stretch>
                  </pic:blipFill>
                  <pic:spPr bwMode="auto">
                    <a:xfrm>
                      <a:off x="0" y="0"/>
                      <a:ext cx="3581400" cy="2800350"/>
                    </a:xfrm>
                    <a:prstGeom prst="rect">
                      <a:avLst/>
                    </a:prstGeom>
                    <a:noFill/>
                    <a:ln w="9525">
                      <a:noFill/>
                      <a:miter lim="800000"/>
                      <a:headEnd/>
                      <a:tailEnd/>
                    </a:ln>
                  </pic:spPr>
                </pic:pic>
              </a:graphicData>
            </a:graphic>
          </wp:inline>
        </w:drawing>
      </w:r>
    </w:p>
    <w:p w14:paraId="0575C7B8" w14:textId="77777777" w:rsidR="000323A2" w:rsidRPr="000323A2" w:rsidRDefault="000323A2" w:rsidP="000323A2">
      <w:pPr>
        <w:tabs>
          <w:tab w:val="center" w:pos="4252"/>
          <w:tab w:val="right" w:pos="8504"/>
        </w:tabs>
        <w:autoSpaceDE w:val="0"/>
        <w:autoSpaceDN w:val="0"/>
        <w:spacing w:before="240" w:after="0" w:line="276" w:lineRule="auto"/>
        <w:ind w:left="720" w:right="-234"/>
        <w:jc w:val="both"/>
        <w:rPr>
          <w:rFonts w:ascii="ITC Avant Garde" w:eastAsia="Calibri" w:hAnsi="ITC Avant Garde" w:cs="Times New Roman"/>
          <w:noProof/>
          <w:lang w:val="es-ES_tradnl" w:eastAsia="es-ES"/>
        </w:rPr>
      </w:pPr>
      <w:r w:rsidRPr="000323A2">
        <w:rPr>
          <w:rFonts w:ascii="ITC Avant Garde" w:eastAsia="Calibri" w:hAnsi="ITC Avant Garde" w:cs="Times New Roman"/>
          <w:noProof/>
          <w:lang w:val="es-ES_tradnl" w:eastAsia="es-ES"/>
        </w:rPr>
        <w:t>Opción E</w:t>
      </w:r>
    </w:p>
    <w:p w14:paraId="127BA208" w14:textId="77777777" w:rsidR="000323A2" w:rsidRPr="000323A2" w:rsidRDefault="000323A2" w:rsidP="000323A2">
      <w:pPr>
        <w:tabs>
          <w:tab w:val="left" w:pos="709"/>
        </w:tabs>
        <w:autoSpaceDE w:val="0"/>
        <w:autoSpaceDN w:val="0"/>
        <w:spacing w:before="240" w:after="0" w:line="276" w:lineRule="auto"/>
        <w:ind w:left="360" w:right="-23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395F4577" wp14:editId="16F8BAFA">
            <wp:extent cx="3228975" cy="3486150"/>
            <wp:effectExtent l="0" t="0" r="0" b="0"/>
            <wp:docPr id="5" name="Imagen 68" descr="Gabinete Universal - Opción 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8"/>
                    <a:srcRect/>
                    <a:stretch>
                      <a:fillRect/>
                    </a:stretch>
                  </pic:blipFill>
                  <pic:spPr bwMode="auto">
                    <a:xfrm>
                      <a:off x="0" y="0"/>
                      <a:ext cx="3228975" cy="3486150"/>
                    </a:xfrm>
                    <a:prstGeom prst="rect">
                      <a:avLst/>
                    </a:prstGeom>
                    <a:noFill/>
                    <a:ln w="9525">
                      <a:noFill/>
                      <a:miter lim="800000"/>
                      <a:headEnd/>
                      <a:tailEnd/>
                    </a:ln>
                  </pic:spPr>
                </pic:pic>
              </a:graphicData>
            </a:graphic>
          </wp:inline>
        </w:drawing>
      </w:r>
    </w:p>
    <w:p w14:paraId="2C03CB9F" w14:textId="77777777" w:rsidR="000323A2" w:rsidRPr="000323A2" w:rsidRDefault="000323A2" w:rsidP="00B04B36">
      <w:pPr>
        <w:numPr>
          <w:ilvl w:val="0"/>
          <w:numId w:val="43"/>
        </w:numPr>
        <w:tabs>
          <w:tab w:val="left" w:pos="851"/>
        </w:tabs>
        <w:autoSpaceDE w:val="0"/>
        <w:autoSpaceDN w:val="0"/>
        <w:spacing w:before="240" w:after="0" w:line="276" w:lineRule="auto"/>
        <w:ind w:left="437" w:right="-234" w:hanging="437"/>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 xml:space="preserve">Dado que los espacios proporcionados por los clientes cada vez son más restringidos, se debe garantizar que por lo menos se cuente con el espacio </w:t>
      </w:r>
      <w:r w:rsidRPr="000323A2">
        <w:rPr>
          <w:rFonts w:ascii="ITC Avant Garde" w:eastAsia="Calibri" w:hAnsi="ITC Avant Garde" w:cs="Arial"/>
          <w:bCs/>
          <w:lang w:val="es-ES_tradnl" w:eastAsia="es-ES"/>
        </w:rPr>
        <w:lastRenderedPageBreak/>
        <w:t>suficiente en la parte frontal del GUT para la apertura de la puerta del GUT, introducir y extraer los equipos de comunicaciones, plantas de fuerza, baterías o paneles de conexión y en la parte posterior del gabinete dejar el espacio suficiente que permita el manejo del equipo del cliente y su cableado.</w:t>
      </w:r>
    </w:p>
    <w:p w14:paraId="28A76DE0" w14:textId="77777777" w:rsidR="000323A2" w:rsidRPr="000323A2" w:rsidRDefault="000323A2" w:rsidP="00B04B36">
      <w:pPr>
        <w:numPr>
          <w:ilvl w:val="0"/>
          <w:numId w:val="43"/>
        </w:numPr>
        <w:tabs>
          <w:tab w:val="left" w:pos="851"/>
        </w:tabs>
        <w:autoSpaceDE w:val="0"/>
        <w:autoSpaceDN w:val="0"/>
        <w:spacing w:before="240" w:after="0" w:line="276" w:lineRule="auto"/>
        <w:ind w:left="426" w:right="-234" w:hanging="426"/>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En caso de que la solución no incluya la integración de equipos de datos, el GUT puede colocarse dejando al menos 10 cm de separación con la pared en la parte posterior del gabinete para permitir que circule el aire ya que el gabinete está diseñado para funcionar sin aire acondicionado propio haciendo circular el aire mediante los ventiladores incluidos dentro del gabinete.</w:t>
      </w:r>
    </w:p>
    <w:p w14:paraId="3A2EFF6B" w14:textId="77777777" w:rsidR="000323A2" w:rsidRPr="000323A2" w:rsidRDefault="000323A2" w:rsidP="00B04B36">
      <w:pPr>
        <w:numPr>
          <w:ilvl w:val="0"/>
          <w:numId w:val="43"/>
        </w:numPr>
        <w:tabs>
          <w:tab w:val="left" w:pos="851"/>
        </w:tabs>
        <w:autoSpaceDE w:val="0"/>
        <w:autoSpaceDN w:val="0"/>
        <w:spacing w:before="240" w:after="0" w:line="276" w:lineRule="auto"/>
        <w:ind w:left="426" w:right="-234" w:hanging="426"/>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Si en dado caso el sitio del cliente no cuenta ni con estas condiciones mínimas, se deberá negociar otro espacio que permita garantizar el cumplimiento de calidad comprometido.</w:t>
      </w:r>
    </w:p>
    <w:p w14:paraId="38098BEE" w14:textId="77777777" w:rsidR="000323A2" w:rsidRPr="000323A2" w:rsidRDefault="000323A2" w:rsidP="00B04B36">
      <w:pPr>
        <w:numPr>
          <w:ilvl w:val="0"/>
          <w:numId w:val="43"/>
        </w:numPr>
        <w:tabs>
          <w:tab w:val="left" w:pos="851"/>
        </w:tabs>
        <w:autoSpaceDE w:val="0"/>
        <w:autoSpaceDN w:val="0"/>
        <w:spacing w:before="240" w:after="0" w:line="276" w:lineRule="auto"/>
        <w:ind w:left="426" w:right="-234" w:hanging="426"/>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No se recomienda el piso falso y de preferencia no deben existir plafones para facilitar la colocación; en caso de que alguna de estas condiciones exista, el GUT se debe de anclar al piso o techo firme.</w:t>
      </w:r>
    </w:p>
    <w:p w14:paraId="6149FE0E" w14:textId="77777777" w:rsidR="000323A2" w:rsidRPr="000323A2" w:rsidRDefault="000323A2" w:rsidP="00B04B36">
      <w:pPr>
        <w:numPr>
          <w:ilvl w:val="0"/>
          <w:numId w:val="43"/>
        </w:numPr>
        <w:tabs>
          <w:tab w:val="left" w:pos="851"/>
        </w:tabs>
        <w:autoSpaceDE w:val="0"/>
        <w:autoSpaceDN w:val="0"/>
        <w:spacing w:before="240" w:after="0" w:line="276" w:lineRule="auto"/>
        <w:ind w:left="426" w:right="-234" w:hanging="426"/>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Existen tres tipos de gabinetes de 4 pies, 7 pies y de 17 pulgadas como se muestra en las siguientes figuras:</w:t>
      </w:r>
    </w:p>
    <w:p w14:paraId="6EA43BB2" w14:textId="77777777" w:rsidR="000323A2" w:rsidRPr="000323A2" w:rsidRDefault="000323A2" w:rsidP="000323A2">
      <w:pPr>
        <w:autoSpaceDE w:val="0"/>
        <w:autoSpaceDN w:val="0"/>
        <w:spacing w:before="240" w:after="0" w:line="276" w:lineRule="auto"/>
        <w:ind w:left="708" w:right="-234"/>
        <w:rPr>
          <w:rFonts w:ascii="ITC Avant Garde" w:eastAsia="Calibri" w:hAnsi="ITC Avant Garde" w:cs="Arial"/>
          <w:bCs/>
          <w:lang w:val="es-ES_tradnl" w:eastAsia="es-ES"/>
        </w:rPr>
      </w:pPr>
    </w:p>
    <w:p w14:paraId="2D9308FC"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b/>
          <w:bCs/>
          <w:lang w:val="es-ES_tradnl" w:eastAsia="es-ES"/>
        </w:rPr>
      </w:pPr>
      <w:r w:rsidRPr="000323A2">
        <w:rPr>
          <w:rFonts w:ascii="ITC Avant Garde" w:eastAsia="Calibri" w:hAnsi="ITC Avant Garde" w:cs="Arial"/>
          <w:noProof/>
          <w:lang w:eastAsia="es-MX"/>
        </w:rPr>
        <w:drawing>
          <wp:inline distT="0" distB="0" distL="0" distR="0" wp14:anchorId="5F29CD01" wp14:editId="61AA8471">
            <wp:extent cx="1809750" cy="1371600"/>
            <wp:effectExtent l="0" t="0" r="0" b="0"/>
            <wp:docPr id="6" name="Imagen 67" descr="Patch pane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9"/>
                    <a:srcRect/>
                    <a:stretch>
                      <a:fillRect/>
                    </a:stretch>
                  </pic:blipFill>
                  <pic:spPr bwMode="auto">
                    <a:xfrm>
                      <a:off x="0" y="0"/>
                      <a:ext cx="1809750" cy="1371600"/>
                    </a:xfrm>
                    <a:prstGeom prst="rect">
                      <a:avLst/>
                    </a:prstGeom>
                    <a:noFill/>
                    <a:ln w="9525">
                      <a:noFill/>
                      <a:miter lim="800000"/>
                      <a:headEnd/>
                      <a:tailEnd/>
                    </a:ln>
                  </pic:spPr>
                </pic:pic>
              </a:graphicData>
            </a:graphic>
          </wp:inline>
        </w:drawing>
      </w:r>
    </w:p>
    <w:p w14:paraId="7CCC85FB" w14:textId="77777777" w:rsidR="000323A2" w:rsidRPr="000323A2" w:rsidRDefault="000323A2" w:rsidP="000323A2">
      <w:pPr>
        <w:autoSpaceDE w:val="0"/>
        <w:autoSpaceDN w:val="0"/>
        <w:spacing w:before="240" w:after="0" w:line="276" w:lineRule="auto"/>
        <w:ind w:right="-234" w:firstLine="567"/>
        <w:jc w:val="center"/>
        <w:rPr>
          <w:rFonts w:ascii="ITC Avant Garde" w:eastAsia="Calibri" w:hAnsi="ITC Avant Garde" w:cs="Arial"/>
          <w:b/>
          <w:bCs/>
          <w:lang w:val="es-ES_tradnl" w:eastAsia="es-ES"/>
        </w:rPr>
      </w:pPr>
      <w:r w:rsidRPr="000323A2">
        <w:rPr>
          <w:rFonts w:ascii="ITC Avant Garde" w:eastAsia="Calibri" w:hAnsi="ITC Avant Garde" w:cs="Arial"/>
          <w:noProof/>
          <w:lang w:eastAsia="es-MX"/>
        </w:rPr>
        <w:lastRenderedPageBreak/>
        <w:drawing>
          <wp:inline distT="0" distB="0" distL="0" distR="0" wp14:anchorId="65A7BE29" wp14:editId="6F37264D">
            <wp:extent cx="3314700" cy="3095625"/>
            <wp:effectExtent l="0" t="0" r="0" b="9525"/>
            <wp:docPr id="7" name="Imagen 66" descr="Distribución del gabinete universal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20"/>
                    <a:srcRect/>
                    <a:stretch>
                      <a:fillRect/>
                    </a:stretch>
                  </pic:blipFill>
                  <pic:spPr bwMode="auto">
                    <a:xfrm>
                      <a:off x="0" y="0"/>
                      <a:ext cx="3314700" cy="3095625"/>
                    </a:xfrm>
                    <a:prstGeom prst="rect">
                      <a:avLst/>
                    </a:prstGeom>
                    <a:noFill/>
                    <a:ln w="9525">
                      <a:noFill/>
                      <a:miter lim="800000"/>
                      <a:headEnd/>
                      <a:tailEnd/>
                    </a:ln>
                  </pic:spPr>
                </pic:pic>
              </a:graphicData>
            </a:graphic>
          </wp:inline>
        </w:drawing>
      </w:r>
    </w:p>
    <w:p w14:paraId="4D3CF79A"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Distribución del gabinete universal Telmex</w:t>
      </w:r>
    </w:p>
    <w:p w14:paraId="36F3ADE1" w14:textId="77777777" w:rsidR="000323A2" w:rsidRPr="000323A2" w:rsidRDefault="000323A2" w:rsidP="00B04B36">
      <w:pPr>
        <w:numPr>
          <w:ilvl w:val="0"/>
          <w:numId w:val="43"/>
        </w:numPr>
        <w:tabs>
          <w:tab w:val="left" w:pos="709"/>
        </w:tabs>
        <w:autoSpaceDE w:val="0"/>
        <w:autoSpaceDN w:val="0"/>
        <w:spacing w:before="240" w:after="0" w:line="276" w:lineRule="auto"/>
        <w:ind w:right="-234" w:hanging="436"/>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Se recomienda que el equipo de Telmex, se instale lo más cercano posible al equipo a conectar del cliente.</w:t>
      </w:r>
    </w:p>
    <w:p w14:paraId="3D626FE6" w14:textId="77777777" w:rsidR="000323A2" w:rsidRPr="000323A2" w:rsidRDefault="000323A2" w:rsidP="00B04B36">
      <w:pPr>
        <w:numPr>
          <w:ilvl w:val="0"/>
          <w:numId w:val="43"/>
        </w:numPr>
        <w:tabs>
          <w:tab w:val="left" w:pos="709"/>
        </w:tabs>
        <w:autoSpaceDE w:val="0"/>
        <w:autoSpaceDN w:val="0"/>
        <w:spacing w:before="240" w:after="0" w:line="276" w:lineRule="auto"/>
        <w:ind w:right="-234" w:hanging="436"/>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Cuando el servicio se entrega con equipo de datos, se tienen las siguientes consideraciones para el cableado:</w:t>
      </w:r>
    </w:p>
    <w:p w14:paraId="046B9842" w14:textId="77777777" w:rsidR="000323A2" w:rsidRPr="000323A2" w:rsidRDefault="000323A2" w:rsidP="00B04B36">
      <w:pPr>
        <w:numPr>
          <w:ilvl w:val="0"/>
          <w:numId w:val="23"/>
        </w:numPr>
        <w:tabs>
          <w:tab w:val="left" w:pos="567"/>
        </w:tabs>
        <w:autoSpaceDE w:val="0"/>
        <w:autoSpaceDN w:val="0"/>
        <w:spacing w:before="240" w:after="0" w:line="276" w:lineRule="auto"/>
        <w:ind w:left="1003" w:right="-234" w:hanging="283"/>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El cableado entre el equipo de transmisión Telmex y el panel de conectores BNC o el DFO lo construye Telmex, el mantenimiento de este cableado es responsabilidad de Telmex.</w:t>
      </w:r>
    </w:p>
    <w:p w14:paraId="2EBCDD51" w14:textId="77777777" w:rsidR="000323A2" w:rsidRPr="000323A2" w:rsidRDefault="000323A2" w:rsidP="00B04B36">
      <w:pPr>
        <w:numPr>
          <w:ilvl w:val="0"/>
          <w:numId w:val="23"/>
        </w:numPr>
        <w:tabs>
          <w:tab w:val="left" w:pos="567"/>
        </w:tabs>
        <w:autoSpaceDE w:val="0"/>
        <w:autoSpaceDN w:val="0"/>
        <w:spacing w:before="240" w:after="0" w:line="276" w:lineRule="auto"/>
        <w:ind w:left="1003" w:right="-234" w:hanging="283"/>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El cableado entre el equipo de datos y el panel de conectores BNC o el DFO no es responsabilidad de Telmex.</w:t>
      </w:r>
    </w:p>
    <w:p w14:paraId="1E832EE4" w14:textId="77777777" w:rsidR="000323A2" w:rsidRPr="000323A2" w:rsidRDefault="000323A2" w:rsidP="00B04B36">
      <w:pPr>
        <w:numPr>
          <w:ilvl w:val="0"/>
          <w:numId w:val="23"/>
        </w:numPr>
        <w:tabs>
          <w:tab w:val="left" w:pos="567"/>
        </w:tabs>
        <w:autoSpaceDE w:val="0"/>
        <w:autoSpaceDN w:val="0"/>
        <w:spacing w:before="240" w:after="0" w:line="276" w:lineRule="auto"/>
        <w:ind w:left="1003" w:right="-234" w:hanging="283"/>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El cableado que se instala entre las posiciones de conexión en el panel de conectores BNC o el DFO correspondiente a Telmex -Equipo de datos no es responsabilidad de Telmex.</w:t>
      </w:r>
    </w:p>
    <w:p w14:paraId="29AA98BA" w14:textId="77777777" w:rsidR="000323A2" w:rsidRPr="000323A2" w:rsidRDefault="000323A2" w:rsidP="00B04B36">
      <w:pPr>
        <w:numPr>
          <w:ilvl w:val="0"/>
          <w:numId w:val="23"/>
        </w:numPr>
        <w:tabs>
          <w:tab w:val="left" w:pos="567"/>
        </w:tabs>
        <w:autoSpaceDE w:val="0"/>
        <w:autoSpaceDN w:val="0"/>
        <w:spacing w:before="240" w:after="0" w:line="276" w:lineRule="auto"/>
        <w:ind w:left="1003" w:right="-234" w:hanging="283"/>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 xml:space="preserve">El cableado que se instala entre el equipo de datos y el </w:t>
      </w:r>
      <w:proofErr w:type="spellStart"/>
      <w:r w:rsidRPr="000323A2">
        <w:rPr>
          <w:rFonts w:ascii="ITC Avant Garde" w:eastAsia="Calibri" w:hAnsi="ITC Avant Garde" w:cs="Arial"/>
          <w:bCs/>
          <w:lang w:val="es-ES_tradnl" w:eastAsia="es-ES"/>
        </w:rPr>
        <w:t>patch</w:t>
      </w:r>
      <w:proofErr w:type="spellEnd"/>
      <w:r w:rsidRPr="000323A2">
        <w:rPr>
          <w:rFonts w:ascii="ITC Avant Garde" w:eastAsia="Calibri" w:hAnsi="ITC Avant Garde" w:cs="Arial"/>
          <w:bCs/>
          <w:lang w:val="es-ES_tradnl" w:eastAsia="es-ES"/>
        </w:rPr>
        <w:t xml:space="preserve"> panel no es responsabilidad de Telmex.</w:t>
      </w:r>
    </w:p>
    <w:p w14:paraId="10B1DE61" w14:textId="77777777" w:rsidR="000323A2" w:rsidRPr="000323A2" w:rsidRDefault="000323A2" w:rsidP="00B04B36">
      <w:pPr>
        <w:numPr>
          <w:ilvl w:val="0"/>
          <w:numId w:val="23"/>
        </w:numPr>
        <w:tabs>
          <w:tab w:val="left" w:pos="567"/>
        </w:tabs>
        <w:autoSpaceDE w:val="0"/>
        <w:autoSpaceDN w:val="0"/>
        <w:spacing w:before="240" w:after="0" w:line="276" w:lineRule="auto"/>
        <w:ind w:left="1003" w:right="-234" w:hanging="283"/>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 xml:space="preserve">Telmex no es responsable del mantenimiento del cableado que se instala entre el </w:t>
      </w:r>
      <w:proofErr w:type="spellStart"/>
      <w:r w:rsidRPr="000323A2">
        <w:rPr>
          <w:rFonts w:ascii="ITC Avant Garde" w:eastAsia="Calibri" w:hAnsi="ITC Avant Garde" w:cs="Arial"/>
          <w:bCs/>
          <w:lang w:val="es-ES_tradnl" w:eastAsia="es-ES"/>
        </w:rPr>
        <w:t>patch</w:t>
      </w:r>
      <w:proofErr w:type="spellEnd"/>
      <w:r w:rsidRPr="000323A2">
        <w:rPr>
          <w:rFonts w:ascii="ITC Avant Garde" w:eastAsia="Calibri" w:hAnsi="ITC Avant Garde" w:cs="Arial"/>
          <w:bCs/>
          <w:lang w:val="es-ES_tradnl" w:eastAsia="es-ES"/>
        </w:rPr>
        <w:t xml:space="preserve"> panel y el equipo de datos.</w:t>
      </w:r>
    </w:p>
    <w:p w14:paraId="12ACFBAB" w14:textId="77777777" w:rsidR="000323A2" w:rsidRPr="000323A2" w:rsidRDefault="000323A2" w:rsidP="00B04B36">
      <w:pPr>
        <w:numPr>
          <w:ilvl w:val="0"/>
          <w:numId w:val="23"/>
        </w:numPr>
        <w:tabs>
          <w:tab w:val="left" w:pos="567"/>
        </w:tabs>
        <w:autoSpaceDE w:val="0"/>
        <w:autoSpaceDN w:val="0"/>
        <w:spacing w:before="240" w:after="0" w:line="276" w:lineRule="auto"/>
        <w:ind w:left="1003" w:right="-234" w:hanging="283"/>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lastRenderedPageBreak/>
        <w:t>Lo anterior se muestra en las siguientes figuras:</w:t>
      </w:r>
    </w:p>
    <w:p w14:paraId="113F8D17"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b/>
          <w:bCs/>
          <w:lang w:val="es-ES_tradnl" w:eastAsia="es-ES"/>
        </w:rPr>
      </w:pPr>
      <w:r w:rsidRPr="000323A2">
        <w:rPr>
          <w:rFonts w:ascii="ITC Avant Garde" w:eastAsia="Calibri" w:hAnsi="ITC Avant Garde" w:cs="Arial"/>
          <w:noProof/>
          <w:lang w:eastAsia="es-MX"/>
        </w:rPr>
        <w:drawing>
          <wp:inline distT="0" distB="0" distL="0" distR="0" wp14:anchorId="31C53808" wp14:editId="76035FA6">
            <wp:extent cx="2114550" cy="2990850"/>
            <wp:effectExtent l="0" t="0" r="0" b="0"/>
            <wp:docPr id="8" name="Imagen 65" descr="Responsabilidad de cableados en GUT y MIDI-GU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21"/>
                    <a:srcRect/>
                    <a:stretch>
                      <a:fillRect/>
                    </a:stretch>
                  </pic:blipFill>
                  <pic:spPr bwMode="auto">
                    <a:xfrm>
                      <a:off x="0" y="0"/>
                      <a:ext cx="2114550" cy="2990850"/>
                    </a:xfrm>
                    <a:prstGeom prst="rect">
                      <a:avLst/>
                    </a:prstGeom>
                    <a:noFill/>
                    <a:ln w="9525">
                      <a:noFill/>
                      <a:miter lim="800000"/>
                      <a:headEnd/>
                      <a:tailEnd/>
                    </a:ln>
                  </pic:spPr>
                </pic:pic>
              </a:graphicData>
            </a:graphic>
          </wp:inline>
        </w:drawing>
      </w:r>
    </w:p>
    <w:p w14:paraId="4E146726" w14:textId="77777777" w:rsidR="000323A2" w:rsidRPr="000323A2" w:rsidRDefault="000323A2" w:rsidP="000323A2">
      <w:pPr>
        <w:tabs>
          <w:tab w:val="left" w:pos="709"/>
        </w:tabs>
        <w:autoSpaceDE w:val="0"/>
        <w:autoSpaceDN w:val="0"/>
        <w:spacing w:before="240" w:after="0" w:line="276" w:lineRule="auto"/>
        <w:ind w:left="360" w:right="-23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Responsabilidad de cableados en GUT y MIDI-GUT</w:t>
      </w:r>
    </w:p>
    <w:p w14:paraId="7FC5F4B1" w14:textId="77777777" w:rsidR="000323A2" w:rsidRPr="000323A2" w:rsidRDefault="000323A2" w:rsidP="000323A2">
      <w:pPr>
        <w:autoSpaceDE w:val="0"/>
        <w:autoSpaceDN w:val="0"/>
        <w:spacing w:before="240" w:after="0" w:line="276" w:lineRule="auto"/>
        <w:ind w:right="-234"/>
        <w:rPr>
          <w:rFonts w:ascii="ITC Avant Garde" w:eastAsia="Calibri" w:hAnsi="ITC Avant Garde" w:cs="Arial"/>
          <w:b/>
          <w:bCs/>
          <w:lang w:val="es-ES_tradnl" w:eastAsia="es-ES"/>
        </w:rPr>
      </w:pPr>
    </w:p>
    <w:p w14:paraId="68492CF9"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7A794DD9" wp14:editId="1AAC896D">
            <wp:extent cx="2428875" cy="1600200"/>
            <wp:effectExtent l="0" t="0" r="9525" b="0"/>
            <wp:docPr id="9" name="Imagen 64" descr="Responsabilidad de cableados en MINI-GU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2"/>
                    <a:srcRect/>
                    <a:stretch>
                      <a:fillRect/>
                    </a:stretch>
                  </pic:blipFill>
                  <pic:spPr bwMode="auto">
                    <a:xfrm>
                      <a:off x="0" y="0"/>
                      <a:ext cx="2428875" cy="1600200"/>
                    </a:xfrm>
                    <a:prstGeom prst="rect">
                      <a:avLst/>
                    </a:prstGeom>
                    <a:noFill/>
                    <a:ln w="9525">
                      <a:noFill/>
                      <a:miter lim="800000"/>
                      <a:headEnd/>
                      <a:tailEnd/>
                    </a:ln>
                  </pic:spPr>
                </pic:pic>
              </a:graphicData>
            </a:graphic>
          </wp:inline>
        </w:drawing>
      </w:r>
    </w:p>
    <w:p w14:paraId="5A4F4444" w14:textId="77777777" w:rsidR="000323A2" w:rsidRPr="000323A2" w:rsidRDefault="000323A2" w:rsidP="000323A2">
      <w:pPr>
        <w:tabs>
          <w:tab w:val="left" w:pos="709"/>
        </w:tabs>
        <w:autoSpaceDE w:val="0"/>
        <w:autoSpaceDN w:val="0"/>
        <w:spacing w:before="240" w:after="0" w:line="276" w:lineRule="auto"/>
        <w:ind w:left="360" w:right="-23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Responsabilidad de cableados en MINI-GUT</w:t>
      </w:r>
    </w:p>
    <w:p w14:paraId="2DFACF8D" w14:textId="77777777" w:rsidR="000323A2" w:rsidRPr="000323A2" w:rsidRDefault="000323A2" w:rsidP="00B04B36">
      <w:pPr>
        <w:numPr>
          <w:ilvl w:val="0"/>
          <w:numId w:val="43"/>
        </w:numPr>
        <w:tabs>
          <w:tab w:val="left" w:pos="709"/>
        </w:tabs>
        <w:autoSpaceDE w:val="0"/>
        <w:autoSpaceDN w:val="0"/>
        <w:spacing w:before="240" w:after="0" w:line="276" w:lineRule="auto"/>
        <w:ind w:right="-234" w:hanging="436"/>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Con el fin de garantizar el correcto funcionamiento de la integración, manejo de los equipos y cableados, es prioritario que se negocie con el cliente para que proporcione los espacios indicados en las figuras anteriores.</w:t>
      </w:r>
    </w:p>
    <w:p w14:paraId="09F92ED1" w14:textId="77777777" w:rsidR="000323A2" w:rsidRPr="000323A2" w:rsidRDefault="000323A2" w:rsidP="00B04B36">
      <w:pPr>
        <w:numPr>
          <w:ilvl w:val="2"/>
          <w:numId w:val="44"/>
        </w:numPr>
        <w:tabs>
          <w:tab w:val="left" w:pos="851"/>
        </w:tabs>
        <w:autoSpaceDE w:val="0"/>
        <w:autoSpaceDN w:val="0"/>
        <w:spacing w:before="240" w:after="0" w:line="276" w:lineRule="auto"/>
        <w:ind w:left="851" w:right="-234" w:hanging="851"/>
        <w:rPr>
          <w:rFonts w:ascii="ITC Avant Garde" w:eastAsia="Calibri" w:hAnsi="ITC Avant Garde" w:cs="Times New Roman"/>
          <w:b/>
          <w:bCs/>
          <w:lang w:val="es-ES_tradnl"/>
        </w:rPr>
      </w:pPr>
      <w:r w:rsidRPr="000323A2">
        <w:rPr>
          <w:rFonts w:ascii="ITC Avant Garde" w:eastAsia="Calibri" w:hAnsi="ITC Avant Garde" w:cs="Times New Roman"/>
          <w:b/>
          <w:bCs/>
          <w:lang w:val="es-ES_tradnl"/>
        </w:rPr>
        <w:t>Sala abierta</w:t>
      </w:r>
    </w:p>
    <w:p w14:paraId="3785AC31" w14:textId="77777777" w:rsidR="000323A2" w:rsidRPr="000323A2" w:rsidRDefault="000323A2" w:rsidP="000323A2">
      <w:p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Cuando el espacio que se asigna está ubicado dentro de la sala de Telecomunicaciones del cliente debe cubrir los siguientes requisitos:</w:t>
      </w:r>
    </w:p>
    <w:p w14:paraId="1E2BAA58" w14:textId="77777777" w:rsidR="000323A2" w:rsidRPr="000323A2" w:rsidRDefault="000323A2" w:rsidP="00B04B36">
      <w:pPr>
        <w:numPr>
          <w:ilvl w:val="0"/>
          <w:numId w:val="24"/>
        </w:numPr>
        <w:tabs>
          <w:tab w:val="left" w:pos="567"/>
        </w:tabs>
        <w:autoSpaceDE w:val="0"/>
        <w:autoSpaceDN w:val="0"/>
        <w:spacing w:before="240" w:after="0" w:line="276" w:lineRule="auto"/>
        <w:ind w:left="566" w:right="-234" w:hanging="283"/>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Debe localizarse en un área segura y de fácil acceso durante las 24 horas de los 365 días del año, no debe tener tuberías hidrosanitarias ni presencia de humedad ni fuentes de calor extremas. El área asignada debe estar libre de polvo y fuera del área del paso común.</w:t>
      </w:r>
    </w:p>
    <w:p w14:paraId="0C32C3F2" w14:textId="77777777" w:rsidR="000323A2" w:rsidRPr="000323A2" w:rsidRDefault="000323A2" w:rsidP="00B04B36">
      <w:pPr>
        <w:numPr>
          <w:ilvl w:val="0"/>
          <w:numId w:val="24"/>
        </w:numPr>
        <w:tabs>
          <w:tab w:val="left" w:pos="567"/>
        </w:tabs>
        <w:autoSpaceDE w:val="0"/>
        <w:autoSpaceDN w:val="0"/>
        <w:spacing w:before="240" w:after="0" w:line="276" w:lineRule="auto"/>
        <w:ind w:left="566" w:right="-234" w:hanging="283"/>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 altura del local será de 2.30 m a partir del NPT, hasta nivel bajo losa, en caso de existir piso falso será a partir del mismo.</w:t>
      </w:r>
    </w:p>
    <w:p w14:paraId="1293C374" w14:textId="77777777" w:rsidR="000323A2" w:rsidRPr="000323A2" w:rsidRDefault="000323A2" w:rsidP="00B04B36">
      <w:pPr>
        <w:numPr>
          <w:ilvl w:val="0"/>
          <w:numId w:val="24"/>
        </w:numPr>
        <w:tabs>
          <w:tab w:val="left" w:pos="567"/>
        </w:tabs>
        <w:autoSpaceDE w:val="0"/>
        <w:autoSpaceDN w:val="0"/>
        <w:spacing w:before="240" w:after="0" w:line="276" w:lineRule="auto"/>
        <w:ind w:left="566" w:right="-234" w:hanging="283"/>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No se recomienda el piso falso y de preferencia no deben existir plafones para facilitar la colocación; en caso de que alguna de estas condiciones exista, el GUT se debe de anclar al piso so techo firme.</w:t>
      </w:r>
    </w:p>
    <w:p w14:paraId="49BDF6E2" w14:textId="77777777" w:rsidR="000323A2" w:rsidRPr="000323A2" w:rsidRDefault="000323A2" w:rsidP="00B04B36">
      <w:pPr>
        <w:numPr>
          <w:ilvl w:val="0"/>
          <w:numId w:val="43"/>
        </w:numPr>
        <w:tabs>
          <w:tab w:val="left" w:pos="709"/>
        </w:tabs>
        <w:autoSpaceDE w:val="0"/>
        <w:autoSpaceDN w:val="0"/>
        <w:spacing w:before="240" w:after="0" w:line="276" w:lineRule="auto"/>
        <w:ind w:right="-234" w:hanging="436"/>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Cuando el servicio se entrega con equipo de datos, se tienen las siguientes consideraciones:</w:t>
      </w:r>
    </w:p>
    <w:p w14:paraId="17B5095B" w14:textId="77777777" w:rsidR="000323A2" w:rsidRPr="000323A2" w:rsidRDefault="000323A2" w:rsidP="00B04B36">
      <w:pPr>
        <w:numPr>
          <w:ilvl w:val="0"/>
          <w:numId w:val="25"/>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cableado entre el equipo de transmisión y el panel de conectores BNC o el DFO lo construye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el mantenimiento de este cableado es responsabilidad de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w:t>
      </w:r>
    </w:p>
    <w:p w14:paraId="1734A5F4" w14:textId="77777777" w:rsidR="000323A2" w:rsidRPr="000323A2" w:rsidRDefault="000323A2" w:rsidP="00B04B36">
      <w:pPr>
        <w:numPr>
          <w:ilvl w:val="0"/>
          <w:numId w:val="25"/>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El cableado entre el equipo de datos y el panel de conectores BNC o el DFO no es responsabilidad de Telmex.</w:t>
      </w:r>
    </w:p>
    <w:p w14:paraId="59CF3677" w14:textId="77777777" w:rsidR="000323A2" w:rsidRPr="000323A2" w:rsidRDefault="000323A2" w:rsidP="00B04B36">
      <w:pPr>
        <w:numPr>
          <w:ilvl w:val="0"/>
          <w:numId w:val="25"/>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cableado que se instala entre las posiciones de conexión en el panel de conectores BNC o el DFO correspondiente a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lo construye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el mantenimiento de este cableado no es responsabilidad de Telmex.</w:t>
      </w:r>
    </w:p>
    <w:p w14:paraId="7D694F3D" w14:textId="77777777" w:rsidR="000323A2" w:rsidRPr="000323A2" w:rsidRDefault="000323A2" w:rsidP="00B04B36">
      <w:pPr>
        <w:numPr>
          <w:ilvl w:val="0"/>
          <w:numId w:val="25"/>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cableado que se instala entre el equipo de datos y el </w:t>
      </w:r>
      <w:proofErr w:type="spellStart"/>
      <w:r w:rsidRPr="000323A2">
        <w:rPr>
          <w:rFonts w:ascii="ITC Avant Garde" w:eastAsia="Calibri" w:hAnsi="ITC Avant Garde" w:cs="Arial"/>
          <w:lang w:val="es-ES_tradnl" w:eastAsia="es-ES"/>
        </w:rPr>
        <w:t>patch</w:t>
      </w:r>
      <w:proofErr w:type="spellEnd"/>
      <w:r w:rsidRPr="000323A2">
        <w:rPr>
          <w:rFonts w:ascii="ITC Avant Garde" w:eastAsia="Calibri" w:hAnsi="ITC Avant Garde" w:cs="Arial"/>
          <w:lang w:val="es-ES_tradnl" w:eastAsia="es-ES"/>
        </w:rPr>
        <w:t xml:space="preserve"> panel no es responsabilidad de Telmex</w:t>
      </w:r>
    </w:p>
    <w:p w14:paraId="4C11D976" w14:textId="77777777" w:rsidR="000323A2" w:rsidRPr="000323A2" w:rsidRDefault="000323A2" w:rsidP="00B04B36">
      <w:pPr>
        <w:numPr>
          <w:ilvl w:val="0"/>
          <w:numId w:val="25"/>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Telmex no da mantenimiento del cableado que se instala entre el </w:t>
      </w:r>
      <w:proofErr w:type="spellStart"/>
      <w:r w:rsidRPr="000323A2">
        <w:rPr>
          <w:rFonts w:ascii="ITC Avant Garde" w:eastAsia="Calibri" w:hAnsi="ITC Avant Garde" w:cs="Arial"/>
          <w:lang w:val="es-ES_tradnl" w:eastAsia="es-ES"/>
        </w:rPr>
        <w:t>patch</w:t>
      </w:r>
      <w:proofErr w:type="spellEnd"/>
      <w:r w:rsidRPr="000323A2">
        <w:rPr>
          <w:rFonts w:ascii="ITC Avant Garde" w:eastAsia="Calibri" w:hAnsi="ITC Avant Garde" w:cs="Arial"/>
          <w:lang w:val="es-ES_tradnl" w:eastAsia="es-ES"/>
        </w:rPr>
        <w:t xml:space="preserve"> panel y el equipo de datos.</w:t>
      </w:r>
    </w:p>
    <w:p w14:paraId="63D058E9" w14:textId="77777777" w:rsidR="000323A2" w:rsidRPr="000323A2" w:rsidRDefault="000323A2" w:rsidP="000323A2">
      <w:pPr>
        <w:tabs>
          <w:tab w:val="left" w:pos="993"/>
        </w:tabs>
        <w:autoSpaceDE w:val="0"/>
        <w:autoSpaceDN w:val="0"/>
        <w:spacing w:before="240" w:after="0" w:line="276" w:lineRule="auto"/>
        <w:ind w:left="991"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Los puntos anteriores se muestran en la siguiente figura:</w:t>
      </w:r>
    </w:p>
    <w:p w14:paraId="4AEFC2B4" w14:textId="77777777" w:rsidR="000323A2" w:rsidRPr="000323A2" w:rsidRDefault="000323A2" w:rsidP="000323A2">
      <w:pPr>
        <w:tabs>
          <w:tab w:val="left" w:pos="567"/>
        </w:tabs>
        <w:autoSpaceDE w:val="0"/>
        <w:autoSpaceDN w:val="0"/>
        <w:spacing w:before="240" w:after="0" w:line="276" w:lineRule="auto"/>
        <w:ind w:left="566" w:right="-234" w:hanging="283"/>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6820DD5B" wp14:editId="4FD8E631">
            <wp:extent cx="3952875" cy="752475"/>
            <wp:effectExtent l="0" t="0" r="0" b="9525"/>
            <wp:docPr id="10" name="Imagen 63" descr="Los puntos anteriores se muestran en la siguiente figu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23"/>
                    <a:srcRect/>
                    <a:stretch>
                      <a:fillRect/>
                    </a:stretch>
                  </pic:blipFill>
                  <pic:spPr bwMode="auto">
                    <a:xfrm>
                      <a:off x="0" y="0"/>
                      <a:ext cx="3952875" cy="752475"/>
                    </a:xfrm>
                    <a:prstGeom prst="rect">
                      <a:avLst/>
                    </a:prstGeom>
                    <a:noFill/>
                    <a:ln w="9525">
                      <a:noFill/>
                      <a:miter lim="800000"/>
                      <a:headEnd/>
                      <a:tailEnd/>
                    </a:ln>
                  </pic:spPr>
                </pic:pic>
              </a:graphicData>
            </a:graphic>
          </wp:inline>
        </w:drawing>
      </w:r>
    </w:p>
    <w:p w14:paraId="6B0D47FB" w14:textId="77777777" w:rsidR="000323A2" w:rsidRPr="000323A2" w:rsidRDefault="000323A2" w:rsidP="00B04B36">
      <w:pPr>
        <w:numPr>
          <w:ilvl w:val="2"/>
          <w:numId w:val="44"/>
        </w:numPr>
        <w:tabs>
          <w:tab w:val="left" w:pos="851"/>
        </w:tabs>
        <w:autoSpaceDE w:val="0"/>
        <w:autoSpaceDN w:val="0"/>
        <w:spacing w:before="240" w:after="0" w:line="276" w:lineRule="auto"/>
        <w:ind w:right="-234"/>
        <w:rPr>
          <w:rFonts w:ascii="ITC Avant Garde" w:eastAsia="Calibri" w:hAnsi="ITC Avant Garde" w:cs="Times New Roman"/>
          <w:b/>
          <w:bCs/>
          <w:lang w:val="es-ES_tradnl"/>
        </w:rPr>
      </w:pPr>
      <w:r w:rsidRPr="000323A2">
        <w:rPr>
          <w:rFonts w:ascii="ITC Avant Garde" w:eastAsia="Calibri" w:hAnsi="ITC Avant Garde" w:cs="Times New Roman"/>
          <w:b/>
          <w:bCs/>
          <w:lang w:val="es-ES_tradnl"/>
        </w:rPr>
        <w:t>Sala Cerrada</w:t>
      </w:r>
    </w:p>
    <w:p w14:paraId="778F6B28" w14:textId="77777777" w:rsidR="000323A2" w:rsidRPr="000323A2" w:rsidRDefault="000323A2" w:rsidP="000323A2">
      <w:pPr>
        <w:autoSpaceDE w:val="0"/>
        <w:autoSpaceDN w:val="0"/>
        <w:spacing w:before="240" w:after="0" w:line="276" w:lineRule="auto"/>
        <w:ind w:right="-234"/>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lastRenderedPageBreak/>
        <w:t>Se requiere un área en el inmueble del cliente con dimensiones mínimas de 6 m², el cual debe localizarse en un área segura y de fácil acceso durante las 24 horas de los 365 días del año, no debe tener tuberías hidrosanitarias ni presencia de humedad ni fuentes de calor extremas. El área asignada debe estar libre de polvo y fuera del área del paso común.</w:t>
      </w:r>
    </w:p>
    <w:p w14:paraId="540ECADA" w14:textId="77777777" w:rsidR="000323A2" w:rsidRPr="000323A2" w:rsidRDefault="000323A2" w:rsidP="000323A2">
      <w:pPr>
        <w:autoSpaceDE w:val="0"/>
        <w:autoSpaceDN w:val="0"/>
        <w:spacing w:before="240" w:after="0" w:line="276" w:lineRule="auto"/>
        <w:ind w:right="-234"/>
        <w:rPr>
          <w:rFonts w:ascii="ITC Avant Garde" w:eastAsia="Calibri" w:hAnsi="ITC Avant Garde" w:cs="Arial"/>
          <w:bCs/>
          <w:lang w:val="es-ES_tradnl" w:eastAsia="es-ES"/>
        </w:rPr>
      </w:pPr>
    </w:p>
    <w:p w14:paraId="5688E7A2" w14:textId="064166F3" w:rsidR="000323A2" w:rsidRPr="000323A2" w:rsidRDefault="000323A2" w:rsidP="000323A2">
      <w:pPr>
        <w:autoSpaceDE w:val="0"/>
        <w:autoSpaceDN w:val="0"/>
        <w:spacing w:before="240" w:after="0" w:line="276" w:lineRule="auto"/>
        <w:ind w:right="-234"/>
        <w:jc w:val="center"/>
        <w:rPr>
          <w:rFonts w:ascii="ITC Avant Garde" w:eastAsia="Calibri" w:hAnsi="ITC Avant Garde" w:cs="Arial"/>
          <w:bCs/>
          <w:lang w:val="es-ES_tradnl" w:eastAsia="es-ES"/>
        </w:rPr>
      </w:pPr>
      <w:r w:rsidRPr="000323A2">
        <w:rPr>
          <w:rFonts w:ascii="ITC Avant Garde" w:eastAsia="Times New Roman" w:hAnsi="ITC Avant Garde" w:cs="Arial"/>
          <w:noProof/>
          <w:lang w:eastAsia="es-MX"/>
        </w:rPr>
        <w:drawing>
          <wp:inline distT="0" distB="0" distL="0" distR="0" wp14:anchorId="76DCA3DA" wp14:editId="2797D133">
            <wp:extent cx="4053205" cy="3126105"/>
            <wp:effectExtent l="0" t="0" r="4445" b="0"/>
            <wp:docPr id="43" name="Imagen 43" descr="Sala con Equipo de Transmisión y Fuerza Para Fibra Óptica 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a con Equipo de Transmisión y Fuerza Para Fibra Óptica R.D.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53205" cy="3126105"/>
                    </a:xfrm>
                    <a:prstGeom prst="rect">
                      <a:avLst/>
                    </a:prstGeom>
                    <a:noFill/>
                    <a:ln>
                      <a:noFill/>
                    </a:ln>
                  </pic:spPr>
                </pic:pic>
              </a:graphicData>
            </a:graphic>
          </wp:inline>
        </w:drawing>
      </w:r>
    </w:p>
    <w:p w14:paraId="5D2B14E8"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Sala con Equipo de Transmisión y Fuerza Para Fibra Óptica R.D.A.</w:t>
      </w:r>
    </w:p>
    <w:p w14:paraId="58CDE710" w14:textId="77777777" w:rsidR="000323A2" w:rsidRPr="000323A2" w:rsidRDefault="000323A2" w:rsidP="000323A2">
      <w:pPr>
        <w:autoSpaceDE w:val="0"/>
        <w:autoSpaceDN w:val="0"/>
        <w:spacing w:before="240" w:after="0" w:line="276" w:lineRule="auto"/>
        <w:ind w:right="-234"/>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Dónde:</w:t>
      </w:r>
    </w:p>
    <w:p w14:paraId="6E264865" w14:textId="77777777" w:rsidR="000323A2" w:rsidRPr="000323A2" w:rsidRDefault="000323A2" w:rsidP="00B04B36">
      <w:pPr>
        <w:numPr>
          <w:ilvl w:val="0"/>
          <w:numId w:val="26"/>
        </w:numPr>
        <w:tabs>
          <w:tab w:val="left" w:pos="284"/>
        </w:tabs>
        <w:autoSpaceDE w:val="0"/>
        <w:autoSpaceDN w:val="0"/>
        <w:spacing w:before="240" w:after="0" w:line="276" w:lineRule="auto"/>
        <w:ind w:left="0" w:right="-234" w:hanging="283"/>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El acabado en piso debe ser con loseta vinílica.</w:t>
      </w:r>
    </w:p>
    <w:p w14:paraId="4DB446FF" w14:textId="77777777" w:rsidR="000323A2" w:rsidRPr="000323A2" w:rsidRDefault="000323A2" w:rsidP="00B04B36">
      <w:pPr>
        <w:numPr>
          <w:ilvl w:val="0"/>
          <w:numId w:val="26"/>
        </w:numPr>
        <w:tabs>
          <w:tab w:val="left" w:pos="284"/>
        </w:tabs>
        <w:autoSpaceDE w:val="0"/>
        <w:autoSpaceDN w:val="0"/>
        <w:spacing w:before="240" w:after="0" w:line="276" w:lineRule="auto"/>
        <w:ind w:left="0" w:right="-234" w:hanging="283"/>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El gabinete del tablero se debe conectar directamente a la BTLC.</w:t>
      </w:r>
    </w:p>
    <w:p w14:paraId="18148BAA" w14:textId="77777777" w:rsidR="000323A2" w:rsidRPr="000323A2" w:rsidRDefault="000323A2" w:rsidP="00B04B36">
      <w:pPr>
        <w:numPr>
          <w:ilvl w:val="0"/>
          <w:numId w:val="26"/>
        </w:numPr>
        <w:tabs>
          <w:tab w:val="left" w:pos="284"/>
        </w:tabs>
        <w:autoSpaceDE w:val="0"/>
        <w:autoSpaceDN w:val="0"/>
        <w:spacing w:before="240" w:after="0" w:line="276" w:lineRule="auto"/>
        <w:ind w:left="0" w:right="-234" w:hanging="283"/>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 xml:space="preserve">Tubo </w:t>
      </w:r>
      <w:proofErr w:type="spellStart"/>
      <w:r w:rsidRPr="000323A2">
        <w:rPr>
          <w:rFonts w:ascii="ITC Avant Garde" w:eastAsia="Calibri" w:hAnsi="ITC Avant Garde" w:cs="Arial"/>
          <w:bCs/>
          <w:lang w:val="es-ES_tradnl" w:eastAsia="es-ES"/>
        </w:rPr>
        <w:t>conduit</w:t>
      </w:r>
      <w:proofErr w:type="spellEnd"/>
      <w:r w:rsidRPr="000323A2">
        <w:rPr>
          <w:rFonts w:ascii="ITC Avant Garde" w:eastAsia="Calibri" w:hAnsi="ITC Avant Garde" w:cs="Arial"/>
          <w:bCs/>
          <w:lang w:val="es-ES_tradnl" w:eastAsia="es-ES"/>
        </w:rPr>
        <w:t xml:space="preserve"> de PVC de 2” de diámetro a 2.30 m de altura a paño de muro para la Fibra óptica guiada totalmente hasta el registro, la cual deberá localizarse en una de las esquinas del local.</w:t>
      </w:r>
    </w:p>
    <w:p w14:paraId="673EC93B" w14:textId="77777777" w:rsidR="000323A2" w:rsidRPr="000323A2" w:rsidRDefault="000323A2" w:rsidP="00B04B36">
      <w:pPr>
        <w:numPr>
          <w:ilvl w:val="0"/>
          <w:numId w:val="26"/>
        </w:numPr>
        <w:tabs>
          <w:tab w:val="left" w:pos="284"/>
        </w:tabs>
        <w:autoSpaceDE w:val="0"/>
        <w:autoSpaceDN w:val="0"/>
        <w:spacing w:before="240" w:after="0" w:line="276" w:lineRule="auto"/>
        <w:ind w:left="0" w:right="-234" w:hanging="283"/>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Registro de 56 x 56 x 13 cm. en cada cambio de dirección y/o a cada 30 m.</w:t>
      </w:r>
    </w:p>
    <w:p w14:paraId="6EBAB96B" w14:textId="77777777" w:rsidR="000323A2" w:rsidRPr="000323A2" w:rsidRDefault="000323A2" w:rsidP="00B04B36">
      <w:pPr>
        <w:numPr>
          <w:ilvl w:val="0"/>
          <w:numId w:val="26"/>
        </w:numPr>
        <w:tabs>
          <w:tab w:val="left" w:pos="284"/>
        </w:tabs>
        <w:autoSpaceDE w:val="0"/>
        <w:autoSpaceDN w:val="0"/>
        <w:spacing w:before="240" w:after="0" w:line="276" w:lineRule="auto"/>
        <w:ind w:left="0" w:right="-234" w:hanging="283"/>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La altura del local será de 2.30 m a partir del NPT, hasta nivel bajo losa, en caso de existir piso falso será a partir del mismo.</w:t>
      </w:r>
    </w:p>
    <w:p w14:paraId="0C6827AC" w14:textId="77777777" w:rsidR="000323A2" w:rsidRPr="000323A2" w:rsidRDefault="000323A2" w:rsidP="00B04B36">
      <w:pPr>
        <w:numPr>
          <w:ilvl w:val="0"/>
          <w:numId w:val="26"/>
        </w:numPr>
        <w:tabs>
          <w:tab w:val="left" w:pos="284"/>
        </w:tabs>
        <w:autoSpaceDE w:val="0"/>
        <w:autoSpaceDN w:val="0"/>
        <w:spacing w:before="240" w:after="0" w:line="276" w:lineRule="auto"/>
        <w:ind w:left="0" w:right="-234" w:hanging="283"/>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lastRenderedPageBreak/>
        <w:t xml:space="preserve">En los casos donde el Local se encuentre en una zona independiente, el piso donde se instala el equipo debe ser firme y sin ondulaciones, 20 mm máximo de desnivel, se recomienda que el piso este cubierto con loseta vinílica antiestática, bota aguas en puerta y chaflán en área de puerta, en caso de no cubrir esta recomendación la instalación se debe adaptar a las condiciones existentes </w:t>
      </w:r>
    </w:p>
    <w:p w14:paraId="12C6B73F" w14:textId="77777777" w:rsidR="000323A2" w:rsidRPr="000323A2" w:rsidRDefault="000323A2" w:rsidP="000323A2">
      <w:pPr>
        <w:tabs>
          <w:tab w:val="left" w:pos="284"/>
        </w:tabs>
        <w:autoSpaceDE w:val="0"/>
        <w:autoSpaceDN w:val="0"/>
        <w:spacing w:before="240" w:after="0" w:line="276" w:lineRule="auto"/>
        <w:ind w:left="-142" w:right="-234"/>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Cuando el cliente tenga algún tipo de piso cerámico, mármol, etc., no se deberá retirar ni cambiar.</w:t>
      </w:r>
    </w:p>
    <w:p w14:paraId="6C70A37B" w14:textId="77777777" w:rsidR="000323A2" w:rsidRPr="000323A2" w:rsidRDefault="000323A2" w:rsidP="000323A2">
      <w:pPr>
        <w:autoSpaceDE w:val="0"/>
        <w:autoSpaceDN w:val="0"/>
        <w:spacing w:before="240" w:after="0" w:line="276" w:lineRule="auto"/>
        <w:ind w:left="-142" w:right="-234" w:firstLine="142"/>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Lo anterior se muestra en la siguiente figura:</w:t>
      </w:r>
    </w:p>
    <w:p w14:paraId="383C9D58" w14:textId="77777777" w:rsidR="000323A2" w:rsidRPr="000323A2" w:rsidRDefault="000323A2" w:rsidP="000323A2">
      <w:pPr>
        <w:autoSpaceDE w:val="0"/>
        <w:autoSpaceDN w:val="0"/>
        <w:spacing w:before="240" w:after="0" w:line="276" w:lineRule="auto"/>
        <w:ind w:left="-142" w:right="-234" w:firstLine="142"/>
        <w:jc w:val="center"/>
        <w:rPr>
          <w:rFonts w:ascii="ITC Avant Garde" w:eastAsia="Calibri" w:hAnsi="ITC Avant Garde" w:cs="Arial"/>
          <w:bCs/>
          <w:sz w:val="36"/>
          <w:szCs w:val="36"/>
          <w:lang w:val="es-ES_tradnl" w:eastAsia="es-ES"/>
        </w:rPr>
      </w:pPr>
    </w:p>
    <w:p w14:paraId="086D15F5" w14:textId="77777777" w:rsidR="000323A2" w:rsidRPr="000323A2" w:rsidRDefault="000323A2" w:rsidP="000323A2">
      <w:pPr>
        <w:autoSpaceDE w:val="0"/>
        <w:autoSpaceDN w:val="0"/>
        <w:spacing w:before="240" w:after="0" w:line="276" w:lineRule="auto"/>
        <w:ind w:left="-142" w:right="-234" w:firstLine="142"/>
        <w:jc w:val="center"/>
        <w:rPr>
          <w:rFonts w:ascii="ITC Avant Garde" w:eastAsia="Calibri" w:hAnsi="ITC Avant Garde" w:cs="Arial"/>
          <w:bCs/>
          <w:sz w:val="36"/>
          <w:szCs w:val="36"/>
          <w:lang w:val="es-ES_tradnl" w:eastAsia="es-ES"/>
        </w:rPr>
      </w:pPr>
      <w:r w:rsidRPr="000323A2">
        <w:rPr>
          <w:rFonts w:ascii="ITC Avant Garde" w:eastAsia="Calibri" w:hAnsi="ITC Avant Garde" w:cs="Arial"/>
          <w:bCs/>
          <w:sz w:val="36"/>
          <w:szCs w:val="36"/>
          <w:lang w:val="es-ES_tradnl" w:eastAsia="es-ES"/>
        </w:rPr>
        <w:t>*****ESPACIO INTENCIONALMENTE EN BLANCO*****</w:t>
      </w:r>
    </w:p>
    <w:p w14:paraId="5BF01B70" w14:textId="77777777" w:rsidR="000323A2" w:rsidRPr="000323A2" w:rsidRDefault="000323A2" w:rsidP="000323A2">
      <w:pPr>
        <w:tabs>
          <w:tab w:val="left" w:pos="284"/>
        </w:tabs>
        <w:autoSpaceDE w:val="0"/>
        <w:autoSpaceDN w:val="0"/>
        <w:spacing w:before="240" w:after="0" w:line="276" w:lineRule="auto"/>
        <w:ind w:left="-142" w:right="-234" w:firstLine="142"/>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lastRenderedPageBreak/>
        <w:t xml:space="preserve"> </w:t>
      </w:r>
      <w:r w:rsidRPr="000323A2">
        <w:rPr>
          <w:rFonts w:ascii="ITC Avant Garde" w:eastAsia="Calibri" w:hAnsi="ITC Avant Garde" w:cs="Arial"/>
          <w:noProof/>
          <w:lang w:eastAsia="es-MX"/>
        </w:rPr>
        <w:drawing>
          <wp:inline distT="0" distB="0" distL="0" distR="0" wp14:anchorId="4F03C27D" wp14:editId="5E490356">
            <wp:extent cx="5610225" cy="6591300"/>
            <wp:effectExtent l="0" t="0" r="9525" b="0"/>
            <wp:docPr id="12" name="Imagen 62" descr="Detalles del sitio local Clie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2"/>
                    <pic:cNvPicPr>
                      <a:picLocks noChangeAspect="1" noChangeArrowheads="1"/>
                    </pic:cNvPicPr>
                  </pic:nvPicPr>
                  <pic:blipFill>
                    <a:blip r:embed="rId25"/>
                    <a:srcRect/>
                    <a:stretch>
                      <a:fillRect/>
                    </a:stretch>
                  </pic:blipFill>
                  <pic:spPr bwMode="auto">
                    <a:xfrm>
                      <a:off x="0" y="0"/>
                      <a:ext cx="5610225" cy="6591300"/>
                    </a:xfrm>
                    <a:prstGeom prst="rect">
                      <a:avLst/>
                    </a:prstGeom>
                    <a:noFill/>
                    <a:ln w="9525">
                      <a:noFill/>
                      <a:miter lim="800000"/>
                      <a:headEnd/>
                      <a:tailEnd/>
                    </a:ln>
                  </pic:spPr>
                </pic:pic>
              </a:graphicData>
            </a:graphic>
          </wp:inline>
        </w:drawing>
      </w:r>
    </w:p>
    <w:p w14:paraId="255983D0"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Detalles del sitio local Cliente</w:t>
      </w:r>
    </w:p>
    <w:p w14:paraId="76227A28" w14:textId="77777777" w:rsidR="000323A2" w:rsidRPr="000323A2" w:rsidRDefault="000323A2" w:rsidP="00B04B36">
      <w:pPr>
        <w:numPr>
          <w:ilvl w:val="0"/>
          <w:numId w:val="26"/>
        </w:numPr>
        <w:tabs>
          <w:tab w:val="left" w:pos="284"/>
        </w:tabs>
        <w:autoSpaceDE w:val="0"/>
        <w:autoSpaceDN w:val="0"/>
        <w:spacing w:before="240" w:after="0" w:line="276" w:lineRule="auto"/>
        <w:ind w:left="283" w:right="-234" w:hanging="283"/>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No se recomienda el piso falso, en caso de que éste exista, la colocación se adaptaría.</w:t>
      </w:r>
    </w:p>
    <w:p w14:paraId="23B54832" w14:textId="77777777" w:rsidR="000323A2" w:rsidRPr="000323A2" w:rsidRDefault="000323A2" w:rsidP="00B04B36">
      <w:pPr>
        <w:numPr>
          <w:ilvl w:val="0"/>
          <w:numId w:val="26"/>
        </w:numPr>
        <w:tabs>
          <w:tab w:val="left" w:pos="284"/>
        </w:tabs>
        <w:autoSpaceDE w:val="0"/>
        <w:autoSpaceDN w:val="0"/>
        <w:spacing w:before="240" w:after="0" w:line="276" w:lineRule="auto"/>
        <w:ind w:left="283" w:right="-234" w:hanging="283"/>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lastRenderedPageBreak/>
        <w:t>De preferencia no deben existir plafones para facilitar la instalación. En caso que se tenga, la instalación del equipo se adaptará.</w:t>
      </w:r>
    </w:p>
    <w:p w14:paraId="7C9F5CC9" w14:textId="77777777" w:rsidR="000323A2" w:rsidRPr="000323A2" w:rsidRDefault="000323A2" w:rsidP="00B04B36">
      <w:pPr>
        <w:numPr>
          <w:ilvl w:val="0"/>
          <w:numId w:val="26"/>
        </w:numPr>
        <w:tabs>
          <w:tab w:val="left" w:pos="284"/>
        </w:tabs>
        <w:autoSpaceDE w:val="0"/>
        <w:autoSpaceDN w:val="0"/>
        <w:spacing w:before="240" w:after="0" w:line="276" w:lineRule="auto"/>
        <w:ind w:left="283" w:right="-234" w:hanging="283"/>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Se requiere al menos un muro de tabique recocido o de concreto, para realizar el anclaje del equipo</w:t>
      </w:r>
    </w:p>
    <w:p w14:paraId="08B774D2" w14:textId="77777777" w:rsidR="000323A2" w:rsidRPr="000323A2" w:rsidRDefault="000323A2" w:rsidP="00B04B36">
      <w:pPr>
        <w:numPr>
          <w:ilvl w:val="0"/>
          <w:numId w:val="26"/>
        </w:numPr>
        <w:tabs>
          <w:tab w:val="left" w:pos="284"/>
        </w:tabs>
        <w:autoSpaceDE w:val="0"/>
        <w:autoSpaceDN w:val="0"/>
        <w:spacing w:before="240" w:after="0" w:line="276" w:lineRule="auto"/>
        <w:ind w:left="283" w:right="-234" w:hanging="283"/>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En caso de no cumplir lo anterior, el equipo se deberá anclar a piso y techo.</w:t>
      </w:r>
    </w:p>
    <w:p w14:paraId="0109620D" w14:textId="77777777" w:rsidR="000323A2" w:rsidRPr="000323A2" w:rsidRDefault="000323A2" w:rsidP="000323A2">
      <w:pPr>
        <w:autoSpaceDE w:val="0"/>
        <w:autoSpaceDN w:val="0"/>
        <w:spacing w:before="240" w:after="0" w:line="276" w:lineRule="auto"/>
        <w:ind w:right="-234"/>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Cuando el servicio se entrega en conjunto con un equipo de datos, se tienen las siguientes consideraciones para el cableado dentro del sitio del cliente:</w:t>
      </w:r>
    </w:p>
    <w:p w14:paraId="60034451" w14:textId="77777777" w:rsidR="000323A2" w:rsidRPr="000323A2" w:rsidRDefault="000323A2" w:rsidP="00B04B36">
      <w:pPr>
        <w:numPr>
          <w:ilvl w:val="0"/>
          <w:numId w:val="43"/>
        </w:numPr>
        <w:tabs>
          <w:tab w:val="left" w:pos="709"/>
        </w:tabs>
        <w:autoSpaceDE w:val="0"/>
        <w:autoSpaceDN w:val="0"/>
        <w:spacing w:before="240" w:after="0" w:line="276" w:lineRule="auto"/>
        <w:ind w:right="-234" w:hanging="436"/>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Cuando el servicio se entrega con equipo de datos, se tienen las siguientes consideraciones:</w:t>
      </w:r>
    </w:p>
    <w:p w14:paraId="7860CF16" w14:textId="77777777" w:rsidR="000323A2" w:rsidRPr="000323A2" w:rsidRDefault="000323A2" w:rsidP="00B04B36">
      <w:pPr>
        <w:numPr>
          <w:ilvl w:val="0"/>
          <w:numId w:val="47"/>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cableado entre el equipo de transmisión y el panel de conectores BNC </w:t>
      </w:r>
      <w:proofErr w:type="spellStart"/>
      <w:r w:rsidRPr="000323A2">
        <w:rPr>
          <w:rFonts w:ascii="ITC Avant Garde" w:eastAsia="Calibri" w:hAnsi="ITC Avant Garde" w:cs="Arial"/>
          <w:lang w:val="es-ES_tradnl" w:eastAsia="es-ES"/>
        </w:rPr>
        <w:t>ó</w:t>
      </w:r>
      <w:proofErr w:type="spellEnd"/>
      <w:r w:rsidRPr="000323A2">
        <w:rPr>
          <w:rFonts w:ascii="ITC Avant Garde" w:eastAsia="Calibri" w:hAnsi="ITC Avant Garde" w:cs="Arial"/>
          <w:lang w:val="es-ES_tradnl" w:eastAsia="es-ES"/>
        </w:rPr>
        <w:t xml:space="preserve"> el DFO lo construye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el mantenimiento de este cableado es responsabilidad de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w:t>
      </w:r>
    </w:p>
    <w:p w14:paraId="34F5675E" w14:textId="77777777" w:rsidR="000323A2" w:rsidRPr="000323A2" w:rsidRDefault="000323A2" w:rsidP="00B04B36">
      <w:pPr>
        <w:numPr>
          <w:ilvl w:val="0"/>
          <w:numId w:val="47"/>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cableado entre el equipo de datos y el panel de conectores BNC </w:t>
      </w:r>
      <w:proofErr w:type="spellStart"/>
      <w:r w:rsidRPr="000323A2">
        <w:rPr>
          <w:rFonts w:ascii="ITC Avant Garde" w:eastAsia="Calibri" w:hAnsi="ITC Avant Garde" w:cs="Arial"/>
          <w:lang w:val="es-ES_tradnl" w:eastAsia="es-ES"/>
        </w:rPr>
        <w:t>ó</w:t>
      </w:r>
      <w:proofErr w:type="spellEnd"/>
      <w:r w:rsidRPr="000323A2">
        <w:rPr>
          <w:rFonts w:ascii="ITC Avant Garde" w:eastAsia="Calibri" w:hAnsi="ITC Avant Garde" w:cs="Arial"/>
          <w:lang w:val="es-ES_tradnl" w:eastAsia="es-ES"/>
        </w:rPr>
        <w:t xml:space="preserve"> el DFO no es responsabilidad de Telmex.</w:t>
      </w:r>
    </w:p>
    <w:p w14:paraId="458B5C09" w14:textId="77777777" w:rsidR="000323A2" w:rsidRPr="000323A2" w:rsidRDefault="000323A2" w:rsidP="00B04B36">
      <w:pPr>
        <w:numPr>
          <w:ilvl w:val="0"/>
          <w:numId w:val="47"/>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cableado que se instala entre las posiciones de conexión en el panel de conectores BNC </w:t>
      </w:r>
      <w:proofErr w:type="spellStart"/>
      <w:r w:rsidRPr="000323A2">
        <w:rPr>
          <w:rFonts w:ascii="ITC Avant Garde" w:eastAsia="Calibri" w:hAnsi="ITC Avant Garde" w:cs="Arial"/>
          <w:lang w:val="es-ES_tradnl" w:eastAsia="es-ES"/>
        </w:rPr>
        <w:t>ó</w:t>
      </w:r>
      <w:proofErr w:type="spellEnd"/>
      <w:r w:rsidRPr="000323A2">
        <w:rPr>
          <w:rFonts w:ascii="ITC Avant Garde" w:eastAsia="Calibri" w:hAnsi="ITC Avant Garde" w:cs="Arial"/>
          <w:lang w:val="es-ES_tradnl" w:eastAsia="es-ES"/>
        </w:rPr>
        <w:t xml:space="preserve"> el DFO correspondiente a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lo construye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el mantenimiento de este cableado no es responsabilidad de Telmex.</w:t>
      </w:r>
    </w:p>
    <w:p w14:paraId="0E56ABC6" w14:textId="77777777" w:rsidR="000323A2" w:rsidRPr="000323A2" w:rsidRDefault="000323A2" w:rsidP="00B04B36">
      <w:pPr>
        <w:numPr>
          <w:ilvl w:val="0"/>
          <w:numId w:val="47"/>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cableado que se instala entre el equipo de datos y el </w:t>
      </w:r>
      <w:proofErr w:type="spellStart"/>
      <w:r w:rsidRPr="000323A2">
        <w:rPr>
          <w:rFonts w:ascii="ITC Avant Garde" w:eastAsia="Calibri" w:hAnsi="ITC Avant Garde" w:cs="Arial"/>
          <w:lang w:val="es-ES_tradnl" w:eastAsia="es-ES"/>
        </w:rPr>
        <w:t>patch</w:t>
      </w:r>
      <w:proofErr w:type="spellEnd"/>
      <w:r w:rsidRPr="000323A2">
        <w:rPr>
          <w:rFonts w:ascii="ITC Avant Garde" w:eastAsia="Calibri" w:hAnsi="ITC Avant Garde" w:cs="Arial"/>
          <w:lang w:val="es-ES_tradnl" w:eastAsia="es-ES"/>
        </w:rPr>
        <w:t xml:space="preserve"> panel no es responsabilidad de Telmex</w:t>
      </w:r>
    </w:p>
    <w:p w14:paraId="2E0890FD" w14:textId="77777777" w:rsidR="000323A2" w:rsidRPr="000323A2" w:rsidRDefault="000323A2" w:rsidP="00B04B36">
      <w:pPr>
        <w:numPr>
          <w:ilvl w:val="0"/>
          <w:numId w:val="47"/>
        </w:numPr>
        <w:tabs>
          <w:tab w:val="left" w:pos="993"/>
        </w:tabs>
        <w:autoSpaceDE w:val="0"/>
        <w:autoSpaceDN w:val="0"/>
        <w:spacing w:before="240" w:after="0" w:line="276" w:lineRule="auto"/>
        <w:ind w:left="991" w:right="-234" w:hanging="425"/>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Telmex no da mantenimiento del cableado que se instala entre el </w:t>
      </w:r>
      <w:proofErr w:type="spellStart"/>
      <w:r w:rsidRPr="000323A2">
        <w:rPr>
          <w:rFonts w:ascii="ITC Avant Garde" w:eastAsia="Calibri" w:hAnsi="ITC Avant Garde" w:cs="Arial"/>
          <w:lang w:val="es-ES_tradnl" w:eastAsia="es-ES"/>
        </w:rPr>
        <w:t>patch</w:t>
      </w:r>
      <w:proofErr w:type="spellEnd"/>
      <w:r w:rsidRPr="000323A2">
        <w:rPr>
          <w:rFonts w:ascii="ITC Avant Garde" w:eastAsia="Calibri" w:hAnsi="ITC Avant Garde" w:cs="Arial"/>
          <w:lang w:val="es-ES_tradnl" w:eastAsia="es-ES"/>
        </w:rPr>
        <w:t xml:space="preserve"> panel y el equipo de datos.</w:t>
      </w:r>
    </w:p>
    <w:p w14:paraId="19AF0D62" w14:textId="77777777" w:rsidR="000323A2" w:rsidRPr="000323A2" w:rsidRDefault="000323A2" w:rsidP="000323A2">
      <w:pPr>
        <w:tabs>
          <w:tab w:val="left" w:pos="993"/>
        </w:tabs>
        <w:autoSpaceDE w:val="0"/>
        <w:autoSpaceDN w:val="0"/>
        <w:spacing w:before="240" w:after="0" w:line="276" w:lineRule="auto"/>
        <w:ind w:left="991"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Los puntos anteriores se muestran en la siguiente figura:</w:t>
      </w:r>
    </w:p>
    <w:p w14:paraId="6BA1296A"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bCs/>
          <w:lang w:val="es-ES_tradnl" w:eastAsia="es-ES"/>
        </w:rPr>
      </w:pPr>
      <w:r w:rsidRPr="000323A2">
        <w:rPr>
          <w:rFonts w:ascii="ITC Avant Garde" w:eastAsia="Calibri" w:hAnsi="ITC Avant Garde" w:cs="Arial"/>
          <w:noProof/>
          <w:lang w:eastAsia="es-MX"/>
        </w:rPr>
        <w:drawing>
          <wp:inline distT="0" distB="0" distL="0" distR="0" wp14:anchorId="3211D07C" wp14:editId="70780181">
            <wp:extent cx="4572000" cy="866775"/>
            <wp:effectExtent l="0" t="0" r="0" b="9525"/>
            <wp:docPr id="13" name="Imagen 61" descr="Responsabilidad de cableados en sala abiert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26"/>
                    <a:srcRect/>
                    <a:stretch>
                      <a:fillRect/>
                    </a:stretch>
                  </pic:blipFill>
                  <pic:spPr bwMode="auto">
                    <a:xfrm>
                      <a:off x="0" y="0"/>
                      <a:ext cx="4572000" cy="866775"/>
                    </a:xfrm>
                    <a:prstGeom prst="rect">
                      <a:avLst/>
                    </a:prstGeom>
                    <a:noFill/>
                    <a:ln w="9525">
                      <a:noFill/>
                      <a:miter lim="800000"/>
                      <a:headEnd/>
                      <a:tailEnd/>
                    </a:ln>
                  </pic:spPr>
                </pic:pic>
              </a:graphicData>
            </a:graphic>
          </wp:inline>
        </w:drawing>
      </w:r>
    </w:p>
    <w:p w14:paraId="20BEA5EB"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Responsabilidad de cableados en sala abierta.</w:t>
      </w:r>
    </w:p>
    <w:p w14:paraId="4CEFFD1D" w14:textId="77777777" w:rsidR="000323A2" w:rsidRPr="000323A2" w:rsidRDefault="000323A2" w:rsidP="00B04B36">
      <w:pPr>
        <w:numPr>
          <w:ilvl w:val="2"/>
          <w:numId w:val="44"/>
        </w:numPr>
        <w:tabs>
          <w:tab w:val="left" w:pos="851"/>
        </w:tabs>
        <w:autoSpaceDE w:val="0"/>
        <w:autoSpaceDN w:val="0"/>
        <w:spacing w:before="240" w:after="0" w:line="276" w:lineRule="auto"/>
        <w:ind w:right="-234"/>
        <w:rPr>
          <w:rFonts w:ascii="ITC Avant Garde" w:eastAsia="Calibri" w:hAnsi="ITC Avant Garde" w:cs="Times New Roman"/>
          <w:b/>
          <w:bCs/>
          <w:lang w:val="es-ES_tradnl"/>
        </w:rPr>
      </w:pPr>
      <w:r w:rsidRPr="000323A2">
        <w:rPr>
          <w:rFonts w:ascii="ITC Avant Garde" w:eastAsia="Calibri" w:hAnsi="ITC Avant Garde" w:cs="Times New Roman"/>
          <w:b/>
          <w:bCs/>
          <w:lang w:val="es-ES_tradnl"/>
        </w:rPr>
        <w:t xml:space="preserve">Edificio </w:t>
      </w:r>
      <w:proofErr w:type="spellStart"/>
      <w:r w:rsidRPr="000323A2">
        <w:rPr>
          <w:rFonts w:ascii="ITC Avant Garde" w:eastAsia="Calibri" w:hAnsi="ITC Avant Garde" w:cs="Times New Roman"/>
          <w:b/>
          <w:bCs/>
          <w:lang w:val="es-ES_tradnl"/>
        </w:rPr>
        <w:t>Multicliente</w:t>
      </w:r>
      <w:proofErr w:type="spellEnd"/>
    </w:p>
    <w:p w14:paraId="2DCE2C16" w14:textId="77777777" w:rsidR="000323A2" w:rsidRPr="000323A2" w:rsidRDefault="000323A2" w:rsidP="000323A2">
      <w:pPr>
        <w:autoSpaceDE w:val="0"/>
        <w:autoSpaceDN w:val="0"/>
        <w:spacing w:before="240" w:after="0" w:line="276" w:lineRule="auto"/>
        <w:ind w:right="-234"/>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lastRenderedPageBreak/>
        <w:t xml:space="preserve">En edificios corporativos </w:t>
      </w:r>
      <w:proofErr w:type="spellStart"/>
      <w:r w:rsidRPr="000323A2">
        <w:rPr>
          <w:rFonts w:ascii="ITC Avant Garde" w:eastAsia="Calibri" w:hAnsi="ITC Avant Garde" w:cs="Arial"/>
          <w:bCs/>
          <w:lang w:val="es-ES_tradnl" w:eastAsia="es-ES"/>
        </w:rPr>
        <w:t>multi</w:t>
      </w:r>
      <w:proofErr w:type="spellEnd"/>
      <w:r w:rsidRPr="000323A2">
        <w:rPr>
          <w:rFonts w:ascii="ITC Avant Garde" w:eastAsia="Calibri" w:hAnsi="ITC Avant Garde" w:cs="Arial"/>
          <w:bCs/>
          <w:lang w:val="es-ES_tradnl" w:eastAsia="es-ES"/>
        </w:rPr>
        <w:t xml:space="preserve"> cliente, centros comerciales y parques industriales, el área mínima requerida para la sala cerrada, será de:</w:t>
      </w:r>
    </w:p>
    <w:p w14:paraId="597E06B5" w14:textId="77777777" w:rsidR="000323A2" w:rsidRPr="000323A2" w:rsidRDefault="000323A2" w:rsidP="000323A2">
      <w:pPr>
        <w:tabs>
          <w:tab w:val="left" w:pos="709"/>
        </w:tabs>
        <w:autoSpaceDE w:val="0"/>
        <w:autoSpaceDN w:val="0"/>
        <w:spacing w:before="240" w:after="0" w:line="276" w:lineRule="auto"/>
        <w:ind w:left="360" w:right="-234"/>
        <w:jc w:val="both"/>
        <w:rPr>
          <w:rFonts w:ascii="ITC Avant Garde" w:eastAsia="Calibri" w:hAnsi="ITC Avant Garde" w:cs="Arial"/>
          <w:lang w:val="es-ES_tradnl" w:eastAsia="es-ES"/>
        </w:rPr>
      </w:pPr>
    </w:p>
    <w:tbl>
      <w:tblPr>
        <w:tblStyle w:val="Cuadrculadetablaclara1"/>
        <w:tblW w:w="0" w:type="auto"/>
        <w:jc w:val="center"/>
        <w:tblLayout w:type="fixed"/>
        <w:tblLook w:val="0000" w:firstRow="0" w:lastRow="0" w:firstColumn="0" w:lastColumn="0" w:noHBand="0" w:noVBand="0"/>
        <w:tblCaption w:val="Tabla"/>
        <w:tblDescription w:val="Tipos de instalación"/>
      </w:tblPr>
      <w:tblGrid>
        <w:gridCol w:w="3008"/>
        <w:gridCol w:w="2237"/>
      </w:tblGrid>
      <w:tr w:rsidR="000323A2" w:rsidRPr="000323A2" w14:paraId="54B7E35C" w14:textId="77777777" w:rsidTr="000323A2">
        <w:trPr>
          <w:tblHeader/>
          <w:jc w:val="center"/>
        </w:trPr>
        <w:tc>
          <w:tcPr>
            <w:tcW w:w="3008" w:type="dxa"/>
          </w:tcPr>
          <w:p w14:paraId="52D428DE" w14:textId="77777777" w:rsidR="000323A2" w:rsidRPr="000323A2" w:rsidRDefault="000323A2" w:rsidP="000323A2">
            <w:pPr>
              <w:tabs>
                <w:tab w:val="left" w:pos="426"/>
              </w:tabs>
              <w:autoSpaceDE w:val="0"/>
              <w:autoSpaceDN w:val="0"/>
              <w:spacing w:before="240" w:line="276" w:lineRule="auto"/>
              <w:ind w:right="-234" w:firstLine="1"/>
              <w:jc w:val="center"/>
              <w:rPr>
                <w:rFonts w:ascii="ITC Avant Garde" w:hAnsi="ITC Avant Garde" w:cs="Arial"/>
                <w:b/>
                <w:lang w:val="es-ES_tradnl" w:eastAsia="es-ES"/>
              </w:rPr>
            </w:pPr>
            <w:r w:rsidRPr="000323A2">
              <w:rPr>
                <w:rFonts w:ascii="ITC Avant Garde" w:hAnsi="ITC Avant Garde" w:cs="Arial"/>
                <w:b/>
                <w:lang w:val="es-ES_tradnl" w:eastAsia="es-ES"/>
              </w:rPr>
              <w:t>TIPO DE INSTALACION</w:t>
            </w:r>
          </w:p>
        </w:tc>
        <w:tc>
          <w:tcPr>
            <w:tcW w:w="2237" w:type="dxa"/>
          </w:tcPr>
          <w:p w14:paraId="3030A1B1" w14:textId="77777777" w:rsidR="000323A2" w:rsidRPr="000323A2" w:rsidRDefault="000323A2" w:rsidP="000323A2">
            <w:pPr>
              <w:tabs>
                <w:tab w:val="left" w:pos="426"/>
              </w:tabs>
              <w:autoSpaceDE w:val="0"/>
              <w:autoSpaceDN w:val="0"/>
              <w:spacing w:before="240" w:line="276" w:lineRule="auto"/>
              <w:ind w:right="-234" w:firstLine="1"/>
              <w:jc w:val="center"/>
              <w:rPr>
                <w:rFonts w:ascii="ITC Avant Garde" w:hAnsi="ITC Avant Garde" w:cs="Arial"/>
                <w:b/>
                <w:lang w:val="es-ES_tradnl" w:eastAsia="es-ES"/>
              </w:rPr>
            </w:pPr>
            <w:r w:rsidRPr="000323A2">
              <w:rPr>
                <w:rFonts w:ascii="ITC Avant Garde" w:hAnsi="ITC Avant Garde" w:cs="Arial"/>
                <w:b/>
                <w:lang w:val="es-ES_tradnl" w:eastAsia="es-ES"/>
              </w:rPr>
              <w:t>AREA MINIMA</w:t>
            </w:r>
          </w:p>
        </w:tc>
      </w:tr>
      <w:tr w:rsidR="000323A2" w:rsidRPr="000323A2" w14:paraId="28F2AE22" w14:textId="77777777" w:rsidTr="000323A2">
        <w:trPr>
          <w:tblHeader/>
          <w:jc w:val="center"/>
        </w:trPr>
        <w:tc>
          <w:tcPr>
            <w:tcW w:w="3008" w:type="dxa"/>
          </w:tcPr>
          <w:p w14:paraId="2D9A1504" w14:textId="77777777" w:rsidR="000323A2" w:rsidRPr="000323A2" w:rsidRDefault="000323A2" w:rsidP="000323A2">
            <w:pPr>
              <w:tabs>
                <w:tab w:val="left" w:pos="426"/>
              </w:tabs>
              <w:autoSpaceDE w:val="0"/>
              <w:autoSpaceDN w:val="0"/>
              <w:spacing w:before="240" w:line="276" w:lineRule="auto"/>
              <w:ind w:right="-234" w:firstLine="1"/>
              <w:jc w:val="center"/>
              <w:rPr>
                <w:rFonts w:ascii="ITC Avant Garde" w:hAnsi="ITC Avant Garde" w:cs="Arial"/>
                <w:lang w:val="es-ES_tradnl" w:eastAsia="es-ES"/>
              </w:rPr>
            </w:pPr>
            <w:r w:rsidRPr="000323A2">
              <w:rPr>
                <w:rFonts w:ascii="ITC Avant Garde" w:hAnsi="ITC Avant Garde" w:cs="Arial"/>
                <w:lang w:val="es-ES_tradnl" w:eastAsia="es-ES"/>
              </w:rPr>
              <w:t>Edificios</w:t>
            </w:r>
          </w:p>
        </w:tc>
        <w:tc>
          <w:tcPr>
            <w:tcW w:w="2237" w:type="dxa"/>
          </w:tcPr>
          <w:p w14:paraId="0B251711" w14:textId="77777777" w:rsidR="000323A2" w:rsidRPr="000323A2" w:rsidRDefault="000323A2" w:rsidP="000323A2">
            <w:pPr>
              <w:tabs>
                <w:tab w:val="left" w:pos="426"/>
              </w:tabs>
              <w:autoSpaceDE w:val="0"/>
              <w:autoSpaceDN w:val="0"/>
              <w:spacing w:before="240" w:line="276" w:lineRule="auto"/>
              <w:ind w:right="-234" w:firstLine="1"/>
              <w:jc w:val="center"/>
              <w:rPr>
                <w:rFonts w:ascii="ITC Avant Garde" w:hAnsi="ITC Avant Garde" w:cs="Arial"/>
                <w:lang w:val="es-ES_tradnl" w:eastAsia="es-ES"/>
              </w:rPr>
            </w:pPr>
            <w:r w:rsidRPr="000323A2">
              <w:rPr>
                <w:rFonts w:ascii="ITC Avant Garde" w:hAnsi="ITC Avant Garde" w:cs="Arial"/>
                <w:lang w:val="es-ES_tradnl" w:eastAsia="es-ES"/>
              </w:rPr>
              <w:t>12.00 m²</w:t>
            </w:r>
          </w:p>
        </w:tc>
      </w:tr>
      <w:tr w:rsidR="000323A2" w:rsidRPr="000323A2" w14:paraId="50E32D95" w14:textId="77777777" w:rsidTr="000323A2">
        <w:trPr>
          <w:tblHeader/>
          <w:jc w:val="center"/>
        </w:trPr>
        <w:tc>
          <w:tcPr>
            <w:tcW w:w="3008" w:type="dxa"/>
          </w:tcPr>
          <w:p w14:paraId="010F28B8" w14:textId="77777777" w:rsidR="000323A2" w:rsidRPr="000323A2" w:rsidRDefault="000323A2" w:rsidP="000323A2">
            <w:pPr>
              <w:tabs>
                <w:tab w:val="left" w:pos="426"/>
              </w:tabs>
              <w:autoSpaceDE w:val="0"/>
              <w:autoSpaceDN w:val="0"/>
              <w:spacing w:before="240" w:line="276" w:lineRule="auto"/>
              <w:ind w:right="-234" w:firstLine="1"/>
              <w:jc w:val="center"/>
              <w:rPr>
                <w:rFonts w:ascii="ITC Avant Garde" w:hAnsi="ITC Avant Garde" w:cs="Arial"/>
                <w:lang w:val="es-ES_tradnl" w:eastAsia="es-ES"/>
              </w:rPr>
            </w:pPr>
            <w:r w:rsidRPr="000323A2">
              <w:rPr>
                <w:rFonts w:ascii="ITC Avant Garde" w:hAnsi="ITC Avant Garde" w:cs="Arial"/>
                <w:lang w:val="es-ES_tradnl" w:eastAsia="es-ES"/>
              </w:rPr>
              <w:t>Centros Comerciales</w:t>
            </w:r>
          </w:p>
        </w:tc>
        <w:tc>
          <w:tcPr>
            <w:tcW w:w="2237" w:type="dxa"/>
          </w:tcPr>
          <w:p w14:paraId="3D99D091" w14:textId="77777777" w:rsidR="000323A2" w:rsidRPr="000323A2" w:rsidRDefault="000323A2" w:rsidP="000323A2">
            <w:pPr>
              <w:tabs>
                <w:tab w:val="left" w:pos="426"/>
              </w:tabs>
              <w:autoSpaceDE w:val="0"/>
              <w:autoSpaceDN w:val="0"/>
              <w:spacing w:before="240" w:line="276" w:lineRule="auto"/>
              <w:ind w:right="-234" w:firstLine="1"/>
              <w:jc w:val="center"/>
              <w:rPr>
                <w:rFonts w:ascii="ITC Avant Garde" w:hAnsi="ITC Avant Garde" w:cs="Arial"/>
                <w:lang w:val="es-ES_tradnl" w:eastAsia="es-ES"/>
              </w:rPr>
            </w:pPr>
            <w:r w:rsidRPr="000323A2">
              <w:rPr>
                <w:rFonts w:ascii="ITC Avant Garde" w:hAnsi="ITC Avant Garde" w:cs="Arial"/>
                <w:lang w:val="es-ES_tradnl" w:eastAsia="es-ES"/>
              </w:rPr>
              <w:t>25.00 m²</w:t>
            </w:r>
          </w:p>
        </w:tc>
      </w:tr>
      <w:tr w:rsidR="000323A2" w:rsidRPr="000323A2" w14:paraId="1F1743FD" w14:textId="77777777" w:rsidTr="000323A2">
        <w:trPr>
          <w:tblHeader/>
          <w:jc w:val="center"/>
        </w:trPr>
        <w:tc>
          <w:tcPr>
            <w:tcW w:w="3008" w:type="dxa"/>
          </w:tcPr>
          <w:p w14:paraId="36588971" w14:textId="77777777" w:rsidR="000323A2" w:rsidRPr="000323A2" w:rsidRDefault="000323A2" w:rsidP="000323A2">
            <w:pPr>
              <w:tabs>
                <w:tab w:val="left" w:pos="426"/>
              </w:tabs>
              <w:autoSpaceDE w:val="0"/>
              <w:autoSpaceDN w:val="0"/>
              <w:spacing w:before="240" w:line="276" w:lineRule="auto"/>
              <w:ind w:right="-234" w:firstLine="1"/>
              <w:jc w:val="center"/>
              <w:rPr>
                <w:rFonts w:ascii="ITC Avant Garde" w:hAnsi="ITC Avant Garde" w:cs="Arial"/>
                <w:lang w:val="es-ES_tradnl" w:eastAsia="es-ES"/>
              </w:rPr>
            </w:pPr>
            <w:r w:rsidRPr="000323A2">
              <w:rPr>
                <w:rFonts w:ascii="ITC Avant Garde" w:hAnsi="ITC Avant Garde" w:cs="Arial"/>
                <w:lang w:val="es-ES_tradnl" w:eastAsia="es-ES"/>
              </w:rPr>
              <w:t>Parques Industriales</w:t>
            </w:r>
          </w:p>
        </w:tc>
        <w:tc>
          <w:tcPr>
            <w:tcW w:w="2237" w:type="dxa"/>
          </w:tcPr>
          <w:p w14:paraId="7D9D857F" w14:textId="77777777" w:rsidR="000323A2" w:rsidRPr="000323A2" w:rsidRDefault="000323A2" w:rsidP="000323A2">
            <w:pPr>
              <w:tabs>
                <w:tab w:val="left" w:pos="426"/>
              </w:tabs>
              <w:autoSpaceDE w:val="0"/>
              <w:autoSpaceDN w:val="0"/>
              <w:spacing w:before="240" w:line="276" w:lineRule="auto"/>
              <w:ind w:right="-234" w:firstLine="1"/>
              <w:jc w:val="center"/>
              <w:rPr>
                <w:rFonts w:ascii="ITC Avant Garde" w:hAnsi="ITC Avant Garde" w:cs="Arial"/>
                <w:lang w:val="es-ES_tradnl" w:eastAsia="es-ES"/>
              </w:rPr>
            </w:pPr>
            <w:r w:rsidRPr="000323A2">
              <w:rPr>
                <w:rFonts w:ascii="ITC Avant Garde" w:hAnsi="ITC Avant Garde" w:cs="Arial"/>
                <w:lang w:val="es-ES_tradnl" w:eastAsia="es-ES"/>
              </w:rPr>
              <w:t>40.00 m²</w:t>
            </w:r>
          </w:p>
        </w:tc>
      </w:tr>
    </w:tbl>
    <w:p w14:paraId="5A97F549" w14:textId="77777777" w:rsidR="000323A2" w:rsidRPr="000323A2" w:rsidRDefault="000323A2" w:rsidP="000323A2">
      <w:pPr>
        <w:tabs>
          <w:tab w:val="left" w:pos="709"/>
        </w:tabs>
        <w:autoSpaceDE w:val="0"/>
        <w:autoSpaceDN w:val="0"/>
        <w:spacing w:before="240" w:after="0" w:line="276" w:lineRule="auto"/>
        <w:ind w:left="360" w:right="-234"/>
        <w:jc w:val="both"/>
        <w:rPr>
          <w:rFonts w:ascii="ITC Avant Garde" w:eastAsia="Calibri" w:hAnsi="ITC Avant Garde" w:cs="Arial"/>
          <w:lang w:val="es-ES_tradnl" w:eastAsia="es-ES"/>
        </w:rPr>
      </w:pPr>
    </w:p>
    <w:p w14:paraId="12A9CA16" w14:textId="77777777" w:rsidR="000323A2" w:rsidRPr="000323A2" w:rsidRDefault="000323A2" w:rsidP="000323A2">
      <w:pPr>
        <w:autoSpaceDE w:val="0"/>
        <w:autoSpaceDN w:val="0"/>
        <w:spacing w:before="240" w:after="0" w:line="276" w:lineRule="auto"/>
        <w:ind w:right="-234"/>
        <w:jc w:val="both"/>
        <w:rPr>
          <w:rFonts w:ascii="ITC Avant Garde" w:eastAsia="Calibri" w:hAnsi="ITC Avant Garde" w:cs="Arial"/>
          <w:bCs/>
          <w:lang w:val="es-ES_tradnl" w:eastAsia="es-ES"/>
        </w:rPr>
      </w:pPr>
      <w:r w:rsidRPr="000323A2">
        <w:rPr>
          <w:rFonts w:ascii="ITC Avant Garde" w:eastAsia="Calibri" w:hAnsi="ITC Avant Garde" w:cs="Arial"/>
          <w:bCs/>
          <w:lang w:val="es-ES_tradnl" w:eastAsia="es-ES"/>
        </w:rPr>
        <w:t>Las dimensiones del equipo que se encuentra en el interior de los edificios, se muestra en la siguiente figura:</w:t>
      </w:r>
    </w:p>
    <w:p w14:paraId="16BA7C4C" w14:textId="77777777" w:rsidR="000323A2" w:rsidRPr="000323A2" w:rsidRDefault="000323A2" w:rsidP="000323A2">
      <w:pPr>
        <w:tabs>
          <w:tab w:val="left" w:pos="709"/>
        </w:tabs>
        <w:autoSpaceDE w:val="0"/>
        <w:autoSpaceDN w:val="0"/>
        <w:spacing w:before="240" w:after="0" w:line="276" w:lineRule="auto"/>
        <w:ind w:left="360" w:right="-234"/>
        <w:jc w:val="both"/>
        <w:rPr>
          <w:rFonts w:ascii="ITC Avant Garde" w:eastAsia="Calibri" w:hAnsi="ITC Avant Garde" w:cs="Arial"/>
          <w:lang w:val="es-ES_tradnl" w:eastAsia="es-ES"/>
        </w:rPr>
      </w:pPr>
    </w:p>
    <w:p w14:paraId="0B3F1BF8" w14:textId="77777777" w:rsidR="000323A2" w:rsidRPr="000323A2" w:rsidRDefault="000323A2" w:rsidP="000323A2">
      <w:pPr>
        <w:tabs>
          <w:tab w:val="left" w:pos="709"/>
        </w:tabs>
        <w:autoSpaceDE w:val="0"/>
        <w:autoSpaceDN w:val="0"/>
        <w:spacing w:before="240" w:after="0" w:line="276" w:lineRule="auto"/>
        <w:ind w:left="360" w:right="-23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46DEB79C" wp14:editId="6936BE5A">
            <wp:extent cx="4448175" cy="3695700"/>
            <wp:effectExtent l="0" t="0" r="9525" b="0"/>
            <wp:docPr id="14" name="Imagen 60" descr="Dimensiones de equipo para edificio multicliente suministrado por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27"/>
                    <a:srcRect/>
                    <a:stretch>
                      <a:fillRect/>
                    </a:stretch>
                  </pic:blipFill>
                  <pic:spPr bwMode="auto">
                    <a:xfrm>
                      <a:off x="0" y="0"/>
                      <a:ext cx="4448175" cy="3695700"/>
                    </a:xfrm>
                    <a:prstGeom prst="rect">
                      <a:avLst/>
                    </a:prstGeom>
                    <a:noFill/>
                    <a:ln w="9525">
                      <a:noFill/>
                      <a:miter lim="800000"/>
                      <a:headEnd/>
                      <a:tailEnd/>
                    </a:ln>
                  </pic:spPr>
                </pic:pic>
              </a:graphicData>
            </a:graphic>
          </wp:inline>
        </w:drawing>
      </w:r>
    </w:p>
    <w:p w14:paraId="0F20C0F4" w14:textId="77777777" w:rsidR="000323A2" w:rsidRPr="000323A2" w:rsidRDefault="000323A2" w:rsidP="000323A2">
      <w:pPr>
        <w:tabs>
          <w:tab w:val="left" w:pos="709"/>
        </w:tabs>
        <w:autoSpaceDE w:val="0"/>
        <w:autoSpaceDN w:val="0"/>
        <w:spacing w:before="240" w:after="0" w:line="276" w:lineRule="auto"/>
        <w:ind w:left="360" w:right="-23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Dimensiones de equipo para edificio </w:t>
      </w:r>
      <w:proofErr w:type="spellStart"/>
      <w:r w:rsidRPr="000323A2">
        <w:rPr>
          <w:rFonts w:ascii="ITC Avant Garde" w:eastAsia="Calibri" w:hAnsi="ITC Avant Garde" w:cs="Arial"/>
          <w:lang w:val="es-ES_tradnl" w:eastAsia="es-ES"/>
        </w:rPr>
        <w:t>multicliente</w:t>
      </w:r>
      <w:proofErr w:type="spellEnd"/>
      <w:r w:rsidRPr="000323A2">
        <w:rPr>
          <w:rFonts w:ascii="ITC Avant Garde" w:eastAsia="Calibri" w:hAnsi="ITC Avant Garde" w:cs="Arial"/>
          <w:lang w:val="es-ES_tradnl" w:eastAsia="es-ES"/>
        </w:rPr>
        <w:t xml:space="preserve"> suministrado por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w:t>
      </w:r>
    </w:p>
    <w:p w14:paraId="76970B88" w14:textId="77777777" w:rsidR="000323A2" w:rsidRPr="000323A2" w:rsidRDefault="000323A2" w:rsidP="000323A2">
      <w:p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Cuando el espacio que se asigna es una sala dentro del predio del cliente, se debe considerar lo indicado en el punto 5.1.3 Sala cerrada.</w:t>
      </w:r>
    </w:p>
    <w:p w14:paraId="1BA257C5" w14:textId="77777777" w:rsidR="000323A2" w:rsidRPr="000323A2" w:rsidRDefault="000323A2" w:rsidP="000323A2">
      <w:p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Cuando el espacio que se asigna está ubicado dentro de la sala de telecomunicaciones del cliente, se debe considerar lo indicado en el punto 5.1.2 Sala abierta.</w:t>
      </w:r>
    </w:p>
    <w:p w14:paraId="3E0DE1AE" w14:textId="77777777" w:rsidR="000323A2" w:rsidRPr="000323A2" w:rsidRDefault="000323A2" w:rsidP="00B04B36">
      <w:pPr>
        <w:numPr>
          <w:ilvl w:val="2"/>
          <w:numId w:val="44"/>
        </w:numPr>
        <w:tabs>
          <w:tab w:val="left" w:pos="851"/>
        </w:tabs>
        <w:autoSpaceDE w:val="0"/>
        <w:autoSpaceDN w:val="0"/>
        <w:spacing w:before="240" w:after="0" w:line="276" w:lineRule="auto"/>
        <w:ind w:right="-234"/>
        <w:rPr>
          <w:rFonts w:ascii="ITC Avant Garde" w:eastAsia="Calibri" w:hAnsi="ITC Avant Garde" w:cs="Times New Roman"/>
          <w:b/>
          <w:bCs/>
          <w:lang w:val="es-ES_tradnl"/>
        </w:rPr>
      </w:pPr>
      <w:r w:rsidRPr="000323A2">
        <w:rPr>
          <w:rFonts w:ascii="ITC Avant Garde" w:eastAsia="Calibri" w:hAnsi="ITC Avant Garde" w:cs="Times New Roman"/>
          <w:b/>
          <w:bCs/>
          <w:lang w:val="es-ES_tradnl"/>
        </w:rPr>
        <w:t>Iluminación</w:t>
      </w:r>
    </w:p>
    <w:p w14:paraId="3597A422"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Para cualquier tipo de espacio asignado (GUT, Sala abierta, Sala Cerrada, Edificio </w:t>
      </w:r>
      <w:proofErr w:type="spellStart"/>
      <w:r w:rsidRPr="000323A2">
        <w:rPr>
          <w:rFonts w:ascii="ITC Avant Garde" w:eastAsia="Calibri" w:hAnsi="ITC Avant Garde" w:cs="Arial"/>
          <w:lang w:val="es-ES_tradnl" w:eastAsia="es-ES"/>
        </w:rPr>
        <w:t>Multi</w:t>
      </w:r>
      <w:proofErr w:type="spellEnd"/>
      <w:r w:rsidRPr="000323A2">
        <w:rPr>
          <w:rFonts w:ascii="ITC Avant Garde" w:eastAsia="Calibri" w:hAnsi="ITC Avant Garde" w:cs="Arial"/>
          <w:lang w:val="es-ES_tradnl" w:eastAsia="es-ES"/>
        </w:rPr>
        <w:t xml:space="preserve"> cliente) se recomienda iluminación de 300 luxes mínimo, en caso de no cumplir con este requerimiento la iluminación del sitio debe permitir la correcta visualización para realizar los trabajos de instalación y mantenimiento correspondientes a nivel del equipo de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w:t>
      </w:r>
    </w:p>
    <w:p w14:paraId="1580709D" w14:textId="77777777" w:rsidR="000323A2" w:rsidRPr="000323A2" w:rsidRDefault="000323A2" w:rsidP="00B04B36">
      <w:pPr>
        <w:numPr>
          <w:ilvl w:val="2"/>
          <w:numId w:val="44"/>
        </w:numPr>
        <w:tabs>
          <w:tab w:val="left" w:pos="851"/>
        </w:tabs>
        <w:autoSpaceDE w:val="0"/>
        <w:autoSpaceDN w:val="0"/>
        <w:spacing w:before="240" w:after="0" w:line="276" w:lineRule="auto"/>
        <w:ind w:right="-234"/>
        <w:rPr>
          <w:rFonts w:ascii="ITC Avant Garde" w:eastAsia="Calibri" w:hAnsi="ITC Avant Garde" w:cs="Times New Roman"/>
          <w:b/>
          <w:bCs/>
          <w:lang w:val="es-ES_tradnl"/>
        </w:rPr>
      </w:pPr>
      <w:r w:rsidRPr="000323A2">
        <w:rPr>
          <w:rFonts w:ascii="ITC Avant Garde" w:eastAsia="Calibri" w:hAnsi="ITC Avant Garde" w:cs="Times New Roman"/>
          <w:b/>
          <w:bCs/>
          <w:lang w:val="es-ES_tradnl"/>
        </w:rPr>
        <w:t>Clima</w:t>
      </w:r>
    </w:p>
    <w:p w14:paraId="7B6CFCB7"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Cuando el sitio del cliente no cuente con aire acondicionado, el cliente debe asegurar que el equipo cuente con la suficiente ventilación para evitar calentamiento en los equipos y ocasionar posibles fallas a los mismos, por lo que se recomienda mantener una temperatura de 24º ± 1º C en el sitio del cliente.</w:t>
      </w:r>
    </w:p>
    <w:p w14:paraId="1F27F5D6"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Para todos los locales de cliente que se encuentren en zonas geográficas con temperaturas extremas, se recomienda mantener una temperatura de 24º ± 1º C máximo, con la humedad especificada por el fabricante del equipo.</w:t>
      </w:r>
    </w:p>
    <w:p w14:paraId="5B0EE83C" w14:textId="77777777" w:rsidR="000323A2" w:rsidRPr="000323A2" w:rsidRDefault="000323A2" w:rsidP="00B04B36">
      <w:pPr>
        <w:widowControl w:val="0"/>
        <w:numPr>
          <w:ilvl w:val="0"/>
          <w:numId w:val="81"/>
        </w:numPr>
        <w:adjustRightInd w:val="0"/>
        <w:spacing w:before="240" w:after="0" w:line="360" w:lineRule="atLeast"/>
        <w:jc w:val="both"/>
        <w:textAlignment w:val="baseline"/>
        <w:rPr>
          <w:rFonts w:ascii="Arial" w:eastAsia="Calibri" w:hAnsi="Arial" w:cs="Arial"/>
          <w:b/>
          <w:lang w:val="es-ES" w:eastAsia="es-ES"/>
        </w:rPr>
      </w:pPr>
      <w:bookmarkStart w:id="36" w:name="_Toc398759575"/>
      <w:r w:rsidRPr="000323A2">
        <w:rPr>
          <w:rFonts w:ascii="Arial" w:eastAsia="Calibri" w:hAnsi="Arial" w:cs="Arial"/>
          <w:b/>
          <w:lang w:val="es-ES" w:eastAsia="es-ES"/>
        </w:rPr>
        <w:t>ESPECIFICACIONES DE FUERZA PARA EL SITIO LOCAL CLIENTE</w:t>
      </w:r>
      <w:bookmarkEnd w:id="36"/>
      <w:r w:rsidRPr="000323A2">
        <w:rPr>
          <w:rFonts w:ascii="Arial" w:eastAsia="Calibri" w:hAnsi="Arial" w:cs="Arial"/>
          <w:b/>
          <w:lang w:val="es-ES" w:eastAsia="es-ES"/>
        </w:rPr>
        <w:t xml:space="preserve"> </w:t>
      </w:r>
    </w:p>
    <w:p w14:paraId="65F0294D"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Para la alimentación eléctrica de los equipos se debe considerar lo siguiente:</w:t>
      </w:r>
    </w:p>
    <w:p w14:paraId="496D5134" w14:textId="77777777" w:rsidR="000323A2" w:rsidRPr="000323A2" w:rsidRDefault="000323A2" w:rsidP="00B04B36">
      <w:pPr>
        <w:numPr>
          <w:ilvl w:val="0"/>
          <w:numId w:val="45"/>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GUT</w:t>
      </w:r>
    </w:p>
    <w:p w14:paraId="01D116C1" w14:textId="77777777" w:rsidR="000323A2" w:rsidRPr="000323A2" w:rsidRDefault="000323A2" w:rsidP="00B04B36">
      <w:pPr>
        <w:numPr>
          <w:ilvl w:val="0"/>
          <w:numId w:val="31"/>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En el caso del GUT, se requiere 127 VCA entre fase y neutro y un hilo para la tierra de protección (cable aislado color verde), ± 5% de regulación.</w:t>
      </w:r>
    </w:p>
    <w:p w14:paraId="4D629BF1" w14:textId="77777777" w:rsidR="000323A2" w:rsidRPr="000323A2" w:rsidRDefault="000323A2" w:rsidP="00B04B36">
      <w:pPr>
        <w:numPr>
          <w:ilvl w:val="0"/>
          <w:numId w:val="31"/>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 alimentación para equipos terminales de red en el caso del MINI-GUT puede ser a 127 V.C.A con un contacto polarizado con conexión a tierra tipo comercial conectado a ups.</w:t>
      </w:r>
    </w:p>
    <w:p w14:paraId="5B053E60" w14:textId="77777777" w:rsidR="000323A2" w:rsidRPr="000323A2" w:rsidRDefault="000323A2" w:rsidP="00B04B36">
      <w:pPr>
        <w:numPr>
          <w:ilvl w:val="0"/>
          <w:numId w:val="31"/>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La capacidad de corriente del contacto polarizada se le proporciona al cliente con base en el equipamiento final, pudiendo ser desde 15 hasta 30 </w:t>
      </w:r>
      <w:proofErr w:type="spellStart"/>
      <w:r w:rsidRPr="000323A2">
        <w:rPr>
          <w:rFonts w:ascii="ITC Avant Garde" w:eastAsia="Calibri" w:hAnsi="ITC Avant Garde" w:cs="Arial"/>
          <w:lang w:val="es-ES_tradnl" w:eastAsia="es-ES"/>
        </w:rPr>
        <w:t>amp</w:t>
      </w:r>
      <w:proofErr w:type="spellEnd"/>
      <w:r w:rsidRPr="000323A2">
        <w:rPr>
          <w:rFonts w:ascii="ITC Avant Garde" w:eastAsia="Calibri" w:hAnsi="ITC Avant Garde" w:cs="Arial"/>
          <w:lang w:val="es-ES_tradnl" w:eastAsia="es-ES"/>
        </w:rPr>
        <w:t>.</w:t>
      </w:r>
    </w:p>
    <w:p w14:paraId="7336C0D7" w14:textId="77777777" w:rsidR="000323A2" w:rsidRPr="000323A2" w:rsidRDefault="000323A2" w:rsidP="000323A2">
      <w:pPr>
        <w:tabs>
          <w:tab w:val="left" w:pos="709"/>
        </w:tabs>
        <w:autoSpaceDE w:val="0"/>
        <w:autoSpaceDN w:val="0"/>
        <w:spacing w:before="240" w:after="0" w:line="276" w:lineRule="auto"/>
        <w:ind w:left="360" w:right="-234"/>
        <w:jc w:val="both"/>
        <w:rPr>
          <w:rFonts w:ascii="ITC Avant Garde" w:eastAsia="Calibri" w:hAnsi="ITC Avant Garde" w:cs="Arial"/>
          <w:lang w:val="es-ES_tradnl" w:eastAsia="es-ES"/>
        </w:rPr>
      </w:pPr>
    </w:p>
    <w:p w14:paraId="1690DB63" w14:textId="77777777" w:rsidR="000323A2" w:rsidRPr="000323A2" w:rsidRDefault="000323A2" w:rsidP="000323A2">
      <w:pPr>
        <w:tabs>
          <w:tab w:val="left" w:pos="709"/>
        </w:tabs>
        <w:autoSpaceDE w:val="0"/>
        <w:autoSpaceDN w:val="0"/>
        <w:spacing w:before="240" w:after="0" w:line="276" w:lineRule="auto"/>
        <w:ind w:left="360" w:right="-23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74316500" wp14:editId="25FC96D4">
            <wp:extent cx="4981575" cy="2524125"/>
            <wp:effectExtent l="0" t="0" r="0" b="0"/>
            <wp:docPr id="15" name="Imagen 59" descr="Equipo terminal de re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28"/>
                    <a:srcRect/>
                    <a:stretch>
                      <a:fillRect/>
                    </a:stretch>
                  </pic:blipFill>
                  <pic:spPr bwMode="auto">
                    <a:xfrm>
                      <a:off x="0" y="0"/>
                      <a:ext cx="4981575" cy="2524125"/>
                    </a:xfrm>
                    <a:prstGeom prst="rect">
                      <a:avLst/>
                    </a:prstGeom>
                    <a:noFill/>
                    <a:ln w="9525">
                      <a:noFill/>
                      <a:miter lim="800000"/>
                      <a:headEnd/>
                      <a:tailEnd/>
                    </a:ln>
                  </pic:spPr>
                </pic:pic>
              </a:graphicData>
            </a:graphic>
          </wp:inline>
        </w:drawing>
      </w:r>
    </w:p>
    <w:p w14:paraId="4E3D325D" w14:textId="77777777" w:rsidR="000323A2" w:rsidRPr="000323A2" w:rsidRDefault="000323A2" w:rsidP="000323A2">
      <w:pPr>
        <w:tabs>
          <w:tab w:val="left" w:pos="709"/>
        </w:tabs>
        <w:autoSpaceDE w:val="0"/>
        <w:autoSpaceDN w:val="0"/>
        <w:spacing w:before="240" w:after="0" w:line="276" w:lineRule="auto"/>
        <w:ind w:left="360" w:right="-234"/>
        <w:jc w:val="both"/>
        <w:rPr>
          <w:rFonts w:ascii="ITC Avant Garde" w:eastAsia="Calibri" w:hAnsi="ITC Avant Garde" w:cs="Arial"/>
          <w:lang w:val="es-ES_tradnl" w:eastAsia="es-ES"/>
        </w:rPr>
      </w:pPr>
    </w:p>
    <w:p w14:paraId="1CC20BFA" w14:textId="77777777" w:rsidR="000323A2" w:rsidRPr="000323A2" w:rsidRDefault="000323A2" w:rsidP="00B04B36">
      <w:pPr>
        <w:numPr>
          <w:ilvl w:val="0"/>
          <w:numId w:val="45"/>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Sala abierta, cerrada y Edificios </w:t>
      </w:r>
      <w:proofErr w:type="spellStart"/>
      <w:r w:rsidRPr="000323A2">
        <w:rPr>
          <w:rFonts w:ascii="ITC Avant Garde" w:eastAsia="Calibri" w:hAnsi="ITC Avant Garde" w:cs="Arial"/>
          <w:lang w:val="es-ES_tradnl" w:eastAsia="es-ES"/>
        </w:rPr>
        <w:t>Multi</w:t>
      </w:r>
      <w:proofErr w:type="spellEnd"/>
      <w:r w:rsidRPr="000323A2">
        <w:rPr>
          <w:rFonts w:ascii="ITC Avant Garde" w:eastAsia="Calibri" w:hAnsi="ITC Avant Garde" w:cs="Arial"/>
          <w:lang w:val="es-ES_tradnl" w:eastAsia="es-ES"/>
        </w:rPr>
        <w:t xml:space="preserve"> Cliente:</w:t>
      </w:r>
    </w:p>
    <w:p w14:paraId="5B5248C4"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 alimentación eléctrica debe ser de 220 VCA entre fases, 127 VCA entre fase y neutro y un hilo para la tierra de protección (cable aislado color verde), ± 5% de regulación.</w:t>
      </w:r>
    </w:p>
    <w:p w14:paraId="7EBE63F6"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Para energizar los equipos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con VCA, se coloca dentro de la sala cerrada un tablero de C.A. tipo sobre-poner, se recomienda a una altura de 1.50 m a partir del NTP, aterrizando el gabinete a la BTLC.</w:t>
      </w:r>
    </w:p>
    <w:p w14:paraId="690DCF9F"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Dentro del tablero se colocarán los interruptores termo-magnéticos cuya capacidad de corriente se le proporciona al cliente con base en el calibre de los conductores para el equipamiento final, incluyendo los casos de radio.</w:t>
      </w:r>
    </w:p>
    <w:p w14:paraId="51E2FF52"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Se debe instalar un contacto polarizado (tantos como equipos se requieran energizar) a una altura de 90 cm. del NPT conectados a un interruptor termo-magnético. Su localización será a un lado del tablero de CA.</w:t>
      </w:r>
    </w:p>
    <w:p w14:paraId="0C69D099"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proofErr w:type="gramStart"/>
      <w:r w:rsidRPr="000323A2">
        <w:rPr>
          <w:rFonts w:ascii="ITC Avant Garde" w:eastAsia="Calibri" w:hAnsi="ITC Avant Garde" w:cs="Arial"/>
          <w:lang w:val="es-ES_tradnl" w:eastAsia="es-ES"/>
        </w:rPr>
        <w:t>Las características del cable y código de colores debe</w:t>
      </w:r>
      <w:proofErr w:type="gramEnd"/>
      <w:r w:rsidRPr="000323A2">
        <w:rPr>
          <w:rFonts w:ascii="ITC Avant Garde" w:eastAsia="Calibri" w:hAnsi="ITC Avant Garde" w:cs="Arial"/>
          <w:lang w:val="es-ES_tradnl" w:eastAsia="es-ES"/>
        </w:rPr>
        <w:t xml:space="preserve"> ser como sigue:</w:t>
      </w:r>
    </w:p>
    <w:p w14:paraId="52742EF5" w14:textId="77777777" w:rsidR="000323A2" w:rsidRPr="000323A2" w:rsidRDefault="000323A2" w:rsidP="00B04B36">
      <w:pPr>
        <w:numPr>
          <w:ilvl w:val="0"/>
          <w:numId w:val="27"/>
        </w:numPr>
        <w:autoSpaceDE w:val="0"/>
        <w:autoSpaceDN w:val="0"/>
        <w:spacing w:before="240" w:after="0" w:line="276" w:lineRule="auto"/>
        <w:ind w:left="1003" w:right="-234" w:hanging="283"/>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El cable para la alimentación general del tablero será de acuerdo a la siguiente tabla:</w:t>
      </w:r>
    </w:p>
    <w:p w14:paraId="4E3A61BE" w14:textId="77777777" w:rsidR="000323A2" w:rsidRPr="000323A2" w:rsidRDefault="000323A2" w:rsidP="000323A2">
      <w:pPr>
        <w:autoSpaceDE w:val="0"/>
        <w:autoSpaceDN w:val="0"/>
        <w:spacing w:before="240" w:after="0" w:line="276" w:lineRule="auto"/>
        <w:ind w:left="436" w:right="-234"/>
        <w:jc w:val="both"/>
        <w:rPr>
          <w:rFonts w:ascii="ITC Avant Garde" w:eastAsia="Calibri" w:hAnsi="ITC Avant Garde" w:cs="Arial"/>
          <w:lang w:val="es-ES_tradnl" w:eastAsia="es-ES"/>
        </w:rPr>
      </w:pPr>
    </w:p>
    <w:tbl>
      <w:tblPr>
        <w:tblStyle w:val="Cuadrculadetablaclara1"/>
        <w:tblW w:w="0" w:type="auto"/>
        <w:jc w:val="center"/>
        <w:tblLayout w:type="fixed"/>
        <w:tblLook w:val="0000" w:firstRow="0" w:lastRow="0" w:firstColumn="0" w:lastColumn="0" w:noHBand="0" w:noVBand="0"/>
        <w:tblCaption w:val="Tabla"/>
        <w:tblDescription w:val="Longitud y calibre"/>
      </w:tblPr>
      <w:tblGrid>
        <w:gridCol w:w="2551"/>
        <w:gridCol w:w="2126"/>
      </w:tblGrid>
      <w:tr w:rsidR="000323A2" w:rsidRPr="000323A2" w14:paraId="08B5D69E" w14:textId="77777777" w:rsidTr="000323A2">
        <w:trPr>
          <w:tblHeader/>
          <w:jc w:val="center"/>
        </w:trPr>
        <w:tc>
          <w:tcPr>
            <w:tcW w:w="2551" w:type="dxa"/>
          </w:tcPr>
          <w:p w14:paraId="30C48FB7" w14:textId="77777777" w:rsidR="000323A2" w:rsidRPr="000323A2" w:rsidRDefault="000323A2" w:rsidP="000323A2">
            <w:p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lastRenderedPageBreak/>
              <w:t>Longitud</w:t>
            </w:r>
          </w:p>
        </w:tc>
        <w:tc>
          <w:tcPr>
            <w:tcW w:w="2126" w:type="dxa"/>
          </w:tcPr>
          <w:p w14:paraId="7FCA2336" w14:textId="77777777" w:rsidR="000323A2" w:rsidRPr="000323A2" w:rsidRDefault="000323A2" w:rsidP="000323A2">
            <w:p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Calibre</w:t>
            </w:r>
          </w:p>
        </w:tc>
      </w:tr>
      <w:tr w:rsidR="000323A2" w:rsidRPr="000323A2" w14:paraId="1FAB54AF" w14:textId="77777777" w:rsidTr="000323A2">
        <w:trPr>
          <w:tblHeader/>
          <w:jc w:val="center"/>
        </w:trPr>
        <w:tc>
          <w:tcPr>
            <w:tcW w:w="2551" w:type="dxa"/>
          </w:tcPr>
          <w:p w14:paraId="42F71296" w14:textId="77777777" w:rsidR="000323A2" w:rsidRPr="000323A2" w:rsidRDefault="000323A2" w:rsidP="000323A2">
            <w:p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0-50 m</w:t>
            </w:r>
          </w:p>
        </w:tc>
        <w:tc>
          <w:tcPr>
            <w:tcW w:w="2126" w:type="dxa"/>
          </w:tcPr>
          <w:p w14:paraId="1B90DE42" w14:textId="77777777" w:rsidR="000323A2" w:rsidRPr="000323A2" w:rsidRDefault="000323A2" w:rsidP="000323A2">
            <w:pPr>
              <w:tabs>
                <w:tab w:val="left" w:pos="426"/>
                <w:tab w:val="left" w:pos="2269"/>
              </w:tabs>
              <w:autoSpaceDE w:val="0"/>
              <w:autoSpaceDN w:val="0"/>
              <w:spacing w:before="240" w:line="276" w:lineRule="auto"/>
              <w:ind w:left="284" w:right="-234"/>
              <w:jc w:val="center"/>
              <w:rPr>
                <w:rFonts w:ascii="ITC Avant Garde" w:hAnsi="ITC Avant Garde" w:cs="Arial"/>
                <w:lang w:val="en-US" w:eastAsia="es-ES"/>
              </w:rPr>
            </w:pPr>
            <w:r w:rsidRPr="000323A2">
              <w:rPr>
                <w:rFonts w:ascii="ITC Avant Garde" w:hAnsi="ITC Avant Garde" w:cs="Arial"/>
                <w:lang w:val="en-US" w:eastAsia="es-ES"/>
              </w:rPr>
              <w:t>8 AWG</w:t>
            </w:r>
          </w:p>
        </w:tc>
      </w:tr>
      <w:tr w:rsidR="000323A2" w:rsidRPr="000323A2" w14:paraId="518D2DB9" w14:textId="77777777" w:rsidTr="000323A2">
        <w:trPr>
          <w:tblHeader/>
          <w:jc w:val="center"/>
        </w:trPr>
        <w:tc>
          <w:tcPr>
            <w:tcW w:w="2551" w:type="dxa"/>
          </w:tcPr>
          <w:p w14:paraId="0ADC74BA" w14:textId="77777777" w:rsidR="000323A2" w:rsidRPr="000323A2" w:rsidRDefault="000323A2" w:rsidP="000323A2">
            <w:pPr>
              <w:tabs>
                <w:tab w:val="left" w:pos="426"/>
                <w:tab w:val="left" w:pos="2269"/>
              </w:tabs>
              <w:autoSpaceDE w:val="0"/>
              <w:autoSpaceDN w:val="0"/>
              <w:spacing w:before="240" w:line="276" w:lineRule="auto"/>
              <w:ind w:left="284" w:right="-234"/>
              <w:jc w:val="center"/>
              <w:rPr>
                <w:rFonts w:ascii="ITC Avant Garde" w:hAnsi="ITC Avant Garde" w:cs="Arial"/>
                <w:lang w:val="en-US" w:eastAsia="es-ES"/>
              </w:rPr>
            </w:pPr>
            <w:r w:rsidRPr="000323A2">
              <w:rPr>
                <w:rFonts w:ascii="ITC Avant Garde" w:hAnsi="ITC Avant Garde" w:cs="Arial"/>
                <w:lang w:val="en-US" w:eastAsia="es-ES"/>
              </w:rPr>
              <w:t>50-100 m</w:t>
            </w:r>
          </w:p>
        </w:tc>
        <w:tc>
          <w:tcPr>
            <w:tcW w:w="2126" w:type="dxa"/>
          </w:tcPr>
          <w:p w14:paraId="4676AB0F" w14:textId="77777777" w:rsidR="000323A2" w:rsidRPr="000323A2" w:rsidRDefault="000323A2" w:rsidP="000323A2">
            <w:pPr>
              <w:tabs>
                <w:tab w:val="left" w:pos="426"/>
                <w:tab w:val="left" w:pos="2269"/>
              </w:tabs>
              <w:autoSpaceDE w:val="0"/>
              <w:autoSpaceDN w:val="0"/>
              <w:spacing w:before="240" w:line="276" w:lineRule="auto"/>
              <w:ind w:left="284" w:right="-234"/>
              <w:jc w:val="center"/>
              <w:rPr>
                <w:rFonts w:ascii="ITC Avant Garde" w:hAnsi="ITC Avant Garde" w:cs="Arial"/>
                <w:lang w:val="en-US" w:eastAsia="es-ES"/>
              </w:rPr>
            </w:pPr>
            <w:r w:rsidRPr="000323A2">
              <w:rPr>
                <w:rFonts w:ascii="ITC Avant Garde" w:hAnsi="ITC Avant Garde" w:cs="Arial"/>
                <w:lang w:val="en-US" w:eastAsia="es-ES"/>
              </w:rPr>
              <w:t>6 AWG</w:t>
            </w:r>
          </w:p>
        </w:tc>
      </w:tr>
      <w:tr w:rsidR="000323A2" w:rsidRPr="000323A2" w14:paraId="4DDEF874" w14:textId="77777777" w:rsidTr="000323A2">
        <w:trPr>
          <w:tblHeader/>
          <w:jc w:val="center"/>
        </w:trPr>
        <w:tc>
          <w:tcPr>
            <w:tcW w:w="2551" w:type="dxa"/>
          </w:tcPr>
          <w:p w14:paraId="301FF2CA" w14:textId="77777777" w:rsidR="000323A2" w:rsidRPr="000323A2" w:rsidRDefault="000323A2" w:rsidP="000323A2">
            <w:p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100-150 m</w:t>
            </w:r>
          </w:p>
        </w:tc>
        <w:tc>
          <w:tcPr>
            <w:tcW w:w="2126" w:type="dxa"/>
          </w:tcPr>
          <w:p w14:paraId="54B20E64" w14:textId="77777777" w:rsidR="000323A2" w:rsidRPr="000323A2" w:rsidRDefault="000323A2" w:rsidP="000323A2">
            <w:p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4 AWG</w:t>
            </w:r>
          </w:p>
        </w:tc>
      </w:tr>
    </w:tbl>
    <w:p w14:paraId="7DEE6A14" w14:textId="77777777" w:rsidR="000323A2" w:rsidRPr="000323A2" w:rsidRDefault="000323A2" w:rsidP="000323A2">
      <w:pPr>
        <w:autoSpaceDE w:val="0"/>
        <w:autoSpaceDN w:val="0"/>
        <w:spacing w:before="240" w:after="0" w:line="276" w:lineRule="auto"/>
        <w:ind w:left="436" w:right="-234"/>
        <w:jc w:val="both"/>
        <w:rPr>
          <w:rFonts w:ascii="ITC Avant Garde" w:eastAsia="Calibri" w:hAnsi="ITC Avant Garde" w:cs="Arial"/>
          <w:lang w:val="es-ES_tradnl" w:eastAsia="es-ES"/>
        </w:rPr>
      </w:pPr>
    </w:p>
    <w:p w14:paraId="3E688FB4" w14:textId="77777777" w:rsidR="000323A2" w:rsidRPr="000323A2" w:rsidRDefault="000323A2" w:rsidP="000323A2">
      <w:pPr>
        <w:autoSpaceDE w:val="0"/>
        <w:autoSpaceDN w:val="0"/>
        <w:spacing w:before="240" w:after="0" w:line="276" w:lineRule="auto"/>
        <w:ind w:left="1003"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Para alimentación de lámparas y contactos debe emplearse conductor aislado calibre No. 12 AWG.</w:t>
      </w:r>
    </w:p>
    <w:p w14:paraId="4C5DD1C5" w14:textId="77777777" w:rsidR="000323A2" w:rsidRPr="000323A2" w:rsidRDefault="000323A2" w:rsidP="00B04B36">
      <w:pPr>
        <w:numPr>
          <w:ilvl w:val="0"/>
          <w:numId w:val="27"/>
        </w:numPr>
        <w:autoSpaceDE w:val="0"/>
        <w:autoSpaceDN w:val="0"/>
        <w:spacing w:before="240" w:after="0" w:line="276" w:lineRule="auto"/>
        <w:ind w:left="1003" w:right="-234" w:hanging="283"/>
        <w:jc w:val="both"/>
        <w:rPr>
          <w:rFonts w:ascii="ITC Avant Garde" w:eastAsia="Calibri" w:hAnsi="ITC Avant Garde" w:cs="Arial"/>
          <w:lang w:val="es-ES_tradnl" w:eastAsia="es-ES"/>
        </w:rPr>
      </w:pPr>
      <w:proofErr w:type="gramStart"/>
      <w:r w:rsidRPr="000323A2">
        <w:rPr>
          <w:rFonts w:ascii="ITC Avant Garde" w:eastAsia="Calibri" w:hAnsi="ITC Avant Garde" w:cs="Arial"/>
          <w:lang w:val="es-ES_tradnl" w:eastAsia="es-ES"/>
        </w:rPr>
        <w:t>Los códigos de colores para los cableados de corriente alterna</w:t>
      </w:r>
      <w:proofErr w:type="gramEnd"/>
      <w:r w:rsidRPr="000323A2">
        <w:rPr>
          <w:rFonts w:ascii="ITC Avant Garde" w:eastAsia="Calibri" w:hAnsi="ITC Avant Garde" w:cs="Arial"/>
          <w:lang w:val="es-ES_tradnl" w:eastAsia="es-ES"/>
        </w:rPr>
        <w:t xml:space="preserve"> serán de la siguiente forma:</w:t>
      </w:r>
    </w:p>
    <w:p w14:paraId="46454330" w14:textId="77777777" w:rsidR="000323A2" w:rsidRPr="000323A2" w:rsidRDefault="000323A2" w:rsidP="000323A2">
      <w:pPr>
        <w:autoSpaceDE w:val="0"/>
        <w:autoSpaceDN w:val="0"/>
        <w:spacing w:before="240" w:after="0" w:line="276" w:lineRule="auto"/>
        <w:ind w:right="-234"/>
        <w:jc w:val="both"/>
        <w:rPr>
          <w:rFonts w:ascii="ITC Avant Garde" w:eastAsia="Calibri" w:hAnsi="ITC Avant Garde" w:cs="Arial"/>
          <w:lang w:val="es-ES_tradnl" w:eastAsia="es-ES"/>
        </w:rPr>
      </w:pPr>
    </w:p>
    <w:tbl>
      <w:tblPr>
        <w:tblStyle w:val="Cuadrculadetablaclara1"/>
        <w:tblW w:w="0" w:type="auto"/>
        <w:jc w:val="center"/>
        <w:tblLayout w:type="fixed"/>
        <w:tblLook w:val="0000" w:firstRow="0" w:lastRow="0" w:firstColumn="0" w:lastColumn="0" w:noHBand="0" w:noVBand="0"/>
        <w:tblCaption w:val="Tabla"/>
        <w:tblDescription w:val="Color"/>
      </w:tblPr>
      <w:tblGrid>
        <w:gridCol w:w="3260"/>
        <w:gridCol w:w="2410"/>
      </w:tblGrid>
      <w:tr w:rsidR="000323A2" w:rsidRPr="000323A2" w14:paraId="1D4670B2" w14:textId="77777777" w:rsidTr="000323A2">
        <w:trPr>
          <w:tblHeader/>
          <w:jc w:val="center"/>
        </w:trPr>
        <w:tc>
          <w:tcPr>
            <w:tcW w:w="3260" w:type="dxa"/>
          </w:tcPr>
          <w:p w14:paraId="6A2F735C"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Color</w:t>
            </w:r>
          </w:p>
        </w:tc>
        <w:tc>
          <w:tcPr>
            <w:tcW w:w="2410" w:type="dxa"/>
          </w:tcPr>
          <w:p w14:paraId="396971FB"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Conductor</w:t>
            </w:r>
          </w:p>
        </w:tc>
      </w:tr>
      <w:tr w:rsidR="000323A2" w:rsidRPr="000323A2" w14:paraId="45BBAB67" w14:textId="77777777" w:rsidTr="000323A2">
        <w:trPr>
          <w:tblHeader/>
          <w:jc w:val="center"/>
        </w:trPr>
        <w:tc>
          <w:tcPr>
            <w:tcW w:w="3260" w:type="dxa"/>
          </w:tcPr>
          <w:p w14:paraId="325E0D38"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Verde</w:t>
            </w:r>
          </w:p>
        </w:tc>
        <w:tc>
          <w:tcPr>
            <w:tcW w:w="2410" w:type="dxa"/>
          </w:tcPr>
          <w:p w14:paraId="5D2DEBCB"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Puesta a Tierra</w:t>
            </w:r>
          </w:p>
        </w:tc>
      </w:tr>
      <w:tr w:rsidR="000323A2" w:rsidRPr="000323A2" w14:paraId="272F24FC" w14:textId="77777777" w:rsidTr="000323A2">
        <w:trPr>
          <w:tblHeader/>
          <w:jc w:val="center"/>
        </w:trPr>
        <w:tc>
          <w:tcPr>
            <w:tcW w:w="3260" w:type="dxa"/>
          </w:tcPr>
          <w:p w14:paraId="4BAB7465"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Blanco o Gris claro</w:t>
            </w:r>
          </w:p>
        </w:tc>
        <w:tc>
          <w:tcPr>
            <w:tcW w:w="2410" w:type="dxa"/>
          </w:tcPr>
          <w:p w14:paraId="0B9D28B3"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Neutro</w:t>
            </w:r>
          </w:p>
        </w:tc>
      </w:tr>
      <w:tr w:rsidR="000323A2" w:rsidRPr="000323A2" w14:paraId="3B2E48F3" w14:textId="77777777" w:rsidTr="000323A2">
        <w:trPr>
          <w:tblHeader/>
          <w:jc w:val="center"/>
        </w:trPr>
        <w:tc>
          <w:tcPr>
            <w:tcW w:w="3260" w:type="dxa"/>
          </w:tcPr>
          <w:p w14:paraId="56AA95BC"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Diferentes a los anteriores</w:t>
            </w:r>
          </w:p>
        </w:tc>
        <w:tc>
          <w:tcPr>
            <w:tcW w:w="2410" w:type="dxa"/>
          </w:tcPr>
          <w:p w14:paraId="693F445B"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Fase (Activo)</w:t>
            </w:r>
          </w:p>
        </w:tc>
      </w:tr>
    </w:tbl>
    <w:p w14:paraId="79B16FB6" w14:textId="77777777" w:rsidR="000323A2" w:rsidRPr="000323A2" w:rsidRDefault="000323A2" w:rsidP="000323A2">
      <w:pPr>
        <w:autoSpaceDE w:val="0"/>
        <w:autoSpaceDN w:val="0"/>
        <w:spacing w:before="240" w:after="0" w:line="276" w:lineRule="auto"/>
        <w:ind w:right="-234"/>
        <w:jc w:val="both"/>
        <w:rPr>
          <w:rFonts w:ascii="ITC Avant Garde" w:eastAsia="Calibri" w:hAnsi="ITC Avant Garde" w:cs="Arial"/>
          <w:lang w:val="es-ES_tradnl" w:eastAsia="es-ES"/>
        </w:rPr>
      </w:pPr>
    </w:p>
    <w:p w14:paraId="2717865D"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Cuando el equipo que se utiliza para proporcionar el servicio requiere alimentación de -48 V.C.D. se debe considerar dentro del espacio asignado la puesta en servicio de planta de fuerza proporcionada por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en caso de que el local cuente con esta facilidad, el cliente debe suministrar la energía necesaria para el funcionamiento de estos equipos.</w:t>
      </w:r>
    </w:p>
    <w:p w14:paraId="4C8A7154"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Para la colocación de la planta de fuerza en una sala </w:t>
      </w:r>
      <w:proofErr w:type="gramStart"/>
      <w:r w:rsidRPr="000323A2">
        <w:rPr>
          <w:rFonts w:ascii="ITC Avant Garde" w:eastAsia="Calibri" w:hAnsi="ITC Avant Garde" w:cs="Arial"/>
          <w:lang w:val="es-ES_tradnl" w:eastAsia="es-ES"/>
        </w:rPr>
        <w:t>abierta,  cerrada</w:t>
      </w:r>
      <w:proofErr w:type="gramEnd"/>
      <w:r w:rsidRPr="000323A2">
        <w:rPr>
          <w:rFonts w:ascii="ITC Avant Garde" w:eastAsia="Calibri" w:hAnsi="ITC Avant Garde" w:cs="Arial"/>
          <w:lang w:val="es-ES_tradnl" w:eastAsia="es-ES"/>
        </w:rPr>
        <w:t xml:space="preserve"> o edificio </w:t>
      </w:r>
      <w:proofErr w:type="spellStart"/>
      <w:r w:rsidRPr="000323A2">
        <w:rPr>
          <w:rFonts w:ascii="ITC Avant Garde" w:eastAsia="Calibri" w:hAnsi="ITC Avant Garde" w:cs="Arial"/>
          <w:lang w:val="es-ES_tradnl" w:eastAsia="es-ES"/>
        </w:rPr>
        <w:t>multi</w:t>
      </w:r>
      <w:proofErr w:type="spellEnd"/>
      <w:r w:rsidRPr="000323A2">
        <w:rPr>
          <w:rFonts w:ascii="ITC Avant Garde" w:eastAsia="Calibri" w:hAnsi="ITC Avant Garde" w:cs="Arial"/>
          <w:lang w:val="es-ES_tradnl" w:eastAsia="es-ES"/>
        </w:rPr>
        <w:t xml:space="preserve"> cliente se consideran 2 opciones las cuales se muestran en las figuras A y B, para las 2 opciones (figura A y B) se instala entre el tablero de corriente alterna y el equipo de fuerza un tubo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de 1” y el calibre del cable de acuerdo a la siguiente tabla:</w:t>
      </w:r>
    </w:p>
    <w:p w14:paraId="762A91A8" w14:textId="77777777" w:rsidR="000323A2" w:rsidRPr="000323A2" w:rsidRDefault="000323A2" w:rsidP="000323A2">
      <w:pPr>
        <w:autoSpaceDE w:val="0"/>
        <w:autoSpaceDN w:val="0"/>
        <w:spacing w:before="240" w:after="0" w:line="276" w:lineRule="auto"/>
        <w:ind w:right="-234"/>
        <w:jc w:val="both"/>
        <w:rPr>
          <w:rFonts w:ascii="ITC Avant Garde" w:eastAsia="Calibri" w:hAnsi="ITC Avant Garde" w:cs="Arial"/>
          <w:lang w:val="es-ES_tradnl" w:eastAsia="es-ES"/>
        </w:rPr>
      </w:pPr>
    </w:p>
    <w:tbl>
      <w:tblPr>
        <w:tblStyle w:val="Cuadrculadetablaclara1"/>
        <w:tblW w:w="0" w:type="auto"/>
        <w:jc w:val="center"/>
        <w:tblLayout w:type="fixed"/>
        <w:tblLook w:val="0000" w:firstRow="0" w:lastRow="0" w:firstColumn="0" w:lastColumn="0" w:noHBand="0" w:noVBand="0"/>
        <w:tblCaption w:val="Tabla"/>
        <w:tblDescription w:val="Longitus y calibre"/>
      </w:tblPr>
      <w:tblGrid>
        <w:gridCol w:w="2551"/>
        <w:gridCol w:w="2126"/>
      </w:tblGrid>
      <w:tr w:rsidR="000323A2" w:rsidRPr="000323A2" w14:paraId="6ABD8D32" w14:textId="77777777" w:rsidTr="000323A2">
        <w:trPr>
          <w:tblHeader/>
          <w:jc w:val="center"/>
        </w:trPr>
        <w:tc>
          <w:tcPr>
            <w:tcW w:w="2551" w:type="dxa"/>
          </w:tcPr>
          <w:p w14:paraId="5A22DAAF"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lastRenderedPageBreak/>
              <w:t>Longitud</w:t>
            </w:r>
          </w:p>
        </w:tc>
        <w:tc>
          <w:tcPr>
            <w:tcW w:w="2126" w:type="dxa"/>
          </w:tcPr>
          <w:p w14:paraId="062C40C6"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Calibre</w:t>
            </w:r>
          </w:p>
        </w:tc>
      </w:tr>
      <w:tr w:rsidR="000323A2" w:rsidRPr="000323A2" w14:paraId="31B2775C" w14:textId="77777777" w:rsidTr="000323A2">
        <w:trPr>
          <w:tblHeader/>
          <w:jc w:val="center"/>
        </w:trPr>
        <w:tc>
          <w:tcPr>
            <w:tcW w:w="2551" w:type="dxa"/>
          </w:tcPr>
          <w:p w14:paraId="04DEA9E2"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0-50 m</w:t>
            </w:r>
          </w:p>
        </w:tc>
        <w:tc>
          <w:tcPr>
            <w:tcW w:w="2126" w:type="dxa"/>
          </w:tcPr>
          <w:p w14:paraId="6D27FA19"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n-US" w:eastAsia="es-ES"/>
              </w:rPr>
            </w:pPr>
            <w:r w:rsidRPr="000323A2">
              <w:rPr>
                <w:rFonts w:ascii="ITC Avant Garde" w:hAnsi="ITC Avant Garde" w:cs="Arial"/>
                <w:lang w:val="en-US" w:eastAsia="es-ES"/>
              </w:rPr>
              <w:t>8 AWG</w:t>
            </w:r>
          </w:p>
        </w:tc>
      </w:tr>
      <w:tr w:rsidR="000323A2" w:rsidRPr="000323A2" w14:paraId="74781DC2" w14:textId="77777777" w:rsidTr="000323A2">
        <w:trPr>
          <w:tblHeader/>
          <w:jc w:val="center"/>
        </w:trPr>
        <w:tc>
          <w:tcPr>
            <w:tcW w:w="2551" w:type="dxa"/>
          </w:tcPr>
          <w:p w14:paraId="2699DC04"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n-US" w:eastAsia="es-ES"/>
              </w:rPr>
            </w:pPr>
            <w:r w:rsidRPr="000323A2">
              <w:rPr>
                <w:rFonts w:ascii="ITC Avant Garde" w:hAnsi="ITC Avant Garde" w:cs="Arial"/>
                <w:lang w:val="en-US" w:eastAsia="es-ES"/>
              </w:rPr>
              <w:t>50-100 m</w:t>
            </w:r>
          </w:p>
        </w:tc>
        <w:tc>
          <w:tcPr>
            <w:tcW w:w="2126" w:type="dxa"/>
          </w:tcPr>
          <w:p w14:paraId="779A45E3"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n-US" w:eastAsia="es-ES"/>
              </w:rPr>
            </w:pPr>
            <w:r w:rsidRPr="000323A2">
              <w:rPr>
                <w:rFonts w:ascii="ITC Avant Garde" w:hAnsi="ITC Avant Garde" w:cs="Arial"/>
                <w:lang w:val="en-US" w:eastAsia="es-ES"/>
              </w:rPr>
              <w:t>6 AWG</w:t>
            </w:r>
          </w:p>
        </w:tc>
      </w:tr>
      <w:tr w:rsidR="000323A2" w:rsidRPr="000323A2" w14:paraId="1FDF5F9A" w14:textId="77777777" w:rsidTr="000323A2">
        <w:trPr>
          <w:tblHeader/>
          <w:jc w:val="center"/>
        </w:trPr>
        <w:tc>
          <w:tcPr>
            <w:tcW w:w="2551" w:type="dxa"/>
          </w:tcPr>
          <w:p w14:paraId="3F1A84E7"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100-150 m</w:t>
            </w:r>
          </w:p>
        </w:tc>
        <w:tc>
          <w:tcPr>
            <w:tcW w:w="2126" w:type="dxa"/>
          </w:tcPr>
          <w:p w14:paraId="77695B45" w14:textId="77777777" w:rsidR="000323A2" w:rsidRPr="000323A2" w:rsidRDefault="000323A2" w:rsidP="000323A2">
            <w:pPr>
              <w:numPr>
                <w:ilvl w:val="12"/>
                <w:numId w:val="0"/>
              </w:numPr>
              <w:tabs>
                <w:tab w:val="left" w:pos="426"/>
                <w:tab w:val="left" w:pos="2269"/>
              </w:tabs>
              <w:autoSpaceDE w:val="0"/>
              <w:autoSpaceDN w:val="0"/>
              <w:spacing w:before="240" w:line="276" w:lineRule="auto"/>
              <w:ind w:left="284" w:right="-234"/>
              <w:jc w:val="center"/>
              <w:rPr>
                <w:rFonts w:ascii="ITC Avant Garde" w:hAnsi="ITC Avant Garde" w:cs="Arial"/>
                <w:lang w:val="es-ES_tradnl" w:eastAsia="es-ES"/>
              </w:rPr>
            </w:pPr>
            <w:r w:rsidRPr="000323A2">
              <w:rPr>
                <w:rFonts w:ascii="ITC Avant Garde" w:hAnsi="ITC Avant Garde" w:cs="Arial"/>
                <w:lang w:val="es-ES_tradnl" w:eastAsia="es-ES"/>
              </w:rPr>
              <w:t>4 AWG</w:t>
            </w:r>
          </w:p>
        </w:tc>
      </w:tr>
    </w:tbl>
    <w:p w14:paraId="57636266" w14:textId="77777777" w:rsidR="000323A2" w:rsidRPr="000323A2" w:rsidRDefault="000323A2" w:rsidP="000323A2">
      <w:pPr>
        <w:autoSpaceDE w:val="0"/>
        <w:autoSpaceDN w:val="0"/>
        <w:spacing w:before="240" w:after="0" w:line="276" w:lineRule="auto"/>
        <w:ind w:right="-234"/>
        <w:jc w:val="both"/>
        <w:rPr>
          <w:rFonts w:ascii="ITC Avant Garde" w:eastAsia="Calibri" w:hAnsi="ITC Avant Garde" w:cs="Arial"/>
          <w:lang w:val="es-ES_tradnl" w:eastAsia="es-ES"/>
        </w:rPr>
      </w:pPr>
    </w:p>
    <w:p w14:paraId="1AC2B986"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Para la opción B, el cableado entre la planta de rectificación y el equipo de transmisión (radio o equipo óptico) se debe instalar una escalerilla de 15 cm. y los cables deben de estar de acuerdo a la tabla anterior. En caso de la opción de la figura A, el cableado entre el equipo de fuerza y el equipo de transmisión se conecta de forma directa sin el uso de escalerilla.</w:t>
      </w:r>
    </w:p>
    <w:p w14:paraId="3B5414AF" w14:textId="77777777" w:rsidR="000323A2" w:rsidRPr="000323A2" w:rsidRDefault="000323A2" w:rsidP="000323A2">
      <w:pPr>
        <w:autoSpaceDE w:val="0"/>
        <w:autoSpaceDN w:val="0"/>
        <w:spacing w:before="240" w:after="0" w:line="276" w:lineRule="auto"/>
        <w:ind w:left="720" w:right="-23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66331728" wp14:editId="510C590F">
            <wp:extent cx="4362450" cy="4286250"/>
            <wp:effectExtent l="0" t="0" r="0" b="0"/>
            <wp:docPr id="16" name="Imagen 58" descr="Ejemplo de una instalación sencilla completa de fibra optica dentro de la sala del cliente, opción A y opción B"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9"/>
                    <a:srcRect/>
                    <a:stretch>
                      <a:fillRect/>
                    </a:stretch>
                  </pic:blipFill>
                  <pic:spPr bwMode="auto">
                    <a:xfrm>
                      <a:off x="0" y="0"/>
                      <a:ext cx="4362450" cy="4286250"/>
                    </a:xfrm>
                    <a:prstGeom prst="rect">
                      <a:avLst/>
                    </a:prstGeom>
                    <a:noFill/>
                    <a:ln w="9525">
                      <a:noFill/>
                      <a:miter lim="800000"/>
                      <a:headEnd/>
                      <a:tailEnd/>
                    </a:ln>
                  </pic:spPr>
                </pic:pic>
              </a:graphicData>
            </a:graphic>
          </wp:inline>
        </w:drawing>
      </w:r>
    </w:p>
    <w:p w14:paraId="23AA5099"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 xml:space="preserve">La capacidad del equipo de fuerza está en función del consumo del equipo de transmisión de acuerdo a lo indicado en </w:t>
      </w:r>
      <w:proofErr w:type="gramStart"/>
      <w:r w:rsidRPr="000323A2">
        <w:rPr>
          <w:rFonts w:ascii="ITC Avant Garde" w:eastAsia="Calibri" w:hAnsi="ITC Avant Garde" w:cs="Arial"/>
          <w:lang w:val="es-ES_tradnl" w:eastAsia="es-ES"/>
        </w:rPr>
        <w:t>las norma</w:t>
      </w:r>
      <w:proofErr w:type="gramEnd"/>
      <w:r w:rsidRPr="000323A2">
        <w:rPr>
          <w:rFonts w:ascii="ITC Avant Garde" w:eastAsia="Calibri" w:hAnsi="ITC Avant Garde" w:cs="Arial"/>
          <w:lang w:val="es-ES_tradnl" w:eastAsia="es-ES"/>
        </w:rPr>
        <w:t xml:space="preserve"> de instalación de cada fabricante.</w:t>
      </w:r>
    </w:p>
    <w:p w14:paraId="57E2BAF2" w14:textId="77777777" w:rsidR="000323A2" w:rsidRPr="000323A2" w:rsidRDefault="000323A2" w:rsidP="00B04B36">
      <w:pPr>
        <w:numPr>
          <w:ilvl w:val="0"/>
          <w:numId w:val="4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tablero de C.A. debe ser de zapatas principales, 2 Fases, 4 Hilos (QO-8 </w:t>
      </w:r>
      <w:proofErr w:type="spellStart"/>
      <w:r w:rsidRPr="000323A2">
        <w:rPr>
          <w:rFonts w:ascii="ITC Avant Garde" w:eastAsia="Calibri" w:hAnsi="ITC Avant Garde" w:cs="Arial"/>
          <w:lang w:val="es-ES_tradnl" w:eastAsia="es-ES"/>
        </w:rPr>
        <w:t>ó</w:t>
      </w:r>
      <w:proofErr w:type="spellEnd"/>
      <w:r w:rsidRPr="000323A2">
        <w:rPr>
          <w:rFonts w:ascii="ITC Avant Garde" w:eastAsia="Calibri" w:hAnsi="ITC Avant Garde" w:cs="Arial"/>
          <w:lang w:val="es-ES_tradnl" w:eastAsia="es-ES"/>
        </w:rPr>
        <w:t xml:space="preserve"> QO-4 dependiendo de las necesidades del servicio contratado), se recomienda que el tablero este montado a una altura de 1.50 m, con 2 interruptores termo magnéticos de acuerdo a las especificaciones del fabricante del equipo de fuerza a instalar, voltaje nominal de 220/127 VCA y con una variación ± 5% máximo. Cabe aclarar que éste NO debe ubicarse debajo de la acometida de F.O. sino frente a ésta.</w:t>
      </w:r>
    </w:p>
    <w:p w14:paraId="302ACD0D" w14:textId="2EF64B7B" w:rsidR="000323A2" w:rsidRPr="000323A2" w:rsidRDefault="000323A2" w:rsidP="000323A2">
      <w:pPr>
        <w:tabs>
          <w:tab w:val="left" w:pos="709"/>
        </w:tabs>
        <w:autoSpaceDE w:val="0"/>
        <w:autoSpaceDN w:val="0"/>
        <w:spacing w:before="240" w:after="0" w:line="276" w:lineRule="auto"/>
        <w:ind w:left="360" w:right="-234"/>
        <w:jc w:val="center"/>
        <w:rPr>
          <w:rFonts w:ascii="ITC Avant Garde" w:eastAsia="Calibri" w:hAnsi="ITC Avant Garde" w:cs="Arial"/>
          <w:lang w:val="es-ES_tradnl" w:eastAsia="es-ES"/>
        </w:rPr>
      </w:pPr>
      <w:r w:rsidRPr="000323A2">
        <w:rPr>
          <w:rFonts w:ascii="ITC Avant Garde" w:eastAsia="Times New Roman" w:hAnsi="ITC Avant Garde" w:cs="Arial"/>
          <w:noProof/>
          <w:lang w:eastAsia="es-MX"/>
        </w:rPr>
        <w:drawing>
          <wp:inline distT="0" distB="0" distL="0" distR="0" wp14:anchorId="0986CC39" wp14:editId="419291F5">
            <wp:extent cx="3348990" cy="2001520"/>
            <wp:effectExtent l="0" t="0" r="0" b="0"/>
            <wp:docPr id="42" name="Imagen 42" descr="Tablero de C.A. Para Equipo de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ro de C.A. Para Equipo de Fuerz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48990" cy="2001520"/>
                    </a:xfrm>
                    <a:prstGeom prst="rect">
                      <a:avLst/>
                    </a:prstGeom>
                    <a:noFill/>
                    <a:ln>
                      <a:noFill/>
                    </a:ln>
                  </pic:spPr>
                </pic:pic>
              </a:graphicData>
            </a:graphic>
          </wp:inline>
        </w:drawing>
      </w:r>
    </w:p>
    <w:p w14:paraId="75093E37" w14:textId="77777777" w:rsidR="000323A2" w:rsidRPr="000323A2" w:rsidRDefault="000323A2" w:rsidP="000323A2">
      <w:pPr>
        <w:tabs>
          <w:tab w:val="left" w:pos="709"/>
        </w:tabs>
        <w:autoSpaceDE w:val="0"/>
        <w:autoSpaceDN w:val="0"/>
        <w:spacing w:before="240" w:after="0" w:line="276" w:lineRule="auto"/>
        <w:ind w:left="360" w:right="-23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Tablero de C.A. Para Equipo de Fuerza.</w:t>
      </w:r>
    </w:p>
    <w:p w14:paraId="7EA4C3A8" w14:textId="77777777" w:rsidR="000323A2" w:rsidRPr="000323A2" w:rsidRDefault="000323A2" w:rsidP="000323A2">
      <w:pPr>
        <w:tabs>
          <w:tab w:val="left" w:pos="709"/>
        </w:tabs>
        <w:autoSpaceDE w:val="0"/>
        <w:autoSpaceDN w:val="0"/>
        <w:spacing w:before="240" w:after="0" w:line="276" w:lineRule="auto"/>
        <w:ind w:left="720" w:right="-234"/>
        <w:jc w:val="both"/>
        <w:rPr>
          <w:rFonts w:ascii="ITC Avant Garde" w:eastAsia="Calibri" w:hAnsi="ITC Avant Garde" w:cs="Arial"/>
          <w:lang w:val="es-ES_tradnl" w:eastAsia="es-ES"/>
        </w:rPr>
      </w:pPr>
    </w:p>
    <w:p w14:paraId="11F2F1A8" w14:textId="77777777" w:rsidR="000323A2" w:rsidRPr="000323A2" w:rsidRDefault="000323A2" w:rsidP="00B04B36">
      <w:pPr>
        <w:numPr>
          <w:ilvl w:val="0"/>
          <w:numId w:val="46"/>
        </w:numPr>
        <w:tabs>
          <w:tab w:val="left" w:pos="709"/>
        </w:tabs>
        <w:autoSpaceDE w:val="0"/>
        <w:autoSpaceDN w:val="0"/>
        <w:spacing w:before="240" w:after="0" w:line="276" w:lineRule="auto"/>
        <w:ind w:left="714" w:right="-232" w:hanging="357"/>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Se recomienda que el cliente proporcione en el </w:t>
      </w:r>
      <w:proofErr w:type="spellStart"/>
      <w:r w:rsidRPr="000323A2">
        <w:rPr>
          <w:rFonts w:ascii="ITC Avant Garde" w:eastAsia="Calibri" w:hAnsi="ITC Avant Garde" w:cs="Arial"/>
          <w:lang w:val="es-ES_tradnl" w:eastAsia="es-ES"/>
        </w:rPr>
        <w:t>site</w:t>
      </w:r>
      <w:proofErr w:type="spellEnd"/>
      <w:r w:rsidRPr="000323A2">
        <w:rPr>
          <w:rFonts w:ascii="ITC Avant Garde" w:eastAsia="Calibri" w:hAnsi="ITC Avant Garde" w:cs="Arial"/>
          <w:lang w:val="es-ES_tradnl" w:eastAsia="es-ES"/>
        </w:rPr>
        <w:t>, instalación eléctrica totalmente independiente de sus instalaciones y la alimentación debe estar conectada a carga esencial si el cliente cuenta con una planta de emergencia, en caso de que esto no sea posible se puede hacer uso de instalaciones eléctricas compartidas.</w:t>
      </w:r>
    </w:p>
    <w:p w14:paraId="302D639E" w14:textId="77777777" w:rsidR="000323A2" w:rsidRPr="000323A2" w:rsidRDefault="000323A2" w:rsidP="00B04B36">
      <w:pPr>
        <w:widowControl w:val="0"/>
        <w:numPr>
          <w:ilvl w:val="0"/>
          <w:numId w:val="81"/>
        </w:numPr>
        <w:adjustRightInd w:val="0"/>
        <w:spacing w:before="240" w:after="0" w:line="360" w:lineRule="atLeast"/>
        <w:jc w:val="both"/>
        <w:textAlignment w:val="baseline"/>
        <w:rPr>
          <w:rFonts w:ascii="Arial" w:eastAsia="Calibri" w:hAnsi="Arial" w:cs="Arial"/>
          <w:b/>
          <w:lang w:val="es-ES" w:eastAsia="es-ES"/>
        </w:rPr>
      </w:pPr>
      <w:bookmarkStart w:id="37" w:name="_Toc398759576"/>
      <w:r w:rsidRPr="000323A2">
        <w:rPr>
          <w:rFonts w:ascii="Arial" w:eastAsia="Calibri" w:hAnsi="Arial" w:cs="Arial"/>
          <w:b/>
          <w:lang w:val="es-ES" w:eastAsia="es-ES"/>
        </w:rPr>
        <w:t>ESPECIFICACIONES PARA LA PUESTA A TIERRA DEL SITIO CLIENTE</w:t>
      </w:r>
      <w:bookmarkEnd w:id="37"/>
    </w:p>
    <w:p w14:paraId="585376F8"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A </w:t>
      </w:r>
      <w:proofErr w:type="gramStart"/>
      <w:r w:rsidRPr="000323A2">
        <w:rPr>
          <w:rFonts w:ascii="ITC Avant Garde" w:eastAsia="Calibri" w:hAnsi="ITC Avant Garde" w:cs="Arial"/>
          <w:lang w:val="es-ES_tradnl" w:eastAsia="es-ES"/>
        </w:rPr>
        <w:t>continuación</w:t>
      </w:r>
      <w:proofErr w:type="gramEnd"/>
      <w:r w:rsidRPr="000323A2">
        <w:rPr>
          <w:rFonts w:ascii="ITC Avant Garde" w:eastAsia="Calibri" w:hAnsi="ITC Avant Garde" w:cs="Arial"/>
          <w:lang w:val="es-ES_tradnl" w:eastAsia="es-ES"/>
        </w:rPr>
        <w:t xml:space="preserve"> se indican los requerimientos para la puesta a tierra del sitio cliente:</w:t>
      </w:r>
    </w:p>
    <w:p w14:paraId="1507E861" w14:textId="77777777" w:rsidR="000323A2" w:rsidRPr="000323A2" w:rsidRDefault="000323A2" w:rsidP="000323A2">
      <w:pPr>
        <w:autoSpaceDE w:val="0"/>
        <w:autoSpaceDN w:val="0"/>
        <w:spacing w:before="240" w:after="0" w:line="276" w:lineRule="auto"/>
        <w:ind w:left="360" w:right="-234"/>
        <w:rPr>
          <w:rFonts w:ascii="ITC Avant Garde" w:eastAsia="Calibri" w:hAnsi="ITC Avant Garde" w:cs="Arial"/>
          <w:b/>
          <w:bCs/>
          <w:vanish/>
          <w:lang w:val="es-ES_tradnl" w:eastAsia="es-ES"/>
        </w:rPr>
      </w:pPr>
    </w:p>
    <w:p w14:paraId="6B6A945F" w14:textId="77777777" w:rsidR="000323A2" w:rsidRPr="000323A2" w:rsidRDefault="000323A2" w:rsidP="000323A2">
      <w:pPr>
        <w:numPr>
          <w:ilvl w:val="1"/>
          <w:numId w:val="0"/>
        </w:numPr>
        <w:autoSpaceDE w:val="0"/>
        <w:autoSpaceDN w:val="0"/>
        <w:spacing w:before="240" w:after="0" w:line="276" w:lineRule="auto"/>
        <w:ind w:left="360" w:right="-234" w:hanging="360"/>
        <w:rPr>
          <w:rFonts w:ascii="ITC Avant Garde" w:eastAsia="Calibri" w:hAnsi="ITC Avant Garde" w:cs="Times New Roman"/>
          <w:b/>
          <w:bCs/>
          <w:lang w:val="es-ES_tradnl"/>
        </w:rPr>
      </w:pPr>
      <w:r w:rsidRPr="000323A2">
        <w:rPr>
          <w:rFonts w:ascii="ITC Avant Garde" w:eastAsia="Calibri" w:hAnsi="ITC Avant Garde" w:cs="Times New Roman"/>
          <w:b/>
          <w:bCs/>
          <w:lang w:val="es-ES_tradnl"/>
        </w:rPr>
        <w:t>Salas</w:t>
      </w:r>
    </w:p>
    <w:p w14:paraId="72CAF71F"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La tierra física debe ser con cable desnudo calibre No. 1/0 AWG y una resistencia ≤ 25 </w:t>
      </w:r>
      <w:proofErr w:type="spellStart"/>
      <w:r w:rsidRPr="000323A2">
        <w:rPr>
          <w:rFonts w:ascii="ITC Avant Garde" w:eastAsia="Calibri" w:hAnsi="ITC Avant Garde" w:cs="Arial"/>
          <w:lang w:val="es-ES_tradnl" w:eastAsia="es-ES"/>
        </w:rPr>
        <w:t>ohms</w:t>
      </w:r>
      <w:proofErr w:type="spellEnd"/>
      <w:r w:rsidRPr="000323A2">
        <w:rPr>
          <w:rFonts w:ascii="ITC Avant Garde" w:eastAsia="Calibri" w:hAnsi="ITC Avant Garde" w:cs="Arial"/>
          <w:lang w:val="es-ES_tradnl" w:eastAsia="es-ES"/>
        </w:rPr>
        <w:t xml:space="preserve"> rematada a una barra de cobre soportada En caso de </w:t>
      </w:r>
      <w:r w:rsidRPr="000323A2">
        <w:rPr>
          <w:rFonts w:ascii="ITC Avant Garde" w:eastAsia="Calibri" w:hAnsi="ITC Avant Garde" w:cs="Arial"/>
          <w:lang w:val="es-ES_tradnl" w:eastAsia="es-ES"/>
        </w:rPr>
        <w:lastRenderedPageBreak/>
        <w:t xml:space="preserve">que el cliente cuente con una barra de tierra instalada, se permite hacer uso de esta barra de tierra compartida para la conexión de equipos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w:t>
      </w:r>
    </w:p>
    <w:p w14:paraId="6F774EC7"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Se deben instalar los electrodos mínimos necesarios que resulten del cálculo del Sistema de Tierra, construyendo registros para la inspección de la malla de tierra en puntos estratégicos sobre los electrodos con la finalidad de tomar lecturas periódicas de la resistencia con respecto a tierra de la malla, esto es cuando el Local del Cliente se encuentre en un predio independiente como se muestra en las siguientes figuras:</w:t>
      </w:r>
    </w:p>
    <w:p w14:paraId="4F16257F"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61C17422" wp14:editId="55911477">
            <wp:extent cx="5419725" cy="1990725"/>
            <wp:effectExtent l="0" t="0" r="0" b="0"/>
            <wp:docPr id="18" name="Imagen 57" descr="Puesta a Tierra del sitio cliente."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31"/>
                    <a:srcRect/>
                    <a:stretch>
                      <a:fillRect/>
                    </a:stretch>
                  </pic:blipFill>
                  <pic:spPr bwMode="auto">
                    <a:xfrm>
                      <a:off x="0" y="0"/>
                      <a:ext cx="5419725" cy="1990725"/>
                    </a:xfrm>
                    <a:prstGeom prst="rect">
                      <a:avLst/>
                    </a:prstGeom>
                    <a:noFill/>
                    <a:ln w="9525">
                      <a:noFill/>
                      <a:miter lim="800000"/>
                      <a:headEnd/>
                      <a:tailEnd/>
                    </a:ln>
                  </pic:spPr>
                </pic:pic>
              </a:graphicData>
            </a:graphic>
          </wp:inline>
        </w:drawing>
      </w:r>
    </w:p>
    <w:p w14:paraId="1FA9670F"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Puesta a Tierra del sitio cliente.</w:t>
      </w:r>
    </w:p>
    <w:p w14:paraId="40E36FD5"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both"/>
        <w:rPr>
          <w:rFonts w:ascii="ITC Avant Garde" w:eastAsia="Calibri" w:hAnsi="ITC Avant Garde" w:cs="Arial"/>
          <w:lang w:val="es-ES_tradnl" w:eastAsia="es-ES"/>
        </w:rPr>
      </w:pPr>
    </w:p>
    <w:p w14:paraId="70461FDC"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39CB0A73" wp14:editId="3D5CA2DD">
            <wp:extent cx="3429000" cy="2676525"/>
            <wp:effectExtent l="0" t="0" r="0" b="9525"/>
            <wp:docPr id="19" name="Imagen 56" descr="Registro de un Electrodo Copperweld"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32"/>
                    <a:srcRect/>
                    <a:stretch>
                      <a:fillRect/>
                    </a:stretch>
                  </pic:blipFill>
                  <pic:spPr bwMode="auto">
                    <a:xfrm>
                      <a:off x="0" y="0"/>
                      <a:ext cx="3429000" cy="2676525"/>
                    </a:xfrm>
                    <a:prstGeom prst="rect">
                      <a:avLst/>
                    </a:prstGeom>
                    <a:noFill/>
                    <a:ln w="9525">
                      <a:noFill/>
                      <a:miter lim="800000"/>
                      <a:headEnd/>
                      <a:tailEnd/>
                    </a:ln>
                  </pic:spPr>
                </pic:pic>
              </a:graphicData>
            </a:graphic>
          </wp:inline>
        </w:drawing>
      </w:r>
    </w:p>
    <w:p w14:paraId="4D4120D3"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Registro de un Electrodo </w:t>
      </w:r>
      <w:proofErr w:type="spellStart"/>
      <w:r w:rsidRPr="000323A2">
        <w:rPr>
          <w:rFonts w:ascii="ITC Avant Garde" w:eastAsia="Calibri" w:hAnsi="ITC Avant Garde" w:cs="Arial"/>
          <w:lang w:val="es-ES_tradnl" w:eastAsia="es-ES"/>
        </w:rPr>
        <w:t>Copperweld</w:t>
      </w:r>
      <w:proofErr w:type="spellEnd"/>
    </w:p>
    <w:p w14:paraId="569519B0"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Cuando el Local del Cliente se localice dentro de su inmueble y este cuente con una malla de tierra, se debe llevar un conductor de tierra de la malla a la BTLC, en los casos donde el inmueble no cuente con una malla de tierra, la referencia a tierra se deberá obtener de un electrodo de tierra fincado dentro del Local. En ambos casos, la referencia se deberá hacer mediante cable desnudo calibre No. 1/0 AWG como se muestra en la siguiente figura:</w:t>
      </w:r>
    </w:p>
    <w:p w14:paraId="31076961" w14:textId="77777777" w:rsidR="000323A2" w:rsidRPr="000323A2" w:rsidRDefault="000323A2" w:rsidP="000323A2">
      <w:pPr>
        <w:tabs>
          <w:tab w:val="left" w:pos="284"/>
        </w:tabs>
        <w:overflowPunct w:val="0"/>
        <w:autoSpaceDE w:val="0"/>
        <w:autoSpaceDN w:val="0"/>
        <w:adjustRightInd w:val="0"/>
        <w:spacing w:before="240" w:after="0" w:line="276" w:lineRule="auto"/>
        <w:ind w:right="-234"/>
        <w:jc w:val="center"/>
        <w:textAlignment w:val="baseline"/>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25E0BDE5" wp14:editId="39E1CA37">
            <wp:extent cx="3695700" cy="2781300"/>
            <wp:effectExtent l="0" t="0" r="0" b="0"/>
            <wp:docPr id="20" name="Imagen 55" descr="Puesta a Tierra del sitio cliente dentro de su Inmueble con un Electrodo de Tierra como Método Alternativ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33"/>
                    <a:srcRect/>
                    <a:stretch>
                      <a:fillRect/>
                    </a:stretch>
                  </pic:blipFill>
                  <pic:spPr bwMode="auto">
                    <a:xfrm>
                      <a:off x="0" y="0"/>
                      <a:ext cx="3695700" cy="2781300"/>
                    </a:xfrm>
                    <a:prstGeom prst="rect">
                      <a:avLst/>
                    </a:prstGeom>
                    <a:noFill/>
                    <a:ln w="9525">
                      <a:noFill/>
                      <a:miter lim="800000"/>
                      <a:headEnd/>
                      <a:tailEnd/>
                    </a:ln>
                  </pic:spPr>
                </pic:pic>
              </a:graphicData>
            </a:graphic>
          </wp:inline>
        </w:drawing>
      </w:r>
    </w:p>
    <w:p w14:paraId="04626C0F"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Puesta a Tierra del sitio cliente dentro de su Inmueble con un Electrodo de Tierra como Método Alternativo</w:t>
      </w:r>
    </w:p>
    <w:p w14:paraId="4ED8294E"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p>
    <w:p w14:paraId="55B57578"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Cuando el sitio del cliente se ubique dentro de un edificio Corporativo en un nivel superior, su referencia de tierra, deberá correr por algún espacio de uso común, debidamente señalado con un letrero que diga “Cable Propiedad de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para uso Exclusivo de Telecomunicaciones Digitales, como se muestra en la siguiente figura:</w:t>
      </w:r>
    </w:p>
    <w:p w14:paraId="2D685828" w14:textId="77777777" w:rsidR="000323A2" w:rsidRPr="000323A2" w:rsidRDefault="000323A2" w:rsidP="000323A2">
      <w:pPr>
        <w:tabs>
          <w:tab w:val="left" w:pos="284"/>
        </w:tabs>
        <w:overflowPunct w:val="0"/>
        <w:autoSpaceDE w:val="0"/>
        <w:autoSpaceDN w:val="0"/>
        <w:adjustRightInd w:val="0"/>
        <w:spacing w:before="240" w:after="0" w:line="276" w:lineRule="auto"/>
        <w:ind w:right="-234"/>
        <w:jc w:val="center"/>
        <w:textAlignment w:val="baseline"/>
        <w:rPr>
          <w:rFonts w:ascii="ITC Avant Garde" w:eastAsia="Calibri" w:hAnsi="ITC Avant Garde" w:cs="Arial"/>
          <w:lang w:val="es-ES_tradnl" w:eastAsia="es-ES"/>
        </w:rPr>
      </w:pPr>
      <w:r w:rsidRPr="000323A2">
        <w:rPr>
          <w:rFonts w:ascii="ITC Avant Garde" w:eastAsia="Calibri" w:hAnsi="ITC Avant Garde" w:cs="Arial"/>
          <w:noProof/>
          <w:lang w:eastAsia="es-MX"/>
        </w:rPr>
        <w:lastRenderedPageBreak/>
        <w:drawing>
          <wp:inline distT="0" distB="0" distL="0" distR="0" wp14:anchorId="26177986" wp14:editId="6D9DBF7A">
            <wp:extent cx="1828800" cy="3238500"/>
            <wp:effectExtent l="0" t="0" r="0" b="0"/>
            <wp:docPr id="21" name="Imagen 54" descr="Puesta a Tierra del sitio cliente dentro de un Edificio Corporativo en un Piso Superi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34"/>
                    <a:srcRect/>
                    <a:stretch>
                      <a:fillRect/>
                    </a:stretch>
                  </pic:blipFill>
                  <pic:spPr bwMode="auto">
                    <a:xfrm>
                      <a:off x="0" y="0"/>
                      <a:ext cx="1828800" cy="3238500"/>
                    </a:xfrm>
                    <a:prstGeom prst="rect">
                      <a:avLst/>
                    </a:prstGeom>
                    <a:noFill/>
                    <a:ln w="9525">
                      <a:noFill/>
                      <a:miter lim="800000"/>
                      <a:headEnd/>
                      <a:tailEnd/>
                    </a:ln>
                  </pic:spPr>
                </pic:pic>
              </a:graphicData>
            </a:graphic>
          </wp:inline>
        </w:drawing>
      </w:r>
    </w:p>
    <w:p w14:paraId="170ACF06"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Puesta a Tierra del sitio cliente dentro de un Edificio Corporativo en un Piso Superior</w:t>
      </w:r>
    </w:p>
    <w:p w14:paraId="14B4E084"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p>
    <w:p w14:paraId="7A15D86E"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En casos donde no se pueda colocar los electrodos </w:t>
      </w:r>
      <w:proofErr w:type="spellStart"/>
      <w:r w:rsidRPr="000323A2">
        <w:rPr>
          <w:rFonts w:ascii="ITC Avant Garde" w:eastAsia="Calibri" w:hAnsi="ITC Avant Garde" w:cs="Arial"/>
          <w:lang w:val="es-ES_tradnl" w:eastAsia="es-ES"/>
        </w:rPr>
        <w:t>Copperweld</w:t>
      </w:r>
      <w:proofErr w:type="spellEnd"/>
      <w:r w:rsidRPr="000323A2">
        <w:rPr>
          <w:rFonts w:ascii="ITC Avant Garde" w:eastAsia="Calibri" w:hAnsi="ITC Avant Garde" w:cs="Arial"/>
          <w:lang w:val="es-ES_tradnl" w:eastAsia="es-ES"/>
        </w:rPr>
        <w:t xml:space="preserve"> por existir roca, se aceptarán los electrodos de carbón mineral o químicos, con su registro y la preparación recomendada por los proveedores, cumpliendo con los 25 </w:t>
      </w:r>
      <w:proofErr w:type="spellStart"/>
      <w:r w:rsidRPr="000323A2">
        <w:rPr>
          <w:rFonts w:ascii="ITC Avant Garde" w:eastAsia="Calibri" w:hAnsi="ITC Avant Garde" w:cs="Arial"/>
          <w:lang w:val="es-ES_tradnl" w:eastAsia="es-ES"/>
        </w:rPr>
        <w:t>ohms</w:t>
      </w:r>
      <w:proofErr w:type="spellEnd"/>
      <w:r w:rsidRPr="000323A2">
        <w:rPr>
          <w:rFonts w:ascii="ITC Avant Garde" w:eastAsia="Calibri" w:hAnsi="ITC Avant Garde" w:cs="Arial"/>
          <w:lang w:val="es-ES_tradnl" w:eastAsia="es-ES"/>
        </w:rPr>
        <w:t xml:space="preserve">, como se muestra en las siguientes figuras: </w:t>
      </w:r>
    </w:p>
    <w:p w14:paraId="331CE1CF" w14:textId="77777777" w:rsidR="000323A2" w:rsidRPr="000323A2" w:rsidRDefault="000323A2" w:rsidP="000323A2">
      <w:pPr>
        <w:tabs>
          <w:tab w:val="left" w:pos="284"/>
        </w:tabs>
        <w:autoSpaceDE w:val="0"/>
        <w:autoSpaceDN w:val="0"/>
        <w:spacing w:before="240" w:after="0" w:line="276" w:lineRule="auto"/>
        <w:ind w:left="284" w:right="-234" w:hanging="284"/>
        <w:jc w:val="both"/>
        <w:rPr>
          <w:rFonts w:ascii="ITC Avant Garde" w:eastAsia="Calibri" w:hAnsi="ITC Avant Garde" w:cs="Arial"/>
          <w:lang w:val="es-ES_tradnl" w:eastAsia="es-ES"/>
        </w:rPr>
      </w:pPr>
      <w:r w:rsidRPr="000323A2">
        <w:rPr>
          <w:rFonts w:ascii="ITC Avant Garde" w:eastAsia="Calibri" w:hAnsi="ITC Avant Garde" w:cs="Arial"/>
          <w:noProof/>
          <w:lang w:eastAsia="es-MX"/>
        </w:rPr>
        <w:lastRenderedPageBreak/>
        <w:drawing>
          <wp:inline distT="0" distB="0" distL="0" distR="0" wp14:anchorId="57C79531" wp14:editId="1EB36BF8">
            <wp:extent cx="5581650" cy="3724275"/>
            <wp:effectExtent l="0" t="0" r="0" b="9525"/>
            <wp:docPr id="22" name="Imagen 53" descr="Electrodomineral y quimico" title="Imag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35"/>
                    <a:srcRect/>
                    <a:stretch>
                      <a:fillRect/>
                    </a:stretch>
                  </pic:blipFill>
                  <pic:spPr bwMode="auto">
                    <a:xfrm>
                      <a:off x="0" y="0"/>
                      <a:ext cx="5581650" cy="3724275"/>
                    </a:xfrm>
                    <a:prstGeom prst="rect">
                      <a:avLst/>
                    </a:prstGeom>
                    <a:noFill/>
                    <a:ln w="9525">
                      <a:noFill/>
                      <a:miter lim="800000"/>
                      <a:headEnd/>
                      <a:tailEnd/>
                    </a:ln>
                  </pic:spPr>
                </pic:pic>
              </a:graphicData>
            </a:graphic>
          </wp:inline>
        </w:drawing>
      </w:r>
    </w:p>
    <w:p w14:paraId="760F80C3"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Cada cruce de conductores de la malla debe conectarse rígidamente con soldadura exotérmica. Este tipo de conexión es permanente, no se afloja ni se corroe y tiene la misma capacidad de corriente que el conductor.</w:t>
      </w:r>
    </w:p>
    <w:p w14:paraId="4BCBAC61"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 BTLC se debe instalar a una altura de 40 cm. del NPT a la parte inferior de la barra.</w:t>
      </w:r>
    </w:p>
    <w:p w14:paraId="5FA0E2AC"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Así mismo, y para una identificación y/o revisión visual más rápida, todos los CPT conectados a la BTLC y a los bastidores de los equipos, deben poseer etiquetas de identificación de aluminio en cada extremo y su destino del conductor debe ser con letra de golpe como se muestra en la siguiente figura:</w:t>
      </w:r>
    </w:p>
    <w:p w14:paraId="3A24CDBB"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both"/>
        <w:rPr>
          <w:rFonts w:ascii="ITC Avant Garde" w:eastAsia="Calibri" w:hAnsi="ITC Avant Garde" w:cs="Arial"/>
          <w:lang w:val="es-ES_tradnl" w:eastAsia="es-ES"/>
        </w:rPr>
      </w:pPr>
      <w:r w:rsidRPr="000323A2">
        <w:rPr>
          <w:rFonts w:ascii="ITC Avant Garde" w:eastAsia="Calibri" w:hAnsi="ITC Avant Garde" w:cs="Arial"/>
          <w:noProof/>
          <w:lang w:eastAsia="es-MX"/>
        </w:rPr>
        <w:lastRenderedPageBreak/>
        <w:drawing>
          <wp:inline distT="0" distB="0" distL="0" distR="0" wp14:anchorId="6441C389" wp14:editId="49F752AF">
            <wp:extent cx="4838700" cy="2085975"/>
            <wp:effectExtent l="0" t="0" r="0" b="9525"/>
            <wp:docPr id="23" name="Imagen 52" descr="Identificación de los CPT."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36"/>
                    <a:srcRect/>
                    <a:stretch>
                      <a:fillRect/>
                    </a:stretch>
                  </pic:blipFill>
                  <pic:spPr bwMode="auto">
                    <a:xfrm>
                      <a:off x="0" y="0"/>
                      <a:ext cx="4838700" cy="2085975"/>
                    </a:xfrm>
                    <a:prstGeom prst="rect">
                      <a:avLst/>
                    </a:prstGeom>
                    <a:noFill/>
                    <a:ln w="9525">
                      <a:noFill/>
                      <a:miter lim="800000"/>
                      <a:headEnd/>
                      <a:tailEnd/>
                    </a:ln>
                  </pic:spPr>
                </pic:pic>
              </a:graphicData>
            </a:graphic>
          </wp:inline>
        </w:drawing>
      </w:r>
    </w:p>
    <w:p w14:paraId="30F55254"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Identificación de los CPT.</w:t>
      </w:r>
    </w:p>
    <w:p w14:paraId="4E6440B9"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Dentro de la sala de equipo todas las conexiones que se realicen deben ser mediante terminales de compresión, doble ojillo cañón largo y funda termo contráctil transparente, como se muestra en la siguiente figura:</w:t>
      </w:r>
    </w:p>
    <w:p w14:paraId="7713DBBC" w14:textId="77777777" w:rsidR="000323A2" w:rsidRPr="000323A2" w:rsidRDefault="000323A2" w:rsidP="000323A2">
      <w:pPr>
        <w:tabs>
          <w:tab w:val="left" w:pos="284"/>
        </w:tabs>
        <w:autoSpaceDE w:val="0"/>
        <w:autoSpaceDN w:val="0"/>
        <w:spacing w:before="240" w:after="0" w:line="276" w:lineRule="auto"/>
        <w:ind w:left="284" w:right="-234" w:hanging="284"/>
        <w:jc w:val="both"/>
        <w:rPr>
          <w:rFonts w:ascii="ITC Avant Garde" w:eastAsia="Calibri" w:hAnsi="ITC Avant Garde" w:cs="Arial"/>
          <w:lang w:val="es-ES_tradnl" w:eastAsia="es-ES"/>
        </w:rPr>
      </w:pPr>
    </w:p>
    <w:p w14:paraId="4FE1B607" w14:textId="2832A255" w:rsidR="000323A2" w:rsidRPr="000323A2" w:rsidRDefault="000323A2" w:rsidP="000323A2">
      <w:p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Times New Roman" w:hAnsi="ITC Avant Garde" w:cs="Arial"/>
          <w:noProof/>
          <w:lang w:eastAsia="es-MX"/>
        </w:rPr>
        <w:drawing>
          <wp:inline distT="0" distB="0" distL="0" distR="0" wp14:anchorId="13555B16" wp14:editId="415D026B">
            <wp:extent cx="3373120" cy="1952625"/>
            <wp:effectExtent l="0" t="0" r="0" b="0"/>
            <wp:docPr id="40" name="Imagen 40" descr="Terminal de Compre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rminal de Compresió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73120" cy="1952625"/>
                    </a:xfrm>
                    <a:prstGeom prst="rect">
                      <a:avLst/>
                    </a:prstGeom>
                    <a:noFill/>
                    <a:ln>
                      <a:noFill/>
                    </a:ln>
                  </pic:spPr>
                </pic:pic>
              </a:graphicData>
            </a:graphic>
          </wp:inline>
        </w:drawing>
      </w:r>
    </w:p>
    <w:p w14:paraId="211118C4" w14:textId="77777777" w:rsidR="000323A2" w:rsidRPr="000323A2" w:rsidRDefault="000323A2" w:rsidP="000323A2">
      <w:p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Terminal de Compresión</w:t>
      </w:r>
    </w:p>
    <w:p w14:paraId="27EFD219" w14:textId="77777777" w:rsidR="000323A2" w:rsidRPr="000323A2" w:rsidRDefault="000323A2" w:rsidP="000323A2">
      <w:pPr>
        <w:tabs>
          <w:tab w:val="left" w:pos="567"/>
        </w:tabs>
        <w:autoSpaceDE w:val="0"/>
        <w:autoSpaceDN w:val="0"/>
        <w:spacing w:before="240" w:after="0" w:line="276" w:lineRule="auto"/>
        <w:ind w:left="567" w:right="-234" w:hanging="567"/>
        <w:jc w:val="center"/>
        <w:rPr>
          <w:rFonts w:ascii="ITC Avant Garde" w:eastAsia="Calibri" w:hAnsi="ITC Avant Garde" w:cs="Arial"/>
          <w:lang w:val="es-ES_tradnl" w:eastAsia="es-ES"/>
        </w:rPr>
      </w:pPr>
    </w:p>
    <w:p w14:paraId="365BDA15"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Por ningún motivo los CPT deben instalarse dentro de tubería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metálica ni correr junto a la alimentación eléctrica de C.D. y C.A., se debe instalar en tubería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de PVC.</w:t>
      </w:r>
    </w:p>
    <w:p w14:paraId="7CCA18AA"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Las trayectorias de los CPT deben ser lo más rectas posible admitiéndose desviaciones con radios de curvatura mínimo de 30.48 cm (1’), como se muestra en la siguiente figura:</w:t>
      </w:r>
    </w:p>
    <w:p w14:paraId="70212512" w14:textId="77777777" w:rsidR="000323A2" w:rsidRPr="000323A2" w:rsidRDefault="000323A2" w:rsidP="000323A2">
      <w:pPr>
        <w:tabs>
          <w:tab w:val="left" w:pos="567"/>
        </w:tabs>
        <w:overflowPunct w:val="0"/>
        <w:autoSpaceDE w:val="0"/>
        <w:autoSpaceDN w:val="0"/>
        <w:adjustRightInd w:val="0"/>
        <w:spacing w:before="240" w:after="0" w:line="276" w:lineRule="auto"/>
        <w:ind w:left="567" w:right="-234"/>
        <w:jc w:val="both"/>
        <w:textAlignment w:val="baseline"/>
        <w:rPr>
          <w:rFonts w:ascii="ITC Avant Garde" w:eastAsia="Calibri" w:hAnsi="ITC Avant Garde" w:cs="Arial"/>
          <w:lang w:val="es-ES_tradnl" w:eastAsia="es-ES"/>
        </w:rPr>
      </w:pPr>
    </w:p>
    <w:p w14:paraId="4298125C" w14:textId="60AA54DD" w:rsidR="000323A2" w:rsidRPr="000323A2" w:rsidRDefault="000323A2" w:rsidP="000323A2">
      <w:pPr>
        <w:tabs>
          <w:tab w:val="left" w:pos="567"/>
        </w:tabs>
        <w:overflowPunct w:val="0"/>
        <w:autoSpaceDE w:val="0"/>
        <w:autoSpaceDN w:val="0"/>
        <w:adjustRightInd w:val="0"/>
        <w:spacing w:before="240" w:after="0" w:line="276" w:lineRule="auto"/>
        <w:ind w:right="-234"/>
        <w:jc w:val="center"/>
        <w:textAlignment w:val="baseline"/>
        <w:rPr>
          <w:rFonts w:ascii="ITC Avant Garde" w:eastAsia="Calibri" w:hAnsi="ITC Avant Garde" w:cs="Arial"/>
          <w:lang w:val="es-ES_tradnl" w:eastAsia="es-ES"/>
        </w:rPr>
      </w:pPr>
      <w:r w:rsidRPr="000323A2">
        <w:rPr>
          <w:rFonts w:ascii="ITC Avant Garde" w:eastAsia="Times New Roman" w:hAnsi="ITC Avant Garde" w:cs="Arial"/>
          <w:noProof/>
          <w:lang w:eastAsia="es-MX"/>
        </w:rPr>
        <w:drawing>
          <wp:inline distT="0" distB="0" distL="0" distR="0" wp14:anchorId="4C940D32" wp14:editId="438F0472">
            <wp:extent cx="3286760" cy="2557780"/>
            <wp:effectExtent l="0" t="0" r="8890" b="0"/>
            <wp:docPr id="39" name="Imagen 39" descr="Radios de Curvatura Permisi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dios de Curvatura Permisibl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86760" cy="2557780"/>
                    </a:xfrm>
                    <a:prstGeom prst="rect">
                      <a:avLst/>
                    </a:prstGeom>
                    <a:noFill/>
                    <a:ln>
                      <a:noFill/>
                    </a:ln>
                  </pic:spPr>
                </pic:pic>
              </a:graphicData>
            </a:graphic>
          </wp:inline>
        </w:drawing>
      </w:r>
    </w:p>
    <w:p w14:paraId="5F051FC6" w14:textId="77777777" w:rsidR="000323A2" w:rsidRPr="000323A2" w:rsidRDefault="000323A2" w:rsidP="000323A2">
      <w:pPr>
        <w:tabs>
          <w:tab w:val="left" w:pos="567"/>
        </w:tabs>
        <w:autoSpaceDE w:val="0"/>
        <w:autoSpaceDN w:val="0"/>
        <w:spacing w:before="240" w:after="0" w:line="276" w:lineRule="auto"/>
        <w:ind w:left="567" w:right="-234" w:hanging="567"/>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Radios de Curvatura Permisibles</w:t>
      </w:r>
    </w:p>
    <w:p w14:paraId="62A0CC4A"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Los CPT se deben conectar por la parte superior de la BTLC, de modo que permita el flujo de corriente en cascada y las colas de tierra deberán conectarse por la parte inferior de la barra y canalizados en tubería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de PVC antes de rematar a la BTLC, como se muestra en la siguiente figura:</w:t>
      </w:r>
    </w:p>
    <w:p w14:paraId="4DCA1929" w14:textId="3A77ACF3" w:rsidR="000323A2" w:rsidRPr="000323A2" w:rsidRDefault="000323A2" w:rsidP="000323A2">
      <w:pPr>
        <w:tabs>
          <w:tab w:val="left" w:pos="567"/>
        </w:tabs>
        <w:overflowPunct w:val="0"/>
        <w:autoSpaceDE w:val="0"/>
        <w:autoSpaceDN w:val="0"/>
        <w:adjustRightInd w:val="0"/>
        <w:spacing w:before="240" w:after="0" w:line="276" w:lineRule="auto"/>
        <w:ind w:right="-234"/>
        <w:jc w:val="center"/>
        <w:textAlignment w:val="baseline"/>
        <w:rPr>
          <w:rFonts w:ascii="ITC Avant Garde" w:eastAsia="Calibri" w:hAnsi="ITC Avant Garde" w:cs="Arial"/>
          <w:lang w:val="es-ES_tradnl" w:eastAsia="es-ES"/>
        </w:rPr>
      </w:pPr>
      <w:r w:rsidRPr="000323A2">
        <w:rPr>
          <w:rFonts w:ascii="ITC Avant Garde" w:eastAsia="Times New Roman" w:hAnsi="ITC Avant Garde" w:cs="Arial"/>
          <w:noProof/>
          <w:lang w:eastAsia="es-MX"/>
        </w:rPr>
        <w:drawing>
          <wp:inline distT="0" distB="0" distL="0" distR="0" wp14:anchorId="66CB0576" wp14:editId="75D65494">
            <wp:extent cx="2619375" cy="2619375"/>
            <wp:effectExtent l="0" t="0" r="9525" b="9525"/>
            <wp:docPr id="38" name="Imagen 38" descr="Conexión de Conductores en Cas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exión de Conductores en Cascad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19375" cy="2619375"/>
                    </a:xfrm>
                    <a:prstGeom prst="rect">
                      <a:avLst/>
                    </a:prstGeom>
                    <a:noFill/>
                    <a:ln>
                      <a:noFill/>
                    </a:ln>
                  </pic:spPr>
                </pic:pic>
              </a:graphicData>
            </a:graphic>
          </wp:inline>
        </w:drawing>
      </w:r>
    </w:p>
    <w:p w14:paraId="5D341169" w14:textId="77777777" w:rsidR="000323A2" w:rsidRPr="000323A2" w:rsidRDefault="000323A2" w:rsidP="000323A2">
      <w:pPr>
        <w:tabs>
          <w:tab w:val="left" w:pos="567"/>
        </w:tabs>
        <w:overflowPunct w:val="0"/>
        <w:autoSpaceDE w:val="0"/>
        <w:autoSpaceDN w:val="0"/>
        <w:adjustRightInd w:val="0"/>
        <w:spacing w:before="240" w:after="0" w:line="276" w:lineRule="auto"/>
        <w:ind w:right="-234"/>
        <w:jc w:val="center"/>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Conexión de Conductores en Cascada.</w:t>
      </w:r>
    </w:p>
    <w:p w14:paraId="318CC8FB"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No debe conectarse ningún CPT dentro de la sala proveniente del exterior, como son los sistemas de pararrayos o torres.</w:t>
      </w:r>
    </w:p>
    <w:p w14:paraId="010704E0"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Los CPT que atraviesen muros o losas, deben hacerlo a través de tubería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de PVC, rebasando el límite de muro o losa en ambos extremos al menos 5.08 cm. (2”) y se debe sellar con material anti-flama en ambos extremos. </w:t>
      </w:r>
    </w:p>
    <w:p w14:paraId="0552C7FD" w14:textId="77777777" w:rsidR="000323A2" w:rsidRPr="000323A2" w:rsidRDefault="000323A2" w:rsidP="000323A2">
      <w:pPr>
        <w:tabs>
          <w:tab w:val="left" w:pos="567"/>
        </w:tabs>
        <w:overflowPunct w:val="0"/>
        <w:autoSpaceDE w:val="0"/>
        <w:autoSpaceDN w:val="0"/>
        <w:adjustRightInd w:val="0"/>
        <w:spacing w:before="240" w:after="0" w:line="276" w:lineRule="auto"/>
        <w:ind w:right="-234"/>
        <w:jc w:val="center"/>
        <w:textAlignment w:val="baseline"/>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302BDD57" wp14:editId="1DD71D50">
            <wp:extent cx="5534025" cy="3028950"/>
            <wp:effectExtent l="0" t="0" r="9525" b="0"/>
            <wp:docPr id="27" name="Imagen 51" descr="Las especificaciones de la BTLC se muestran en la siguiente figur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40"/>
                    <a:srcRect/>
                    <a:stretch>
                      <a:fillRect/>
                    </a:stretch>
                  </pic:blipFill>
                  <pic:spPr bwMode="auto">
                    <a:xfrm>
                      <a:off x="0" y="0"/>
                      <a:ext cx="5534025" cy="3028950"/>
                    </a:xfrm>
                    <a:prstGeom prst="rect">
                      <a:avLst/>
                    </a:prstGeom>
                    <a:noFill/>
                    <a:ln w="9525">
                      <a:noFill/>
                      <a:miter lim="800000"/>
                      <a:headEnd/>
                      <a:tailEnd/>
                    </a:ln>
                  </pic:spPr>
                </pic:pic>
              </a:graphicData>
            </a:graphic>
          </wp:inline>
        </w:drawing>
      </w:r>
    </w:p>
    <w:p w14:paraId="53CEFABE"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Las especificaciones de la BTLC se muestran en la siguiente figura</w:t>
      </w:r>
    </w:p>
    <w:p w14:paraId="46763B73" w14:textId="78A165F7" w:rsidR="000323A2" w:rsidRPr="000323A2" w:rsidRDefault="000323A2" w:rsidP="000323A2">
      <w:pPr>
        <w:tabs>
          <w:tab w:val="left" w:pos="567"/>
        </w:tabs>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Times New Roman" w:hAnsi="ITC Avant Garde" w:cs="Arial"/>
          <w:noProof/>
          <w:lang w:eastAsia="es-MX"/>
        </w:rPr>
        <w:drawing>
          <wp:inline distT="0" distB="0" distL="0" distR="0" wp14:anchorId="159D78F4" wp14:editId="42B6C49C">
            <wp:extent cx="5313680" cy="2310765"/>
            <wp:effectExtent l="0" t="0" r="0" b="0"/>
            <wp:docPr id="37" name="Imagen 37" descr="Barra de Tierra Local-Cliente (BT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ra de Tierra Local-Cliente (BTLC)."/>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13680" cy="2310765"/>
                    </a:xfrm>
                    <a:prstGeom prst="rect">
                      <a:avLst/>
                    </a:prstGeom>
                    <a:noFill/>
                    <a:ln>
                      <a:noFill/>
                    </a:ln>
                  </pic:spPr>
                </pic:pic>
              </a:graphicData>
            </a:graphic>
          </wp:inline>
        </w:drawing>
      </w:r>
    </w:p>
    <w:p w14:paraId="40D37EFF" w14:textId="77777777" w:rsidR="000323A2" w:rsidRPr="000323A2" w:rsidRDefault="000323A2" w:rsidP="000323A2">
      <w:pPr>
        <w:numPr>
          <w:ilvl w:val="12"/>
          <w:numId w:val="0"/>
        </w:numPr>
        <w:tabs>
          <w:tab w:val="left" w:pos="567"/>
          <w:tab w:val="center" w:pos="4536"/>
          <w:tab w:val="left" w:pos="7183"/>
        </w:tabs>
        <w:autoSpaceDE w:val="0"/>
        <w:autoSpaceDN w:val="0"/>
        <w:spacing w:before="240" w:after="0" w:line="276" w:lineRule="auto"/>
        <w:ind w:left="567" w:right="-234" w:hanging="567"/>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Barra de Tierra Local-Cliente (BTLC).</w:t>
      </w:r>
    </w:p>
    <w:p w14:paraId="0CBBDCC6"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La barra de cobre que se utiliza para la puesta a tierra debe identificarse, según la terminología siguiente:</w:t>
      </w:r>
    </w:p>
    <w:p w14:paraId="1E114D22" w14:textId="77777777" w:rsidR="000323A2" w:rsidRPr="000323A2" w:rsidRDefault="000323A2" w:rsidP="000323A2">
      <w:pPr>
        <w:widowControl w:val="0"/>
        <w:tabs>
          <w:tab w:val="left" w:pos="567"/>
        </w:tabs>
        <w:autoSpaceDE w:val="0"/>
        <w:autoSpaceDN w:val="0"/>
        <w:spacing w:before="240" w:after="0" w:line="276" w:lineRule="auto"/>
        <w:ind w:left="567" w:right="-234" w:hanging="567"/>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BTLC</w:t>
      </w:r>
    </w:p>
    <w:p w14:paraId="18C8C37B" w14:textId="77777777" w:rsidR="000323A2" w:rsidRPr="000323A2" w:rsidRDefault="000323A2" w:rsidP="000323A2">
      <w:pPr>
        <w:widowControl w:val="0"/>
        <w:tabs>
          <w:tab w:val="left" w:pos="567"/>
        </w:tabs>
        <w:autoSpaceDE w:val="0"/>
        <w:autoSpaceDN w:val="0"/>
        <w:spacing w:before="240" w:after="0" w:line="276" w:lineRule="auto"/>
        <w:ind w:left="567"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 anterior debe ser con letra de golpe de 0.9525 cm. (3/8”) de alto, por 0.635 cm. de ancho (2/8”), en el ángulo inferior derecho, en ambas superficies de la barra.  Asimismo, se debe identificar en las paredes o columnas en un círculo de fondo amarillo lo siguiente:</w:t>
      </w:r>
    </w:p>
    <w:p w14:paraId="69000D03" w14:textId="77777777" w:rsidR="000323A2" w:rsidRPr="000323A2" w:rsidRDefault="000323A2" w:rsidP="000323A2">
      <w:pPr>
        <w:widowControl w:val="0"/>
        <w:autoSpaceDE w:val="0"/>
        <w:autoSpaceDN w:val="0"/>
        <w:spacing w:before="240" w:after="0" w:line="276" w:lineRule="auto"/>
        <w:ind w:right="-234" w:firstLine="1"/>
        <w:jc w:val="both"/>
        <w:rPr>
          <w:rFonts w:ascii="ITC Avant Garde" w:eastAsia="Calibri" w:hAnsi="ITC Avant Garde" w:cs="Arial"/>
          <w:lang w:val="es-ES_tradnl" w:eastAsia="es-ES"/>
        </w:rPr>
      </w:pPr>
    </w:p>
    <w:p w14:paraId="4200294C" w14:textId="77777777" w:rsidR="000323A2" w:rsidRPr="000323A2" w:rsidRDefault="000323A2" w:rsidP="000323A2">
      <w:pPr>
        <w:widowControl w:val="0"/>
        <w:autoSpaceDE w:val="0"/>
        <w:autoSpaceDN w:val="0"/>
        <w:spacing w:before="240" w:after="0" w:line="276" w:lineRule="auto"/>
        <w:ind w:right="-234" w:firstLine="1"/>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608C3D35" wp14:editId="7F150E77">
            <wp:extent cx="4600575" cy="1695450"/>
            <wp:effectExtent l="0" t="0" r="0" b="0"/>
            <wp:docPr id="29" name="Imagen 50" descr="Imagen"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42"/>
                    <a:srcRect/>
                    <a:stretch>
                      <a:fillRect/>
                    </a:stretch>
                  </pic:blipFill>
                  <pic:spPr bwMode="auto">
                    <a:xfrm>
                      <a:off x="0" y="0"/>
                      <a:ext cx="4600575" cy="1695450"/>
                    </a:xfrm>
                    <a:prstGeom prst="rect">
                      <a:avLst/>
                    </a:prstGeom>
                    <a:noFill/>
                    <a:ln w="9525">
                      <a:noFill/>
                      <a:miter lim="800000"/>
                      <a:headEnd/>
                      <a:tailEnd/>
                    </a:ln>
                  </pic:spPr>
                </pic:pic>
              </a:graphicData>
            </a:graphic>
          </wp:inline>
        </w:drawing>
      </w:r>
    </w:p>
    <w:p w14:paraId="1B3D1018" w14:textId="77777777" w:rsidR="000323A2" w:rsidRPr="000323A2" w:rsidRDefault="000323A2" w:rsidP="000323A2">
      <w:pPr>
        <w:widowControl w:val="0"/>
        <w:autoSpaceDE w:val="0"/>
        <w:autoSpaceDN w:val="0"/>
        <w:spacing w:before="240" w:after="0" w:line="276" w:lineRule="auto"/>
        <w:ind w:right="-234" w:firstLine="1"/>
        <w:jc w:val="both"/>
        <w:rPr>
          <w:rFonts w:ascii="ITC Avant Garde" w:eastAsia="Calibri" w:hAnsi="ITC Avant Garde" w:cs="Arial"/>
          <w:lang w:val="es-ES_tradnl" w:eastAsia="es-ES"/>
        </w:rPr>
      </w:pPr>
    </w:p>
    <w:p w14:paraId="109F2723" w14:textId="77777777" w:rsidR="000323A2" w:rsidRPr="000323A2" w:rsidRDefault="000323A2" w:rsidP="000323A2">
      <w:pPr>
        <w:widowControl w:val="0"/>
        <w:autoSpaceDE w:val="0"/>
        <w:autoSpaceDN w:val="0"/>
        <w:spacing w:before="240" w:after="0" w:line="276" w:lineRule="auto"/>
        <w:ind w:left="360"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Donde no se pueda aplicar lo anterior, se debe instalar un rótulo de identificación en una placa de plástico o acrílico, con las mismas características antes citadas.</w:t>
      </w:r>
    </w:p>
    <w:p w14:paraId="44AD28F4"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 La sujeción de la BTLC en pared debe ser como se indica en la siguiente figura:</w:t>
      </w:r>
    </w:p>
    <w:p w14:paraId="4208FE2B" w14:textId="77777777" w:rsidR="000323A2" w:rsidRPr="000323A2" w:rsidRDefault="000323A2" w:rsidP="000323A2">
      <w:pPr>
        <w:overflowPunct w:val="0"/>
        <w:autoSpaceDE w:val="0"/>
        <w:autoSpaceDN w:val="0"/>
        <w:adjustRightInd w:val="0"/>
        <w:spacing w:before="240" w:after="0" w:line="276" w:lineRule="auto"/>
        <w:ind w:right="-234"/>
        <w:jc w:val="center"/>
        <w:textAlignment w:val="baseline"/>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65D8E0DE" wp14:editId="4C378561">
            <wp:extent cx="3133725" cy="2066925"/>
            <wp:effectExtent l="0" t="0" r="0" b="0"/>
            <wp:docPr id="30" name="Imagen 49" descr="Tornillería para Fijar a Muros y Estructuras Metálica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43"/>
                    <a:srcRect/>
                    <a:stretch>
                      <a:fillRect/>
                    </a:stretch>
                  </pic:blipFill>
                  <pic:spPr bwMode="auto">
                    <a:xfrm>
                      <a:off x="0" y="0"/>
                      <a:ext cx="3133725" cy="2066925"/>
                    </a:xfrm>
                    <a:prstGeom prst="rect">
                      <a:avLst/>
                    </a:prstGeom>
                    <a:noFill/>
                    <a:ln w="9525">
                      <a:noFill/>
                      <a:miter lim="800000"/>
                      <a:headEnd/>
                      <a:tailEnd/>
                    </a:ln>
                  </pic:spPr>
                </pic:pic>
              </a:graphicData>
            </a:graphic>
          </wp:inline>
        </w:drawing>
      </w:r>
    </w:p>
    <w:p w14:paraId="6E0B962E" w14:textId="77777777" w:rsidR="000323A2" w:rsidRPr="000323A2" w:rsidRDefault="000323A2" w:rsidP="000323A2">
      <w:pPr>
        <w:autoSpaceDE w:val="0"/>
        <w:autoSpaceDN w:val="0"/>
        <w:spacing w:before="240" w:after="0" w:line="276" w:lineRule="auto"/>
        <w:ind w:right="-234" w:firstLine="1"/>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Tornillería para Fijar a Muros y Estructuras Metálicas</w:t>
      </w:r>
    </w:p>
    <w:p w14:paraId="4D8D4564"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 xml:space="preserve"> La BTLC debe estar separada de la pared y columnas una distancia mínima de 8.89 cm (3 1/2"), con una solera de fierro galvanizado y un aislador de resina </w:t>
      </w:r>
      <w:proofErr w:type="spellStart"/>
      <w:r w:rsidRPr="000323A2">
        <w:rPr>
          <w:rFonts w:ascii="ITC Avant Garde" w:eastAsia="Calibri" w:hAnsi="ITC Avant Garde" w:cs="Arial"/>
          <w:lang w:val="es-ES_tradnl" w:eastAsia="es-ES"/>
        </w:rPr>
        <w:t>epóxica</w:t>
      </w:r>
      <w:proofErr w:type="spellEnd"/>
      <w:r w:rsidRPr="000323A2">
        <w:rPr>
          <w:rFonts w:ascii="ITC Avant Garde" w:eastAsia="Calibri" w:hAnsi="ITC Avant Garde" w:cs="Arial"/>
          <w:lang w:val="es-ES_tradnl" w:eastAsia="es-ES"/>
        </w:rPr>
        <w:t xml:space="preserve"> </w:t>
      </w:r>
      <w:proofErr w:type="spellStart"/>
      <w:r w:rsidRPr="000323A2">
        <w:rPr>
          <w:rFonts w:ascii="ITC Avant Garde" w:eastAsia="Calibri" w:hAnsi="ITC Avant Garde" w:cs="Arial"/>
          <w:lang w:val="es-ES_tradnl" w:eastAsia="es-ES"/>
        </w:rPr>
        <w:t>ó</w:t>
      </w:r>
      <w:proofErr w:type="spellEnd"/>
      <w:r w:rsidRPr="000323A2">
        <w:rPr>
          <w:rFonts w:ascii="ITC Avant Garde" w:eastAsia="Calibri" w:hAnsi="ITC Avant Garde" w:cs="Arial"/>
          <w:lang w:val="es-ES_tradnl" w:eastAsia="es-ES"/>
        </w:rPr>
        <w:t xml:space="preserve"> bien tipo </w:t>
      </w:r>
      <w:proofErr w:type="spellStart"/>
      <w:r w:rsidRPr="000323A2">
        <w:rPr>
          <w:rFonts w:ascii="ITC Avant Garde" w:eastAsia="Calibri" w:hAnsi="ITC Avant Garde" w:cs="Arial"/>
          <w:lang w:val="es-ES_tradnl" w:eastAsia="es-ES"/>
        </w:rPr>
        <w:t>unistrut</w:t>
      </w:r>
      <w:proofErr w:type="spellEnd"/>
      <w:r w:rsidRPr="000323A2">
        <w:rPr>
          <w:rFonts w:ascii="ITC Avant Garde" w:eastAsia="Calibri" w:hAnsi="ITC Avant Garde" w:cs="Arial"/>
          <w:lang w:val="es-ES_tradnl" w:eastAsia="es-ES"/>
        </w:rPr>
        <w:t>, como se muestra a continuación:</w:t>
      </w:r>
    </w:p>
    <w:p w14:paraId="3FABEFB6" w14:textId="77777777" w:rsidR="000323A2" w:rsidRPr="000323A2" w:rsidRDefault="000323A2" w:rsidP="000323A2">
      <w:pPr>
        <w:numPr>
          <w:ilvl w:val="12"/>
          <w:numId w:val="0"/>
        </w:numPr>
        <w:autoSpaceDE w:val="0"/>
        <w:autoSpaceDN w:val="0"/>
        <w:spacing w:before="240" w:after="0" w:line="276" w:lineRule="auto"/>
        <w:ind w:left="283" w:right="-234"/>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0904C730" wp14:editId="175A33F6">
            <wp:extent cx="4038600" cy="2705100"/>
            <wp:effectExtent l="0" t="0" r="0" b="0"/>
            <wp:docPr id="31" name="Imagen 48" descr="Especificación de la Solera de Fierro Galvanizad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a:picLocks noChangeAspect="1" noChangeArrowheads="1"/>
                    </pic:cNvPicPr>
                  </pic:nvPicPr>
                  <pic:blipFill>
                    <a:blip r:embed="rId44"/>
                    <a:srcRect/>
                    <a:stretch>
                      <a:fillRect/>
                    </a:stretch>
                  </pic:blipFill>
                  <pic:spPr bwMode="auto">
                    <a:xfrm>
                      <a:off x="0" y="0"/>
                      <a:ext cx="4038600" cy="2705100"/>
                    </a:xfrm>
                    <a:prstGeom prst="rect">
                      <a:avLst/>
                    </a:prstGeom>
                    <a:noFill/>
                    <a:ln w="9525">
                      <a:noFill/>
                      <a:miter lim="800000"/>
                      <a:headEnd/>
                      <a:tailEnd/>
                    </a:ln>
                  </pic:spPr>
                </pic:pic>
              </a:graphicData>
            </a:graphic>
          </wp:inline>
        </w:drawing>
      </w:r>
    </w:p>
    <w:p w14:paraId="4217DF8D" w14:textId="77777777" w:rsidR="000323A2" w:rsidRPr="000323A2" w:rsidRDefault="000323A2" w:rsidP="000323A2">
      <w:pPr>
        <w:numPr>
          <w:ilvl w:val="12"/>
          <w:numId w:val="0"/>
        </w:numPr>
        <w:autoSpaceDE w:val="0"/>
        <w:autoSpaceDN w:val="0"/>
        <w:spacing w:before="240" w:after="0" w:line="276" w:lineRule="auto"/>
        <w:ind w:left="283" w:right="-234"/>
        <w:jc w:val="center"/>
        <w:rPr>
          <w:rFonts w:ascii="ITC Avant Garde" w:eastAsia="Calibri" w:hAnsi="ITC Avant Garde" w:cs="Arial"/>
          <w:lang w:val="es-ES_tradnl" w:eastAsia="es-ES"/>
        </w:rPr>
      </w:pPr>
    </w:p>
    <w:p w14:paraId="28E7F42C" w14:textId="77777777" w:rsidR="000323A2" w:rsidRPr="000323A2" w:rsidRDefault="000323A2" w:rsidP="000323A2">
      <w:pPr>
        <w:numPr>
          <w:ilvl w:val="12"/>
          <w:numId w:val="0"/>
        </w:numPr>
        <w:autoSpaceDE w:val="0"/>
        <w:autoSpaceDN w:val="0"/>
        <w:spacing w:before="240" w:after="0" w:line="276" w:lineRule="auto"/>
        <w:ind w:left="283" w:right="-23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Especificación de la Solera de Fierro Galvanizado</w:t>
      </w:r>
    </w:p>
    <w:p w14:paraId="658F0E8E"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 Para la sujeción de uniones cobre a cobre, de los conductores a las barras y de las barras a los aisladores se deben utilizar tornillos y tuercas de bronce al silicio de cabeza hexagonal de cuerda estándar. Para uniones cobre a fierro u otros materiales, utilizar tornillos de acero </w:t>
      </w:r>
      <w:proofErr w:type="spellStart"/>
      <w:r w:rsidRPr="000323A2">
        <w:rPr>
          <w:rFonts w:ascii="ITC Avant Garde" w:eastAsia="Calibri" w:hAnsi="ITC Avant Garde" w:cs="Arial"/>
          <w:lang w:val="es-ES_tradnl" w:eastAsia="es-ES"/>
        </w:rPr>
        <w:t>cadminizado</w:t>
      </w:r>
      <w:proofErr w:type="spellEnd"/>
      <w:r w:rsidRPr="000323A2">
        <w:rPr>
          <w:rFonts w:ascii="ITC Avant Garde" w:eastAsia="Calibri" w:hAnsi="ITC Avant Garde" w:cs="Arial"/>
          <w:lang w:val="es-ES_tradnl" w:eastAsia="es-ES"/>
        </w:rPr>
        <w:t>. En ambos casos, respetar los torques que se especifican en la tabla siguiente.</w:t>
      </w:r>
    </w:p>
    <w:p w14:paraId="3C2E3DDF" w14:textId="6E992756" w:rsidR="000323A2" w:rsidRDefault="000323A2" w:rsidP="000323A2">
      <w:pPr>
        <w:widowControl w:val="0"/>
        <w:autoSpaceDE w:val="0"/>
        <w:autoSpaceDN w:val="0"/>
        <w:spacing w:before="240" w:after="0" w:line="276" w:lineRule="auto"/>
        <w:ind w:right="-234" w:firstLine="1"/>
        <w:rPr>
          <w:rFonts w:ascii="ITC Avant Garde" w:eastAsia="Calibri" w:hAnsi="ITC Avant Garde" w:cs="Arial"/>
          <w:lang w:val="es-ES_tradnl" w:eastAsia="es-ES"/>
        </w:rPr>
      </w:pPr>
      <w:r w:rsidRPr="000323A2">
        <w:rPr>
          <w:rFonts w:ascii="ITC Avant Garde" w:eastAsia="Calibri" w:hAnsi="ITC Avant Garde" w:cs="Arial"/>
          <w:lang w:val="es-ES_tradnl" w:eastAsia="es-ES"/>
        </w:rPr>
        <w:t>Tornillería y torques recomendadas.</w:t>
      </w:r>
    </w:p>
    <w:p w14:paraId="048703CF" w14:textId="00BFC8CF" w:rsidR="0017463C" w:rsidRPr="000323A2" w:rsidRDefault="0017463C" w:rsidP="000323A2">
      <w:pPr>
        <w:widowControl w:val="0"/>
        <w:autoSpaceDE w:val="0"/>
        <w:autoSpaceDN w:val="0"/>
        <w:spacing w:before="240" w:after="0" w:line="276" w:lineRule="auto"/>
        <w:ind w:right="-234" w:firstLine="1"/>
        <w:rPr>
          <w:rFonts w:ascii="ITC Avant Garde" w:eastAsia="Calibri" w:hAnsi="ITC Avant Garde" w:cs="Arial"/>
          <w:lang w:val="es-ES_tradnl" w:eastAsia="es-ES"/>
        </w:rPr>
      </w:pPr>
      <w:r>
        <w:rPr>
          <w:rFonts w:ascii="ITC Avant Garde" w:eastAsia="Calibri" w:hAnsi="ITC Avant Garde" w:cs="Arial"/>
          <w:noProof/>
          <w:lang w:eastAsia="es-MX"/>
        </w:rPr>
        <w:drawing>
          <wp:inline distT="0" distB="0" distL="0" distR="0" wp14:anchorId="5887591C" wp14:editId="7DF73FD4">
            <wp:extent cx="5989230" cy="1714500"/>
            <wp:effectExtent l="0" t="0" r="0" b="0"/>
            <wp:docPr id="49" name="Imagen 49" descr="Imagen de tabla de 5 columnas que proporciona información relativa a la Tornillería y torques recomendadas." title="Tornillería y torques recomend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ornilleria.jpg"/>
                    <pic:cNvPicPr/>
                  </pic:nvPicPr>
                  <pic:blipFill>
                    <a:blip r:embed="rId45">
                      <a:extLst>
                        <a:ext uri="{28A0092B-C50C-407E-A947-70E740481C1C}">
                          <a14:useLocalDpi xmlns:a14="http://schemas.microsoft.com/office/drawing/2010/main" val="0"/>
                        </a:ext>
                      </a:extLst>
                    </a:blip>
                    <a:stretch>
                      <a:fillRect/>
                    </a:stretch>
                  </pic:blipFill>
                  <pic:spPr>
                    <a:xfrm>
                      <a:off x="0" y="0"/>
                      <a:ext cx="6009499" cy="1720302"/>
                    </a:xfrm>
                    <a:prstGeom prst="rect">
                      <a:avLst/>
                    </a:prstGeom>
                  </pic:spPr>
                </pic:pic>
              </a:graphicData>
            </a:graphic>
          </wp:inline>
        </w:drawing>
      </w:r>
    </w:p>
    <w:p w14:paraId="1406CF4F" w14:textId="77777777" w:rsidR="000323A2" w:rsidRPr="000323A2" w:rsidRDefault="000323A2" w:rsidP="00B04B36">
      <w:pPr>
        <w:widowControl w:val="0"/>
        <w:numPr>
          <w:ilvl w:val="0"/>
          <w:numId w:val="38"/>
        </w:numPr>
        <w:tabs>
          <w:tab w:val="left" w:pos="1276"/>
        </w:tabs>
        <w:overflowPunct w:val="0"/>
        <w:autoSpaceDE w:val="0"/>
        <w:autoSpaceDN w:val="0"/>
        <w:adjustRightInd w:val="0"/>
        <w:spacing w:before="240" w:after="0" w:line="276" w:lineRule="auto"/>
        <w:ind w:left="1287"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La tornillería debe sobresalir de la tuerca dos hilos (2mm) como mínimo y 6 hilos (6mm) como máximo.</w:t>
      </w:r>
    </w:p>
    <w:p w14:paraId="644BBD53" w14:textId="77777777" w:rsidR="000323A2" w:rsidRPr="000323A2" w:rsidRDefault="000323A2" w:rsidP="00B04B36">
      <w:pPr>
        <w:widowControl w:val="0"/>
        <w:numPr>
          <w:ilvl w:val="0"/>
          <w:numId w:val="38"/>
        </w:numPr>
        <w:tabs>
          <w:tab w:val="left" w:pos="1276"/>
        </w:tabs>
        <w:overflowPunct w:val="0"/>
        <w:autoSpaceDE w:val="0"/>
        <w:autoSpaceDN w:val="0"/>
        <w:adjustRightInd w:val="0"/>
        <w:spacing w:before="240" w:after="0" w:line="276" w:lineRule="auto"/>
        <w:ind w:left="1287"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Los tornillos para terminales de conexión deben tener dos rondanas planas y una de presión (ver figura 16).</w:t>
      </w:r>
    </w:p>
    <w:p w14:paraId="48AAF8C3" w14:textId="77777777" w:rsidR="000323A2" w:rsidRPr="000323A2" w:rsidRDefault="000323A2" w:rsidP="00B04B36">
      <w:pPr>
        <w:widowControl w:val="0"/>
        <w:numPr>
          <w:ilvl w:val="0"/>
          <w:numId w:val="38"/>
        </w:numPr>
        <w:tabs>
          <w:tab w:val="left" w:pos="1276"/>
        </w:tabs>
        <w:overflowPunct w:val="0"/>
        <w:autoSpaceDE w:val="0"/>
        <w:autoSpaceDN w:val="0"/>
        <w:adjustRightInd w:val="0"/>
        <w:spacing w:before="240" w:after="0" w:line="276" w:lineRule="auto"/>
        <w:ind w:left="1287"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Para unir dos aisladores debe utilizarse un birlo de 1/2" de diámetro tipo espárrago entre ellos como se muestra a continuación:</w:t>
      </w:r>
    </w:p>
    <w:p w14:paraId="621621FC" w14:textId="77777777" w:rsidR="000323A2" w:rsidRPr="000323A2" w:rsidRDefault="000323A2" w:rsidP="000323A2">
      <w:pPr>
        <w:widowControl w:val="0"/>
        <w:tabs>
          <w:tab w:val="left" w:pos="426"/>
        </w:tabs>
        <w:autoSpaceDE w:val="0"/>
        <w:autoSpaceDN w:val="0"/>
        <w:spacing w:before="240" w:after="0" w:line="276" w:lineRule="auto"/>
        <w:ind w:right="-234" w:firstLine="1"/>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7A882EB1" wp14:editId="557443B2">
            <wp:extent cx="5924550" cy="1685925"/>
            <wp:effectExtent l="0" t="0" r="0" b="9525"/>
            <wp:docPr id="32" name="Imagen 47" descr="Tornillería en Barra de Cobre y entre Aisladores "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7"/>
                    <pic:cNvPicPr>
                      <a:picLocks noChangeAspect="1" noChangeArrowheads="1"/>
                    </pic:cNvPicPr>
                  </pic:nvPicPr>
                  <pic:blipFill>
                    <a:blip r:embed="rId46"/>
                    <a:srcRect/>
                    <a:stretch>
                      <a:fillRect/>
                    </a:stretch>
                  </pic:blipFill>
                  <pic:spPr bwMode="auto">
                    <a:xfrm>
                      <a:off x="0" y="0"/>
                      <a:ext cx="5924550" cy="1685925"/>
                    </a:xfrm>
                    <a:prstGeom prst="rect">
                      <a:avLst/>
                    </a:prstGeom>
                    <a:noFill/>
                    <a:ln w="9525">
                      <a:noFill/>
                      <a:miter lim="800000"/>
                      <a:headEnd/>
                      <a:tailEnd/>
                    </a:ln>
                  </pic:spPr>
                </pic:pic>
              </a:graphicData>
            </a:graphic>
          </wp:inline>
        </w:drawing>
      </w:r>
    </w:p>
    <w:p w14:paraId="0622B5E3" w14:textId="77777777" w:rsidR="000323A2" w:rsidRPr="000323A2" w:rsidRDefault="000323A2" w:rsidP="000323A2">
      <w:pPr>
        <w:widowControl w:val="0"/>
        <w:tabs>
          <w:tab w:val="left" w:pos="426"/>
        </w:tabs>
        <w:autoSpaceDE w:val="0"/>
        <w:autoSpaceDN w:val="0"/>
        <w:spacing w:before="240" w:after="0" w:line="276" w:lineRule="auto"/>
        <w:ind w:right="-234" w:firstLine="1"/>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Tornillería en Barra de Cobre y entre Aisladores </w:t>
      </w:r>
    </w:p>
    <w:p w14:paraId="7CA88A2C" w14:textId="77777777" w:rsidR="000323A2" w:rsidRPr="000323A2" w:rsidRDefault="000323A2" w:rsidP="000323A2">
      <w:pPr>
        <w:widowControl w:val="0"/>
        <w:tabs>
          <w:tab w:val="left" w:pos="426"/>
        </w:tabs>
        <w:autoSpaceDE w:val="0"/>
        <w:autoSpaceDN w:val="0"/>
        <w:spacing w:before="240" w:after="0" w:line="276" w:lineRule="auto"/>
        <w:ind w:right="-234" w:firstLine="1"/>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6855E631" wp14:editId="426CE089">
            <wp:extent cx="4791075" cy="3629025"/>
            <wp:effectExtent l="0" t="0" r="9525" b="9525"/>
            <wp:docPr id="33" name="Imagen 46" descr="Puesta a Tierra del sitio cliente dentro de su Inmueble con un Electrodo de Tierra como Método Alternativo.&#10;"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33"/>
                    <a:srcRect/>
                    <a:stretch>
                      <a:fillRect/>
                    </a:stretch>
                  </pic:blipFill>
                  <pic:spPr bwMode="auto">
                    <a:xfrm>
                      <a:off x="0" y="0"/>
                      <a:ext cx="4791075" cy="3629025"/>
                    </a:xfrm>
                    <a:prstGeom prst="rect">
                      <a:avLst/>
                    </a:prstGeom>
                    <a:noFill/>
                    <a:ln w="9525">
                      <a:noFill/>
                      <a:miter lim="800000"/>
                      <a:headEnd/>
                      <a:tailEnd/>
                    </a:ln>
                  </pic:spPr>
                </pic:pic>
              </a:graphicData>
            </a:graphic>
          </wp:inline>
        </w:drawing>
      </w:r>
    </w:p>
    <w:p w14:paraId="68C9A97A"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Puesta a Tierra del sitio cliente dentro de su Inmueble con un </w:t>
      </w:r>
    </w:p>
    <w:p w14:paraId="1B7791F4" w14:textId="77777777" w:rsidR="000323A2" w:rsidRPr="000323A2" w:rsidRDefault="000323A2" w:rsidP="000323A2">
      <w:pPr>
        <w:numPr>
          <w:ilvl w:val="12"/>
          <w:numId w:val="0"/>
        </w:numPr>
        <w:tabs>
          <w:tab w:val="left" w:pos="284"/>
        </w:tabs>
        <w:autoSpaceDE w:val="0"/>
        <w:autoSpaceDN w:val="0"/>
        <w:spacing w:before="240" w:after="0" w:line="276" w:lineRule="auto"/>
        <w:ind w:left="284" w:right="-234" w:hanging="28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Electrodo de Tierra como Método Alternativo.</w:t>
      </w:r>
    </w:p>
    <w:p w14:paraId="5526EEF1" w14:textId="77777777" w:rsidR="000323A2" w:rsidRPr="000323A2" w:rsidRDefault="000323A2" w:rsidP="000323A2">
      <w:pPr>
        <w:widowControl w:val="0"/>
        <w:tabs>
          <w:tab w:val="left" w:pos="426"/>
        </w:tabs>
        <w:autoSpaceDE w:val="0"/>
        <w:autoSpaceDN w:val="0"/>
        <w:spacing w:before="240" w:after="0" w:line="276" w:lineRule="auto"/>
        <w:ind w:right="-234" w:firstLine="1"/>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65EEAF79" wp14:editId="10CEAEA5">
            <wp:extent cx="2533650" cy="4543425"/>
            <wp:effectExtent l="0" t="0" r="0" b="0"/>
            <wp:docPr id="34" name="Imagen 45" descr="Electrodo de Tierra como Método Alternativo."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a:picLocks noChangeAspect="1" noChangeArrowheads="1"/>
                    </pic:cNvPicPr>
                  </pic:nvPicPr>
                  <pic:blipFill>
                    <a:blip r:embed="rId34"/>
                    <a:srcRect/>
                    <a:stretch>
                      <a:fillRect/>
                    </a:stretch>
                  </pic:blipFill>
                  <pic:spPr bwMode="auto">
                    <a:xfrm>
                      <a:off x="0" y="0"/>
                      <a:ext cx="2533650" cy="4543425"/>
                    </a:xfrm>
                    <a:prstGeom prst="rect">
                      <a:avLst/>
                    </a:prstGeom>
                    <a:noFill/>
                    <a:ln w="9525">
                      <a:noFill/>
                      <a:miter lim="800000"/>
                      <a:headEnd/>
                      <a:tailEnd/>
                    </a:ln>
                  </pic:spPr>
                </pic:pic>
              </a:graphicData>
            </a:graphic>
          </wp:inline>
        </w:drawing>
      </w:r>
    </w:p>
    <w:p w14:paraId="51A98152" w14:textId="77777777" w:rsidR="000323A2" w:rsidRPr="000323A2" w:rsidRDefault="000323A2" w:rsidP="000323A2">
      <w:pPr>
        <w:autoSpaceDE w:val="0"/>
        <w:autoSpaceDN w:val="0"/>
        <w:spacing w:before="240" w:after="0" w:line="276" w:lineRule="auto"/>
        <w:ind w:right="-234" w:firstLine="1"/>
        <w:jc w:val="center"/>
        <w:rPr>
          <w:rFonts w:ascii="ITC Avant Garde" w:eastAsia="Calibri" w:hAnsi="ITC Avant Garde" w:cs="Times New Roman"/>
          <w:lang w:val="es-ES_tradnl"/>
        </w:rPr>
      </w:pPr>
      <w:r w:rsidRPr="000323A2">
        <w:rPr>
          <w:rFonts w:ascii="ITC Avant Garde" w:eastAsia="Calibri" w:hAnsi="ITC Avant Garde" w:cs="Times New Roman"/>
          <w:lang w:val="es-ES_tradnl"/>
        </w:rPr>
        <w:t>Puesta a Tierra del Local RDA Dentro de un Edificio Corporativo en un Piso Superior.</w:t>
      </w:r>
    </w:p>
    <w:p w14:paraId="6ED30499" w14:textId="77777777" w:rsidR="000323A2" w:rsidRPr="000323A2" w:rsidRDefault="000323A2" w:rsidP="00B04B36">
      <w:pPr>
        <w:numPr>
          <w:ilvl w:val="0"/>
          <w:numId w:val="37"/>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No se requiere tierra física para equipos demarcadores conectados a 127 V.C.A., solo se requiere un contacto polarizado tipo comercial.</w:t>
      </w:r>
    </w:p>
    <w:p w14:paraId="30644B4F" w14:textId="77777777" w:rsidR="000323A2" w:rsidRPr="000323A2" w:rsidRDefault="000323A2" w:rsidP="000323A2">
      <w:pPr>
        <w:numPr>
          <w:ilvl w:val="1"/>
          <w:numId w:val="0"/>
        </w:numPr>
        <w:autoSpaceDE w:val="0"/>
        <w:autoSpaceDN w:val="0"/>
        <w:spacing w:before="240" w:after="0" w:line="276" w:lineRule="auto"/>
        <w:ind w:left="360" w:right="-234" w:hanging="360"/>
        <w:rPr>
          <w:rFonts w:ascii="ITC Avant Garde" w:eastAsia="Calibri" w:hAnsi="ITC Avant Garde" w:cs="Times New Roman"/>
          <w:b/>
          <w:bCs/>
          <w:lang w:val="es-ES_tradnl"/>
        </w:rPr>
      </w:pPr>
      <w:r w:rsidRPr="000323A2">
        <w:rPr>
          <w:rFonts w:ascii="ITC Avant Garde" w:eastAsia="Calibri" w:hAnsi="ITC Avant Garde" w:cs="Arial"/>
          <w:b/>
          <w:bCs/>
          <w:lang w:val="es-ES_tradnl" w:eastAsia="es-ES"/>
        </w:rPr>
        <w:t xml:space="preserve">7.2 </w:t>
      </w:r>
      <w:r w:rsidRPr="000323A2">
        <w:rPr>
          <w:rFonts w:ascii="ITC Avant Garde" w:eastAsia="Calibri" w:hAnsi="ITC Avant Garde" w:cs="Times New Roman"/>
          <w:b/>
          <w:bCs/>
          <w:lang w:val="es-ES_tradnl"/>
        </w:rPr>
        <w:t>PUESTA A TIERRA EN TORRES PARA SISTEMAS DE RADIO</w:t>
      </w:r>
    </w:p>
    <w:p w14:paraId="12A9D491"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A </w:t>
      </w:r>
      <w:proofErr w:type="gramStart"/>
      <w:r w:rsidRPr="000323A2">
        <w:rPr>
          <w:rFonts w:ascii="ITC Avant Garde" w:eastAsia="Calibri" w:hAnsi="ITC Avant Garde" w:cs="Arial"/>
          <w:lang w:val="es-ES_tradnl" w:eastAsia="es-ES"/>
        </w:rPr>
        <w:t>continuación</w:t>
      </w:r>
      <w:proofErr w:type="gramEnd"/>
      <w:r w:rsidRPr="000323A2">
        <w:rPr>
          <w:rFonts w:ascii="ITC Avant Garde" w:eastAsia="Calibri" w:hAnsi="ITC Avant Garde" w:cs="Arial"/>
          <w:lang w:val="es-ES_tradnl" w:eastAsia="es-ES"/>
        </w:rPr>
        <w:t xml:space="preserve"> se indican los requerimientos para la puesta a tierra en torres para sistemas de radio</w:t>
      </w:r>
    </w:p>
    <w:p w14:paraId="184C815D" w14:textId="77777777" w:rsidR="000323A2" w:rsidRPr="000323A2" w:rsidRDefault="000323A2" w:rsidP="00B04B36">
      <w:pPr>
        <w:numPr>
          <w:ilvl w:val="0"/>
          <w:numId w:val="39"/>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En ninguna torre de microondas, se usarán los tornillos de anclaje de sus bases para la puesta a tierra.</w:t>
      </w:r>
    </w:p>
    <w:p w14:paraId="4A0B9996" w14:textId="77777777" w:rsidR="000323A2" w:rsidRPr="000323A2" w:rsidRDefault="000323A2" w:rsidP="00B04B36">
      <w:pPr>
        <w:numPr>
          <w:ilvl w:val="0"/>
          <w:numId w:val="39"/>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Se debe instalar un anillo alrededor de la base de la torre de microondas, separado 0.61 m (2') de cada una de las patas de la Torre y conectándose a </w:t>
      </w:r>
      <w:r w:rsidRPr="000323A2">
        <w:rPr>
          <w:rFonts w:ascii="ITC Avant Garde" w:eastAsia="Calibri" w:hAnsi="ITC Avant Garde" w:cs="Arial"/>
          <w:lang w:val="es-ES_tradnl" w:eastAsia="es-ES"/>
        </w:rPr>
        <w:lastRenderedPageBreak/>
        <w:t>una altura de 3.05 m (1') de la base metálica con alambre de cobre desnudo, temple semiduro, calibre No. 2 AWG, con soldadura exotérmica (</w:t>
      </w:r>
      <w:proofErr w:type="spellStart"/>
      <w:r w:rsidRPr="000323A2">
        <w:rPr>
          <w:rFonts w:ascii="ITC Avant Garde" w:eastAsia="Calibri" w:hAnsi="ITC Avant Garde" w:cs="Arial"/>
          <w:lang w:val="es-ES_tradnl" w:eastAsia="es-ES"/>
        </w:rPr>
        <w:t>Cadweld</w:t>
      </w:r>
      <w:proofErr w:type="spellEnd"/>
      <w:r w:rsidRPr="000323A2">
        <w:rPr>
          <w:rFonts w:ascii="ITC Avant Garde" w:eastAsia="Calibri" w:hAnsi="ITC Avant Garde" w:cs="Arial"/>
          <w:lang w:val="es-ES_tradnl" w:eastAsia="es-ES"/>
        </w:rPr>
        <w:t>), como se muestra en la siguiente figura:</w:t>
      </w:r>
    </w:p>
    <w:p w14:paraId="3A0FF04D" w14:textId="77777777" w:rsidR="000323A2" w:rsidRPr="000323A2" w:rsidRDefault="000323A2" w:rsidP="000323A2">
      <w:pPr>
        <w:tabs>
          <w:tab w:val="left" w:pos="426"/>
          <w:tab w:val="left" w:pos="2269"/>
        </w:tabs>
        <w:autoSpaceDE w:val="0"/>
        <w:autoSpaceDN w:val="0"/>
        <w:spacing w:before="240" w:after="0" w:line="276" w:lineRule="auto"/>
        <w:ind w:right="-234"/>
        <w:jc w:val="both"/>
        <w:rPr>
          <w:rFonts w:ascii="ITC Avant Garde" w:eastAsia="Calibri" w:hAnsi="ITC Avant Garde" w:cs="Arial"/>
          <w:lang w:val="es-ES_tradnl" w:eastAsia="es-ES"/>
        </w:rPr>
      </w:pPr>
    </w:p>
    <w:p w14:paraId="10828787" w14:textId="0622B2E6" w:rsidR="000323A2" w:rsidRPr="000323A2" w:rsidRDefault="000323A2" w:rsidP="000323A2">
      <w:pPr>
        <w:tabs>
          <w:tab w:val="left" w:pos="426"/>
          <w:tab w:val="left" w:pos="2269"/>
        </w:tabs>
        <w:autoSpaceDE w:val="0"/>
        <w:autoSpaceDN w:val="0"/>
        <w:spacing w:before="240" w:after="0" w:line="276" w:lineRule="auto"/>
        <w:ind w:right="-234"/>
        <w:jc w:val="center"/>
        <w:rPr>
          <w:rFonts w:ascii="ITC Avant Garde" w:eastAsia="Calibri" w:hAnsi="ITC Avant Garde" w:cs="Arial"/>
          <w:lang w:val="es-ES_tradnl" w:eastAsia="es-ES"/>
        </w:rPr>
      </w:pPr>
      <w:r w:rsidRPr="000323A2">
        <w:rPr>
          <w:rFonts w:ascii="ITC Avant Garde" w:eastAsia="Times New Roman" w:hAnsi="ITC Avant Garde" w:cs="Arial"/>
          <w:i/>
          <w:noProof/>
          <w:lang w:eastAsia="es-MX"/>
        </w:rPr>
        <w:drawing>
          <wp:inline distT="0" distB="0" distL="0" distR="0" wp14:anchorId="5535F07F" wp14:editId="46820C67">
            <wp:extent cx="2965450" cy="2804795"/>
            <wp:effectExtent l="0" t="0" r="6350" b="0"/>
            <wp:docPr id="36" name="Imagen 36" descr="Anillo Alrededor de la Base de la Torre de Microon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illo Alrededor de la Base de la Torre de Microonda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65450" cy="2804795"/>
                    </a:xfrm>
                    <a:prstGeom prst="rect">
                      <a:avLst/>
                    </a:prstGeom>
                    <a:noFill/>
                    <a:ln>
                      <a:noFill/>
                    </a:ln>
                  </pic:spPr>
                </pic:pic>
              </a:graphicData>
            </a:graphic>
          </wp:inline>
        </w:drawing>
      </w:r>
    </w:p>
    <w:p w14:paraId="7A95F971" w14:textId="77777777" w:rsidR="000323A2" w:rsidRPr="000323A2" w:rsidRDefault="000323A2" w:rsidP="000323A2">
      <w:pPr>
        <w:tabs>
          <w:tab w:val="left" w:pos="426"/>
          <w:tab w:val="left" w:pos="2269"/>
        </w:tabs>
        <w:autoSpaceDE w:val="0"/>
        <w:autoSpaceDN w:val="0"/>
        <w:spacing w:before="240" w:after="0" w:line="276" w:lineRule="auto"/>
        <w:ind w:right="-23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Anillo Alrededor de la Base de la Torre de Microondas</w:t>
      </w:r>
    </w:p>
    <w:p w14:paraId="668F551E" w14:textId="77777777" w:rsidR="000323A2" w:rsidRPr="000323A2" w:rsidRDefault="000323A2" w:rsidP="000323A2">
      <w:pPr>
        <w:numPr>
          <w:ilvl w:val="2"/>
          <w:numId w:val="0"/>
        </w:numPr>
        <w:tabs>
          <w:tab w:val="left" w:pos="851"/>
        </w:tabs>
        <w:autoSpaceDE w:val="0"/>
        <w:autoSpaceDN w:val="0"/>
        <w:spacing w:before="240" w:after="0" w:line="276" w:lineRule="auto"/>
        <w:ind w:left="720" w:right="-234" w:hanging="720"/>
        <w:rPr>
          <w:rFonts w:ascii="ITC Avant Garde" w:eastAsia="Calibri" w:hAnsi="ITC Avant Garde" w:cs="Times New Roman"/>
          <w:b/>
          <w:bCs/>
          <w:lang w:val="es-ES_tradnl"/>
        </w:rPr>
      </w:pPr>
      <w:r w:rsidRPr="000323A2">
        <w:rPr>
          <w:rFonts w:ascii="ITC Avant Garde" w:eastAsia="Calibri" w:hAnsi="ITC Avant Garde" w:cs="Times New Roman"/>
          <w:b/>
          <w:bCs/>
          <w:lang w:val="es-ES_tradnl"/>
        </w:rPr>
        <w:t>7.2.1</w:t>
      </w:r>
      <w:r w:rsidRPr="000323A2">
        <w:rPr>
          <w:rFonts w:ascii="ITC Avant Garde" w:eastAsia="Calibri" w:hAnsi="ITC Avant Garde" w:cs="Times New Roman"/>
          <w:b/>
          <w:bCs/>
          <w:lang w:val="es-ES_tradnl"/>
        </w:rPr>
        <w:tab/>
        <w:t>Torres a Nivel de Azotea.</w:t>
      </w:r>
    </w:p>
    <w:p w14:paraId="23C13D7C" w14:textId="77777777" w:rsidR="000323A2" w:rsidRPr="000323A2" w:rsidRDefault="000323A2" w:rsidP="00B04B36">
      <w:pPr>
        <w:numPr>
          <w:ilvl w:val="0"/>
          <w:numId w:val="40"/>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anillo que interconecta las patas de las torres de microondas, se debe conectar en dos puntos diametralmente opuestos como mínimo por seguridad, al anillo perimetral de la azotea </w:t>
      </w:r>
    </w:p>
    <w:p w14:paraId="476092DE" w14:textId="77777777" w:rsidR="000323A2" w:rsidRPr="000323A2" w:rsidRDefault="000323A2" w:rsidP="00B04B36">
      <w:pPr>
        <w:widowControl w:val="0"/>
        <w:numPr>
          <w:ilvl w:val="0"/>
          <w:numId w:val="40"/>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Cuando se tenga más de una torre instalada en la azotea, éstas se interconectarán al anillo perimetral como se muestra en la siguiente figura:</w:t>
      </w:r>
    </w:p>
    <w:p w14:paraId="5EEF19CD" w14:textId="28B996B1" w:rsidR="000323A2" w:rsidRPr="000323A2" w:rsidRDefault="000323A2" w:rsidP="000323A2">
      <w:pPr>
        <w:widowControl w:val="0"/>
        <w:autoSpaceDE w:val="0"/>
        <w:autoSpaceDN w:val="0"/>
        <w:spacing w:before="240" w:after="0" w:line="276" w:lineRule="auto"/>
        <w:ind w:right="-234"/>
        <w:jc w:val="center"/>
        <w:rPr>
          <w:rFonts w:ascii="ITC Avant Garde" w:eastAsia="Calibri" w:hAnsi="ITC Avant Garde" w:cs="Arial"/>
          <w:i/>
          <w:lang w:val="es-ES_tradnl" w:eastAsia="es-ES"/>
        </w:rPr>
      </w:pPr>
      <w:r w:rsidRPr="000323A2">
        <w:rPr>
          <w:rFonts w:ascii="ITC Avant Garde" w:eastAsia="Times New Roman" w:hAnsi="ITC Avant Garde" w:cs="Arial"/>
          <w:i/>
          <w:noProof/>
          <w:lang w:eastAsia="es-MX"/>
        </w:rPr>
        <w:lastRenderedPageBreak/>
        <w:drawing>
          <wp:inline distT="0" distB="0" distL="0" distR="0" wp14:anchorId="11581966" wp14:editId="3D816983">
            <wp:extent cx="2829560" cy="2298065"/>
            <wp:effectExtent l="0" t="0" r="8890" b="6985"/>
            <wp:docPr id="35" name="Imagen 35" descr="Conexión de Torres al Anillo Perimetral en Azo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exión de Torres al Anillo Perimetral en Azote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29560" cy="2298065"/>
                    </a:xfrm>
                    <a:prstGeom prst="rect">
                      <a:avLst/>
                    </a:prstGeom>
                    <a:noFill/>
                    <a:ln>
                      <a:noFill/>
                    </a:ln>
                  </pic:spPr>
                </pic:pic>
              </a:graphicData>
            </a:graphic>
          </wp:inline>
        </w:drawing>
      </w:r>
    </w:p>
    <w:p w14:paraId="15BDAE6F" w14:textId="77777777" w:rsidR="000323A2" w:rsidRPr="000323A2" w:rsidRDefault="000323A2" w:rsidP="000323A2">
      <w:pPr>
        <w:autoSpaceDE w:val="0"/>
        <w:autoSpaceDN w:val="0"/>
        <w:spacing w:before="240" w:after="0" w:line="276" w:lineRule="auto"/>
        <w:ind w:right="-234" w:firstLine="1"/>
        <w:jc w:val="center"/>
        <w:rPr>
          <w:rFonts w:ascii="ITC Avant Garde" w:eastAsia="Calibri" w:hAnsi="ITC Avant Garde" w:cs="Times New Roman"/>
          <w:lang w:val="es-ES_tradnl"/>
        </w:rPr>
      </w:pPr>
      <w:r w:rsidRPr="000323A2">
        <w:rPr>
          <w:rFonts w:ascii="ITC Avant Garde" w:eastAsia="Calibri" w:hAnsi="ITC Avant Garde" w:cs="Times New Roman"/>
          <w:lang w:val="es-ES_tradnl"/>
        </w:rPr>
        <w:t>Conexión de Torres al Anillo Perimetral en Azotea.</w:t>
      </w:r>
    </w:p>
    <w:p w14:paraId="28D98D73" w14:textId="77777777" w:rsidR="000323A2" w:rsidRPr="000323A2" w:rsidRDefault="000323A2" w:rsidP="00B04B36">
      <w:pPr>
        <w:numPr>
          <w:ilvl w:val="0"/>
          <w:numId w:val="40"/>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 La puesta a tierra de cada retenida de torre de microondas, se debe referir al anillo perimetral de la azotea con alambre de cobre desnudo, calibre No. 6 AWG, con conectores tipo "C" a compresión bimetálicos y, en el otro extremo, con soldadura </w:t>
      </w:r>
      <w:proofErr w:type="spellStart"/>
      <w:r w:rsidRPr="000323A2">
        <w:rPr>
          <w:rFonts w:ascii="ITC Avant Garde" w:eastAsia="Calibri" w:hAnsi="ITC Avant Garde" w:cs="Arial"/>
          <w:lang w:val="es-ES_tradnl" w:eastAsia="es-ES"/>
        </w:rPr>
        <w:t>Cadweld</w:t>
      </w:r>
      <w:proofErr w:type="spellEnd"/>
      <w:r w:rsidRPr="000323A2">
        <w:rPr>
          <w:rFonts w:ascii="ITC Avant Garde" w:eastAsia="Calibri" w:hAnsi="ITC Avant Garde" w:cs="Arial"/>
          <w:lang w:val="es-ES_tradnl" w:eastAsia="es-ES"/>
        </w:rPr>
        <w:t xml:space="preserve"> al anillo perimetral, como se muestra en la siguiente figura:</w:t>
      </w:r>
    </w:p>
    <w:p w14:paraId="3D14464D" w14:textId="6C725DB4" w:rsidR="000323A2" w:rsidRPr="000323A2" w:rsidRDefault="000323A2" w:rsidP="000323A2">
      <w:pPr>
        <w:widowControl w:val="0"/>
        <w:autoSpaceDE w:val="0"/>
        <w:autoSpaceDN w:val="0"/>
        <w:spacing w:before="240" w:after="0" w:line="276" w:lineRule="auto"/>
        <w:ind w:right="-234"/>
        <w:jc w:val="center"/>
        <w:rPr>
          <w:rFonts w:ascii="ITC Avant Garde" w:eastAsia="Calibri" w:hAnsi="ITC Avant Garde" w:cs="Arial"/>
          <w:i/>
          <w:lang w:val="es-ES_tradnl" w:eastAsia="es-ES"/>
        </w:rPr>
      </w:pPr>
      <w:r w:rsidRPr="000323A2">
        <w:rPr>
          <w:rFonts w:ascii="ITC Avant Garde" w:eastAsia="Times New Roman" w:hAnsi="ITC Avant Garde" w:cs="Arial"/>
          <w:i/>
          <w:noProof/>
          <w:lang w:eastAsia="es-MX"/>
        </w:rPr>
        <w:drawing>
          <wp:inline distT="0" distB="0" distL="0" distR="0" wp14:anchorId="7BD308B0" wp14:editId="3110CC17">
            <wp:extent cx="2965450" cy="1927860"/>
            <wp:effectExtent l="0" t="0" r="6350" b="0"/>
            <wp:docPr id="28" name="Imagen 28" descr="Retenidas de las Torres de Microondas en Azotea de Edific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tenidas de las Torres de Microondas en Azotea de Edificio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5450" cy="1927860"/>
                    </a:xfrm>
                    <a:prstGeom prst="rect">
                      <a:avLst/>
                    </a:prstGeom>
                    <a:noFill/>
                    <a:ln>
                      <a:noFill/>
                    </a:ln>
                  </pic:spPr>
                </pic:pic>
              </a:graphicData>
            </a:graphic>
          </wp:inline>
        </w:drawing>
      </w:r>
    </w:p>
    <w:p w14:paraId="4DD9C36D" w14:textId="77777777" w:rsidR="000323A2" w:rsidRPr="000323A2" w:rsidRDefault="000323A2" w:rsidP="000323A2">
      <w:pPr>
        <w:autoSpaceDE w:val="0"/>
        <w:autoSpaceDN w:val="0"/>
        <w:spacing w:before="240" w:after="0" w:line="276" w:lineRule="auto"/>
        <w:ind w:right="-234" w:firstLine="1"/>
        <w:jc w:val="center"/>
        <w:rPr>
          <w:rFonts w:ascii="ITC Avant Garde" w:eastAsia="Calibri" w:hAnsi="ITC Avant Garde" w:cs="Times New Roman"/>
          <w:lang w:val="es-ES_tradnl"/>
        </w:rPr>
      </w:pPr>
      <w:r w:rsidRPr="000323A2">
        <w:rPr>
          <w:rFonts w:ascii="ITC Avant Garde" w:eastAsia="Calibri" w:hAnsi="ITC Avant Garde" w:cs="Times New Roman"/>
          <w:lang w:val="es-ES_tradnl"/>
        </w:rPr>
        <w:t>Retenidas de las Torres de Microondas en Azotea de Edificios.</w:t>
      </w:r>
    </w:p>
    <w:p w14:paraId="362B0311" w14:textId="77777777" w:rsidR="000323A2" w:rsidRPr="000323A2" w:rsidRDefault="000323A2" w:rsidP="000323A2">
      <w:pPr>
        <w:numPr>
          <w:ilvl w:val="2"/>
          <w:numId w:val="0"/>
        </w:numPr>
        <w:tabs>
          <w:tab w:val="left" w:pos="851"/>
        </w:tabs>
        <w:autoSpaceDE w:val="0"/>
        <w:autoSpaceDN w:val="0"/>
        <w:spacing w:before="240" w:after="0" w:line="276" w:lineRule="auto"/>
        <w:ind w:left="720" w:right="-234" w:hanging="720"/>
        <w:rPr>
          <w:rFonts w:ascii="ITC Avant Garde" w:eastAsia="Calibri" w:hAnsi="ITC Avant Garde" w:cs="Times New Roman"/>
          <w:b/>
          <w:bCs/>
          <w:lang w:val="es-ES_tradnl"/>
        </w:rPr>
      </w:pPr>
      <w:r w:rsidRPr="000323A2">
        <w:rPr>
          <w:rFonts w:ascii="ITC Avant Garde" w:eastAsia="Calibri" w:hAnsi="ITC Avant Garde" w:cs="Times New Roman"/>
          <w:b/>
          <w:bCs/>
          <w:lang w:val="es-ES_tradnl"/>
        </w:rPr>
        <w:t>7.2.2 Torres a Nivel de Piso.</w:t>
      </w:r>
    </w:p>
    <w:p w14:paraId="2B216E2E" w14:textId="77777777" w:rsidR="000323A2" w:rsidRPr="000323A2" w:rsidRDefault="000323A2" w:rsidP="00B04B36">
      <w:pPr>
        <w:numPr>
          <w:ilvl w:val="0"/>
          <w:numId w:val="41"/>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 Se debe instalar un electrodo </w:t>
      </w:r>
      <w:proofErr w:type="spellStart"/>
      <w:r w:rsidRPr="000323A2">
        <w:rPr>
          <w:rFonts w:ascii="ITC Avant Garde" w:eastAsia="Calibri" w:hAnsi="ITC Avant Garde" w:cs="Arial"/>
          <w:lang w:val="es-ES_tradnl" w:eastAsia="es-ES"/>
        </w:rPr>
        <w:t>copperweld</w:t>
      </w:r>
      <w:proofErr w:type="spellEnd"/>
      <w:r w:rsidRPr="000323A2">
        <w:rPr>
          <w:rFonts w:ascii="ITC Avant Garde" w:eastAsia="Calibri" w:hAnsi="ITC Avant Garde" w:cs="Arial"/>
          <w:lang w:val="es-ES_tradnl" w:eastAsia="es-ES"/>
        </w:rPr>
        <w:t xml:space="preserve"> en cada pata de la torre, separado 0.61 m (2') y a una profundidad de 0.61 m (2').</w:t>
      </w:r>
    </w:p>
    <w:p w14:paraId="3C8CADBB" w14:textId="77777777" w:rsidR="000323A2" w:rsidRPr="000323A2" w:rsidRDefault="000323A2" w:rsidP="00B04B36">
      <w:pPr>
        <w:numPr>
          <w:ilvl w:val="0"/>
          <w:numId w:val="41"/>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Interconectar entre sí los electrodos </w:t>
      </w:r>
      <w:proofErr w:type="spellStart"/>
      <w:r w:rsidRPr="000323A2">
        <w:rPr>
          <w:rFonts w:ascii="ITC Avant Garde" w:eastAsia="Calibri" w:hAnsi="ITC Avant Garde" w:cs="Arial"/>
          <w:lang w:val="es-ES_tradnl" w:eastAsia="es-ES"/>
        </w:rPr>
        <w:t>copperweld</w:t>
      </w:r>
      <w:proofErr w:type="spellEnd"/>
      <w:r w:rsidRPr="000323A2">
        <w:rPr>
          <w:rFonts w:ascii="ITC Avant Garde" w:eastAsia="Calibri" w:hAnsi="ITC Avant Garde" w:cs="Arial"/>
          <w:lang w:val="es-ES_tradnl" w:eastAsia="es-ES"/>
        </w:rPr>
        <w:t xml:space="preserve"> con un alambre de cobre No. 2 AWG desnudo, enterrándose en un canal de 0.61 m (2') de profundidad y las </w:t>
      </w:r>
      <w:r w:rsidRPr="000323A2">
        <w:rPr>
          <w:rFonts w:ascii="ITC Avant Garde" w:eastAsia="Calibri" w:hAnsi="ITC Avant Garde" w:cs="Arial"/>
          <w:lang w:val="es-ES_tradnl" w:eastAsia="es-ES"/>
        </w:rPr>
        <w:lastRenderedPageBreak/>
        <w:t>uniones de los electrodos, alambres y las patas de la torre se harán con soldadura exotérmica (</w:t>
      </w:r>
      <w:proofErr w:type="spellStart"/>
      <w:r w:rsidRPr="000323A2">
        <w:rPr>
          <w:rFonts w:ascii="ITC Avant Garde" w:eastAsia="Calibri" w:hAnsi="ITC Avant Garde" w:cs="Arial"/>
          <w:lang w:val="es-ES_tradnl" w:eastAsia="es-ES"/>
        </w:rPr>
        <w:t>Cadweld</w:t>
      </w:r>
      <w:proofErr w:type="spellEnd"/>
      <w:r w:rsidRPr="000323A2">
        <w:rPr>
          <w:rFonts w:ascii="ITC Avant Garde" w:eastAsia="Calibri" w:hAnsi="ITC Avant Garde" w:cs="Arial"/>
          <w:lang w:val="es-ES_tradnl" w:eastAsia="es-ES"/>
        </w:rPr>
        <w:t>).</w:t>
      </w:r>
    </w:p>
    <w:p w14:paraId="7BF1C2A9" w14:textId="77777777" w:rsidR="000323A2" w:rsidRPr="000323A2" w:rsidRDefault="000323A2" w:rsidP="00B04B36">
      <w:pPr>
        <w:numPr>
          <w:ilvl w:val="0"/>
          <w:numId w:val="41"/>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 Después de haber realizado este anillo de tierra en la torre, se debe unir a la malla principal de tierra en dos puntos con alambre de cobre calibre No. 2 AWG desnudo</w:t>
      </w:r>
    </w:p>
    <w:p w14:paraId="04C5C489" w14:textId="77777777" w:rsidR="000323A2" w:rsidRPr="000323A2" w:rsidRDefault="000323A2" w:rsidP="000323A2">
      <w:p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 anterior se muestra en la siguiente figura</w:t>
      </w:r>
    </w:p>
    <w:p w14:paraId="3211680E" w14:textId="42726FF3" w:rsidR="000323A2" w:rsidRPr="000323A2" w:rsidRDefault="000323A2" w:rsidP="000323A2">
      <w:pPr>
        <w:widowControl w:val="0"/>
        <w:autoSpaceDE w:val="0"/>
        <w:autoSpaceDN w:val="0"/>
        <w:spacing w:before="240" w:after="0" w:line="276" w:lineRule="auto"/>
        <w:ind w:right="-234"/>
        <w:jc w:val="center"/>
        <w:rPr>
          <w:rFonts w:ascii="ITC Avant Garde" w:eastAsia="Calibri" w:hAnsi="ITC Avant Garde" w:cs="Arial"/>
          <w:i/>
          <w:lang w:val="es-ES_tradnl" w:eastAsia="es-ES"/>
        </w:rPr>
      </w:pPr>
      <w:r w:rsidRPr="000323A2">
        <w:rPr>
          <w:rFonts w:ascii="ITC Avant Garde" w:eastAsia="Times New Roman" w:hAnsi="ITC Avant Garde" w:cs="Arial"/>
          <w:i/>
          <w:noProof/>
          <w:lang w:eastAsia="es-MX"/>
        </w:rPr>
        <w:drawing>
          <wp:inline distT="0" distB="0" distL="0" distR="0" wp14:anchorId="6A012F56" wp14:editId="0148019C">
            <wp:extent cx="4472940" cy="2718435"/>
            <wp:effectExtent l="0" t="0" r="0" b="5715"/>
            <wp:docPr id="26" name="Imagen 26"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72940" cy="2718435"/>
                    </a:xfrm>
                    <a:prstGeom prst="rect">
                      <a:avLst/>
                    </a:prstGeom>
                    <a:noFill/>
                    <a:ln>
                      <a:noFill/>
                    </a:ln>
                  </pic:spPr>
                </pic:pic>
              </a:graphicData>
            </a:graphic>
          </wp:inline>
        </w:drawing>
      </w:r>
    </w:p>
    <w:p w14:paraId="60D1A1F9" w14:textId="77777777" w:rsidR="000323A2" w:rsidRPr="000323A2" w:rsidRDefault="000323A2" w:rsidP="000323A2">
      <w:pPr>
        <w:widowControl w:val="0"/>
        <w:autoSpaceDE w:val="0"/>
        <w:autoSpaceDN w:val="0"/>
        <w:spacing w:before="240" w:after="0" w:line="276" w:lineRule="auto"/>
        <w:ind w:right="-234"/>
        <w:jc w:val="center"/>
        <w:rPr>
          <w:rFonts w:ascii="ITC Avant Garde" w:eastAsia="Calibri" w:hAnsi="ITC Avant Garde" w:cs="Arial"/>
          <w:i/>
          <w:lang w:val="es-ES_tradnl" w:eastAsia="es-ES"/>
        </w:rPr>
      </w:pPr>
    </w:p>
    <w:p w14:paraId="653FB2D5" w14:textId="473CCF34" w:rsidR="000323A2" w:rsidRPr="000323A2" w:rsidRDefault="000323A2" w:rsidP="000323A2">
      <w:pPr>
        <w:widowControl w:val="0"/>
        <w:autoSpaceDE w:val="0"/>
        <w:autoSpaceDN w:val="0"/>
        <w:spacing w:before="240" w:after="0" w:line="276" w:lineRule="auto"/>
        <w:ind w:right="-234"/>
        <w:jc w:val="center"/>
        <w:rPr>
          <w:rFonts w:ascii="ITC Avant Garde" w:eastAsia="Calibri" w:hAnsi="ITC Avant Garde" w:cs="Arial"/>
          <w:lang w:val="es-ES_tradnl" w:eastAsia="es-ES"/>
        </w:rPr>
      </w:pPr>
      <w:r w:rsidRPr="000323A2">
        <w:rPr>
          <w:rFonts w:ascii="ITC Avant Garde" w:eastAsia="Times New Roman" w:hAnsi="ITC Avant Garde" w:cs="Arial"/>
          <w:i/>
          <w:noProof/>
          <w:lang w:eastAsia="es-MX"/>
        </w:rPr>
        <w:drawing>
          <wp:inline distT="0" distB="0" distL="0" distR="0" wp14:anchorId="4A81E98E" wp14:editId="2FCF8562">
            <wp:extent cx="3051810" cy="1927860"/>
            <wp:effectExtent l="0" t="0" r="0" b="0"/>
            <wp:docPr id="25" name="Imagen 25" descr="Torres Instaladas a Nivel de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rres Instaladas a Nivel de Pis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51810" cy="1927860"/>
                    </a:xfrm>
                    <a:prstGeom prst="rect">
                      <a:avLst/>
                    </a:prstGeom>
                    <a:noFill/>
                    <a:ln>
                      <a:noFill/>
                    </a:ln>
                  </pic:spPr>
                </pic:pic>
              </a:graphicData>
            </a:graphic>
          </wp:inline>
        </w:drawing>
      </w:r>
    </w:p>
    <w:p w14:paraId="57BC8C5D" w14:textId="77777777" w:rsidR="000323A2" w:rsidRPr="000323A2" w:rsidRDefault="000323A2" w:rsidP="000323A2">
      <w:pPr>
        <w:autoSpaceDE w:val="0"/>
        <w:autoSpaceDN w:val="0"/>
        <w:spacing w:before="240" w:after="0" w:line="276" w:lineRule="auto"/>
        <w:ind w:right="-234" w:firstLine="1"/>
        <w:jc w:val="center"/>
        <w:rPr>
          <w:rFonts w:ascii="ITC Avant Garde" w:eastAsia="Calibri" w:hAnsi="ITC Avant Garde" w:cs="Times New Roman"/>
          <w:lang w:val="es-ES_tradnl"/>
        </w:rPr>
      </w:pPr>
      <w:r w:rsidRPr="000323A2">
        <w:rPr>
          <w:rFonts w:ascii="ITC Avant Garde" w:eastAsia="Calibri" w:hAnsi="ITC Avant Garde" w:cs="Times New Roman"/>
          <w:lang w:val="es-ES_tradnl"/>
        </w:rPr>
        <w:t>Torres Instaladas a Nivel de Piso.</w:t>
      </w:r>
    </w:p>
    <w:p w14:paraId="7761B6B4" w14:textId="77777777" w:rsidR="000323A2" w:rsidRPr="000323A2" w:rsidRDefault="000323A2" w:rsidP="00B04B36">
      <w:pPr>
        <w:numPr>
          <w:ilvl w:val="0"/>
          <w:numId w:val="41"/>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 xml:space="preserve"> Las retenidas de las torres en el piso, deben ser puestas a tierra con conectores tipo "C", bimetálicos y conectados con soldadura </w:t>
      </w:r>
      <w:proofErr w:type="spellStart"/>
      <w:r w:rsidRPr="000323A2">
        <w:rPr>
          <w:rFonts w:ascii="ITC Avant Garde" w:eastAsia="Calibri" w:hAnsi="ITC Avant Garde" w:cs="Arial"/>
          <w:lang w:val="es-ES_tradnl" w:eastAsia="es-ES"/>
        </w:rPr>
        <w:t>Cadweld</w:t>
      </w:r>
      <w:proofErr w:type="spellEnd"/>
      <w:r w:rsidRPr="000323A2">
        <w:rPr>
          <w:rFonts w:ascii="ITC Avant Garde" w:eastAsia="Calibri" w:hAnsi="ITC Avant Garde" w:cs="Arial"/>
          <w:lang w:val="es-ES_tradnl" w:eastAsia="es-ES"/>
        </w:rPr>
        <w:t xml:space="preserve"> a un electrodo </w:t>
      </w:r>
      <w:proofErr w:type="spellStart"/>
      <w:r w:rsidRPr="000323A2">
        <w:rPr>
          <w:rFonts w:ascii="ITC Avant Garde" w:eastAsia="Calibri" w:hAnsi="ITC Avant Garde" w:cs="Arial"/>
          <w:lang w:val="es-ES_tradnl" w:eastAsia="es-ES"/>
        </w:rPr>
        <w:t>Copperweld</w:t>
      </w:r>
      <w:proofErr w:type="spellEnd"/>
      <w:r w:rsidRPr="000323A2">
        <w:rPr>
          <w:rFonts w:ascii="ITC Avant Garde" w:eastAsia="Calibri" w:hAnsi="ITC Avant Garde" w:cs="Arial"/>
          <w:lang w:val="es-ES_tradnl" w:eastAsia="es-ES"/>
        </w:rPr>
        <w:t xml:space="preserve"> lo anterior se muestra en la siguiente figura:</w:t>
      </w:r>
    </w:p>
    <w:p w14:paraId="7AAB1F4F" w14:textId="1B81908C" w:rsidR="000323A2" w:rsidRPr="000323A2" w:rsidRDefault="000323A2" w:rsidP="000323A2">
      <w:pPr>
        <w:widowControl w:val="0"/>
        <w:autoSpaceDE w:val="0"/>
        <w:autoSpaceDN w:val="0"/>
        <w:spacing w:before="240" w:after="0" w:line="276" w:lineRule="auto"/>
        <w:ind w:right="-234"/>
        <w:jc w:val="center"/>
        <w:rPr>
          <w:rFonts w:ascii="ITC Avant Garde" w:eastAsia="Calibri" w:hAnsi="ITC Avant Garde" w:cs="Arial"/>
          <w:lang w:val="es-ES_tradnl" w:eastAsia="es-ES"/>
        </w:rPr>
      </w:pPr>
      <w:r w:rsidRPr="000323A2">
        <w:rPr>
          <w:rFonts w:ascii="ITC Avant Garde" w:eastAsia="Times New Roman" w:hAnsi="ITC Avant Garde" w:cs="Arial"/>
          <w:i/>
          <w:noProof/>
          <w:lang w:eastAsia="es-MX"/>
        </w:rPr>
        <w:drawing>
          <wp:inline distT="0" distB="0" distL="0" distR="0" wp14:anchorId="74E9DB54" wp14:editId="61E4A457">
            <wp:extent cx="4856480" cy="3089275"/>
            <wp:effectExtent l="0" t="0" r="1270" b="0"/>
            <wp:docPr id="24" name="Imagen 24" descr="Puesta a Tierra de cada una de las Reteni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esta a Tierra de cada una de las Retenid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56480" cy="3089275"/>
                    </a:xfrm>
                    <a:prstGeom prst="rect">
                      <a:avLst/>
                    </a:prstGeom>
                    <a:noFill/>
                    <a:ln>
                      <a:noFill/>
                    </a:ln>
                  </pic:spPr>
                </pic:pic>
              </a:graphicData>
            </a:graphic>
          </wp:inline>
        </w:drawing>
      </w:r>
    </w:p>
    <w:p w14:paraId="11DD06B9" w14:textId="77777777" w:rsidR="000323A2" w:rsidRPr="000323A2" w:rsidRDefault="000323A2" w:rsidP="000323A2">
      <w:pPr>
        <w:autoSpaceDE w:val="0"/>
        <w:autoSpaceDN w:val="0"/>
        <w:spacing w:before="240" w:after="0" w:line="276" w:lineRule="auto"/>
        <w:ind w:right="-234" w:firstLine="1"/>
        <w:jc w:val="center"/>
        <w:rPr>
          <w:rFonts w:ascii="ITC Avant Garde" w:eastAsia="Calibri" w:hAnsi="ITC Avant Garde" w:cs="Times New Roman"/>
          <w:lang w:val="es-ES_tradnl"/>
        </w:rPr>
      </w:pPr>
      <w:r w:rsidRPr="000323A2">
        <w:rPr>
          <w:rFonts w:ascii="ITC Avant Garde" w:eastAsia="Calibri" w:hAnsi="ITC Avant Garde" w:cs="Times New Roman"/>
          <w:lang w:val="es-ES_tradnl"/>
        </w:rPr>
        <w:t>Puesta a Tierra de cada una de las Retenidas.</w:t>
      </w:r>
    </w:p>
    <w:p w14:paraId="6757A5C5" w14:textId="77777777" w:rsidR="000323A2" w:rsidRPr="000323A2" w:rsidRDefault="000323A2" w:rsidP="00B04B36">
      <w:pPr>
        <w:widowControl w:val="0"/>
        <w:numPr>
          <w:ilvl w:val="1"/>
          <w:numId w:val="69"/>
        </w:numPr>
        <w:autoSpaceDE w:val="0"/>
        <w:autoSpaceDN w:val="0"/>
        <w:adjustRightInd w:val="0"/>
        <w:spacing w:before="240" w:after="0" w:line="276" w:lineRule="auto"/>
        <w:ind w:left="567" w:right="-234" w:hanging="567"/>
        <w:jc w:val="both"/>
        <w:textAlignment w:val="baseline"/>
        <w:rPr>
          <w:rFonts w:ascii="ITC Avant Garde" w:eastAsia="Calibri" w:hAnsi="ITC Avant Garde" w:cs="Arial"/>
          <w:b/>
          <w:bCs/>
          <w:lang w:val="es-ES_tradnl" w:eastAsia="es-ES"/>
        </w:rPr>
      </w:pPr>
      <w:r w:rsidRPr="000323A2">
        <w:rPr>
          <w:rFonts w:ascii="ITC Avant Garde" w:eastAsia="Calibri" w:hAnsi="ITC Avant Garde" w:cs="Arial"/>
          <w:b/>
          <w:bCs/>
          <w:lang w:val="es-ES_tradnl" w:eastAsia="es-ES"/>
        </w:rPr>
        <w:t>Pararrayos.</w:t>
      </w:r>
    </w:p>
    <w:p w14:paraId="287F6A1C" w14:textId="77777777" w:rsidR="000323A2" w:rsidRPr="000323A2" w:rsidRDefault="000323A2" w:rsidP="00B04B36">
      <w:pPr>
        <w:numPr>
          <w:ilvl w:val="0"/>
          <w:numId w:val="4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Si la torre de microondas es mayor de 30.5 m (100') de altura, no requiere del conductor de puesta a tierra, se utiliza la estructura de la torre, misma que servirá de conductor, conectándose en su base a la malla de tierra con alambre desnudo, calibre No. 2 AWG</w:t>
      </w:r>
    </w:p>
    <w:p w14:paraId="3B166B18" w14:textId="77777777" w:rsidR="000323A2" w:rsidRPr="000323A2" w:rsidRDefault="000323A2" w:rsidP="000323A2">
      <w:pPr>
        <w:tabs>
          <w:tab w:val="left" w:pos="709"/>
          <w:tab w:val="left" w:pos="7680"/>
        </w:tabs>
        <w:autoSpaceDE w:val="0"/>
        <w:autoSpaceDN w:val="0"/>
        <w:spacing w:before="240" w:after="0" w:line="276" w:lineRule="auto"/>
        <w:ind w:left="720" w:right="-234"/>
        <w:jc w:val="center"/>
        <w:rPr>
          <w:rFonts w:ascii="ITC Avant Garde" w:eastAsia="Calibri" w:hAnsi="ITC Avant Garde" w:cs="Arial"/>
          <w:color w:val="A6A6A6"/>
          <w:sz w:val="28"/>
          <w:szCs w:val="36"/>
          <w:lang w:val="es-ES_tradnl" w:eastAsia="es-ES"/>
        </w:rPr>
      </w:pPr>
      <w:r w:rsidRPr="000323A2">
        <w:rPr>
          <w:rFonts w:ascii="ITC Avant Garde" w:eastAsia="Calibri" w:hAnsi="ITC Avant Garde" w:cs="Arial"/>
          <w:color w:val="A6A6A6"/>
          <w:sz w:val="28"/>
          <w:szCs w:val="36"/>
          <w:lang w:val="es-ES_tradnl" w:eastAsia="es-ES"/>
        </w:rPr>
        <w:t>***ESPACIO INTENCIONALMENTE EN BLANCO***</w:t>
      </w:r>
    </w:p>
    <w:p w14:paraId="66175707" w14:textId="77777777" w:rsidR="000323A2" w:rsidRPr="000323A2" w:rsidRDefault="000323A2" w:rsidP="000323A2">
      <w:pPr>
        <w:tabs>
          <w:tab w:val="left" w:pos="709"/>
        </w:tabs>
        <w:autoSpaceDE w:val="0"/>
        <w:autoSpaceDN w:val="0"/>
        <w:spacing w:before="240" w:after="0" w:line="276" w:lineRule="auto"/>
        <w:ind w:left="720" w:right="-234"/>
        <w:jc w:val="both"/>
        <w:rPr>
          <w:rFonts w:ascii="ITC Avant Garde" w:eastAsia="Calibri" w:hAnsi="ITC Avant Garde" w:cs="Arial"/>
          <w:lang w:val="es-ES_tradnl" w:eastAsia="es-ES"/>
        </w:rPr>
      </w:pPr>
      <w:r w:rsidRPr="000323A2">
        <w:rPr>
          <w:rFonts w:ascii="ITC Avant Garde" w:eastAsia="Calibri" w:hAnsi="ITC Avant Garde" w:cs="Arial"/>
          <w:noProof/>
          <w:lang w:eastAsia="es-MX"/>
        </w:rPr>
        <w:lastRenderedPageBreak/>
        <w:drawing>
          <wp:inline distT="0" distB="0" distL="0" distR="0" wp14:anchorId="640EA2D1" wp14:editId="20891294">
            <wp:extent cx="5057775" cy="5953125"/>
            <wp:effectExtent l="0" t="0" r="9525" b="9525"/>
            <wp:docPr id="41" name="Imagen 44" descr="Puesta a Tierra del Pararrayos en Torres de Microondas mayores de 30.5 m (100 Pies) utilizando la Estructura como Conductor"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53"/>
                    <a:srcRect/>
                    <a:stretch>
                      <a:fillRect/>
                    </a:stretch>
                  </pic:blipFill>
                  <pic:spPr bwMode="auto">
                    <a:xfrm>
                      <a:off x="0" y="0"/>
                      <a:ext cx="5057775" cy="5953125"/>
                    </a:xfrm>
                    <a:prstGeom prst="rect">
                      <a:avLst/>
                    </a:prstGeom>
                    <a:noFill/>
                    <a:ln w="9525">
                      <a:noFill/>
                      <a:miter lim="800000"/>
                      <a:headEnd/>
                      <a:tailEnd/>
                    </a:ln>
                  </pic:spPr>
                </pic:pic>
              </a:graphicData>
            </a:graphic>
          </wp:inline>
        </w:drawing>
      </w:r>
    </w:p>
    <w:p w14:paraId="2872832F" w14:textId="77777777" w:rsidR="000323A2" w:rsidRPr="000323A2" w:rsidRDefault="000323A2" w:rsidP="000323A2">
      <w:pPr>
        <w:tabs>
          <w:tab w:val="left" w:pos="709"/>
        </w:tabs>
        <w:autoSpaceDE w:val="0"/>
        <w:autoSpaceDN w:val="0"/>
        <w:spacing w:before="240" w:after="0" w:line="276" w:lineRule="auto"/>
        <w:ind w:left="720" w:right="-23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Puesta a Tierra del Pararrayos en Torres de Microondas mayores de 30.5 m (100 Pies) utilizando la Estructura como Conductor</w:t>
      </w:r>
    </w:p>
    <w:p w14:paraId="4C1F5B2B" w14:textId="77777777" w:rsidR="000323A2" w:rsidRPr="000323A2" w:rsidRDefault="000323A2" w:rsidP="00B04B36">
      <w:pPr>
        <w:numPr>
          <w:ilvl w:val="0"/>
          <w:numId w:val="4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En torres menores de 30.5 m (100') de altura, el conductor de puesta a tierra que baja del pararrayos debe ser de alambre desnudo, temple semiduro, calibre No. 2 AWG, continúo hasta los electrodos de tierra y se sujeta cada metro a una de las patas con abrazaderas metálicas abierta tipo uña </w:t>
      </w:r>
    </w:p>
    <w:p w14:paraId="69F96A31" w14:textId="41ACA6DA" w:rsidR="000323A2" w:rsidRPr="000323A2" w:rsidRDefault="000323A2" w:rsidP="000323A2">
      <w:pPr>
        <w:tabs>
          <w:tab w:val="left" w:pos="709"/>
        </w:tabs>
        <w:autoSpaceDE w:val="0"/>
        <w:autoSpaceDN w:val="0"/>
        <w:spacing w:before="240" w:after="0" w:line="276" w:lineRule="auto"/>
        <w:ind w:right="-234"/>
        <w:jc w:val="center"/>
        <w:rPr>
          <w:rFonts w:ascii="ITC Avant Garde" w:eastAsia="Calibri" w:hAnsi="ITC Avant Garde" w:cs="Arial"/>
          <w:lang w:val="es-ES_tradnl" w:eastAsia="es-ES"/>
        </w:rPr>
      </w:pPr>
      <w:r w:rsidRPr="000323A2">
        <w:rPr>
          <w:rFonts w:ascii="ITC Avant Garde" w:eastAsia="Times New Roman" w:hAnsi="ITC Avant Garde" w:cs="Arial"/>
          <w:b/>
          <w:i/>
          <w:noProof/>
          <w:lang w:eastAsia="es-MX"/>
        </w:rPr>
        <w:lastRenderedPageBreak/>
        <w:drawing>
          <wp:inline distT="0" distB="0" distL="0" distR="0" wp14:anchorId="4A901130" wp14:editId="17E4DADA">
            <wp:extent cx="5090795" cy="6116320"/>
            <wp:effectExtent l="0" t="0" r="0" b="0"/>
            <wp:docPr id="17" name="Imagen 17" descr="Conexión de Puesta a Tierra del Pararrayos en Torres de Microondas menores de 30.5m (100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exión de Puesta a Tierra del Pararrayos en Torres de Microondas menores de 30.5m (100pi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90795" cy="6116320"/>
                    </a:xfrm>
                    <a:prstGeom prst="rect">
                      <a:avLst/>
                    </a:prstGeom>
                    <a:noFill/>
                    <a:ln>
                      <a:noFill/>
                    </a:ln>
                  </pic:spPr>
                </pic:pic>
              </a:graphicData>
            </a:graphic>
          </wp:inline>
        </w:drawing>
      </w:r>
    </w:p>
    <w:p w14:paraId="206BD762" w14:textId="77777777" w:rsidR="000323A2" w:rsidRPr="000323A2" w:rsidRDefault="000323A2" w:rsidP="000323A2">
      <w:pPr>
        <w:tabs>
          <w:tab w:val="left" w:pos="709"/>
        </w:tabs>
        <w:autoSpaceDE w:val="0"/>
        <w:autoSpaceDN w:val="0"/>
        <w:spacing w:before="240" w:after="0" w:line="276" w:lineRule="auto"/>
        <w:ind w:right="-234"/>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Conexión de Puesta a Tierra del Pararrayos en Torres de Microondas menores de 30.5m (100pies).</w:t>
      </w:r>
    </w:p>
    <w:p w14:paraId="64328E8F" w14:textId="77777777" w:rsidR="000323A2" w:rsidRPr="000323A2" w:rsidRDefault="000323A2" w:rsidP="00B04B36">
      <w:pPr>
        <w:numPr>
          <w:ilvl w:val="0"/>
          <w:numId w:val="4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Los pararrayos se deben inspeccionar cuando menos cada 2 años.</w:t>
      </w:r>
    </w:p>
    <w:p w14:paraId="0293FA7D" w14:textId="77777777" w:rsidR="000323A2" w:rsidRPr="000323A2" w:rsidRDefault="000323A2" w:rsidP="00B04B36">
      <w:pPr>
        <w:numPr>
          <w:ilvl w:val="0"/>
          <w:numId w:val="4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El conductor de puesta a tierra del pararrayos debe instalarse evitando todo tipo de curvas.</w:t>
      </w:r>
    </w:p>
    <w:p w14:paraId="01FD4E87" w14:textId="77777777" w:rsidR="000323A2" w:rsidRPr="000323A2" w:rsidRDefault="000323A2" w:rsidP="00B04B36">
      <w:pPr>
        <w:numPr>
          <w:ilvl w:val="0"/>
          <w:numId w:val="4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Los pararrayos deben instalarse en el mástil de la torre</w:t>
      </w:r>
    </w:p>
    <w:p w14:paraId="6DBA3E99" w14:textId="77777777" w:rsidR="000323A2" w:rsidRPr="000323A2" w:rsidRDefault="000323A2" w:rsidP="000323A2">
      <w:pPr>
        <w:widowControl w:val="0"/>
        <w:autoSpaceDE w:val="0"/>
        <w:autoSpaceDN w:val="0"/>
        <w:spacing w:before="240" w:after="0" w:line="276" w:lineRule="auto"/>
        <w:ind w:right="-234"/>
        <w:jc w:val="center"/>
        <w:rPr>
          <w:rFonts w:ascii="ITC Avant Garde" w:eastAsia="Calibri" w:hAnsi="ITC Avant Garde" w:cs="Arial"/>
          <w:i/>
          <w:lang w:val="es-ES_tradnl" w:eastAsia="es-ES"/>
        </w:rPr>
      </w:pPr>
    </w:p>
    <w:p w14:paraId="1D007535" w14:textId="30399033" w:rsidR="000323A2" w:rsidRPr="000323A2" w:rsidRDefault="000323A2" w:rsidP="000323A2">
      <w:pPr>
        <w:widowControl w:val="0"/>
        <w:autoSpaceDE w:val="0"/>
        <w:autoSpaceDN w:val="0"/>
        <w:spacing w:before="240" w:after="0" w:line="276" w:lineRule="auto"/>
        <w:ind w:right="-234"/>
        <w:jc w:val="center"/>
        <w:rPr>
          <w:rFonts w:ascii="ITC Avant Garde" w:eastAsia="Calibri" w:hAnsi="ITC Avant Garde" w:cs="Arial"/>
          <w:i/>
          <w:lang w:val="es-ES_tradnl" w:eastAsia="es-ES"/>
        </w:rPr>
      </w:pPr>
      <w:r w:rsidRPr="000323A2">
        <w:rPr>
          <w:rFonts w:ascii="ITC Avant Garde" w:eastAsia="Times New Roman" w:hAnsi="ITC Avant Garde" w:cs="Arial"/>
          <w:b/>
          <w:i/>
          <w:noProof/>
          <w:lang w:eastAsia="es-MX"/>
        </w:rPr>
        <w:drawing>
          <wp:inline distT="0" distB="0" distL="0" distR="0" wp14:anchorId="13F03907" wp14:editId="00C21202">
            <wp:extent cx="3596005" cy="3879850"/>
            <wp:effectExtent l="0" t="0" r="4445" b="6350"/>
            <wp:docPr id="11" name="Imagen 11" descr="Partes Típicas de un Pararray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rtes Típicas de un Pararrayo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96005" cy="3879850"/>
                    </a:xfrm>
                    <a:prstGeom prst="rect">
                      <a:avLst/>
                    </a:prstGeom>
                    <a:noFill/>
                    <a:ln>
                      <a:noFill/>
                    </a:ln>
                  </pic:spPr>
                </pic:pic>
              </a:graphicData>
            </a:graphic>
          </wp:inline>
        </w:drawing>
      </w:r>
    </w:p>
    <w:p w14:paraId="359D2761" w14:textId="77777777" w:rsidR="000323A2" w:rsidRPr="000323A2" w:rsidRDefault="000323A2" w:rsidP="000323A2">
      <w:pPr>
        <w:autoSpaceDE w:val="0"/>
        <w:autoSpaceDN w:val="0"/>
        <w:spacing w:before="240" w:after="0" w:line="276" w:lineRule="auto"/>
        <w:ind w:right="-234"/>
        <w:jc w:val="center"/>
        <w:rPr>
          <w:rFonts w:ascii="ITC Avant Garde" w:eastAsia="Calibri" w:hAnsi="ITC Avant Garde" w:cs="Arial"/>
          <w:i/>
          <w:lang w:val="es-ES_tradnl" w:eastAsia="es-ES"/>
        </w:rPr>
      </w:pPr>
      <w:r w:rsidRPr="000323A2">
        <w:rPr>
          <w:rFonts w:ascii="ITC Avant Garde" w:eastAsia="Calibri" w:hAnsi="ITC Avant Garde" w:cs="Arial"/>
          <w:lang w:val="es-ES_tradnl" w:eastAsia="es-ES"/>
        </w:rPr>
        <w:t>Partes Típicas de un Pararrayos</w:t>
      </w:r>
    </w:p>
    <w:p w14:paraId="68FC85C2" w14:textId="77777777" w:rsidR="000323A2" w:rsidRPr="000323A2" w:rsidRDefault="000323A2" w:rsidP="00B04B36">
      <w:pPr>
        <w:numPr>
          <w:ilvl w:val="0"/>
          <w:numId w:val="4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El conductor del pararrayos debe ir puesto a tierra con 3 electrodos conectados en delta y con longitud de 3 a 4.5 m con respecto al centro. Asimismo, se conecta a la malla de tierras.</w:t>
      </w:r>
    </w:p>
    <w:p w14:paraId="3AA4554B" w14:textId="77777777" w:rsidR="000323A2" w:rsidRPr="000323A2" w:rsidRDefault="000323A2" w:rsidP="00B04B36">
      <w:pPr>
        <w:numPr>
          <w:ilvl w:val="0"/>
          <w:numId w:val="4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Los conductores y electrodos no deben utilizarse para la puesta a tierra de instalaciones y equipos, sino que deben tener su propio sistema de tierra, pero se recomienda interconectar entre sí los diferentes sistemas de tierra en una misma instalación.</w:t>
      </w:r>
    </w:p>
    <w:p w14:paraId="4D68F4B6" w14:textId="77777777" w:rsidR="000323A2" w:rsidRPr="000323A2" w:rsidRDefault="000323A2" w:rsidP="00B04B36">
      <w:pPr>
        <w:numPr>
          <w:ilvl w:val="0"/>
          <w:numId w:val="42"/>
        </w:numPr>
        <w:tabs>
          <w:tab w:val="left" w:pos="709"/>
        </w:tabs>
        <w:autoSpaceDE w:val="0"/>
        <w:autoSpaceDN w:val="0"/>
        <w:spacing w:before="240" w:after="0" w:line="276" w:lineRule="auto"/>
        <w:ind w:right="-234"/>
        <w:jc w:val="both"/>
        <w:rPr>
          <w:rFonts w:ascii="ITC Avant Garde" w:eastAsia="Calibri" w:hAnsi="ITC Avant Garde" w:cs="Arial"/>
          <w:bCs/>
          <w:lang w:val="es-ES_tradnl" w:eastAsia="es-ES"/>
        </w:rPr>
      </w:pPr>
      <w:r w:rsidRPr="000323A2">
        <w:rPr>
          <w:rFonts w:ascii="ITC Avant Garde" w:eastAsia="Calibri" w:hAnsi="ITC Avant Garde" w:cs="Arial"/>
          <w:lang w:val="es-ES_tradnl" w:eastAsia="es-ES"/>
        </w:rPr>
        <w:t xml:space="preserve">Las canalizaciones y cubiertas metálicas y otras partes metálicas de equipos eléctricos que no lleven corriente, deben mantenerse por lo menos a dos metros de distancia de los conductores de puesta a tierra de los pararrayos, </w:t>
      </w:r>
      <w:proofErr w:type="spellStart"/>
      <w:r w:rsidRPr="000323A2">
        <w:rPr>
          <w:rFonts w:ascii="ITC Avant Garde" w:eastAsia="Calibri" w:hAnsi="ITC Avant Garde" w:cs="Arial"/>
          <w:lang w:val="es-ES_tradnl" w:eastAsia="es-ES"/>
        </w:rPr>
        <w:t>ó</w:t>
      </w:r>
      <w:proofErr w:type="spellEnd"/>
      <w:r w:rsidRPr="000323A2">
        <w:rPr>
          <w:rFonts w:ascii="ITC Avant Garde" w:eastAsia="Calibri" w:hAnsi="ITC Avant Garde" w:cs="Arial"/>
          <w:lang w:val="es-ES_tradnl" w:eastAsia="es-ES"/>
        </w:rPr>
        <w:t xml:space="preserve"> bien, solo cuando</w:t>
      </w:r>
      <w:r w:rsidRPr="000323A2">
        <w:rPr>
          <w:rFonts w:ascii="ITC Avant Garde" w:eastAsia="Calibri" w:hAnsi="ITC Avant Garde" w:cs="Arial"/>
          <w:bCs/>
          <w:lang w:val="es-ES_tradnl" w:eastAsia="es-ES"/>
        </w:rPr>
        <w:t xml:space="preserve"> esto no sea posible, dichas partes deben conectarse firmemente a los conductores mencionados.</w:t>
      </w:r>
    </w:p>
    <w:p w14:paraId="4E80DB7C" w14:textId="77777777" w:rsidR="000323A2" w:rsidRPr="000323A2" w:rsidRDefault="000323A2" w:rsidP="00B04B36">
      <w:pPr>
        <w:numPr>
          <w:ilvl w:val="0"/>
          <w:numId w:val="4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 xml:space="preserve">El montaje del pararrayos en las torres se debe hacer mediante el mástil de tubo de fierro galvanizado de 2" de diámetro, cédula 40 y 3.00 m (9.85') de largo para telefonía celular </w:t>
      </w:r>
    </w:p>
    <w:p w14:paraId="4070F711" w14:textId="77777777" w:rsidR="000323A2" w:rsidRPr="000323A2" w:rsidRDefault="000323A2" w:rsidP="000323A2">
      <w:pPr>
        <w:spacing w:before="240"/>
        <w:rPr>
          <w:rFonts w:ascii="ITC Avant Garde" w:eastAsia="Calibri" w:hAnsi="ITC Avant Garde" w:cs="Times New Roman"/>
          <w:b/>
        </w:rPr>
      </w:pPr>
      <w:bookmarkStart w:id="38" w:name="_Toc398759577"/>
      <w:r w:rsidRPr="000323A2">
        <w:rPr>
          <w:rFonts w:ascii="ITC Avant Garde" w:eastAsia="Calibri" w:hAnsi="ITC Avant Garde" w:cs="Times New Roman"/>
          <w:b/>
        </w:rPr>
        <w:t>CABLEADO</w:t>
      </w:r>
      <w:bookmarkEnd w:id="38"/>
    </w:p>
    <w:p w14:paraId="48C32AE8"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Para el cableado se debe considerar lo siguiente:</w:t>
      </w:r>
    </w:p>
    <w:p w14:paraId="0251D70F" w14:textId="77777777" w:rsidR="000323A2" w:rsidRPr="000323A2" w:rsidRDefault="000323A2" w:rsidP="00B04B36">
      <w:pPr>
        <w:numPr>
          <w:ilvl w:val="0"/>
          <w:numId w:val="3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Los equipos instalados por </w:t>
      </w:r>
      <w:proofErr w:type="gramStart"/>
      <w:r w:rsidRPr="000323A2">
        <w:rPr>
          <w:rFonts w:ascii="ITC Avant Garde" w:eastAsia="Calibri" w:hAnsi="ITC Avant Garde" w:cs="Arial"/>
          <w:bCs/>
          <w:lang w:val="es-ES_tradnl" w:eastAsia="es-ES"/>
        </w:rPr>
        <w:t>Telmex</w:t>
      </w:r>
      <w:proofErr w:type="gramEnd"/>
      <w:r w:rsidRPr="000323A2">
        <w:rPr>
          <w:rFonts w:ascii="ITC Avant Garde" w:eastAsia="Calibri" w:hAnsi="ITC Avant Garde" w:cs="Arial"/>
          <w:lang w:val="es-ES_tradnl" w:eastAsia="es-ES"/>
        </w:rPr>
        <w:t xml:space="preserve"> así como, cables de alimentación, fibras ópticas, cables coaxiales, cables UTP, cables de sincronía, cables de gestión y fusibles deben contar con etiquetas homologadas conforme lo indica la normatividad interna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w:t>
      </w:r>
    </w:p>
    <w:p w14:paraId="18B40696" w14:textId="77777777" w:rsidR="000323A2" w:rsidRPr="000323A2" w:rsidRDefault="000323A2" w:rsidP="00B04B36">
      <w:pPr>
        <w:numPr>
          <w:ilvl w:val="0"/>
          <w:numId w:val="3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Los conectores BNC, RJ45, instalados por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deben estar realizados con herramienta homologada y con fijación firme.</w:t>
      </w:r>
    </w:p>
    <w:p w14:paraId="4D6D5B72" w14:textId="77777777" w:rsidR="000323A2" w:rsidRPr="000323A2" w:rsidRDefault="000323A2" w:rsidP="00B04B36">
      <w:pPr>
        <w:numPr>
          <w:ilvl w:val="0"/>
          <w:numId w:val="3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Los cables de alimentación de CA, CD en bastidores de fuerza y fusibles en equipos instalados por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deben presentar fijación firme.</w:t>
      </w:r>
    </w:p>
    <w:p w14:paraId="775A02AC" w14:textId="77777777" w:rsidR="000323A2" w:rsidRPr="000323A2" w:rsidRDefault="000323A2" w:rsidP="00B04B36">
      <w:pPr>
        <w:numPr>
          <w:ilvl w:val="0"/>
          <w:numId w:val="32"/>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cliente debe instalar las escalerillas y canaletas necesarias para la protección de fibras ópticas, cables coaxiales y cables UTP desde la ubicación de su equipo de comunicaciones hasta el sitio donde estarán instalados los equipos de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(GUT, sala abierta, cerrada o edificios </w:t>
      </w:r>
      <w:proofErr w:type="spellStart"/>
      <w:r w:rsidRPr="000323A2">
        <w:rPr>
          <w:rFonts w:ascii="ITC Avant Garde" w:eastAsia="Calibri" w:hAnsi="ITC Avant Garde" w:cs="Arial"/>
          <w:lang w:val="es-ES_tradnl" w:eastAsia="es-ES"/>
        </w:rPr>
        <w:t>multi</w:t>
      </w:r>
      <w:proofErr w:type="spellEnd"/>
      <w:r w:rsidRPr="000323A2">
        <w:rPr>
          <w:rFonts w:ascii="ITC Avant Garde" w:eastAsia="Calibri" w:hAnsi="ITC Avant Garde" w:cs="Arial"/>
          <w:lang w:val="es-ES_tradnl" w:eastAsia="es-ES"/>
        </w:rPr>
        <w:t xml:space="preserve"> cliente).</w:t>
      </w:r>
    </w:p>
    <w:p w14:paraId="53256DA7" w14:textId="77777777" w:rsidR="000323A2" w:rsidRPr="000323A2" w:rsidRDefault="000323A2" w:rsidP="000323A2">
      <w:pPr>
        <w:spacing w:before="240"/>
        <w:rPr>
          <w:rFonts w:ascii="ITC Avant Garde" w:eastAsia="Calibri" w:hAnsi="ITC Avant Garde" w:cs="Times New Roman"/>
          <w:b/>
        </w:rPr>
      </w:pPr>
      <w:bookmarkStart w:id="39" w:name="_Toc398759578"/>
      <w:r w:rsidRPr="000323A2">
        <w:rPr>
          <w:rFonts w:ascii="ITC Avant Garde" w:eastAsia="Calibri" w:hAnsi="ITC Avant Garde" w:cs="Times New Roman"/>
          <w:b/>
        </w:rPr>
        <w:t>REQUERIMIENTOS PARA ACOMETIDA DE FIBRA ÓPTICA PARA SITIO CLIENTE.</w:t>
      </w:r>
      <w:bookmarkEnd w:id="39"/>
    </w:p>
    <w:p w14:paraId="5DEC9288"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Los requerimientos para fibra óptica para sitio de cliente son los siguientes:</w:t>
      </w:r>
    </w:p>
    <w:p w14:paraId="57BE56B4" w14:textId="77777777" w:rsidR="000323A2" w:rsidRPr="000323A2" w:rsidRDefault="000323A2" w:rsidP="00B04B36">
      <w:pPr>
        <w:numPr>
          <w:ilvl w:val="0"/>
          <w:numId w:val="33"/>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Se debe colocar tubería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de 3” a 3½” de Ø de PVC, R-1 tipo pesado, localizada en una de las esquinas del local, totalmente guiada del sitio del cliente hasta el pozo de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La tubería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galvanizada se empleará únicamente en zonas de riesgo.</w:t>
      </w:r>
    </w:p>
    <w:p w14:paraId="3C11156D" w14:textId="77777777" w:rsidR="000323A2" w:rsidRPr="000323A2" w:rsidRDefault="000323A2" w:rsidP="00B04B36">
      <w:pPr>
        <w:numPr>
          <w:ilvl w:val="0"/>
          <w:numId w:val="33"/>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Se deben colocar registros de 56 x 56 x 13 cm cada 30 metros sin cambios de dirección en la trayectoria de la fibra óptica, en caso de existir cambios de dirección, se deben de colocar registros en cada cambio de dirección. Las entradas serán por una esquina opuesta al registro y saldrán por el extremo contrario.</w:t>
      </w:r>
    </w:p>
    <w:p w14:paraId="766FCEDC" w14:textId="77777777" w:rsidR="000323A2" w:rsidRPr="000323A2" w:rsidRDefault="000323A2" w:rsidP="00B04B36">
      <w:pPr>
        <w:numPr>
          <w:ilvl w:val="0"/>
          <w:numId w:val="33"/>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Los radios de curvatura no deben ser menores a 30.5 cm.</w:t>
      </w:r>
    </w:p>
    <w:p w14:paraId="3A5FCD13" w14:textId="77777777" w:rsidR="000323A2" w:rsidRPr="000323A2" w:rsidRDefault="000323A2" w:rsidP="00B04B36">
      <w:pPr>
        <w:numPr>
          <w:ilvl w:val="0"/>
          <w:numId w:val="33"/>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Los registros en piso serán de concreto armado f ’c=150 kg/cm² de 60 x 80 x 100 cm con dos tapas, marco y contramarco de solera de ½” x ½” x ¼”</w:t>
      </w:r>
    </w:p>
    <w:p w14:paraId="084B3530" w14:textId="77777777" w:rsidR="000323A2" w:rsidRPr="000323A2" w:rsidRDefault="000323A2" w:rsidP="000323A2">
      <w:pPr>
        <w:tabs>
          <w:tab w:val="left" w:pos="709"/>
        </w:tabs>
        <w:autoSpaceDE w:val="0"/>
        <w:autoSpaceDN w:val="0"/>
        <w:spacing w:before="240" w:after="0" w:line="276" w:lineRule="auto"/>
        <w:ind w:left="720"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 anterior se muestra en las siguientes figuras:</w:t>
      </w:r>
    </w:p>
    <w:p w14:paraId="48441966" w14:textId="77777777" w:rsidR="000323A2" w:rsidRPr="000323A2" w:rsidRDefault="000323A2" w:rsidP="000323A2">
      <w:pPr>
        <w:tabs>
          <w:tab w:val="left" w:pos="851"/>
        </w:tabs>
        <w:autoSpaceDE w:val="0"/>
        <w:autoSpaceDN w:val="0"/>
        <w:spacing w:before="240" w:after="0" w:line="276" w:lineRule="auto"/>
        <w:ind w:left="567" w:right="-234" w:hanging="283"/>
        <w:jc w:val="both"/>
        <w:rPr>
          <w:rFonts w:ascii="ITC Avant Garde" w:eastAsia="Calibri" w:hAnsi="ITC Avant Garde" w:cs="Arial"/>
          <w:lang w:val="es-ES_tradnl" w:eastAsia="es-ES"/>
        </w:rPr>
      </w:pPr>
    </w:p>
    <w:p w14:paraId="778F4946" w14:textId="77777777" w:rsidR="000323A2" w:rsidRPr="000323A2" w:rsidRDefault="000323A2" w:rsidP="000323A2">
      <w:pPr>
        <w:tabs>
          <w:tab w:val="left" w:pos="851"/>
        </w:tabs>
        <w:autoSpaceDE w:val="0"/>
        <w:autoSpaceDN w:val="0"/>
        <w:spacing w:before="240" w:after="0" w:line="276" w:lineRule="auto"/>
        <w:ind w:left="567" w:right="-234" w:hanging="283"/>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459A8BC3" wp14:editId="54F08311">
            <wp:extent cx="4943475" cy="2238375"/>
            <wp:effectExtent l="0" t="0" r="9525" b="9525"/>
            <wp:docPr id="44" name="Imagen 43" descr="Colocación correcta de registros par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56"/>
                    <a:srcRect/>
                    <a:stretch>
                      <a:fillRect/>
                    </a:stretch>
                  </pic:blipFill>
                  <pic:spPr bwMode="auto">
                    <a:xfrm>
                      <a:off x="0" y="0"/>
                      <a:ext cx="4943475" cy="2238375"/>
                    </a:xfrm>
                    <a:prstGeom prst="rect">
                      <a:avLst/>
                    </a:prstGeom>
                    <a:noFill/>
                    <a:ln w="9525">
                      <a:noFill/>
                      <a:miter lim="800000"/>
                      <a:headEnd/>
                      <a:tailEnd/>
                    </a:ln>
                  </pic:spPr>
                </pic:pic>
              </a:graphicData>
            </a:graphic>
          </wp:inline>
        </w:drawing>
      </w:r>
    </w:p>
    <w:p w14:paraId="4EFAFFDC" w14:textId="77777777" w:rsidR="000323A2" w:rsidRPr="000323A2" w:rsidRDefault="000323A2" w:rsidP="000323A2">
      <w:pPr>
        <w:tabs>
          <w:tab w:val="left" w:pos="851"/>
        </w:tabs>
        <w:autoSpaceDE w:val="0"/>
        <w:autoSpaceDN w:val="0"/>
        <w:spacing w:before="240" w:after="0" w:line="276" w:lineRule="auto"/>
        <w:ind w:left="567" w:right="-234" w:hanging="283"/>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Colocación correcta de registros para Fibra óptica.</w:t>
      </w:r>
    </w:p>
    <w:p w14:paraId="0E367776" w14:textId="77777777" w:rsidR="000323A2" w:rsidRPr="000323A2" w:rsidRDefault="000323A2" w:rsidP="00B04B36">
      <w:pPr>
        <w:numPr>
          <w:ilvl w:val="0"/>
          <w:numId w:val="33"/>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Para el caso de enlaces con criticidades 1, 2, 3, es necesario garantizar la diversidad de trayectoria desde el pozo de visita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hasta la conexión con el equipo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y es mandatorio tener doble acometida con diversidad de ruta y trayecto.</w:t>
      </w:r>
    </w:p>
    <w:p w14:paraId="5A91A9DB" w14:textId="77777777" w:rsidR="000323A2" w:rsidRPr="000323A2" w:rsidRDefault="000323A2" w:rsidP="000323A2">
      <w:pPr>
        <w:tabs>
          <w:tab w:val="left" w:pos="851"/>
        </w:tabs>
        <w:autoSpaceDE w:val="0"/>
        <w:autoSpaceDN w:val="0"/>
        <w:spacing w:before="240" w:after="0" w:line="276" w:lineRule="auto"/>
        <w:ind w:left="567" w:right="-234" w:hanging="283"/>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29E10B1A" wp14:editId="3973BBD0">
            <wp:extent cx="3952875" cy="1809750"/>
            <wp:effectExtent l="0" t="0" r="9525" b="0"/>
            <wp:docPr id="45" name="Imagen 42" descr="Colocación incorrecta de registros par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57"/>
                    <a:srcRect/>
                    <a:stretch>
                      <a:fillRect/>
                    </a:stretch>
                  </pic:blipFill>
                  <pic:spPr bwMode="auto">
                    <a:xfrm>
                      <a:off x="0" y="0"/>
                      <a:ext cx="3952875" cy="1809750"/>
                    </a:xfrm>
                    <a:prstGeom prst="rect">
                      <a:avLst/>
                    </a:prstGeom>
                    <a:noFill/>
                    <a:ln w="9525">
                      <a:noFill/>
                      <a:miter lim="800000"/>
                      <a:headEnd/>
                      <a:tailEnd/>
                    </a:ln>
                  </pic:spPr>
                </pic:pic>
              </a:graphicData>
            </a:graphic>
          </wp:inline>
        </w:drawing>
      </w:r>
    </w:p>
    <w:p w14:paraId="212E150C" w14:textId="77777777" w:rsidR="000323A2" w:rsidRPr="000323A2" w:rsidRDefault="000323A2" w:rsidP="000323A2">
      <w:pPr>
        <w:tabs>
          <w:tab w:val="left" w:pos="851"/>
        </w:tabs>
        <w:autoSpaceDE w:val="0"/>
        <w:autoSpaceDN w:val="0"/>
        <w:spacing w:before="240" w:after="0" w:line="276" w:lineRule="auto"/>
        <w:ind w:left="567" w:right="-234" w:hanging="283"/>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Colocación incorrecta de registros para Fibra óptica.</w:t>
      </w:r>
    </w:p>
    <w:p w14:paraId="7FEA22B4" w14:textId="77777777" w:rsidR="000323A2" w:rsidRPr="000323A2" w:rsidRDefault="000323A2" w:rsidP="00B04B36">
      <w:pPr>
        <w:numPr>
          <w:ilvl w:val="0"/>
          <w:numId w:val="33"/>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Todos los cables de Fibra óptica deben canalizarse en forma independiente empleando charolas o escalerillas de cables o mediante tubería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de PVC, como se muestra en la siguiente figura:</w:t>
      </w:r>
    </w:p>
    <w:p w14:paraId="5442602E" w14:textId="77777777" w:rsidR="000323A2" w:rsidRPr="000323A2" w:rsidRDefault="000323A2" w:rsidP="000323A2">
      <w:pPr>
        <w:tabs>
          <w:tab w:val="left" w:pos="851"/>
        </w:tabs>
        <w:autoSpaceDE w:val="0"/>
        <w:autoSpaceDN w:val="0"/>
        <w:spacing w:before="240" w:after="0" w:line="276" w:lineRule="auto"/>
        <w:ind w:left="567" w:right="-234" w:hanging="283"/>
        <w:jc w:val="both"/>
        <w:rPr>
          <w:rFonts w:ascii="ITC Avant Garde" w:eastAsia="Calibri" w:hAnsi="ITC Avant Garde" w:cs="Arial"/>
          <w:lang w:val="es-ES_tradnl" w:eastAsia="es-ES"/>
        </w:rPr>
      </w:pPr>
    </w:p>
    <w:p w14:paraId="1170AA3E" w14:textId="77777777" w:rsidR="000323A2" w:rsidRPr="000323A2" w:rsidRDefault="000323A2" w:rsidP="000323A2">
      <w:pPr>
        <w:tabs>
          <w:tab w:val="left" w:pos="851"/>
        </w:tabs>
        <w:autoSpaceDE w:val="0"/>
        <w:autoSpaceDN w:val="0"/>
        <w:spacing w:before="240" w:after="0" w:line="276" w:lineRule="auto"/>
        <w:ind w:left="567" w:right="-234" w:hanging="283"/>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27F8EC76" wp14:editId="139432CD">
            <wp:extent cx="2381250" cy="1647825"/>
            <wp:effectExtent l="0" t="0" r="0" b="9525"/>
            <wp:docPr id="46" name="Imagen 41" descr="Canalización de Fibra óptica por Charola o Escalerilla de Cables."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58"/>
                    <a:srcRect/>
                    <a:stretch>
                      <a:fillRect/>
                    </a:stretch>
                  </pic:blipFill>
                  <pic:spPr bwMode="auto">
                    <a:xfrm>
                      <a:off x="0" y="0"/>
                      <a:ext cx="2381250" cy="1647825"/>
                    </a:xfrm>
                    <a:prstGeom prst="rect">
                      <a:avLst/>
                    </a:prstGeom>
                    <a:noFill/>
                    <a:ln w="9525">
                      <a:noFill/>
                      <a:miter lim="800000"/>
                      <a:headEnd/>
                      <a:tailEnd/>
                    </a:ln>
                  </pic:spPr>
                </pic:pic>
              </a:graphicData>
            </a:graphic>
          </wp:inline>
        </w:drawing>
      </w:r>
    </w:p>
    <w:p w14:paraId="2A3FC4B9" w14:textId="77777777" w:rsidR="000323A2" w:rsidRPr="000323A2" w:rsidRDefault="000323A2" w:rsidP="000323A2">
      <w:pPr>
        <w:tabs>
          <w:tab w:val="left" w:pos="851"/>
        </w:tabs>
        <w:autoSpaceDE w:val="0"/>
        <w:autoSpaceDN w:val="0"/>
        <w:spacing w:before="240" w:after="0" w:line="276" w:lineRule="auto"/>
        <w:ind w:left="567" w:right="-234" w:hanging="283"/>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Canalización de Fibra óptica por Charola o Escalerilla de Cables.</w:t>
      </w:r>
    </w:p>
    <w:p w14:paraId="6B6AA986" w14:textId="77777777" w:rsidR="000323A2" w:rsidRPr="000323A2" w:rsidRDefault="000323A2" w:rsidP="000323A2">
      <w:pPr>
        <w:tabs>
          <w:tab w:val="left" w:pos="851"/>
        </w:tabs>
        <w:autoSpaceDE w:val="0"/>
        <w:autoSpaceDN w:val="0"/>
        <w:spacing w:before="240" w:after="0" w:line="276" w:lineRule="auto"/>
        <w:ind w:left="567" w:right="-234" w:hanging="283"/>
        <w:jc w:val="center"/>
        <w:rPr>
          <w:rFonts w:ascii="ITC Avant Garde" w:eastAsia="Calibri" w:hAnsi="ITC Avant Garde" w:cs="Arial"/>
          <w:lang w:val="es-ES_tradnl" w:eastAsia="es-ES"/>
        </w:rPr>
      </w:pPr>
      <w:r w:rsidRPr="000323A2">
        <w:rPr>
          <w:rFonts w:ascii="ITC Avant Garde" w:eastAsia="Calibri" w:hAnsi="ITC Avant Garde" w:cs="Arial"/>
          <w:noProof/>
          <w:lang w:eastAsia="es-MX"/>
        </w:rPr>
        <w:drawing>
          <wp:inline distT="0" distB="0" distL="0" distR="0" wp14:anchorId="376DA456" wp14:editId="0446441F">
            <wp:extent cx="3657600" cy="1933575"/>
            <wp:effectExtent l="0" t="0" r="0" b="9525"/>
            <wp:docPr id="47" name="Imagen 40" descr="Canalización de Fibra óptica por Tubería Conduit de PVC."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59"/>
                    <a:srcRect/>
                    <a:stretch>
                      <a:fillRect/>
                    </a:stretch>
                  </pic:blipFill>
                  <pic:spPr bwMode="auto">
                    <a:xfrm>
                      <a:off x="0" y="0"/>
                      <a:ext cx="3657600" cy="1933575"/>
                    </a:xfrm>
                    <a:prstGeom prst="rect">
                      <a:avLst/>
                    </a:prstGeom>
                    <a:noFill/>
                    <a:ln w="9525">
                      <a:noFill/>
                      <a:miter lim="800000"/>
                      <a:headEnd/>
                      <a:tailEnd/>
                    </a:ln>
                  </pic:spPr>
                </pic:pic>
              </a:graphicData>
            </a:graphic>
          </wp:inline>
        </w:drawing>
      </w:r>
    </w:p>
    <w:p w14:paraId="75F65BFC" w14:textId="77777777" w:rsidR="000323A2" w:rsidRPr="000323A2" w:rsidRDefault="000323A2" w:rsidP="000323A2">
      <w:pPr>
        <w:tabs>
          <w:tab w:val="left" w:pos="851"/>
        </w:tabs>
        <w:autoSpaceDE w:val="0"/>
        <w:autoSpaceDN w:val="0"/>
        <w:spacing w:before="240" w:after="0" w:line="276" w:lineRule="auto"/>
        <w:ind w:left="567" w:right="-234" w:hanging="283"/>
        <w:jc w:val="center"/>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Canalización de Fibra óptica por Tubería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de PVC.</w:t>
      </w:r>
    </w:p>
    <w:p w14:paraId="0733B861" w14:textId="77777777" w:rsidR="000323A2" w:rsidRPr="000323A2" w:rsidRDefault="000323A2" w:rsidP="00B04B36">
      <w:pPr>
        <w:numPr>
          <w:ilvl w:val="0"/>
          <w:numId w:val="33"/>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Se recomienda que las escalerillas se instalen en zonas de bajo riesgo y poco tránsito de personal.</w:t>
      </w:r>
    </w:p>
    <w:p w14:paraId="66350F04" w14:textId="77777777" w:rsidR="000323A2" w:rsidRPr="000323A2" w:rsidRDefault="000323A2" w:rsidP="000323A2">
      <w:pPr>
        <w:spacing w:before="240"/>
        <w:rPr>
          <w:rFonts w:ascii="ITC Avant Garde" w:eastAsia="Calibri" w:hAnsi="ITC Avant Garde" w:cs="Times New Roman"/>
          <w:b/>
        </w:rPr>
      </w:pPr>
      <w:bookmarkStart w:id="40" w:name="_Toc398759579"/>
      <w:r w:rsidRPr="000323A2">
        <w:rPr>
          <w:rFonts w:ascii="ITC Avant Garde" w:eastAsia="Calibri" w:hAnsi="ITC Avant Garde" w:cs="Times New Roman"/>
          <w:b/>
        </w:rPr>
        <w:t>REQUERIMIENTO PARA SERVICIOS CON RADIO ENLACES.</w:t>
      </w:r>
      <w:bookmarkEnd w:id="40"/>
    </w:p>
    <w:p w14:paraId="1C8E0BFC"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Los requerimientos para servicios con radio enlaces son los siguientes:</w:t>
      </w:r>
    </w:p>
    <w:p w14:paraId="106E7BDF" w14:textId="77777777" w:rsidR="000323A2" w:rsidRPr="000323A2" w:rsidRDefault="000323A2" w:rsidP="00B04B36">
      <w:pPr>
        <w:numPr>
          <w:ilvl w:val="0"/>
          <w:numId w:val="34"/>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Las especificaciones del local y los requerimientos de la aceptación son </w:t>
      </w:r>
      <w:proofErr w:type="gramStart"/>
      <w:r w:rsidRPr="000323A2">
        <w:rPr>
          <w:rFonts w:ascii="ITC Avant Garde" w:eastAsia="Calibri" w:hAnsi="ITC Avant Garde" w:cs="Arial"/>
          <w:lang w:val="es-ES_tradnl" w:eastAsia="es-ES"/>
        </w:rPr>
        <w:t>referidos</w:t>
      </w:r>
      <w:proofErr w:type="gramEnd"/>
      <w:r w:rsidRPr="000323A2">
        <w:rPr>
          <w:rFonts w:ascii="ITC Avant Garde" w:eastAsia="Calibri" w:hAnsi="ITC Avant Garde" w:cs="Arial"/>
          <w:lang w:val="es-ES_tradnl" w:eastAsia="es-ES"/>
        </w:rPr>
        <w:t xml:space="preserve"> en el capítulo “Espacio físico.” De este anexo.</w:t>
      </w:r>
    </w:p>
    <w:p w14:paraId="7992CBC3" w14:textId="77777777" w:rsidR="000323A2" w:rsidRPr="000323A2" w:rsidRDefault="000323A2" w:rsidP="00B04B36">
      <w:pPr>
        <w:numPr>
          <w:ilvl w:val="0"/>
          <w:numId w:val="34"/>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 cimentación de la torre dependerá del modelo de esta.</w:t>
      </w:r>
    </w:p>
    <w:p w14:paraId="0F9FE90F" w14:textId="77777777" w:rsidR="000323A2" w:rsidRPr="000323A2" w:rsidRDefault="000323A2" w:rsidP="00B04B36">
      <w:pPr>
        <w:numPr>
          <w:ilvl w:val="0"/>
          <w:numId w:val="34"/>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El cliente debe proporcionar la altura del edificio y de la torre en el caso de que existiera. En caso de no existir torre en las instalaciones y exista línea de vista para alguna central,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determina el lugar para la instalación de un </w:t>
      </w:r>
      <w:r w:rsidRPr="000323A2">
        <w:rPr>
          <w:rFonts w:ascii="ITC Avant Garde" w:eastAsia="Calibri" w:hAnsi="ITC Avant Garde" w:cs="Arial"/>
          <w:lang w:val="es-ES_tradnl" w:eastAsia="es-ES"/>
        </w:rPr>
        <w:lastRenderedPageBreak/>
        <w:t xml:space="preserve">mástil y equipo de radio. En caso de que sea necesaria una torre por el resultado del estudio de línea de vista, </w:t>
      </w:r>
      <w:r w:rsidRPr="000323A2">
        <w:rPr>
          <w:rFonts w:ascii="ITC Avant Garde" w:eastAsia="Calibri" w:hAnsi="ITC Avant Garde" w:cs="Arial"/>
          <w:bCs/>
          <w:lang w:val="es-ES_tradnl" w:eastAsia="es-ES"/>
        </w:rPr>
        <w:t>Telmex</w:t>
      </w:r>
      <w:r w:rsidRPr="000323A2">
        <w:rPr>
          <w:rFonts w:ascii="ITC Avant Garde" w:eastAsia="Calibri" w:hAnsi="ITC Avant Garde" w:cs="Arial"/>
          <w:lang w:val="es-ES_tradnl" w:eastAsia="es-ES"/>
        </w:rPr>
        <w:t xml:space="preserve"> lo indicará y proporcionará la torre con cargo al cliente.</w:t>
      </w:r>
    </w:p>
    <w:p w14:paraId="04BCA99D" w14:textId="77777777" w:rsidR="000323A2" w:rsidRPr="000323A2" w:rsidRDefault="000323A2" w:rsidP="00B04B36">
      <w:pPr>
        <w:numPr>
          <w:ilvl w:val="0"/>
          <w:numId w:val="34"/>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Se instalará tubería </w:t>
      </w:r>
      <w:proofErr w:type="spellStart"/>
      <w:r w:rsidRPr="000323A2">
        <w:rPr>
          <w:rFonts w:ascii="ITC Avant Garde" w:eastAsia="Calibri" w:hAnsi="ITC Avant Garde" w:cs="Arial"/>
          <w:lang w:val="es-ES_tradnl" w:eastAsia="es-ES"/>
        </w:rPr>
        <w:t>conduit</w:t>
      </w:r>
      <w:proofErr w:type="spellEnd"/>
      <w:r w:rsidRPr="000323A2">
        <w:rPr>
          <w:rFonts w:ascii="ITC Avant Garde" w:eastAsia="Calibri" w:hAnsi="ITC Avant Garde" w:cs="Arial"/>
          <w:lang w:val="es-ES_tradnl" w:eastAsia="es-ES"/>
        </w:rPr>
        <w:t xml:space="preserve"> de 2” de Ø de PVC R-1 tipo pesado, con registros galvanizados comerciales de 30 x 30 x 13 cm. o </w:t>
      </w:r>
      <w:proofErr w:type="spellStart"/>
      <w:r w:rsidRPr="000323A2">
        <w:rPr>
          <w:rFonts w:ascii="ITC Avant Garde" w:eastAsia="Calibri" w:hAnsi="ITC Avant Garde" w:cs="Arial"/>
          <w:lang w:val="es-ES_tradnl" w:eastAsia="es-ES"/>
        </w:rPr>
        <w:t>condulets</w:t>
      </w:r>
      <w:proofErr w:type="spellEnd"/>
      <w:r w:rsidRPr="000323A2">
        <w:rPr>
          <w:rFonts w:ascii="ITC Avant Garde" w:eastAsia="Calibri" w:hAnsi="ITC Avant Garde" w:cs="Arial"/>
          <w:lang w:val="es-ES_tradnl" w:eastAsia="es-ES"/>
        </w:rPr>
        <w:t xml:space="preserve"> registrables en cada cambio de dirección. En la base de la antena designada o mástil se rematará la tubería con una mufa o cuello de ganso (ver anexo 4 Detalle de instalación de torres y mástil para el suministro de LADA enlaces).</w:t>
      </w:r>
    </w:p>
    <w:p w14:paraId="54C3923F" w14:textId="77777777" w:rsidR="000323A2" w:rsidRPr="000323A2" w:rsidRDefault="000323A2" w:rsidP="00B04B36">
      <w:pPr>
        <w:numPr>
          <w:ilvl w:val="0"/>
          <w:numId w:val="34"/>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 mufa de la torre debe de colocarse dentro de la estructura de la torre pegada a una pierna y a una altura de 3 m. para protección del coaxial o radio cable.</w:t>
      </w:r>
    </w:p>
    <w:p w14:paraId="6DCE6D26" w14:textId="77777777" w:rsidR="000323A2" w:rsidRPr="000323A2" w:rsidRDefault="000323A2" w:rsidP="00B04B36">
      <w:pPr>
        <w:numPr>
          <w:ilvl w:val="0"/>
          <w:numId w:val="34"/>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 distancia máxima entre la torre y el equipo dentro de la sala será la indicada por el fabricante del equipo y se ajustará a las dimensiones del predio.</w:t>
      </w:r>
    </w:p>
    <w:p w14:paraId="233E4B16" w14:textId="77777777" w:rsidR="000323A2" w:rsidRPr="000323A2" w:rsidRDefault="000323A2" w:rsidP="00B04B36">
      <w:pPr>
        <w:numPr>
          <w:ilvl w:val="0"/>
          <w:numId w:val="34"/>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En caso de existir sistemas de radio en el domicilio del cliente, con el fin de evitar traslape de espectro y ocasionar distorsión en la señal se debe solicitar la siguiente información:</w:t>
      </w:r>
    </w:p>
    <w:p w14:paraId="27D33D45" w14:textId="77777777" w:rsidR="000323A2" w:rsidRPr="000323A2" w:rsidRDefault="000323A2" w:rsidP="00B04B36">
      <w:pPr>
        <w:numPr>
          <w:ilvl w:val="0"/>
          <w:numId w:val="35"/>
        </w:numPr>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Azimut de enlace.</w:t>
      </w:r>
    </w:p>
    <w:p w14:paraId="6DE25555" w14:textId="77777777" w:rsidR="000323A2" w:rsidRPr="000323A2" w:rsidRDefault="000323A2" w:rsidP="00B04B36">
      <w:pPr>
        <w:numPr>
          <w:ilvl w:val="0"/>
          <w:numId w:val="35"/>
        </w:numPr>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Distancia de enlace.</w:t>
      </w:r>
    </w:p>
    <w:p w14:paraId="1EF092D8" w14:textId="77777777" w:rsidR="000323A2" w:rsidRPr="000323A2" w:rsidRDefault="000323A2" w:rsidP="00B04B36">
      <w:pPr>
        <w:numPr>
          <w:ilvl w:val="0"/>
          <w:numId w:val="35"/>
        </w:numPr>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Coordenadas geográficas exactas.</w:t>
      </w:r>
    </w:p>
    <w:p w14:paraId="0E3E30C7" w14:textId="77777777" w:rsidR="000323A2" w:rsidRPr="000323A2" w:rsidRDefault="000323A2" w:rsidP="00B04B36">
      <w:pPr>
        <w:numPr>
          <w:ilvl w:val="0"/>
          <w:numId w:val="35"/>
        </w:numPr>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Ubicación urbana (entre que calles).</w:t>
      </w:r>
    </w:p>
    <w:p w14:paraId="02E200A3" w14:textId="77777777" w:rsidR="000323A2" w:rsidRPr="000323A2" w:rsidRDefault="000323A2" w:rsidP="00B04B36">
      <w:pPr>
        <w:numPr>
          <w:ilvl w:val="0"/>
          <w:numId w:val="35"/>
        </w:numPr>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Pérdida de alimentadores.</w:t>
      </w:r>
    </w:p>
    <w:p w14:paraId="333F257D" w14:textId="77777777" w:rsidR="000323A2" w:rsidRPr="000323A2" w:rsidRDefault="000323A2" w:rsidP="00B04B36">
      <w:pPr>
        <w:numPr>
          <w:ilvl w:val="0"/>
          <w:numId w:val="35"/>
        </w:numPr>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Eficiencia espectral.</w:t>
      </w:r>
    </w:p>
    <w:p w14:paraId="188DEFB3" w14:textId="77777777" w:rsidR="000323A2" w:rsidRPr="000323A2" w:rsidRDefault="000323A2" w:rsidP="00B04B36">
      <w:pPr>
        <w:numPr>
          <w:ilvl w:val="0"/>
          <w:numId w:val="35"/>
        </w:numPr>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Ancho de banda de filtros de RF y FI.</w:t>
      </w:r>
    </w:p>
    <w:p w14:paraId="183174DB" w14:textId="77777777" w:rsidR="000323A2" w:rsidRPr="000323A2" w:rsidRDefault="000323A2" w:rsidP="00B04B36">
      <w:pPr>
        <w:numPr>
          <w:ilvl w:val="0"/>
          <w:numId w:val="35"/>
        </w:numPr>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Pérdida de </w:t>
      </w:r>
      <w:proofErr w:type="spellStart"/>
      <w:r w:rsidRPr="000323A2">
        <w:rPr>
          <w:rFonts w:ascii="ITC Avant Garde" w:eastAsia="Calibri" w:hAnsi="ITC Avant Garde" w:cs="Arial"/>
          <w:lang w:val="es-ES_tradnl" w:eastAsia="es-ES"/>
        </w:rPr>
        <w:t>Branching</w:t>
      </w:r>
      <w:proofErr w:type="spellEnd"/>
      <w:r w:rsidRPr="000323A2">
        <w:rPr>
          <w:rFonts w:ascii="ITC Avant Garde" w:eastAsia="Calibri" w:hAnsi="ITC Avant Garde" w:cs="Arial"/>
          <w:lang w:val="es-ES_tradnl" w:eastAsia="es-ES"/>
        </w:rPr>
        <w:t>.</w:t>
      </w:r>
    </w:p>
    <w:p w14:paraId="3C5CAC55" w14:textId="77777777" w:rsidR="000323A2" w:rsidRPr="000323A2" w:rsidRDefault="000323A2" w:rsidP="00B04B36">
      <w:pPr>
        <w:numPr>
          <w:ilvl w:val="0"/>
          <w:numId w:val="35"/>
        </w:numPr>
        <w:overflowPunct w:val="0"/>
        <w:autoSpaceDE w:val="0"/>
        <w:autoSpaceDN w:val="0"/>
        <w:adjustRightInd w:val="0"/>
        <w:spacing w:before="240" w:after="0" w:line="276" w:lineRule="auto"/>
        <w:ind w:right="-234"/>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Curvas de respuesta (velocidad de transmisión).</w:t>
      </w:r>
    </w:p>
    <w:p w14:paraId="4A4C0A40" w14:textId="77777777" w:rsidR="000323A2" w:rsidRPr="000323A2" w:rsidRDefault="000323A2" w:rsidP="00B04B36">
      <w:pPr>
        <w:numPr>
          <w:ilvl w:val="0"/>
          <w:numId w:val="35"/>
        </w:numPr>
        <w:tabs>
          <w:tab w:val="left" w:pos="426"/>
        </w:tabs>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Diámetro de antenas en cada enlace.</w:t>
      </w:r>
    </w:p>
    <w:p w14:paraId="62321D21" w14:textId="77777777" w:rsidR="000323A2" w:rsidRPr="000323A2" w:rsidRDefault="000323A2" w:rsidP="00B04B36">
      <w:pPr>
        <w:numPr>
          <w:ilvl w:val="0"/>
          <w:numId w:val="35"/>
        </w:numPr>
        <w:tabs>
          <w:tab w:val="left" w:pos="426"/>
        </w:tabs>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t>Patrón de radiación de antena.</w:t>
      </w:r>
    </w:p>
    <w:p w14:paraId="379459B3" w14:textId="77777777" w:rsidR="000323A2" w:rsidRPr="000323A2" w:rsidRDefault="000323A2" w:rsidP="00B04B36">
      <w:pPr>
        <w:numPr>
          <w:ilvl w:val="0"/>
          <w:numId w:val="35"/>
        </w:numPr>
        <w:tabs>
          <w:tab w:val="left" w:pos="426"/>
        </w:tabs>
        <w:overflowPunct w:val="0"/>
        <w:autoSpaceDE w:val="0"/>
        <w:autoSpaceDN w:val="0"/>
        <w:adjustRightInd w:val="0"/>
        <w:spacing w:before="240" w:after="0" w:line="276" w:lineRule="auto"/>
        <w:ind w:right="-234"/>
        <w:jc w:val="both"/>
        <w:textAlignment w:val="baseline"/>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Polarización de antena en cada enlace.</w:t>
      </w:r>
    </w:p>
    <w:p w14:paraId="5141F248" w14:textId="77777777" w:rsidR="000323A2" w:rsidRPr="000323A2" w:rsidRDefault="000323A2" w:rsidP="00B04B36">
      <w:pPr>
        <w:numPr>
          <w:ilvl w:val="0"/>
          <w:numId w:val="34"/>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En la torre de radiocomunicación o mástil se instalará un sistema de pararrayos y un sistema de iluminación como señalización (luces de obstrucción).</w:t>
      </w:r>
    </w:p>
    <w:p w14:paraId="69F88E38" w14:textId="77777777" w:rsidR="000323A2" w:rsidRPr="000323A2" w:rsidRDefault="000323A2" w:rsidP="00B04B36">
      <w:pPr>
        <w:numPr>
          <w:ilvl w:val="0"/>
          <w:numId w:val="34"/>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Se le proporcionará al cliente los conectores coaxiales para que realice la conexión de su equipo terminal hacia el panel de conexión </w:t>
      </w:r>
    </w:p>
    <w:p w14:paraId="7F74E0EB" w14:textId="77777777" w:rsidR="000323A2" w:rsidRPr="000323A2" w:rsidRDefault="000323A2" w:rsidP="000323A2">
      <w:pPr>
        <w:spacing w:before="240"/>
        <w:rPr>
          <w:rFonts w:ascii="ITC Avant Garde" w:eastAsia="Calibri" w:hAnsi="ITC Avant Garde" w:cs="Times New Roman"/>
          <w:b/>
        </w:rPr>
      </w:pPr>
      <w:bookmarkStart w:id="41" w:name="_Toc398759580"/>
      <w:r w:rsidRPr="000323A2">
        <w:rPr>
          <w:rFonts w:ascii="ITC Avant Garde" w:eastAsia="Calibri" w:hAnsi="ITC Avant Garde" w:cs="Times New Roman"/>
          <w:b/>
        </w:rPr>
        <w:t>REQUERIMIENTO PARA ACOMETIDA DE COBRE EN EL SITIO CLIENTE.</w:t>
      </w:r>
      <w:bookmarkEnd w:id="41"/>
    </w:p>
    <w:p w14:paraId="41E58AC3" w14:textId="77777777" w:rsidR="000323A2" w:rsidRPr="000323A2" w:rsidRDefault="000323A2" w:rsidP="000323A2">
      <w:pPr>
        <w:tabs>
          <w:tab w:val="left" w:pos="284"/>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A continuación, se indican los requerimientos para el suministro de servicios que utilizan cobre:</w:t>
      </w:r>
    </w:p>
    <w:p w14:paraId="1E092A31"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Se recomienda que el equipo NTU se instale en un </w:t>
      </w:r>
      <w:proofErr w:type="spellStart"/>
      <w:r w:rsidRPr="000323A2">
        <w:rPr>
          <w:rFonts w:ascii="ITC Avant Garde" w:eastAsia="Calibri" w:hAnsi="ITC Avant Garde" w:cs="Arial"/>
          <w:lang w:val="es-ES_tradnl" w:eastAsia="es-ES"/>
        </w:rPr>
        <w:t>MiniGUT</w:t>
      </w:r>
      <w:proofErr w:type="spellEnd"/>
      <w:r w:rsidRPr="000323A2">
        <w:rPr>
          <w:rFonts w:ascii="ITC Avant Garde" w:eastAsia="Calibri" w:hAnsi="ITC Avant Garde" w:cs="Arial"/>
          <w:lang w:val="es-ES_tradnl" w:eastAsia="es-ES"/>
        </w:rPr>
        <w:t>.</w:t>
      </w:r>
    </w:p>
    <w:p w14:paraId="60A45AFD"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En caso de que no sea posible el uso del </w:t>
      </w:r>
      <w:proofErr w:type="spellStart"/>
      <w:r w:rsidRPr="000323A2">
        <w:rPr>
          <w:rFonts w:ascii="ITC Avant Garde" w:eastAsia="Calibri" w:hAnsi="ITC Avant Garde" w:cs="Arial"/>
          <w:lang w:val="es-ES_tradnl" w:eastAsia="es-ES"/>
        </w:rPr>
        <w:t>MiniGUT</w:t>
      </w:r>
      <w:proofErr w:type="spellEnd"/>
      <w:r w:rsidRPr="000323A2">
        <w:rPr>
          <w:rFonts w:ascii="ITC Avant Garde" w:eastAsia="Calibri" w:hAnsi="ITC Avant Garde" w:cs="Arial"/>
          <w:lang w:val="es-ES_tradnl" w:eastAsia="es-ES"/>
        </w:rPr>
        <w:t xml:space="preserve"> se requiere una superficie plana de al menos 35 cm. por 30 cm. y espacio para la altura de la NTU de 20 cm.</w:t>
      </w:r>
    </w:p>
    <w:p w14:paraId="1C4376CD"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No debe estar expuesto a los rayos del sol ni cerca de una fuente de calor.</w:t>
      </w:r>
    </w:p>
    <w:p w14:paraId="6331569C"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No debe estar expuesto a acumulación excesiva de polvo.</w:t>
      </w:r>
    </w:p>
    <w:p w14:paraId="76D48B17"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No debe estar expuesto a humedad o cerca de conexiones o llaves de líquidos.</w:t>
      </w:r>
    </w:p>
    <w:p w14:paraId="52E8EB30"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Los cableados no deberán estar situados en pasillo o en lugares de transito de personal.</w:t>
      </w:r>
    </w:p>
    <w:p w14:paraId="4C9377C3"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 trayectoria del cable de alimentación no debe coincidir con la trayectoria del cable de conexión de la NTU (par trenzado).</w:t>
      </w:r>
    </w:p>
    <w:p w14:paraId="5066602F"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Lo roseta se debe colocar a una altura de 60 del NPT del piso.</w:t>
      </w:r>
    </w:p>
    <w:p w14:paraId="0284DDF2"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La distancia máxima desde la roseta hasta la NTU es de 2.5 metros.</w:t>
      </w:r>
    </w:p>
    <w:p w14:paraId="3E432B7C"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Una distancia máxima de 5 metros desde la NTU al equipo del cliente.</w:t>
      </w:r>
    </w:p>
    <w:p w14:paraId="31E81216"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Una distancia máxima de 2 metros desde el contacto tomacorriente hasta la NTU, que maneje un rango de voltaje mínimo de 90 VAC y máximo de 137 VAC.</w:t>
      </w:r>
    </w:p>
    <w:p w14:paraId="2F0A9EE6"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Se recomienda utilizar clavijas polarizadas y aterrizadas.</w:t>
      </w:r>
    </w:p>
    <w:p w14:paraId="457EAD47" w14:textId="77777777" w:rsidR="000323A2" w:rsidRPr="000323A2" w:rsidRDefault="000323A2" w:rsidP="00B04B36">
      <w:pPr>
        <w:numPr>
          <w:ilvl w:val="0"/>
          <w:numId w:val="36"/>
        </w:numPr>
        <w:tabs>
          <w:tab w:val="left" w:pos="709"/>
        </w:tabs>
        <w:autoSpaceDE w:val="0"/>
        <w:autoSpaceDN w:val="0"/>
        <w:spacing w:before="240" w:after="0" w:line="276" w:lineRule="auto"/>
        <w:ind w:right="-234"/>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lastRenderedPageBreak/>
        <w:t xml:space="preserve">Se recomienda no utilizar </w:t>
      </w:r>
      <w:proofErr w:type="spellStart"/>
      <w:r w:rsidRPr="000323A2">
        <w:rPr>
          <w:rFonts w:ascii="ITC Avant Garde" w:eastAsia="Calibri" w:hAnsi="ITC Avant Garde" w:cs="Arial"/>
          <w:lang w:val="es-ES_tradnl" w:eastAsia="es-ES"/>
        </w:rPr>
        <w:t>multi</w:t>
      </w:r>
      <w:proofErr w:type="spellEnd"/>
      <w:r w:rsidRPr="000323A2">
        <w:rPr>
          <w:rFonts w:ascii="ITC Avant Garde" w:eastAsia="Calibri" w:hAnsi="ITC Avant Garde" w:cs="Arial"/>
          <w:lang w:val="es-ES_tradnl" w:eastAsia="es-ES"/>
        </w:rPr>
        <w:t xml:space="preserve"> contactos.</w:t>
      </w:r>
    </w:p>
    <w:p w14:paraId="27CA60D3" w14:textId="77777777" w:rsidR="000323A2" w:rsidRPr="000323A2" w:rsidRDefault="000323A2" w:rsidP="00B04B36">
      <w:pPr>
        <w:numPr>
          <w:ilvl w:val="0"/>
          <w:numId w:val="36"/>
        </w:numPr>
        <w:tabs>
          <w:tab w:val="left" w:pos="709"/>
        </w:tabs>
        <w:autoSpaceDE w:val="0"/>
        <w:autoSpaceDN w:val="0"/>
        <w:spacing w:before="240" w:after="0" w:line="276" w:lineRule="auto"/>
        <w:ind w:right="-227"/>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 xml:space="preserve">Se recomienda que el tomacorriente se suministre desde una toma </w:t>
      </w:r>
      <w:proofErr w:type="gramStart"/>
      <w:r w:rsidRPr="000323A2">
        <w:rPr>
          <w:rFonts w:ascii="ITC Avant Garde" w:eastAsia="Calibri" w:hAnsi="ITC Avant Garde" w:cs="Arial"/>
          <w:lang w:val="es-ES_tradnl" w:eastAsia="es-ES"/>
        </w:rPr>
        <w:t>de  corriente</w:t>
      </w:r>
      <w:proofErr w:type="gramEnd"/>
      <w:r w:rsidRPr="000323A2">
        <w:rPr>
          <w:rFonts w:ascii="ITC Avant Garde" w:eastAsia="Calibri" w:hAnsi="ITC Avant Garde" w:cs="Arial"/>
          <w:lang w:val="es-ES_tradnl" w:eastAsia="es-ES"/>
        </w:rPr>
        <w:t xml:space="preserve"> ininterrumpida</w:t>
      </w:r>
    </w:p>
    <w:p w14:paraId="19F144F0" w14:textId="77777777" w:rsidR="000323A2" w:rsidRPr="000323A2" w:rsidRDefault="000323A2" w:rsidP="00B04B36">
      <w:pPr>
        <w:numPr>
          <w:ilvl w:val="0"/>
          <w:numId w:val="36"/>
        </w:numPr>
        <w:tabs>
          <w:tab w:val="left" w:pos="709"/>
        </w:tabs>
        <w:autoSpaceDE w:val="0"/>
        <w:autoSpaceDN w:val="0"/>
        <w:spacing w:before="240" w:after="0" w:line="276" w:lineRule="auto"/>
        <w:ind w:right="-227"/>
        <w:jc w:val="both"/>
        <w:rPr>
          <w:rFonts w:ascii="ITC Avant Garde" w:eastAsia="Calibri" w:hAnsi="ITC Avant Garde" w:cs="Arial"/>
          <w:lang w:val="es-ES_tradnl" w:eastAsia="es-ES"/>
        </w:rPr>
      </w:pPr>
      <w:r w:rsidRPr="000323A2">
        <w:rPr>
          <w:rFonts w:ascii="ITC Avant Garde" w:eastAsia="Calibri" w:hAnsi="ITC Avant Garde" w:cs="Arial"/>
          <w:lang w:val="es-ES_tradnl" w:eastAsia="es-ES"/>
        </w:rPr>
        <w:t>No colocar otros objetos encima de la NTU</w:t>
      </w:r>
    </w:p>
    <w:p w14:paraId="57EE6D33" w14:textId="77777777" w:rsidR="000323A2" w:rsidRPr="000323A2" w:rsidRDefault="000323A2" w:rsidP="000323A2">
      <w:pPr>
        <w:spacing w:before="240" w:after="0" w:line="240" w:lineRule="auto"/>
        <w:ind w:right="-227"/>
        <w:jc w:val="both"/>
        <w:rPr>
          <w:rFonts w:ascii="ITC Avant Garde" w:eastAsia="Times New Roman" w:hAnsi="ITC Avant Garde" w:cs="Arial"/>
        </w:rPr>
      </w:pPr>
      <w:r w:rsidRPr="000323A2">
        <w:rPr>
          <w:rFonts w:ascii="ITC Avant Garde" w:eastAsia="Times New Roman" w:hAnsi="ITC Avant Garde" w:cs="Arial"/>
        </w:rPr>
        <w:t>Este Anexo “E” se firma por los representantes debidamente facultados de las Partes, el __ de ____________________ del año 20__.</w:t>
      </w:r>
    </w:p>
    <w:p w14:paraId="70E01856" w14:textId="77777777" w:rsidR="000323A2" w:rsidRPr="000323A2" w:rsidRDefault="000323A2" w:rsidP="000323A2">
      <w:pPr>
        <w:spacing w:before="240" w:after="0" w:line="240" w:lineRule="auto"/>
        <w:ind w:right="-227"/>
        <w:rPr>
          <w:rFonts w:ascii="ITC Avant Garde" w:eastAsia="Times New Roman" w:hAnsi="ITC Avant Garde" w:cs="Arial"/>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8838"/>
      </w:tblGrid>
      <w:tr w:rsidR="000323A2" w:rsidRPr="000323A2" w14:paraId="45BCAC55" w14:textId="77777777" w:rsidTr="000323A2">
        <w:trPr>
          <w:trHeight w:val="624"/>
          <w:tblHeader/>
          <w:jc w:val="center"/>
        </w:trPr>
        <w:tc>
          <w:tcPr>
            <w:tcW w:w="8925" w:type="dxa"/>
          </w:tcPr>
          <w:p w14:paraId="6012A123"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TELÉFONOS DE MÉXICO, S.A.B. DE C.V.</w:t>
            </w:r>
          </w:p>
        </w:tc>
      </w:tr>
      <w:tr w:rsidR="000323A2" w:rsidRPr="000323A2" w14:paraId="1FDF8E21" w14:textId="77777777" w:rsidTr="000323A2">
        <w:trPr>
          <w:tblHeader/>
          <w:jc w:val="center"/>
        </w:trPr>
        <w:tc>
          <w:tcPr>
            <w:tcW w:w="8925" w:type="dxa"/>
          </w:tcPr>
          <w:p w14:paraId="722C12F1"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_____________________________</w:t>
            </w:r>
          </w:p>
        </w:tc>
      </w:tr>
      <w:tr w:rsidR="000323A2" w:rsidRPr="000323A2" w14:paraId="173929AD" w14:textId="77777777" w:rsidTr="000323A2">
        <w:trPr>
          <w:tblHeader/>
          <w:jc w:val="center"/>
        </w:trPr>
        <w:tc>
          <w:tcPr>
            <w:tcW w:w="8925" w:type="dxa"/>
          </w:tcPr>
          <w:p w14:paraId="5E5C5517"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r w:rsidR="000323A2" w:rsidRPr="000323A2" w14:paraId="3B778245" w14:textId="77777777" w:rsidTr="000323A2">
        <w:trPr>
          <w:trHeight w:val="624"/>
          <w:tblHeader/>
          <w:jc w:val="center"/>
        </w:trPr>
        <w:tc>
          <w:tcPr>
            <w:tcW w:w="8925" w:type="dxa"/>
          </w:tcPr>
          <w:p w14:paraId="07008EEB"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CONCESIONARIO SOLICITANTE O AUTORIZADO SOLICITANTE</w:t>
            </w:r>
          </w:p>
        </w:tc>
      </w:tr>
      <w:tr w:rsidR="000323A2" w:rsidRPr="000323A2" w14:paraId="4EE9C82D" w14:textId="77777777" w:rsidTr="000323A2">
        <w:trPr>
          <w:tblHeader/>
          <w:jc w:val="center"/>
        </w:trPr>
        <w:tc>
          <w:tcPr>
            <w:tcW w:w="8925" w:type="dxa"/>
          </w:tcPr>
          <w:p w14:paraId="72CD740B"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w:t>
            </w:r>
          </w:p>
        </w:tc>
      </w:tr>
      <w:tr w:rsidR="000323A2" w:rsidRPr="000323A2" w14:paraId="1F4BCADF" w14:textId="77777777" w:rsidTr="000323A2">
        <w:trPr>
          <w:tblHeader/>
          <w:jc w:val="center"/>
        </w:trPr>
        <w:tc>
          <w:tcPr>
            <w:tcW w:w="8925" w:type="dxa"/>
          </w:tcPr>
          <w:p w14:paraId="79B13BB0"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bl>
    <w:p w14:paraId="39B29146" w14:textId="77777777" w:rsidR="000323A2" w:rsidRPr="000323A2" w:rsidRDefault="000323A2" w:rsidP="000323A2">
      <w:pPr>
        <w:spacing w:before="240"/>
        <w:rPr>
          <w:rFonts w:ascii="Calibri" w:eastAsia="Calibri" w:hAnsi="Calibri" w:cs="Times New Roman"/>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327"/>
        <w:gridCol w:w="4511"/>
      </w:tblGrid>
      <w:tr w:rsidR="000323A2" w:rsidRPr="000323A2" w14:paraId="10D89377" w14:textId="77777777" w:rsidTr="000323A2">
        <w:trPr>
          <w:trHeight w:val="624"/>
          <w:tblHeader/>
          <w:jc w:val="center"/>
        </w:trPr>
        <w:tc>
          <w:tcPr>
            <w:tcW w:w="4414" w:type="dxa"/>
          </w:tcPr>
          <w:p w14:paraId="127BF01E"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Testigo</w:t>
            </w:r>
          </w:p>
        </w:tc>
        <w:tc>
          <w:tcPr>
            <w:tcW w:w="4511" w:type="dxa"/>
          </w:tcPr>
          <w:p w14:paraId="37B75F87"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Testigo</w:t>
            </w:r>
          </w:p>
        </w:tc>
      </w:tr>
      <w:tr w:rsidR="000323A2" w:rsidRPr="000323A2" w14:paraId="65C0470D" w14:textId="77777777" w:rsidTr="000323A2">
        <w:trPr>
          <w:tblHeader/>
          <w:jc w:val="center"/>
        </w:trPr>
        <w:tc>
          <w:tcPr>
            <w:tcW w:w="4414" w:type="dxa"/>
          </w:tcPr>
          <w:p w14:paraId="5F9DF267"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_____________________________________</w:t>
            </w:r>
          </w:p>
        </w:tc>
        <w:tc>
          <w:tcPr>
            <w:tcW w:w="4511" w:type="dxa"/>
          </w:tcPr>
          <w:p w14:paraId="49693FC5"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_______________________________________</w:t>
            </w:r>
          </w:p>
        </w:tc>
      </w:tr>
    </w:tbl>
    <w:p w14:paraId="1C729970" w14:textId="77777777" w:rsidR="000323A2" w:rsidRPr="000323A2" w:rsidRDefault="000323A2" w:rsidP="000323A2">
      <w:pPr>
        <w:spacing w:before="240" w:after="0" w:line="240" w:lineRule="auto"/>
        <w:rPr>
          <w:rFonts w:ascii="Calibri" w:eastAsia="Calibri" w:hAnsi="Calibri" w:cs="Times New Roman"/>
          <w:lang w:eastAsia="es-ES"/>
        </w:rPr>
      </w:pPr>
      <w:r w:rsidRPr="000323A2">
        <w:rPr>
          <w:rFonts w:ascii="Calibri" w:eastAsia="Calibri" w:hAnsi="Calibri" w:cs="Times New Roman"/>
          <w:lang w:eastAsia="es-ES"/>
        </w:rPr>
        <w:br w:type="page"/>
      </w:r>
    </w:p>
    <w:p w14:paraId="73751DC0"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tabs>
          <w:tab w:val="center" w:pos="1814"/>
          <w:tab w:val="center" w:pos="5216"/>
          <w:tab w:val="center" w:pos="9214"/>
        </w:tabs>
        <w:spacing w:before="240" w:after="0" w:line="240" w:lineRule="auto"/>
        <w:ind w:left="567" w:right="567"/>
        <w:jc w:val="center"/>
        <w:outlineLvl w:val="0"/>
        <w:rPr>
          <w:rFonts w:ascii="Arial" w:eastAsia="Calibri" w:hAnsi="Arial" w:cs="Arial"/>
          <w:bCs/>
          <w:kern w:val="32"/>
          <w:sz w:val="56"/>
          <w:szCs w:val="32"/>
          <w:u w:val="single"/>
          <w:lang w:val="es-ES_tradnl"/>
        </w:rPr>
      </w:pPr>
      <w:r w:rsidRPr="000323A2">
        <w:rPr>
          <w:rFonts w:ascii="Arial" w:eastAsia="Calibri" w:hAnsi="Arial" w:cs="Arial"/>
          <w:bCs/>
          <w:kern w:val="32"/>
          <w:sz w:val="56"/>
          <w:szCs w:val="32"/>
          <w:u w:val="single"/>
          <w:lang w:val="es-ES_tradnl"/>
        </w:rPr>
        <w:lastRenderedPageBreak/>
        <w:t>ANEXO “F”</w:t>
      </w:r>
    </w:p>
    <w:p w14:paraId="6F033433"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spacing w:before="240" w:after="0" w:line="240" w:lineRule="auto"/>
        <w:ind w:left="567" w:right="567"/>
        <w:jc w:val="center"/>
        <w:outlineLvl w:val="1"/>
        <w:rPr>
          <w:rFonts w:ascii="Arial" w:eastAsia="Calibri" w:hAnsi="Arial" w:cs="Arial"/>
          <w:b/>
          <w:bCs/>
          <w:iCs/>
          <w:sz w:val="48"/>
          <w:szCs w:val="48"/>
          <w:lang w:val="es-ES"/>
        </w:rPr>
      </w:pPr>
      <w:r w:rsidRPr="000323A2">
        <w:rPr>
          <w:rFonts w:ascii="Arial" w:eastAsia="Calibri" w:hAnsi="Arial" w:cs="Arial"/>
          <w:b/>
          <w:bCs/>
          <w:iCs/>
          <w:sz w:val="48"/>
          <w:szCs w:val="48"/>
          <w:lang w:val="es-ES"/>
        </w:rPr>
        <w:t>PROCEDIMIENTO DE ACCESO A SITIOS</w:t>
      </w:r>
    </w:p>
    <w:p w14:paraId="68F686A1" w14:textId="77777777" w:rsidR="000323A2" w:rsidRPr="000323A2" w:rsidRDefault="000323A2" w:rsidP="000323A2">
      <w:pPr>
        <w:spacing w:before="240" w:after="0" w:line="240" w:lineRule="auto"/>
        <w:rPr>
          <w:rFonts w:ascii="Arial" w:eastAsia="Calibri" w:hAnsi="Arial" w:cs="Arial"/>
          <w:b/>
          <w:snapToGrid w:val="0"/>
          <w:sz w:val="32"/>
          <w:szCs w:val="32"/>
          <w:lang w:val="es-ES_tradnl"/>
        </w:rPr>
      </w:pPr>
      <w:r w:rsidRPr="000323A2">
        <w:rPr>
          <w:rFonts w:ascii="Arial" w:eastAsia="Calibri" w:hAnsi="Arial" w:cs="Arial"/>
          <w:b/>
          <w:snapToGrid w:val="0"/>
          <w:sz w:val="32"/>
          <w:szCs w:val="32"/>
          <w:lang w:val="es-ES_tradnl"/>
        </w:rPr>
        <w:br w:type="page"/>
      </w:r>
    </w:p>
    <w:p w14:paraId="5497C34D" w14:textId="77777777" w:rsidR="000323A2" w:rsidRPr="000323A2" w:rsidRDefault="000323A2" w:rsidP="000323A2">
      <w:pPr>
        <w:spacing w:before="240" w:after="0" w:line="276" w:lineRule="auto"/>
        <w:jc w:val="center"/>
        <w:rPr>
          <w:rFonts w:ascii="Arial" w:eastAsia="Calibri" w:hAnsi="Arial" w:cs="Arial"/>
          <w:b/>
          <w:snapToGrid w:val="0"/>
          <w:sz w:val="32"/>
          <w:szCs w:val="32"/>
          <w:lang w:val="es-ES_tradnl"/>
        </w:rPr>
      </w:pPr>
      <w:r w:rsidRPr="000323A2">
        <w:rPr>
          <w:rFonts w:ascii="Arial" w:eastAsia="Calibri" w:hAnsi="Arial" w:cs="Arial"/>
          <w:b/>
          <w:snapToGrid w:val="0"/>
          <w:sz w:val="32"/>
          <w:szCs w:val="32"/>
          <w:lang w:val="es-ES_tradnl"/>
        </w:rPr>
        <w:lastRenderedPageBreak/>
        <w:t>ANEXO “F”</w:t>
      </w:r>
    </w:p>
    <w:p w14:paraId="5D2C41A1" w14:textId="77777777" w:rsidR="000323A2" w:rsidRPr="000323A2" w:rsidRDefault="000323A2" w:rsidP="000323A2">
      <w:pPr>
        <w:spacing w:before="240"/>
        <w:jc w:val="center"/>
        <w:rPr>
          <w:rFonts w:ascii="Arial" w:eastAsia="Calibri" w:hAnsi="Arial" w:cs="Arial"/>
          <w:b/>
          <w:sz w:val="32"/>
          <w:szCs w:val="32"/>
        </w:rPr>
      </w:pPr>
      <w:r w:rsidRPr="000323A2">
        <w:rPr>
          <w:rFonts w:ascii="Arial" w:eastAsia="Calibri" w:hAnsi="Arial" w:cs="Arial"/>
          <w:b/>
          <w:sz w:val="32"/>
          <w:szCs w:val="32"/>
        </w:rPr>
        <w:t>PROCEDIMIENTO DE ACCESO A SITIOS</w:t>
      </w:r>
    </w:p>
    <w:p w14:paraId="05DEA378" w14:textId="77777777" w:rsidR="000323A2" w:rsidRPr="000323A2" w:rsidRDefault="000323A2" w:rsidP="000323A2">
      <w:pPr>
        <w:spacing w:before="240" w:after="0" w:line="276" w:lineRule="auto"/>
        <w:ind w:left="567" w:hanging="567"/>
        <w:rPr>
          <w:rFonts w:ascii="Arial" w:eastAsia="Calibri" w:hAnsi="Arial" w:cs="Arial"/>
          <w:b/>
        </w:rPr>
      </w:pPr>
      <w:r w:rsidRPr="000323A2">
        <w:rPr>
          <w:rFonts w:ascii="Arial" w:eastAsia="Calibri" w:hAnsi="Arial" w:cs="Arial"/>
          <w:b/>
        </w:rPr>
        <w:t>1. CONDICIONES GENERALES.</w:t>
      </w:r>
    </w:p>
    <w:p w14:paraId="4931EE3D" w14:textId="77777777" w:rsidR="000323A2" w:rsidRPr="000323A2" w:rsidRDefault="000323A2" w:rsidP="000323A2">
      <w:pPr>
        <w:spacing w:before="240" w:after="0" w:line="276" w:lineRule="auto"/>
        <w:ind w:left="567" w:hanging="567"/>
        <w:jc w:val="both"/>
        <w:rPr>
          <w:rFonts w:ascii="Arial" w:eastAsia="Calibri" w:hAnsi="Arial" w:cs="Arial"/>
          <w:b/>
        </w:rPr>
      </w:pPr>
      <w:r w:rsidRPr="000323A2">
        <w:rPr>
          <w:rFonts w:ascii="Arial" w:eastAsia="Calibri" w:hAnsi="Arial" w:cs="Arial"/>
          <w:b/>
        </w:rPr>
        <w:t>1.1. ACCESO.</w:t>
      </w:r>
    </w:p>
    <w:p w14:paraId="1B8D641E" w14:textId="77777777" w:rsidR="000323A2" w:rsidRPr="000323A2" w:rsidRDefault="000323A2" w:rsidP="000323A2">
      <w:pPr>
        <w:widowControl w:val="0"/>
        <w:numPr>
          <w:ilvl w:val="12"/>
          <w:numId w:val="0"/>
        </w:numPr>
        <w:spacing w:before="240" w:after="0" w:line="276" w:lineRule="auto"/>
        <w:jc w:val="both"/>
        <w:rPr>
          <w:rFonts w:ascii="Arial" w:eastAsia="Calibri" w:hAnsi="Arial" w:cs="Arial"/>
        </w:rPr>
      </w:pPr>
      <w:r w:rsidRPr="000323A2">
        <w:rPr>
          <w:rFonts w:ascii="Arial" w:eastAsia="Calibri" w:hAnsi="Arial" w:cs="Arial"/>
        </w:rPr>
        <w:t>El Concesionario Solicitante o Autorizado Solicitante, proporcionará en sus instalaciones un sitio de fácil acceso preferentemente durante las 24 horas los 365 días del año, con vigilancia permanente, así como un croquis que indique la localización del sitio. En su caso, el Concesionario Solicitante o Autorizado Solicitante se compromete a que su cliente final otorgue al personal de Telmex fácil acceso preferentemente durante las 24 horas los 365 días del año, con vigilancia permanente, así como un croquis que indique la localización del sitio, lo cual implica, de manera enunciativa mas no limitativa, trámites con terceros, permisos, condiciones de seguridad y documentación que sea requerida. En caso contrario, el Concesionario Solicitante o Autorizado Solicitante indicará la fecha y horario dentro del cual se podrá acceder al sitio, en el entendido de que si por causas imputables al Concesionario Solicitante o Autorizado Solicitante o a su cliente se le restringiera o negara el acceso al sitio del cliente en donde se encuentren las instalaciones, dichos retrasos en la instalación o reparación no se tomarán en cuenta para la medición del cumplimento de los plazos de reparación de incidencias.</w:t>
      </w:r>
    </w:p>
    <w:p w14:paraId="1A469117" w14:textId="77777777" w:rsidR="000323A2" w:rsidRPr="000323A2" w:rsidRDefault="000323A2" w:rsidP="000323A2">
      <w:pPr>
        <w:spacing w:before="240" w:after="0" w:line="276" w:lineRule="auto"/>
        <w:ind w:left="567" w:hanging="567"/>
        <w:jc w:val="both"/>
        <w:rPr>
          <w:rFonts w:ascii="Arial" w:eastAsia="Calibri" w:hAnsi="Arial" w:cs="Arial"/>
          <w:b/>
        </w:rPr>
      </w:pPr>
      <w:bookmarkStart w:id="42" w:name="_Toc485441608"/>
      <w:bookmarkStart w:id="43" w:name="_Toc37217750"/>
      <w:r w:rsidRPr="000323A2">
        <w:rPr>
          <w:rFonts w:ascii="Arial" w:eastAsia="Calibri" w:hAnsi="Arial" w:cs="Arial"/>
          <w:b/>
        </w:rPr>
        <w:t>1.2. RECEPCION DE SOLICITUDES DE ACCESO.</w:t>
      </w:r>
      <w:bookmarkEnd w:id="42"/>
      <w:bookmarkEnd w:id="43"/>
    </w:p>
    <w:p w14:paraId="2038F00E" w14:textId="77777777" w:rsidR="000323A2" w:rsidRPr="000323A2" w:rsidRDefault="000323A2" w:rsidP="000323A2">
      <w:pPr>
        <w:spacing w:before="240" w:after="0" w:line="276" w:lineRule="auto"/>
        <w:jc w:val="both"/>
        <w:rPr>
          <w:rFonts w:ascii="Arial" w:eastAsia="Calibri" w:hAnsi="Arial" w:cs="Arial"/>
          <w:caps/>
          <w:lang w:val="es-ES_tradnl"/>
        </w:rPr>
      </w:pPr>
      <w:r w:rsidRPr="000323A2">
        <w:rPr>
          <w:rFonts w:ascii="Arial" w:eastAsia="Calibri" w:hAnsi="Arial" w:cs="Arial"/>
        </w:rPr>
        <w:t>Telmex</w:t>
      </w:r>
      <w:r w:rsidRPr="000323A2">
        <w:rPr>
          <w:rFonts w:ascii="Arial" w:eastAsia="Calibri" w:hAnsi="Arial" w:cs="Arial"/>
          <w:lang w:val="es-ES_tradnl"/>
        </w:rPr>
        <w:t xml:space="preserve"> deberá enviar sus solicitudes de acceso con un mínimo de 48 horas de anticipación dentro del horario de 8:00 a 18:00 horas (horas hábiles) al Centro de Atención de Red del Concesionario Solicitante o Autorizado Solicitante. Cuando se trate de mantenimiento correctivo el acceso podrá efectuarse durante las 24 horas del día, los 365 días del </w:t>
      </w:r>
      <w:proofErr w:type="gramStart"/>
      <w:r w:rsidRPr="000323A2">
        <w:rPr>
          <w:rFonts w:ascii="Arial" w:eastAsia="Calibri" w:hAnsi="Arial" w:cs="Arial"/>
          <w:lang w:val="es-ES_tradnl"/>
        </w:rPr>
        <w:t>año ,</w:t>
      </w:r>
      <w:proofErr w:type="gramEnd"/>
      <w:r w:rsidRPr="000323A2">
        <w:rPr>
          <w:rFonts w:ascii="Arial" w:eastAsia="Calibri" w:hAnsi="Arial" w:cs="Arial"/>
          <w:lang w:val="es-ES_tradnl"/>
        </w:rPr>
        <w:t>. En caso contrario, el Concesionario Solicitante o Autorizado Solicitante indicará la fecha y horario dentro del cual se podrá acceder al sitio, en el entendido de que si por causas imputables al Concesionario Solicitante o Autorizado Solicitante o a su cliente se le restringiera o negara el acceso al sitio del cliente en donde se encuentren las instalaciones, dichos retrasos en la instalación o reparación no se tomarán en cuenta para la medición del cumplimento de los plazos de reparación de incidencias.</w:t>
      </w:r>
    </w:p>
    <w:p w14:paraId="435E149D" w14:textId="77777777" w:rsidR="000323A2" w:rsidRPr="000323A2" w:rsidRDefault="000323A2" w:rsidP="000323A2">
      <w:pPr>
        <w:spacing w:before="240" w:after="0" w:line="276" w:lineRule="auto"/>
        <w:ind w:left="567" w:hanging="567"/>
        <w:jc w:val="both"/>
        <w:rPr>
          <w:rFonts w:ascii="Arial" w:eastAsia="Calibri" w:hAnsi="Arial" w:cs="Arial"/>
          <w:b/>
        </w:rPr>
      </w:pPr>
      <w:bookmarkStart w:id="44" w:name="_Toc485441612"/>
      <w:bookmarkStart w:id="45" w:name="_Toc37217752"/>
      <w:r w:rsidRPr="000323A2">
        <w:rPr>
          <w:rFonts w:ascii="Arial" w:eastAsia="Calibri" w:hAnsi="Arial" w:cs="Arial"/>
          <w:b/>
        </w:rPr>
        <w:t>1.3. INFORMACION DE LAS SOLICITUDES DE ACCESO.</w:t>
      </w:r>
      <w:bookmarkEnd w:id="44"/>
      <w:bookmarkEnd w:id="45"/>
    </w:p>
    <w:p w14:paraId="0B49A879" w14:textId="77777777" w:rsidR="000323A2" w:rsidRPr="000323A2" w:rsidRDefault="000323A2" w:rsidP="000323A2">
      <w:pPr>
        <w:spacing w:before="240" w:after="0" w:line="276" w:lineRule="auto"/>
        <w:jc w:val="both"/>
        <w:rPr>
          <w:rFonts w:ascii="Arial" w:eastAsia="Calibri" w:hAnsi="Arial" w:cs="Arial"/>
          <w:lang w:val="es-ES_tradnl"/>
        </w:rPr>
      </w:pPr>
      <w:r w:rsidRPr="000323A2">
        <w:rPr>
          <w:rFonts w:ascii="Arial" w:eastAsia="Calibri" w:hAnsi="Arial" w:cs="Arial"/>
          <w:lang w:val="es-ES_tradnl"/>
        </w:rPr>
        <w:t>Las solicitudes de acceso deberán contener como mínimo la siguiente información:</w:t>
      </w:r>
    </w:p>
    <w:p w14:paraId="23D0F0D7" w14:textId="77777777" w:rsidR="000323A2" w:rsidRPr="000323A2" w:rsidRDefault="000323A2" w:rsidP="00B04B36">
      <w:pPr>
        <w:numPr>
          <w:ilvl w:val="0"/>
          <w:numId w:val="48"/>
        </w:numPr>
        <w:spacing w:before="240" w:after="0" w:line="276" w:lineRule="auto"/>
        <w:jc w:val="both"/>
        <w:rPr>
          <w:rFonts w:ascii="Arial" w:eastAsia="Calibri" w:hAnsi="Arial" w:cs="Arial"/>
          <w:lang w:val="es-ES_tradnl"/>
        </w:rPr>
      </w:pPr>
      <w:r w:rsidRPr="000323A2">
        <w:rPr>
          <w:rFonts w:ascii="Arial" w:eastAsia="Calibri" w:hAnsi="Arial" w:cs="Arial"/>
          <w:lang w:val="es-ES_tradnl"/>
        </w:rPr>
        <w:t>Nombre, teléfono y correo electrónico del solicitante</w:t>
      </w:r>
    </w:p>
    <w:p w14:paraId="21B43B81" w14:textId="77777777" w:rsidR="000323A2" w:rsidRPr="000323A2" w:rsidRDefault="000323A2" w:rsidP="00B04B36">
      <w:pPr>
        <w:numPr>
          <w:ilvl w:val="0"/>
          <w:numId w:val="48"/>
        </w:numPr>
        <w:spacing w:before="240" w:after="0" w:line="276" w:lineRule="auto"/>
        <w:jc w:val="both"/>
        <w:rPr>
          <w:rFonts w:ascii="Arial" w:eastAsia="Calibri" w:hAnsi="Arial" w:cs="Arial"/>
          <w:lang w:val="es-ES_tradnl"/>
        </w:rPr>
      </w:pPr>
      <w:r w:rsidRPr="000323A2">
        <w:rPr>
          <w:rFonts w:ascii="Arial" w:eastAsia="Calibri" w:hAnsi="Arial" w:cs="Arial"/>
          <w:lang w:val="es-ES_tradnl"/>
        </w:rPr>
        <w:t>Nombre de la empresa (Telmex)</w:t>
      </w:r>
    </w:p>
    <w:p w14:paraId="1A5B7DB6" w14:textId="77777777" w:rsidR="000323A2" w:rsidRPr="000323A2" w:rsidRDefault="000323A2" w:rsidP="00B04B36">
      <w:pPr>
        <w:numPr>
          <w:ilvl w:val="0"/>
          <w:numId w:val="48"/>
        </w:numPr>
        <w:spacing w:before="240" w:after="0" w:line="276" w:lineRule="auto"/>
        <w:jc w:val="both"/>
        <w:rPr>
          <w:rFonts w:ascii="Arial" w:eastAsia="Calibri" w:hAnsi="Arial" w:cs="Arial"/>
          <w:lang w:val="es-ES_tradnl"/>
        </w:rPr>
      </w:pPr>
      <w:r w:rsidRPr="000323A2">
        <w:rPr>
          <w:rFonts w:ascii="Arial" w:eastAsia="Calibri" w:hAnsi="Arial" w:cs="Arial"/>
          <w:lang w:val="es-ES_tradnl"/>
        </w:rPr>
        <w:lastRenderedPageBreak/>
        <w:t>Nombre y Ciudad de cada una de los sitios a los que se solicita el acceso</w:t>
      </w:r>
    </w:p>
    <w:p w14:paraId="42F26B49" w14:textId="77777777" w:rsidR="000323A2" w:rsidRPr="000323A2" w:rsidRDefault="000323A2" w:rsidP="00B04B36">
      <w:pPr>
        <w:numPr>
          <w:ilvl w:val="0"/>
          <w:numId w:val="48"/>
        </w:numPr>
        <w:spacing w:before="240" w:after="0" w:line="276" w:lineRule="auto"/>
        <w:jc w:val="both"/>
        <w:rPr>
          <w:rFonts w:ascii="Arial" w:eastAsia="Calibri" w:hAnsi="Arial" w:cs="Arial"/>
          <w:lang w:val="es-ES_tradnl"/>
        </w:rPr>
      </w:pPr>
      <w:r w:rsidRPr="000323A2">
        <w:rPr>
          <w:rFonts w:ascii="Arial" w:eastAsia="Calibri" w:hAnsi="Arial" w:cs="Arial"/>
          <w:lang w:val="es-ES_tradnl"/>
        </w:rPr>
        <w:t>Relación del personal de Telmex, de sus filiales o contratistas que accederán a las instalaciones</w:t>
      </w:r>
    </w:p>
    <w:p w14:paraId="690AA3E3" w14:textId="77777777" w:rsidR="000323A2" w:rsidRPr="000323A2" w:rsidRDefault="000323A2" w:rsidP="00B04B36">
      <w:pPr>
        <w:numPr>
          <w:ilvl w:val="0"/>
          <w:numId w:val="48"/>
        </w:numPr>
        <w:spacing w:before="240" w:after="0" w:line="276" w:lineRule="auto"/>
        <w:jc w:val="both"/>
        <w:rPr>
          <w:rFonts w:ascii="Arial" w:eastAsia="Calibri" w:hAnsi="Arial" w:cs="Arial"/>
          <w:lang w:val="es-ES_tradnl"/>
        </w:rPr>
      </w:pPr>
      <w:r w:rsidRPr="000323A2">
        <w:rPr>
          <w:rFonts w:ascii="Arial" w:eastAsia="Calibri" w:hAnsi="Arial" w:cs="Arial"/>
          <w:lang w:val="es-ES_tradnl"/>
        </w:rPr>
        <w:t>Descripción de los trabajos a realizar</w:t>
      </w:r>
    </w:p>
    <w:p w14:paraId="583E2989" w14:textId="77777777" w:rsidR="000323A2" w:rsidRPr="000323A2" w:rsidRDefault="000323A2" w:rsidP="00B04B36">
      <w:pPr>
        <w:numPr>
          <w:ilvl w:val="0"/>
          <w:numId w:val="48"/>
        </w:numPr>
        <w:spacing w:before="240" w:after="0" w:line="276" w:lineRule="auto"/>
        <w:jc w:val="both"/>
        <w:rPr>
          <w:rFonts w:ascii="Arial" w:eastAsia="Calibri" w:hAnsi="Arial" w:cs="Arial"/>
          <w:lang w:val="es-ES_tradnl"/>
        </w:rPr>
      </w:pPr>
      <w:r w:rsidRPr="000323A2">
        <w:rPr>
          <w:rFonts w:ascii="Arial" w:eastAsia="Calibri" w:hAnsi="Arial" w:cs="Arial"/>
          <w:lang w:val="es-ES_tradnl"/>
        </w:rPr>
        <w:t>Horario de trabajos</w:t>
      </w:r>
    </w:p>
    <w:p w14:paraId="63CC4017" w14:textId="77777777" w:rsidR="000323A2" w:rsidRPr="000323A2" w:rsidRDefault="000323A2" w:rsidP="00B04B36">
      <w:pPr>
        <w:numPr>
          <w:ilvl w:val="0"/>
          <w:numId w:val="48"/>
        </w:numPr>
        <w:spacing w:before="240" w:after="0" w:line="276" w:lineRule="auto"/>
        <w:jc w:val="both"/>
        <w:rPr>
          <w:rFonts w:ascii="Arial" w:eastAsia="Calibri" w:hAnsi="Arial" w:cs="Arial"/>
          <w:lang w:val="es-ES_tradnl"/>
        </w:rPr>
      </w:pPr>
      <w:r w:rsidRPr="000323A2">
        <w:rPr>
          <w:rFonts w:ascii="Arial" w:eastAsia="Calibri" w:hAnsi="Arial" w:cs="Arial"/>
          <w:lang w:val="es-ES_tradnl"/>
        </w:rPr>
        <w:t>Período de tiempo en el que se requiere el acceso.</w:t>
      </w:r>
    </w:p>
    <w:p w14:paraId="2DC38B99" w14:textId="77777777" w:rsidR="000323A2" w:rsidRPr="000323A2" w:rsidRDefault="000323A2" w:rsidP="00B04B36">
      <w:pPr>
        <w:numPr>
          <w:ilvl w:val="0"/>
          <w:numId w:val="48"/>
        </w:numPr>
        <w:spacing w:before="240" w:after="0" w:line="276" w:lineRule="auto"/>
        <w:jc w:val="both"/>
        <w:rPr>
          <w:rFonts w:ascii="Arial" w:eastAsia="Calibri" w:hAnsi="Arial" w:cs="Arial"/>
          <w:lang w:val="es-ES_tradnl"/>
        </w:rPr>
      </w:pPr>
      <w:r w:rsidRPr="000323A2">
        <w:rPr>
          <w:rFonts w:ascii="Arial" w:eastAsia="Calibri" w:hAnsi="Arial" w:cs="Arial"/>
          <w:lang w:val="es-ES_tradnl"/>
        </w:rPr>
        <w:t>Cuando los trabajos incluyan retiro de equipo deberá agregarse la descripción (y el número de serie cuando aplica) del equipo a retirar.</w:t>
      </w:r>
    </w:p>
    <w:p w14:paraId="41CF2CDF" w14:textId="77777777" w:rsidR="000323A2" w:rsidRPr="000323A2" w:rsidRDefault="000323A2" w:rsidP="00B04B36">
      <w:pPr>
        <w:numPr>
          <w:ilvl w:val="0"/>
          <w:numId w:val="48"/>
        </w:numPr>
        <w:spacing w:before="240" w:after="0" w:line="276" w:lineRule="auto"/>
        <w:jc w:val="both"/>
        <w:rPr>
          <w:rFonts w:ascii="Arial" w:eastAsia="Calibri" w:hAnsi="Arial" w:cs="Arial"/>
          <w:lang w:val="es-ES_tradnl"/>
        </w:rPr>
      </w:pPr>
      <w:r w:rsidRPr="000323A2">
        <w:rPr>
          <w:rFonts w:ascii="Arial" w:eastAsia="Calibri" w:hAnsi="Arial" w:cs="Arial"/>
          <w:lang w:val="es-ES_tradnl"/>
        </w:rPr>
        <w:t xml:space="preserve">Área fuera del sitio </w:t>
      </w:r>
      <w:proofErr w:type="gramStart"/>
      <w:r w:rsidRPr="000323A2">
        <w:rPr>
          <w:rFonts w:ascii="Arial" w:eastAsia="Calibri" w:hAnsi="Arial" w:cs="Arial"/>
          <w:lang w:val="es-ES_tradnl"/>
        </w:rPr>
        <w:t>al  que</w:t>
      </w:r>
      <w:proofErr w:type="gramEnd"/>
      <w:r w:rsidRPr="000323A2">
        <w:rPr>
          <w:rFonts w:ascii="Arial" w:eastAsia="Calibri" w:hAnsi="Arial" w:cs="Arial"/>
          <w:lang w:val="es-ES_tradnl"/>
        </w:rPr>
        <w:t xml:space="preserve"> se desea acceder (cuando se requiera)</w:t>
      </w:r>
    </w:p>
    <w:p w14:paraId="43F93B02" w14:textId="77777777" w:rsidR="000323A2" w:rsidRPr="000323A2" w:rsidRDefault="000323A2" w:rsidP="000323A2">
      <w:pPr>
        <w:spacing w:before="240" w:after="0" w:line="276" w:lineRule="auto"/>
        <w:jc w:val="both"/>
        <w:rPr>
          <w:rFonts w:ascii="Arial" w:eastAsia="Calibri" w:hAnsi="Arial" w:cs="Arial"/>
          <w:lang w:val="es-ES_tradnl"/>
        </w:rPr>
      </w:pPr>
      <w:r w:rsidRPr="000323A2">
        <w:rPr>
          <w:rFonts w:ascii="Arial" w:eastAsia="Calibri" w:hAnsi="Arial" w:cs="Arial"/>
          <w:lang w:val="es-ES_tradnl"/>
        </w:rPr>
        <w:t>Los tipos de solicitud de autorización se dividen en:</w:t>
      </w:r>
    </w:p>
    <w:p w14:paraId="4B5986F4" w14:textId="77777777" w:rsidR="000323A2" w:rsidRPr="000323A2" w:rsidRDefault="000323A2" w:rsidP="00B04B36">
      <w:pPr>
        <w:numPr>
          <w:ilvl w:val="0"/>
          <w:numId w:val="70"/>
        </w:numPr>
        <w:spacing w:before="240" w:after="0" w:line="276" w:lineRule="auto"/>
        <w:jc w:val="both"/>
        <w:rPr>
          <w:rFonts w:ascii="Arial" w:eastAsia="Calibri" w:hAnsi="Arial" w:cs="Arial"/>
          <w:lang w:val="es-ES_tradnl"/>
        </w:rPr>
      </w:pPr>
      <w:r w:rsidRPr="000323A2">
        <w:rPr>
          <w:rFonts w:ascii="Arial" w:eastAsia="Calibri" w:hAnsi="Arial" w:cs="Arial"/>
          <w:lang w:val="es-ES_tradnl"/>
        </w:rPr>
        <w:t>Acceso programado en la fecha y hora señaladas por Telmex para la instalación y entrega de un nuevo servicio.</w:t>
      </w:r>
    </w:p>
    <w:p w14:paraId="449B2691" w14:textId="77777777" w:rsidR="000323A2" w:rsidRPr="000323A2" w:rsidRDefault="000323A2" w:rsidP="00B04B36">
      <w:pPr>
        <w:numPr>
          <w:ilvl w:val="0"/>
          <w:numId w:val="70"/>
        </w:numPr>
        <w:spacing w:before="240" w:after="0" w:line="276" w:lineRule="auto"/>
        <w:jc w:val="both"/>
        <w:rPr>
          <w:rFonts w:ascii="Arial" w:eastAsia="Calibri" w:hAnsi="Arial" w:cs="Arial"/>
          <w:lang w:val="es-ES_tradnl"/>
        </w:rPr>
      </w:pPr>
      <w:r w:rsidRPr="000323A2">
        <w:rPr>
          <w:rFonts w:ascii="Arial" w:eastAsia="Calibri" w:hAnsi="Arial" w:cs="Arial"/>
          <w:lang w:val="es-ES_tradnl"/>
        </w:rPr>
        <w:t>Acceso trimestral al sitio las 24 horas para trabajos de “Mantenimiento Preventivo, Correctivo y Atención de Fallas”.</w:t>
      </w:r>
    </w:p>
    <w:p w14:paraId="0F23600C" w14:textId="77777777" w:rsidR="000323A2" w:rsidRPr="000323A2" w:rsidRDefault="000323A2" w:rsidP="00B04B36">
      <w:pPr>
        <w:numPr>
          <w:ilvl w:val="0"/>
          <w:numId w:val="70"/>
        </w:numPr>
        <w:spacing w:before="240" w:after="0" w:line="276" w:lineRule="auto"/>
        <w:jc w:val="both"/>
        <w:rPr>
          <w:rFonts w:ascii="Arial" w:eastAsia="Calibri" w:hAnsi="Arial" w:cs="Arial"/>
          <w:lang w:val="es-ES_tradnl"/>
        </w:rPr>
      </w:pPr>
      <w:r w:rsidRPr="000323A2">
        <w:rPr>
          <w:rFonts w:ascii="Arial" w:eastAsia="Calibri" w:hAnsi="Arial" w:cs="Arial"/>
          <w:lang w:val="es-ES_tradnl"/>
        </w:rPr>
        <w:t>Acceso urgente al sitio para atención de fallas, retiro de equipo desconectado, etc. por personal no incluido en el acceso trimestral.</w:t>
      </w:r>
    </w:p>
    <w:p w14:paraId="5B2857E4" w14:textId="77777777" w:rsidR="000323A2" w:rsidRPr="000323A2" w:rsidRDefault="000323A2" w:rsidP="00B04B36">
      <w:pPr>
        <w:numPr>
          <w:ilvl w:val="0"/>
          <w:numId w:val="70"/>
        </w:numPr>
        <w:spacing w:before="240" w:after="0" w:line="276" w:lineRule="auto"/>
        <w:jc w:val="both"/>
        <w:rPr>
          <w:rFonts w:ascii="Arial" w:eastAsia="Calibri" w:hAnsi="Arial" w:cs="Arial"/>
          <w:lang w:val="es-ES_tradnl"/>
        </w:rPr>
      </w:pPr>
      <w:r w:rsidRPr="000323A2">
        <w:rPr>
          <w:rFonts w:ascii="Arial" w:eastAsia="Calibri" w:hAnsi="Arial" w:cs="Arial"/>
          <w:lang w:val="es-ES_tradnl"/>
        </w:rPr>
        <w:t>Acceso a áreas fuera del sitio para reparación de cableado, fuentes de energía, antenas, etc.</w:t>
      </w:r>
    </w:p>
    <w:p w14:paraId="35C0B420" w14:textId="77777777" w:rsidR="000323A2" w:rsidRPr="000323A2" w:rsidRDefault="000323A2" w:rsidP="000323A2">
      <w:pPr>
        <w:spacing w:before="240" w:after="0" w:line="276" w:lineRule="auto"/>
        <w:jc w:val="both"/>
        <w:rPr>
          <w:rFonts w:ascii="Arial" w:eastAsia="Calibri" w:hAnsi="Arial" w:cs="Arial"/>
          <w:lang w:val="es-ES_tradnl"/>
        </w:rPr>
      </w:pPr>
      <w:r w:rsidRPr="000323A2">
        <w:rPr>
          <w:rFonts w:ascii="Arial" w:eastAsia="Calibri" w:hAnsi="Arial" w:cs="Arial"/>
          <w:lang w:val="es-ES_tradnl"/>
        </w:rPr>
        <w:t>Los accesos de personal de Telmex, filiales y contratistas, a los sitios del Concesionario Solicitante o Autorizado Solicitante contarán con la presencia de un empleado del Concesionario Solicitante o Autorizado Solicitante.</w:t>
      </w:r>
    </w:p>
    <w:p w14:paraId="3CCAF17D" w14:textId="77777777" w:rsidR="000323A2" w:rsidRPr="000323A2" w:rsidRDefault="000323A2" w:rsidP="000323A2">
      <w:pPr>
        <w:tabs>
          <w:tab w:val="left" w:pos="709"/>
          <w:tab w:val="center" w:pos="4320"/>
          <w:tab w:val="left" w:pos="7372"/>
          <w:tab w:val="right" w:pos="8640"/>
          <w:tab w:val="right" w:pos="9356"/>
        </w:tabs>
        <w:spacing w:before="240" w:after="0" w:line="276" w:lineRule="auto"/>
        <w:jc w:val="both"/>
        <w:rPr>
          <w:rFonts w:ascii="Arial" w:eastAsia="Calibri" w:hAnsi="Arial" w:cs="Arial"/>
        </w:rPr>
      </w:pPr>
      <w:r w:rsidRPr="000323A2">
        <w:rPr>
          <w:rFonts w:ascii="Arial" w:eastAsia="Calibri" w:hAnsi="Arial" w:cs="Arial"/>
        </w:rPr>
        <w:t>Todo personal que ingrese a la instalación deberá mostrar la identificación que lo acredite como trabajador de la Compañía a la que pertenece, mediante credencial actualizada.</w:t>
      </w:r>
    </w:p>
    <w:p w14:paraId="509F1549" w14:textId="77777777" w:rsidR="000323A2" w:rsidRPr="000323A2" w:rsidRDefault="000323A2" w:rsidP="000323A2">
      <w:pPr>
        <w:tabs>
          <w:tab w:val="left" w:pos="568"/>
        </w:tabs>
        <w:spacing w:before="240" w:after="0" w:line="276" w:lineRule="auto"/>
        <w:ind w:right="43"/>
        <w:jc w:val="both"/>
        <w:rPr>
          <w:rFonts w:ascii="Arial" w:eastAsia="Calibri" w:hAnsi="Arial" w:cs="Arial"/>
        </w:rPr>
      </w:pPr>
      <w:r w:rsidRPr="000323A2">
        <w:rPr>
          <w:rFonts w:ascii="Arial" w:eastAsia="Calibri" w:hAnsi="Arial" w:cs="Arial"/>
        </w:rPr>
        <w:t>Dentro de la instalación, debe existir una bitácora con la finalidad de que el personal que ingrese se registre y anote el motivo de su visita, indicando la hora de entrada, nombre de la persona que visita la instalación, empresa, trabajo realizado, firma y hora de salida, por ejemplo:</w:t>
      </w:r>
    </w:p>
    <w:p w14:paraId="0200794D" w14:textId="77777777" w:rsidR="000323A2" w:rsidRPr="000323A2" w:rsidRDefault="000323A2" w:rsidP="000323A2">
      <w:pPr>
        <w:tabs>
          <w:tab w:val="left" w:pos="568"/>
        </w:tabs>
        <w:spacing w:before="240" w:after="0" w:line="276" w:lineRule="auto"/>
        <w:ind w:right="43"/>
        <w:jc w:val="both"/>
        <w:rPr>
          <w:rFonts w:ascii="Arial" w:eastAsia="Calibri" w:hAnsi="Arial" w:cs="Arial"/>
        </w:rPr>
      </w:pPr>
    </w:p>
    <w:tbl>
      <w:tblPr>
        <w:tblStyle w:val="Cuadrculadetablaclara1"/>
        <w:tblW w:w="9606" w:type="dxa"/>
        <w:jc w:val="center"/>
        <w:tblLayout w:type="fixed"/>
        <w:tblLook w:val="0000" w:firstRow="0" w:lastRow="0" w:firstColumn="0" w:lastColumn="0" w:noHBand="0" w:noVBand="0"/>
        <w:tblCaption w:val="Tabla"/>
        <w:tblDescription w:val="Horarios"/>
      </w:tblPr>
      <w:tblGrid>
        <w:gridCol w:w="1242"/>
        <w:gridCol w:w="2127"/>
        <w:gridCol w:w="1561"/>
        <w:gridCol w:w="2266"/>
        <w:gridCol w:w="1129"/>
        <w:gridCol w:w="1281"/>
      </w:tblGrid>
      <w:tr w:rsidR="000323A2" w:rsidRPr="000323A2" w14:paraId="0B6329CE" w14:textId="77777777" w:rsidTr="000323A2">
        <w:trPr>
          <w:tblHeader/>
          <w:jc w:val="center"/>
        </w:trPr>
        <w:tc>
          <w:tcPr>
            <w:tcW w:w="1242" w:type="dxa"/>
          </w:tcPr>
          <w:p w14:paraId="673A2209" w14:textId="77777777" w:rsidR="000323A2" w:rsidRPr="000323A2" w:rsidRDefault="000323A2" w:rsidP="000323A2">
            <w:pPr>
              <w:tabs>
                <w:tab w:val="left" w:pos="568"/>
              </w:tabs>
              <w:spacing w:before="240" w:line="276" w:lineRule="auto"/>
              <w:jc w:val="center"/>
              <w:rPr>
                <w:rFonts w:ascii="Arial" w:hAnsi="Arial" w:cs="Arial"/>
                <w:b/>
              </w:rPr>
            </w:pPr>
            <w:r w:rsidRPr="000323A2">
              <w:rPr>
                <w:rFonts w:ascii="Arial" w:hAnsi="Arial" w:cs="Arial"/>
                <w:b/>
              </w:rPr>
              <w:lastRenderedPageBreak/>
              <w:t>Hora de Entrada</w:t>
            </w:r>
          </w:p>
        </w:tc>
        <w:tc>
          <w:tcPr>
            <w:tcW w:w="2127" w:type="dxa"/>
          </w:tcPr>
          <w:p w14:paraId="3C38B3C6" w14:textId="77777777" w:rsidR="000323A2" w:rsidRPr="000323A2" w:rsidRDefault="000323A2" w:rsidP="000323A2">
            <w:pPr>
              <w:tabs>
                <w:tab w:val="left" w:pos="568"/>
              </w:tabs>
              <w:spacing w:before="240" w:line="276" w:lineRule="auto"/>
              <w:jc w:val="center"/>
              <w:rPr>
                <w:rFonts w:ascii="Arial" w:hAnsi="Arial" w:cs="Arial"/>
                <w:b/>
              </w:rPr>
            </w:pPr>
            <w:r w:rsidRPr="000323A2">
              <w:rPr>
                <w:rFonts w:ascii="Arial" w:hAnsi="Arial" w:cs="Arial"/>
                <w:b/>
              </w:rPr>
              <w:t>Nombre</w:t>
            </w:r>
          </w:p>
        </w:tc>
        <w:tc>
          <w:tcPr>
            <w:tcW w:w="1561" w:type="dxa"/>
          </w:tcPr>
          <w:p w14:paraId="6655911D" w14:textId="77777777" w:rsidR="000323A2" w:rsidRPr="000323A2" w:rsidRDefault="000323A2" w:rsidP="000323A2">
            <w:pPr>
              <w:tabs>
                <w:tab w:val="left" w:pos="568"/>
              </w:tabs>
              <w:spacing w:before="240" w:line="276" w:lineRule="auto"/>
              <w:jc w:val="center"/>
              <w:rPr>
                <w:rFonts w:ascii="Arial" w:hAnsi="Arial" w:cs="Arial"/>
                <w:b/>
              </w:rPr>
            </w:pPr>
            <w:r w:rsidRPr="000323A2">
              <w:rPr>
                <w:rFonts w:ascii="Arial" w:hAnsi="Arial" w:cs="Arial"/>
                <w:b/>
              </w:rPr>
              <w:t>Empresa</w:t>
            </w:r>
          </w:p>
        </w:tc>
        <w:tc>
          <w:tcPr>
            <w:tcW w:w="2266" w:type="dxa"/>
          </w:tcPr>
          <w:p w14:paraId="7BACEBBC" w14:textId="77777777" w:rsidR="000323A2" w:rsidRPr="000323A2" w:rsidRDefault="000323A2" w:rsidP="000323A2">
            <w:pPr>
              <w:tabs>
                <w:tab w:val="left" w:pos="568"/>
              </w:tabs>
              <w:spacing w:before="240" w:line="276" w:lineRule="auto"/>
              <w:jc w:val="center"/>
              <w:rPr>
                <w:rFonts w:ascii="Arial" w:hAnsi="Arial" w:cs="Arial"/>
                <w:b/>
              </w:rPr>
            </w:pPr>
            <w:r w:rsidRPr="000323A2">
              <w:rPr>
                <w:rFonts w:ascii="Arial" w:hAnsi="Arial" w:cs="Arial"/>
                <w:b/>
              </w:rPr>
              <w:t>Trabajo Realizado</w:t>
            </w:r>
          </w:p>
        </w:tc>
        <w:tc>
          <w:tcPr>
            <w:tcW w:w="1129" w:type="dxa"/>
          </w:tcPr>
          <w:p w14:paraId="33DC8236" w14:textId="77777777" w:rsidR="000323A2" w:rsidRPr="000323A2" w:rsidRDefault="000323A2" w:rsidP="000323A2">
            <w:pPr>
              <w:tabs>
                <w:tab w:val="left" w:pos="568"/>
              </w:tabs>
              <w:spacing w:before="240" w:line="276" w:lineRule="auto"/>
              <w:jc w:val="center"/>
              <w:rPr>
                <w:rFonts w:ascii="Arial" w:hAnsi="Arial" w:cs="Arial"/>
                <w:b/>
              </w:rPr>
            </w:pPr>
            <w:r w:rsidRPr="000323A2">
              <w:rPr>
                <w:rFonts w:ascii="Arial" w:hAnsi="Arial" w:cs="Arial"/>
                <w:b/>
              </w:rPr>
              <w:t>Firma</w:t>
            </w:r>
          </w:p>
        </w:tc>
        <w:tc>
          <w:tcPr>
            <w:tcW w:w="1281" w:type="dxa"/>
          </w:tcPr>
          <w:p w14:paraId="2D7C0F49" w14:textId="77777777" w:rsidR="000323A2" w:rsidRPr="000323A2" w:rsidRDefault="000323A2" w:rsidP="000323A2">
            <w:pPr>
              <w:tabs>
                <w:tab w:val="left" w:pos="568"/>
              </w:tabs>
              <w:spacing w:before="240" w:line="276" w:lineRule="auto"/>
              <w:jc w:val="center"/>
              <w:rPr>
                <w:rFonts w:ascii="Arial" w:hAnsi="Arial" w:cs="Arial"/>
                <w:b/>
              </w:rPr>
            </w:pPr>
            <w:r w:rsidRPr="000323A2">
              <w:rPr>
                <w:rFonts w:ascii="Arial" w:hAnsi="Arial" w:cs="Arial"/>
                <w:b/>
              </w:rPr>
              <w:t>Hora de Salida</w:t>
            </w:r>
          </w:p>
        </w:tc>
      </w:tr>
      <w:tr w:rsidR="000323A2" w:rsidRPr="000323A2" w14:paraId="4C084D06" w14:textId="77777777" w:rsidTr="000323A2">
        <w:trPr>
          <w:tblHeader/>
          <w:jc w:val="center"/>
        </w:trPr>
        <w:tc>
          <w:tcPr>
            <w:tcW w:w="1242" w:type="dxa"/>
          </w:tcPr>
          <w:p w14:paraId="764785D8" w14:textId="77777777" w:rsidR="000323A2" w:rsidRPr="000323A2" w:rsidRDefault="000323A2" w:rsidP="000323A2">
            <w:pPr>
              <w:tabs>
                <w:tab w:val="left" w:pos="568"/>
              </w:tabs>
              <w:spacing w:before="240" w:line="276" w:lineRule="auto"/>
              <w:jc w:val="center"/>
              <w:rPr>
                <w:rFonts w:ascii="Arial" w:hAnsi="Arial" w:cs="Arial"/>
              </w:rPr>
            </w:pPr>
            <w:r w:rsidRPr="000323A2">
              <w:rPr>
                <w:rFonts w:ascii="Arial" w:hAnsi="Arial" w:cs="Arial"/>
              </w:rPr>
              <w:t>10:25</w:t>
            </w:r>
          </w:p>
        </w:tc>
        <w:tc>
          <w:tcPr>
            <w:tcW w:w="2127" w:type="dxa"/>
          </w:tcPr>
          <w:p w14:paraId="30E6B0A5" w14:textId="77777777" w:rsidR="000323A2" w:rsidRPr="000323A2" w:rsidRDefault="000323A2" w:rsidP="000323A2">
            <w:pPr>
              <w:tabs>
                <w:tab w:val="left" w:pos="568"/>
              </w:tabs>
              <w:spacing w:before="240" w:line="276" w:lineRule="auto"/>
              <w:jc w:val="center"/>
              <w:rPr>
                <w:rFonts w:ascii="Arial" w:hAnsi="Arial" w:cs="Arial"/>
              </w:rPr>
            </w:pPr>
            <w:r w:rsidRPr="000323A2">
              <w:rPr>
                <w:rFonts w:ascii="Arial" w:hAnsi="Arial" w:cs="Arial"/>
              </w:rPr>
              <w:t>Antonio Bello C.</w:t>
            </w:r>
          </w:p>
        </w:tc>
        <w:tc>
          <w:tcPr>
            <w:tcW w:w="1561" w:type="dxa"/>
          </w:tcPr>
          <w:p w14:paraId="1D13897A" w14:textId="77777777" w:rsidR="000323A2" w:rsidRPr="000323A2" w:rsidRDefault="000323A2" w:rsidP="000323A2">
            <w:pPr>
              <w:tabs>
                <w:tab w:val="left" w:pos="568"/>
              </w:tabs>
              <w:spacing w:before="240" w:line="276" w:lineRule="auto"/>
              <w:jc w:val="center"/>
              <w:rPr>
                <w:rFonts w:ascii="Arial" w:hAnsi="Arial" w:cs="Arial"/>
              </w:rPr>
            </w:pPr>
            <w:r w:rsidRPr="000323A2">
              <w:rPr>
                <w:rFonts w:ascii="Arial" w:hAnsi="Arial" w:cs="Arial"/>
              </w:rPr>
              <w:t>Telmex</w:t>
            </w:r>
          </w:p>
        </w:tc>
        <w:tc>
          <w:tcPr>
            <w:tcW w:w="2266" w:type="dxa"/>
          </w:tcPr>
          <w:p w14:paraId="118DD781" w14:textId="77777777" w:rsidR="000323A2" w:rsidRPr="000323A2" w:rsidRDefault="000323A2" w:rsidP="000323A2">
            <w:pPr>
              <w:tabs>
                <w:tab w:val="left" w:pos="568"/>
              </w:tabs>
              <w:spacing w:before="240" w:line="276" w:lineRule="auto"/>
              <w:jc w:val="center"/>
              <w:rPr>
                <w:rFonts w:ascii="Arial" w:hAnsi="Arial" w:cs="Arial"/>
              </w:rPr>
            </w:pPr>
            <w:r w:rsidRPr="000323A2">
              <w:rPr>
                <w:rFonts w:ascii="Arial" w:hAnsi="Arial" w:cs="Arial"/>
              </w:rPr>
              <w:t>Restablecimiento de alarma</w:t>
            </w:r>
          </w:p>
        </w:tc>
        <w:tc>
          <w:tcPr>
            <w:tcW w:w="1129" w:type="dxa"/>
          </w:tcPr>
          <w:p w14:paraId="09911C99" w14:textId="77777777" w:rsidR="000323A2" w:rsidRPr="000323A2" w:rsidRDefault="000323A2" w:rsidP="000323A2">
            <w:pPr>
              <w:tabs>
                <w:tab w:val="left" w:pos="568"/>
              </w:tabs>
              <w:spacing w:before="240" w:line="276" w:lineRule="auto"/>
              <w:jc w:val="center"/>
              <w:rPr>
                <w:rFonts w:ascii="Arial" w:hAnsi="Arial" w:cs="Arial"/>
              </w:rPr>
            </w:pPr>
          </w:p>
        </w:tc>
        <w:tc>
          <w:tcPr>
            <w:tcW w:w="1281" w:type="dxa"/>
          </w:tcPr>
          <w:p w14:paraId="1F02DDEB" w14:textId="77777777" w:rsidR="000323A2" w:rsidRPr="000323A2" w:rsidRDefault="000323A2" w:rsidP="000323A2">
            <w:pPr>
              <w:tabs>
                <w:tab w:val="left" w:pos="568"/>
              </w:tabs>
              <w:spacing w:before="240" w:line="276" w:lineRule="auto"/>
              <w:jc w:val="center"/>
              <w:rPr>
                <w:rFonts w:ascii="Arial" w:hAnsi="Arial" w:cs="Arial"/>
              </w:rPr>
            </w:pPr>
            <w:r w:rsidRPr="000323A2">
              <w:rPr>
                <w:rFonts w:ascii="Arial" w:hAnsi="Arial" w:cs="Arial"/>
              </w:rPr>
              <w:t>11:45</w:t>
            </w:r>
          </w:p>
        </w:tc>
      </w:tr>
    </w:tbl>
    <w:p w14:paraId="757FB20C" w14:textId="77777777" w:rsidR="000323A2" w:rsidRPr="000323A2" w:rsidRDefault="000323A2" w:rsidP="000323A2">
      <w:pPr>
        <w:tabs>
          <w:tab w:val="left" w:pos="568"/>
        </w:tabs>
        <w:spacing w:before="240" w:after="0" w:line="276" w:lineRule="auto"/>
        <w:ind w:right="43"/>
        <w:jc w:val="both"/>
        <w:rPr>
          <w:rFonts w:ascii="Arial" w:eastAsia="Calibri" w:hAnsi="Arial" w:cs="Arial"/>
        </w:rPr>
      </w:pPr>
    </w:p>
    <w:p w14:paraId="3EDE7284" w14:textId="77777777" w:rsidR="000323A2" w:rsidRPr="000323A2" w:rsidRDefault="000323A2" w:rsidP="000323A2">
      <w:pPr>
        <w:spacing w:before="240" w:after="0" w:line="240" w:lineRule="auto"/>
        <w:rPr>
          <w:rFonts w:ascii="Arial" w:eastAsia="Calibri" w:hAnsi="Arial" w:cs="Arial"/>
          <w:b/>
        </w:rPr>
      </w:pPr>
      <w:r w:rsidRPr="000323A2">
        <w:rPr>
          <w:rFonts w:ascii="Arial" w:eastAsia="Calibri" w:hAnsi="Arial" w:cs="Arial"/>
          <w:b/>
        </w:rPr>
        <w:br w:type="page"/>
      </w:r>
    </w:p>
    <w:p w14:paraId="76DC0B0A" w14:textId="77777777" w:rsidR="000323A2" w:rsidRPr="000323A2" w:rsidRDefault="000323A2" w:rsidP="000323A2">
      <w:pPr>
        <w:spacing w:before="240" w:after="0" w:line="276" w:lineRule="auto"/>
        <w:ind w:left="2" w:right="43"/>
        <w:rPr>
          <w:rFonts w:ascii="Arial" w:eastAsia="Calibri" w:hAnsi="Arial" w:cs="Arial"/>
          <w:b/>
        </w:rPr>
      </w:pPr>
      <w:r w:rsidRPr="000323A2">
        <w:rPr>
          <w:rFonts w:ascii="Arial" w:eastAsia="Calibri" w:hAnsi="Arial" w:cs="Arial"/>
          <w:b/>
        </w:rPr>
        <w:lastRenderedPageBreak/>
        <w:t>1.4. UBICACION.</w:t>
      </w:r>
    </w:p>
    <w:p w14:paraId="72A07DB5" w14:textId="77777777" w:rsidR="000323A2" w:rsidRPr="000323A2" w:rsidRDefault="000323A2" w:rsidP="000323A2">
      <w:pPr>
        <w:spacing w:before="240" w:after="0" w:line="276" w:lineRule="auto"/>
        <w:ind w:right="43"/>
        <w:jc w:val="both"/>
        <w:rPr>
          <w:rFonts w:ascii="Arial" w:eastAsia="Calibri" w:hAnsi="Arial" w:cs="Arial"/>
        </w:rPr>
      </w:pPr>
      <w:r w:rsidRPr="000323A2">
        <w:rPr>
          <w:rFonts w:ascii="Arial" w:eastAsia="Calibri" w:hAnsi="Arial" w:cs="Arial"/>
        </w:rPr>
        <w:t xml:space="preserve">Por seguridad de las instalaciones, se recomienda que la ubicación de los locales sea en un área aislada del resto de la instalación del propietario, cuando las condiciones lo permitan. </w:t>
      </w:r>
    </w:p>
    <w:p w14:paraId="12038B5B" w14:textId="77777777" w:rsidR="000323A2" w:rsidRPr="000323A2" w:rsidRDefault="000323A2" w:rsidP="000323A2">
      <w:pPr>
        <w:spacing w:before="240" w:after="0" w:line="276" w:lineRule="auto"/>
        <w:ind w:right="43"/>
        <w:jc w:val="both"/>
        <w:rPr>
          <w:rFonts w:ascii="Arial" w:eastAsia="Calibri" w:hAnsi="Arial" w:cs="Arial"/>
        </w:rPr>
      </w:pPr>
      <w:r w:rsidRPr="000323A2">
        <w:rPr>
          <w:rFonts w:ascii="Arial" w:eastAsia="Calibri" w:hAnsi="Arial" w:cs="Arial"/>
        </w:rPr>
        <w:t>En caso contrario, se recomienda que exista un paso dedicado a Telmex, que lo aísle del resto de las instalaciones del propietario y lo dirija sólo a su local técnico.</w:t>
      </w:r>
    </w:p>
    <w:p w14:paraId="2D05EC9D" w14:textId="77777777" w:rsidR="000323A2" w:rsidRPr="000323A2" w:rsidRDefault="000323A2" w:rsidP="000323A2">
      <w:pPr>
        <w:numPr>
          <w:ilvl w:val="12"/>
          <w:numId w:val="0"/>
        </w:numPr>
        <w:spacing w:before="240" w:after="0" w:line="276" w:lineRule="auto"/>
        <w:ind w:right="43"/>
        <w:rPr>
          <w:rFonts w:ascii="Arial" w:eastAsia="Calibri" w:hAnsi="Arial" w:cs="Arial"/>
          <w:b/>
        </w:rPr>
      </w:pPr>
      <w:r w:rsidRPr="000323A2">
        <w:rPr>
          <w:rFonts w:ascii="Arial" w:eastAsia="Calibri" w:hAnsi="Arial" w:cs="Arial"/>
          <w:b/>
        </w:rPr>
        <w:t>1.5. IDENTIFICACION.</w:t>
      </w:r>
    </w:p>
    <w:p w14:paraId="5753129C" w14:textId="77777777" w:rsidR="000323A2" w:rsidRPr="000323A2" w:rsidRDefault="000323A2" w:rsidP="000323A2">
      <w:pPr>
        <w:widowControl w:val="0"/>
        <w:spacing w:before="240" w:after="0" w:line="276" w:lineRule="auto"/>
        <w:jc w:val="both"/>
        <w:rPr>
          <w:rFonts w:ascii="Arial" w:eastAsia="Calibri" w:hAnsi="Arial" w:cs="Arial"/>
          <w:snapToGrid w:val="0"/>
        </w:rPr>
      </w:pPr>
      <w:r w:rsidRPr="000323A2">
        <w:rPr>
          <w:rFonts w:ascii="Arial" w:eastAsia="Calibri" w:hAnsi="Arial" w:cs="Arial"/>
          <w:snapToGrid w:val="0"/>
        </w:rPr>
        <w:t xml:space="preserve">Se deben colocar señalamientos claros y visibles con marcadores de Seguridad Industrial que indiquen la localización del sitio en el área asignada. </w:t>
      </w:r>
    </w:p>
    <w:p w14:paraId="28FDC0C4" w14:textId="77777777" w:rsidR="000323A2" w:rsidRPr="000323A2" w:rsidRDefault="000323A2" w:rsidP="000323A2">
      <w:pPr>
        <w:widowControl w:val="0"/>
        <w:tabs>
          <w:tab w:val="left" w:pos="568"/>
        </w:tabs>
        <w:spacing w:before="240" w:after="0" w:line="276" w:lineRule="auto"/>
        <w:jc w:val="both"/>
        <w:rPr>
          <w:rFonts w:ascii="Arial" w:eastAsia="Calibri" w:hAnsi="Arial" w:cs="Arial"/>
          <w:snapToGrid w:val="0"/>
        </w:rPr>
      </w:pPr>
      <w:r w:rsidRPr="000323A2">
        <w:rPr>
          <w:rFonts w:ascii="Arial" w:eastAsia="Calibri" w:hAnsi="Arial" w:cs="Arial"/>
          <w:snapToGrid w:val="0"/>
        </w:rPr>
        <w:t>Así mismo, el propietario debe señalar, mediante rótulos y/o simbología normada por el mismo, la ubicación de la infraestructura que se emplea en cada instalación, como son: Equipos de Fuerza (C.A. y C.D.), Referencia a Tierra, Cableados de F.O. y demás elementos que se utilicen por los Concesionarios Solicitantes.</w:t>
      </w:r>
    </w:p>
    <w:p w14:paraId="29D8EDBB" w14:textId="77777777" w:rsidR="000323A2" w:rsidRPr="000323A2" w:rsidRDefault="000323A2" w:rsidP="000323A2">
      <w:pPr>
        <w:widowControl w:val="0"/>
        <w:tabs>
          <w:tab w:val="left" w:pos="568"/>
        </w:tabs>
        <w:spacing w:before="240" w:after="0" w:line="276" w:lineRule="auto"/>
        <w:jc w:val="both"/>
        <w:rPr>
          <w:rFonts w:ascii="Arial" w:eastAsia="Calibri" w:hAnsi="Arial" w:cs="Arial"/>
          <w:snapToGrid w:val="0"/>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8838"/>
      </w:tblGrid>
      <w:tr w:rsidR="000323A2" w:rsidRPr="000323A2" w14:paraId="5BB9C005" w14:textId="77777777" w:rsidTr="000323A2">
        <w:trPr>
          <w:trHeight w:val="624"/>
          <w:tblHeader/>
          <w:jc w:val="center"/>
        </w:trPr>
        <w:tc>
          <w:tcPr>
            <w:tcW w:w="8925" w:type="dxa"/>
          </w:tcPr>
          <w:p w14:paraId="0224E033"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TELÉFONOS DE MÉXICO, S.A.B. DE C.V.</w:t>
            </w:r>
          </w:p>
        </w:tc>
      </w:tr>
      <w:tr w:rsidR="000323A2" w:rsidRPr="000323A2" w14:paraId="5CAC1BF6" w14:textId="77777777" w:rsidTr="000323A2">
        <w:trPr>
          <w:tblHeader/>
          <w:jc w:val="center"/>
        </w:trPr>
        <w:tc>
          <w:tcPr>
            <w:tcW w:w="8925" w:type="dxa"/>
          </w:tcPr>
          <w:p w14:paraId="00086234"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_____________________________</w:t>
            </w:r>
          </w:p>
        </w:tc>
      </w:tr>
      <w:tr w:rsidR="000323A2" w:rsidRPr="000323A2" w14:paraId="5846FD11" w14:textId="77777777" w:rsidTr="000323A2">
        <w:trPr>
          <w:tblHeader/>
          <w:jc w:val="center"/>
        </w:trPr>
        <w:tc>
          <w:tcPr>
            <w:tcW w:w="8925" w:type="dxa"/>
          </w:tcPr>
          <w:p w14:paraId="51B9999D"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r w:rsidR="000323A2" w:rsidRPr="000323A2" w14:paraId="3599AF41" w14:textId="77777777" w:rsidTr="000323A2">
        <w:trPr>
          <w:trHeight w:val="624"/>
          <w:tblHeader/>
          <w:jc w:val="center"/>
        </w:trPr>
        <w:tc>
          <w:tcPr>
            <w:tcW w:w="8925" w:type="dxa"/>
          </w:tcPr>
          <w:p w14:paraId="366757A2"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CONCESIONARIO SOLICITANTE O AUTORIZADO SOLICITANTE</w:t>
            </w:r>
          </w:p>
        </w:tc>
      </w:tr>
      <w:tr w:rsidR="000323A2" w:rsidRPr="000323A2" w14:paraId="6780EDFF" w14:textId="77777777" w:rsidTr="000323A2">
        <w:trPr>
          <w:tblHeader/>
          <w:jc w:val="center"/>
        </w:trPr>
        <w:tc>
          <w:tcPr>
            <w:tcW w:w="8925" w:type="dxa"/>
          </w:tcPr>
          <w:p w14:paraId="63E51C70"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w:t>
            </w:r>
          </w:p>
        </w:tc>
      </w:tr>
      <w:tr w:rsidR="000323A2" w:rsidRPr="000323A2" w14:paraId="57AF19F3" w14:textId="77777777" w:rsidTr="000323A2">
        <w:trPr>
          <w:tblHeader/>
          <w:jc w:val="center"/>
        </w:trPr>
        <w:tc>
          <w:tcPr>
            <w:tcW w:w="8925" w:type="dxa"/>
          </w:tcPr>
          <w:p w14:paraId="58372C66"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bl>
    <w:p w14:paraId="73835165" w14:textId="77777777" w:rsidR="000323A2" w:rsidRPr="000323A2" w:rsidRDefault="000323A2" w:rsidP="000323A2">
      <w:pPr>
        <w:spacing w:before="240"/>
        <w:rPr>
          <w:rFonts w:ascii="Calibri" w:eastAsia="Calibri" w:hAnsi="Calibri" w:cs="Times New Roman"/>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327"/>
        <w:gridCol w:w="4511"/>
      </w:tblGrid>
      <w:tr w:rsidR="000323A2" w:rsidRPr="000323A2" w14:paraId="3D66042C" w14:textId="77777777" w:rsidTr="000323A2">
        <w:trPr>
          <w:trHeight w:val="624"/>
          <w:tblHeader/>
          <w:jc w:val="center"/>
        </w:trPr>
        <w:tc>
          <w:tcPr>
            <w:tcW w:w="4414" w:type="dxa"/>
          </w:tcPr>
          <w:p w14:paraId="0FD692E5"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Testigo</w:t>
            </w:r>
          </w:p>
        </w:tc>
        <w:tc>
          <w:tcPr>
            <w:tcW w:w="4511" w:type="dxa"/>
          </w:tcPr>
          <w:p w14:paraId="35CE10C4"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Testigo</w:t>
            </w:r>
          </w:p>
        </w:tc>
      </w:tr>
      <w:tr w:rsidR="000323A2" w:rsidRPr="000323A2" w14:paraId="61ECA3A2" w14:textId="77777777" w:rsidTr="000323A2">
        <w:trPr>
          <w:tblHeader/>
          <w:jc w:val="center"/>
        </w:trPr>
        <w:tc>
          <w:tcPr>
            <w:tcW w:w="4414" w:type="dxa"/>
          </w:tcPr>
          <w:p w14:paraId="0DBAE514"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_____________________________________</w:t>
            </w:r>
          </w:p>
        </w:tc>
        <w:tc>
          <w:tcPr>
            <w:tcW w:w="4511" w:type="dxa"/>
          </w:tcPr>
          <w:p w14:paraId="55F2E29E"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_______________________________________</w:t>
            </w:r>
          </w:p>
        </w:tc>
      </w:tr>
    </w:tbl>
    <w:p w14:paraId="4E4E6EB1" w14:textId="77777777" w:rsidR="000323A2" w:rsidRPr="000323A2" w:rsidRDefault="000323A2" w:rsidP="000323A2">
      <w:pPr>
        <w:spacing w:before="240" w:after="0" w:line="240" w:lineRule="auto"/>
        <w:rPr>
          <w:rFonts w:ascii="Calibri" w:eastAsia="Calibri" w:hAnsi="Calibri" w:cs="Times New Roman"/>
          <w:lang w:eastAsia="es-ES"/>
        </w:rPr>
      </w:pPr>
      <w:r w:rsidRPr="000323A2">
        <w:rPr>
          <w:rFonts w:ascii="Calibri" w:eastAsia="Calibri" w:hAnsi="Calibri" w:cs="Times New Roman"/>
          <w:lang w:eastAsia="es-ES"/>
        </w:rPr>
        <w:br w:type="page"/>
      </w:r>
    </w:p>
    <w:p w14:paraId="31F96B45"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spacing w:before="240" w:after="0" w:line="276" w:lineRule="auto"/>
        <w:ind w:left="567" w:right="567"/>
        <w:jc w:val="center"/>
        <w:outlineLvl w:val="0"/>
        <w:rPr>
          <w:rFonts w:ascii="Arial" w:eastAsia="Calibri" w:hAnsi="Arial" w:cs="Arial"/>
          <w:bCs/>
          <w:kern w:val="32"/>
          <w:sz w:val="56"/>
          <w:szCs w:val="32"/>
          <w:u w:val="single"/>
          <w:lang w:val="es-ES" w:eastAsia="es-ES"/>
        </w:rPr>
      </w:pPr>
      <w:r w:rsidRPr="000323A2">
        <w:rPr>
          <w:rFonts w:ascii="Arial" w:eastAsia="Calibri" w:hAnsi="Arial" w:cs="Arial"/>
          <w:bCs/>
          <w:kern w:val="32"/>
          <w:sz w:val="56"/>
          <w:szCs w:val="32"/>
          <w:u w:val="single"/>
          <w:lang w:val="es-ES" w:eastAsia="es-ES"/>
        </w:rPr>
        <w:lastRenderedPageBreak/>
        <w:t>ANEXO “G”</w:t>
      </w:r>
    </w:p>
    <w:p w14:paraId="48951048"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spacing w:before="240" w:after="0" w:line="276" w:lineRule="auto"/>
        <w:ind w:left="567" w:right="567"/>
        <w:jc w:val="center"/>
        <w:outlineLvl w:val="1"/>
        <w:rPr>
          <w:rFonts w:ascii="Arial" w:eastAsia="Calibri" w:hAnsi="Arial" w:cs="Arial"/>
          <w:b/>
          <w:bCs/>
          <w:iCs/>
          <w:sz w:val="48"/>
          <w:szCs w:val="48"/>
          <w:lang w:val="es-ES" w:eastAsia="es-ES"/>
        </w:rPr>
      </w:pPr>
      <w:r w:rsidRPr="000323A2">
        <w:rPr>
          <w:rFonts w:ascii="Arial" w:eastAsia="Calibri" w:hAnsi="Arial" w:cs="Arial"/>
          <w:b/>
          <w:bCs/>
          <w:iCs/>
          <w:sz w:val="48"/>
          <w:szCs w:val="48"/>
          <w:lang w:val="es-ES" w:eastAsia="es-ES"/>
        </w:rPr>
        <w:t>FORMATO DE PRONÓSTICO DE REQUERIMIENTO DE SERVICIOS</w:t>
      </w:r>
    </w:p>
    <w:p w14:paraId="199E684F" w14:textId="77777777" w:rsidR="000323A2" w:rsidRPr="000323A2" w:rsidRDefault="000323A2" w:rsidP="000323A2">
      <w:pPr>
        <w:spacing w:before="240"/>
        <w:rPr>
          <w:rFonts w:ascii="Calibri" w:eastAsia="Calibri" w:hAnsi="Calibri" w:cs="Times New Roman"/>
        </w:rPr>
      </w:pPr>
    </w:p>
    <w:p w14:paraId="6D14637B" w14:textId="77777777" w:rsidR="000323A2" w:rsidRPr="000323A2" w:rsidRDefault="000323A2" w:rsidP="000323A2">
      <w:pPr>
        <w:spacing w:before="240"/>
        <w:jc w:val="center"/>
        <w:rPr>
          <w:rFonts w:ascii="ITC Avant Garde" w:eastAsia="Calibri" w:hAnsi="ITC Avant Garde" w:cs="Times New Roman"/>
          <w:sz w:val="24"/>
          <w:szCs w:val="24"/>
        </w:rPr>
      </w:pPr>
      <w:r w:rsidRPr="000323A2">
        <w:rPr>
          <w:rFonts w:ascii="ITC Avant Garde" w:eastAsia="Calibri" w:hAnsi="ITC Avant Garde" w:cs="Times New Roman"/>
          <w:sz w:val="24"/>
          <w:szCs w:val="24"/>
        </w:rPr>
        <w:t>FORMATO DE PRONÓSTICO DE REQUERIMIENTO DE SERVICIOS DE</w:t>
      </w:r>
    </w:p>
    <w:p w14:paraId="42395C25" w14:textId="77777777" w:rsidR="000323A2" w:rsidRPr="000323A2" w:rsidRDefault="000323A2" w:rsidP="000323A2">
      <w:pPr>
        <w:spacing w:before="240"/>
        <w:jc w:val="center"/>
        <w:rPr>
          <w:rFonts w:ascii="ITC Avant Garde" w:eastAsia="Calibri" w:hAnsi="ITC Avant Garde" w:cs="Times New Roman"/>
          <w:sz w:val="24"/>
          <w:szCs w:val="24"/>
        </w:rPr>
      </w:pPr>
      <w:r w:rsidRPr="000323A2">
        <w:rPr>
          <w:rFonts w:ascii="ITC Avant Garde" w:eastAsia="Calibri" w:hAnsi="ITC Avant Garde" w:cs="Times New Roman"/>
          <w:sz w:val="24"/>
          <w:szCs w:val="24"/>
        </w:rPr>
        <w:t>ENLACES DEDICADOS</w:t>
      </w:r>
    </w:p>
    <w:p w14:paraId="2D90D807" w14:textId="77777777" w:rsidR="000323A2" w:rsidRPr="000323A2" w:rsidRDefault="000323A2" w:rsidP="000323A2">
      <w:pPr>
        <w:spacing w:before="240" w:after="0" w:line="276" w:lineRule="auto"/>
        <w:rPr>
          <w:rFonts w:ascii="ITC Avant Garde" w:eastAsia="Calibri" w:hAnsi="ITC Avant Garde" w:cs="Times New Roman"/>
          <w:sz w:val="24"/>
          <w:szCs w:val="24"/>
          <w:lang w:eastAsia="es-ES"/>
        </w:rPr>
      </w:pPr>
    </w:p>
    <w:p w14:paraId="28BC3D31" w14:textId="6E71E3E3" w:rsidR="000323A2" w:rsidRPr="000323A2" w:rsidRDefault="000323A2" w:rsidP="000323A2">
      <w:pPr>
        <w:spacing w:before="240" w:after="0" w:line="276" w:lineRule="auto"/>
        <w:ind w:left="-180" w:firstLine="180"/>
        <w:jc w:val="both"/>
        <w:rPr>
          <w:rFonts w:ascii="ITC Avant Garde" w:eastAsia="Calibri" w:hAnsi="ITC Avant Garde" w:cs="Times New Roman"/>
          <w:sz w:val="24"/>
          <w:szCs w:val="24"/>
          <w:lang w:val="es-ES" w:eastAsia="es-ES"/>
        </w:rPr>
      </w:pPr>
      <w:r w:rsidRPr="000323A2">
        <w:rPr>
          <w:rFonts w:ascii="ITC Avant Garde" w:eastAsia="Calibri" w:hAnsi="ITC Avant Garde" w:cs="Times New Roman"/>
          <w:lang w:val="es-ES" w:eastAsia="es-ES"/>
        </w:rPr>
        <w:t xml:space="preserve">Concesionario Solicitante o Autorizado Solicitante: </w:t>
      </w:r>
      <w:r w:rsidR="0017463C" w:rsidRPr="0017463C">
        <w:rPr>
          <w:rFonts w:ascii="ITC Avant Garde" w:eastAsia="Calibri" w:hAnsi="ITC Avant Garde" w:cs="Times New Roman"/>
          <w:b/>
          <w:color w:val="00B0F0"/>
          <w:lang w:val="es-ES" w:eastAsia="es-ES"/>
        </w:rPr>
        <w:t>(…)</w:t>
      </w:r>
      <w:r w:rsidRPr="000323A2">
        <w:rPr>
          <w:rFonts w:ascii="ITC Avant Garde" w:eastAsia="Calibri" w:hAnsi="ITC Avant Garde" w:cs="Times New Roman"/>
          <w:lang w:val="es-ES" w:eastAsia="es-ES"/>
        </w:rPr>
        <w:t xml:space="preserve"> Fecha de entrega: 30 de </w:t>
      </w:r>
      <w:proofErr w:type="gramStart"/>
      <w:r w:rsidRPr="000323A2">
        <w:rPr>
          <w:rFonts w:ascii="ITC Avant Garde" w:eastAsia="Calibri" w:hAnsi="ITC Avant Garde" w:cs="Times New Roman"/>
          <w:lang w:val="es-ES" w:eastAsia="es-ES"/>
        </w:rPr>
        <w:t>Junio</w:t>
      </w:r>
      <w:proofErr w:type="gramEnd"/>
      <w:r w:rsidRPr="000323A2">
        <w:rPr>
          <w:rFonts w:ascii="ITC Avant Garde" w:eastAsia="Calibri" w:hAnsi="ITC Avant Garde" w:cs="Times New Roman"/>
          <w:lang w:val="es-ES" w:eastAsia="es-ES"/>
        </w:rPr>
        <w:t xml:space="preserve"> 20</w:t>
      </w:r>
      <w:r w:rsidR="0017463C" w:rsidRPr="0017463C">
        <w:rPr>
          <w:rFonts w:ascii="ITC Avant Garde" w:eastAsia="Calibri" w:hAnsi="ITC Avant Garde" w:cs="Times New Roman"/>
          <w:b/>
          <w:color w:val="00B0F0"/>
          <w:lang w:val="es-ES" w:eastAsia="es-ES"/>
        </w:rPr>
        <w:t>(…)</w:t>
      </w:r>
    </w:p>
    <w:p w14:paraId="58844090" w14:textId="78CB22BC" w:rsidR="000323A2" w:rsidRDefault="000323A2" w:rsidP="000323A2">
      <w:pPr>
        <w:spacing w:before="240" w:after="0" w:line="276" w:lineRule="auto"/>
        <w:jc w:val="center"/>
        <w:rPr>
          <w:rFonts w:ascii="ITC Avant Garde" w:eastAsia="Calibri" w:hAnsi="ITC Avant Garde" w:cs="Times New Roman"/>
          <w:b/>
          <w:sz w:val="24"/>
          <w:szCs w:val="24"/>
          <w:lang w:eastAsia="es-ES"/>
        </w:rPr>
      </w:pPr>
      <w:r w:rsidRPr="000323A2">
        <w:rPr>
          <w:rFonts w:ascii="ITC Avant Garde" w:eastAsia="Calibri" w:hAnsi="ITC Avant Garde" w:cs="Times New Roman"/>
          <w:b/>
          <w:sz w:val="24"/>
          <w:szCs w:val="24"/>
          <w:lang w:eastAsia="es-ES"/>
        </w:rPr>
        <w:t>Enlaces dedicados</w:t>
      </w:r>
    </w:p>
    <w:p w14:paraId="240083E1" w14:textId="3B9BC962" w:rsidR="0017463C" w:rsidRPr="000323A2" w:rsidRDefault="0017463C" w:rsidP="000323A2">
      <w:pPr>
        <w:spacing w:before="240" w:after="0" w:line="276" w:lineRule="auto"/>
        <w:jc w:val="center"/>
        <w:rPr>
          <w:rFonts w:ascii="ITC Avant Garde" w:eastAsia="Calibri" w:hAnsi="ITC Avant Garde" w:cs="Times New Roman"/>
          <w:b/>
          <w:sz w:val="24"/>
          <w:szCs w:val="24"/>
          <w:lang w:eastAsia="es-ES"/>
        </w:rPr>
      </w:pPr>
      <w:r w:rsidRPr="000323A2">
        <w:rPr>
          <w:rFonts w:ascii="ITC Avant Garde" w:hAnsi="ITC Avant Garde"/>
          <w:b/>
          <w:i/>
          <w:sz w:val="18"/>
          <w:szCs w:val="18"/>
          <w:lang w:eastAsia="es-ES"/>
        </w:rPr>
        <w:t>REQUERIMIENTO DEL CONCESIONARIO SOLICITANTE O AUTORIZADO SOLICITANTE</w:t>
      </w:r>
    </w:p>
    <w:tbl>
      <w:tblPr>
        <w:tblStyle w:val="Cuadrculadetablaclara1"/>
        <w:tblW w:w="7938" w:type="dxa"/>
        <w:jc w:val="center"/>
        <w:tblLook w:val="00A0" w:firstRow="1" w:lastRow="0" w:firstColumn="1" w:lastColumn="0" w:noHBand="0" w:noVBand="0"/>
        <w:tblCaption w:val="Tabla"/>
        <w:tblDescription w:val="Enlaces dedicados"/>
      </w:tblPr>
      <w:tblGrid>
        <w:gridCol w:w="1984"/>
        <w:gridCol w:w="2268"/>
        <w:gridCol w:w="1559"/>
        <w:gridCol w:w="2127"/>
      </w:tblGrid>
      <w:tr w:rsidR="000323A2" w:rsidRPr="000323A2" w14:paraId="067DC3ED" w14:textId="77777777" w:rsidTr="0017463C">
        <w:trPr>
          <w:tblHeader/>
          <w:jc w:val="center"/>
        </w:trPr>
        <w:tc>
          <w:tcPr>
            <w:tcW w:w="1984" w:type="dxa"/>
            <w:tcBorders>
              <w:bottom w:val="single" w:sz="4" w:space="0" w:color="BFBFBF"/>
            </w:tcBorders>
          </w:tcPr>
          <w:p w14:paraId="61021A3D"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Ciudad</w:t>
            </w:r>
          </w:p>
        </w:tc>
        <w:tc>
          <w:tcPr>
            <w:tcW w:w="2268" w:type="dxa"/>
            <w:tcBorders>
              <w:bottom w:val="single" w:sz="4" w:space="0" w:color="BFBFBF"/>
            </w:tcBorders>
          </w:tcPr>
          <w:p w14:paraId="28B5862E"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Denominación y Capacidad</w:t>
            </w:r>
          </w:p>
        </w:tc>
        <w:tc>
          <w:tcPr>
            <w:tcW w:w="1559" w:type="dxa"/>
            <w:tcBorders>
              <w:bottom w:val="single" w:sz="4" w:space="0" w:color="BFBFBF"/>
            </w:tcBorders>
          </w:tcPr>
          <w:p w14:paraId="56E95B64"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Cantidad</w:t>
            </w:r>
          </w:p>
        </w:tc>
        <w:tc>
          <w:tcPr>
            <w:tcW w:w="2127" w:type="dxa"/>
            <w:tcBorders>
              <w:bottom w:val="single" w:sz="4" w:space="0" w:color="BFBFBF"/>
            </w:tcBorders>
          </w:tcPr>
          <w:p w14:paraId="5163EC82"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L: Local</w:t>
            </w:r>
          </w:p>
          <w:p w14:paraId="017527A0"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N: Entre Localidades</w:t>
            </w:r>
          </w:p>
        </w:tc>
      </w:tr>
      <w:tr w:rsidR="0017463C" w:rsidRPr="000323A2" w14:paraId="10893177" w14:textId="77777777" w:rsidTr="0017463C">
        <w:trPr>
          <w:tblHeader/>
          <w:jc w:val="center"/>
        </w:trPr>
        <w:tc>
          <w:tcPr>
            <w:tcW w:w="1984" w:type="dxa"/>
            <w:tcBorders>
              <w:right w:val="nil"/>
            </w:tcBorders>
          </w:tcPr>
          <w:p w14:paraId="68F1AFCE" w14:textId="135E2D02" w:rsidR="0017463C" w:rsidRPr="0017463C" w:rsidRDefault="0017463C" w:rsidP="0017463C">
            <w:pPr>
              <w:spacing w:before="240" w:line="276" w:lineRule="auto"/>
              <w:jc w:val="center"/>
              <w:rPr>
                <w:rFonts w:ascii="ITC Avant Garde" w:hAnsi="ITC Avant Garde"/>
                <w:b/>
                <w:i/>
                <w:sz w:val="10"/>
                <w:szCs w:val="10"/>
                <w:lang w:eastAsia="es-ES"/>
              </w:rPr>
            </w:pPr>
            <w:r w:rsidRPr="0017463C">
              <w:rPr>
                <w:rFonts w:ascii="ITC Avant Garde" w:hAnsi="ITC Avant Garde"/>
                <w:b/>
                <w:i/>
                <w:color w:val="FFFFFF" w:themeColor="background1"/>
                <w:sz w:val="10"/>
                <w:szCs w:val="10"/>
                <w:lang w:eastAsia="es-ES"/>
              </w:rPr>
              <w:t>Celda Sin texto</w:t>
            </w:r>
          </w:p>
        </w:tc>
        <w:tc>
          <w:tcPr>
            <w:tcW w:w="2268" w:type="dxa"/>
            <w:tcBorders>
              <w:left w:val="nil"/>
              <w:right w:val="nil"/>
            </w:tcBorders>
          </w:tcPr>
          <w:p w14:paraId="1AF24EE6" w14:textId="5D8BEF0A" w:rsidR="0017463C" w:rsidRPr="000323A2" w:rsidRDefault="0017463C" w:rsidP="0017463C">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Enero-Junio de 20</w:t>
            </w:r>
            <w:r w:rsidRPr="0017463C">
              <w:rPr>
                <w:rFonts w:ascii="ITC Avant Garde" w:hAnsi="ITC Avant Garde"/>
                <w:b/>
                <w:color w:val="00B0F0"/>
                <w:lang w:val="es-ES" w:eastAsia="es-ES"/>
              </w:rPr>
              <w:t>(…)</w:t>
            </w:r>
          </w:p>
        </w:tc>
        <w:tc>
          <w:tcPr>
            <w:tcW w:w="1559" w:type="dxa"/>
            <w:tcBorders>
              <w:left w:val="nil"/>
              <w:right w:val="nil"/>
            </w:tcBorders>
          </w:tcPr>
          <w:p w14:paraId="5CC997F5" w14:textId="229824D3" w:rsidR="0017463C" w:rsidRPr="000323A2" w:rsidRDefault="0017463C" w:rsidP="0017463C">
            <w:pPr>
              <w:spacing w:before="240" w:line="276" w:lineRule="auto"/>
              <w:jc w:val="center"/>
              <w:rPr>
                <w:rFonts w:ascii="ITC Avant Garde" w:hAnsi="ITC Avant Garde"/>
                <w:b/>
                <w:i/>
                <w:sz w:val="18"/>
                <w:szCs w:val="18"/>
                <w:lang w:eastAsia="es-ES"/>
              </w:rPr>
            </w:pPr>
            <w:r w:rsidRPr="0017463C">
              <w:rPr>
                <w:rFonts w:ascii="ITC Avant Garde" w:hAnsi="ITC Avant Garde"/>
                <w:b/>
                <w:i/>
                <w:color w:val="FFFFFF" w:themeColor="background1"/>
                <w:sz w:val="10"/>
                <w:szCs w:val="10"/>
                <w:lang w:eastAsia="es-ES"/>
              </w:rPr>
              <w:t>Celda Sin texto</w:t>
            </w:r>
          </w:p>
        </w:tc>
        <w:tc>
          <w:tcPr>
            <w:tcW w:w="2127" w:type="dxa"/>
            <w:tcBorders>
              <w:left w:val="nil"/>
            </w:tcBorders>
          </w:tcPr>
          <w:p w14:paraId="21D20150" w14:textId="36B336DB" w:rsidR="0017463C" w:rsidRPr="000323A2" w:rsidRDefault="0017463C" w:rsidP="0017463C">
            <w:pPr>
              <w:spacing w:before="240" w:line="276" w:lineRule="auto"/>
              <w:jc w:val="center"/>
              <w:rPr>
                <w:rFonts w:ascii="ITC Avant Garde" w:hAnsi="ITC Avant Garde"/>
                <w:b/>
                <w:i/>
                <w:sz w:val="18"/>
                <w:szCs w:val="18"/>
                <w:lang w:eastAsia="es-ES"/>
              </w:rPr>
            </w:pPr>
            <w:r w:rsidRPr="0017463C">
              <w:rPr>
                <w:rFonts w:ascii="ITC Avant Garde" w:hAnsi="ITC Avant Garde"/>
                <w:b/>
                <w:i/>
                <w:color w:val="FFFFFF" w:themeColor="background1"/>
                <w:sz w:val="10"/>
                <w:szCs w:val="10"/>
                <w:lang w:eastAsia="es-ES"/>
              </w:rPr>
              <w:t>Celda Sin texto</w:t>
            </w:r>
          </w:p>
        </w:tc>
      </w:tr>
      <w:tr w:rsidR="0017463C" w:rsidRPr="000323A2" w14:paraId="6B2A39AC" w14:textId="77777777" w:rsidTr="002E573E">
        <w:trPr>
          <w:trHeight w:val="2578"/>
          <w:tblHeader/>
          <w:jc w:val="center"/>
        </w:trPr>
        <w:tc>
          <w:tcPr>
            <w:tcW w:w="1984" w:type="dxa"/>
          </w:tcPr>
          <w:p w14:paraId="7A3B5CC9" w14:textId="70D6228A" w:rsidR="0017463C" w:rsidRPr="000323A2" w:rsidRDefault="0017463C" w:rsidP="0017463C">
            <w:pPr>
              <w:spacing w:before="240" w:line="276" w:lineRule="auto"/>
              <w:jc w:val="center"/>
              <w:rPr>
                <w:rFonts w:ascii="ITC Avant Garde" w:hAnsi="ITC Avant Garde"/>
                <w:i/>
                <w:sz w:val="18"/>
                <w:szCs w:val="18"/>
                <w:lang w:eastAsia="es-ES"/>
              </w:rPr>
            </w:pPr>
            <w:r w:rsidRPr="0017463C">
              <w:rPr>
                <w:rFonts w:ascii="ITC Avant Garde" w:hAnsi="ITC Avant Garde"/>
                <w:b/>
                <w:color w:val="00B0F0"/>
                <w:lang w:val="es-ES" w:eastAsia="es-ES"/>
              </w:rPr>
              <w:t>(…)</w:t>
            </w:r>
          </w:p>
        </w:tc>
        <w:tc>
          <w:tcPr>
            <w:tcW w:w="2268" w:type="dxa"/>
          </w:tcPr>
          <w:p w14:paraId="52637634" w14:textId="25857D76" w:rsidR="0017463C" w:rsidRPr="000323A2" w:rsidRDefault="0017463C" w:rsidP="0017463C">
            <w:pPr>
              <w:spacing w:before="240" w:line="276" w:lineRule="auto"/>
              <w:jc w:val="center"/>
              <w:rPr>
                <w:rFonts w:ascii="ITC Avant Garde" w:hAnsi="ITC Avant Garde"/>
                <w:i/>
                <w:sz w:val="18"/>
                <w:szCs w:val="18"/>
                <w:lang w:eastAsia="es-ES"/>
              </w:rPr>
            </w:pPr>
            <w:r w:rsidRPr="0017463C">
              <w:rPr>
                <w:rFonts w:ascii="ITC Avant Garde" w:hAnsi="ITC Avant Garde"/>
                <w:b/>
                <w:color w:val="00B0F0"/>
                <w:lang w:val="es-ES" w:eastAsia="es-ES"/>
              </w:rPr>
              <w:t>(…)</w:t>
            </w:r>
            <w:r w:rsidRPr="000323A2">
              <w:rPr>
                <w:rFonts w:ascii="ITC Avant Garde" w:hAnsi="ITC Avant Garde"/>
                <w:i/>
                <w:sz w:val="18"/>
                <w:szCs w:val="18"/>
                <w:lang w:eastAsia="es-ES"/>
              </w:rPr>
              <w:t>-</w:t>
            </w:r>
          </w:p>
        </w:tc>
        <w:tc>
          <w:tcPr>
            <w:tcW w:w="1559" w:type="dxa"/>
          </w:tcPr>
          <w:p w14:paraId="4CBA8FC4" w14:textId="6FB67CD9" w:rsidR="0017463C" w:rsidRPr="000323A2" w:rsidRDefault="0017463C" w:rsidP="0017463C">
            <w:pPr>
              <w:spacing w:before="240" w:line="276" w:lineRule="auto"/>
              <w:jc w:val="center"/>
              <w:rPr>
                <w:rFonts w:ascii="ITC Avant Garde" w:hAnsi="ITC Avant Garde"/>
                <w:i/>
                <w:sz w:val="18"/>
                <w:szCs w:val="18"/>
                <w:lang w:eastAsia="es-ES"/>
              </w:rPr>
            </w:pPr>
            <w:r w:rsidRPr="0017463C">
              <w:rPr>
                <w:rFonts w:ascii="ITC Avant Garde" w:hAnsi="ITC Avant Garde"/>
                <w:b/>
                <w:color w:val="00B0F0"/>
                <w:lang w:val="es-ES" w:eastAsia="es-ES"/>
              </w:rPr>
              <w:t>(…)</w:t>
            </w:r>
            <w:r w:rsidRPr="000323A2">
              <w:rPr>
                <w:rFonts w:ascii="ITC Avant Garde" w:hAnsi="ITC Avant Garde"/>
                <w:i/>
                <w:sz w:val="18"/>
                <w:szCs w:val="18"/>
                <w:lang w:eastAsia="es-ES"/>
              </w:rPr>
              <w:t>-</w:t>
            </w:r>
          </w:p>
        </w:tc>
        <w:tc>
          <w:tcPr>
            <w:tcW w:w="2127" w:type="dxa"/>
          </w:tcPr>
          <w:p w14:paraId="5121EBEC" w14:textId="71BA8CFE" w:rsidR="0017463C" w:rsidRPr="000323A2" w:rsidRDefault="0017463C" w:rsidP="0017463C">
            <w:pPr>
              <w:spacing w:before="240" w:line="276" w:lineRule="auto"/>
              <w:jc w:val="center"/>
              <w:rPr>
                <w:rFonts w:ascii="ITC Avant Garde" w:hAnsi="ITC Avant Garde"/>
                <w:i/>
                <w:sz w:val="18"/>
                <w:szCs w:val="18"/>
                <w:lang w:eastAsia="es-ES"/>
              </w:rPr>
            </w:pPr>
            <w:r w:rsidRPr="0017463C">
              <w:rPr>
                <w:rFonts w:ascii="ITC Avant Garde" w:hAnsi="ITC Avant Garde"/>
                <w:b/>
                <w:color w:val="00B0F0"/>
                <w:lang w:val="es-ES" w:eastAsia="es-ES"/>
              </w:rPr>
              <w:t>(…)</w:t>
            </w:r>
          </w:p>
          <w:p w14:paraId="2C2A3B1B" w14:textId="529B2DE3" w:rsidR="0017463C" w:rsidRPr="000323A2" w:rsidRDefault="0017463C" w:rsidP="000323A2">
            <w:pPr>
              <w:spacing w:before="240" w:line="276" w:lineRule="auto"/>
              <w:jc w:val="center"/>
              <w:rPr>
                <w:rFonts w:ascii="ITC Avant Garde" w:hAnsi="ITC Avant Garde"/>
                <w:i/>
                <w:sz w:val="18"/>
                <w:szCs w:val="18"/>
                <w:lang w:eastAsia="es-ES"/>
              </w:rPr>
            </w:pPr>
          </w:p>
        </w:tc>
      </w:tr>
    </w:tbl>
    <w:p w14:paraId="03F76F0F" w14:textId="77777777" w:rsidR="000323A2" w:rsidRPr="000323A2" w:rsidRDefault="000323A2" w:rsidP="000323A2">
      <w:pPr>
        <w:spacing w:before="240" w:after="0" w:line="276" w:lineRule="auto"/>
        <w:rPr>
          <w:rFonts w:ascii="ITC Avant Garde" w:eastAsia="Calibri" w:hAnsi="ITC Avant Garde" w:cs="Times New Roman"/>
          <w:sz w:val="24"/>
          <w:szCs w:val="24"/>
          <w:lang w:eastAsia="es-ES"/>
        </w:rPr>
      </w:pPr>
    </w:p>
    <w:p w14:paraId="466C32F8" w14:textId="77777777" w:rsidR="000323A2" w:rsidRPr="000323A2" w:rsidRDefault="000323A2" w:rsidP="000323A2">
      <w:pPr>
        <w:spacing w:before="240"/>
        <w:jc w:val="center"/>
        <w:rPr>
          <w:rFonts w:ascii="ITC Avant Garde" w:eastAsia="Calibri" w:hAnsi="ITC Avant Garde" w:cs="Times New Roman"/>
          <w:sz w:val="24"/>
          <w:szCs w:val="24"/>
        </w:rPr>
      </w:pPr>
      <w:r w:rsidRPr="000323A2">
        <w:rPr>
          <w:rFonts w:ascii="ITC Avant Garde" w:eastAsia="Calibri" w:hAnsi="ITC Avant Garde" w:cs="Times New Roman"/>
          <w:sz w:val="24"/>
          <w:szCs w:val="24"/>
        </w:rPr>
        <w:t>FORMATO DE CONFIRMACIÓN DE PRONÓSTICO DE REQUERIMIENTO DE SERVICIO DE ENLACES DEDICADOS</w:t>
      </w:r>
    </w:p>
    <w:p w14:paraId="3FEC277D" w14:textId="77777777" w:rsidR="000323A2" w:rsidRPr="000323A2" w:rsidRDefault="000323A2" w:rsidP="000323A2">
      <w:pPr>
        <w:spacing w:before="240" w:after="0" w:line="276" w:lineRule="auto"/>
        <w:rPr>
          <w:rFonts w:ascii="ITC Avant Garde" w:eastAsia="Calibri" w:hAnsi="ITC Avant Garde" w:cs="Times New Roman"/>
          <w:sz w:val="24"/>
          <w:szCs w:val="24"/>
          <w:lang w:eastAsia="es-ES"/>
        </w:rPr>
      </w:pPr>
    </w:p>
    <w:p w14:paraId="61B3C69E" w14:textId="2FA8CB64" w:rsidR="000323A2" w:rsidRPr="000323A2" w:rsidRDefault="000323A2" w:rsidP="000323A2">
      <w:pPr>
        <w:spacing w:before="240" w:after="0" w:line="276" w:lineRule="auto"/>
        <w:ind w:left="-180" w:firstLine="180"/>
        <w:jc w:val="both"/>
        <w:rPr>
          <w:rFonts w:ascii="ITC Avant Garde" w:eastAsia="Calibri" w:hAnsi="ITC Avant Garde" w:cs="Times New Roman"/>
          <w:sz w:val="24"/>
          <w:szCs w:val="24"/>
          <w:lang w:val="es-ES" w:eastAsia="es-ES"/>
        </w:rPr>
      </w:pPr>
      <w:r w:rsidRPr="000323A2">
        <w:rPr>
          <w:rFonts w:ascii="ITC Avant Garde" w:eastAsia="Calibri" w:hAnsi="ITC Avant Garde" w:cs="Times New Roman"/>
          <w:lang w:val="es-ES" w:eastAsia="es-ES"/>
        </w:rPr>
        <w:t xml:space="preserve">Concesionario Solicitante o Autorizado Solicitante: </w:t>
      </w:r>
      <w:r w:rsidR="0017463C" w:rsidRPr="0017463C">
        <w:rPr>
          <w:rFonts w:ascii="ITC Avant Garde" w:eastAsia="Calibri" w:hAnsi="ITC Avant Garde" w:cs="Times New Roman"/>
          <w:b/>
          <w:color w:val="00B0F0"/>
          <w:lang w:val="es-ES" w:eastAsia="es-ES"/>
        </w:rPr>
        <w:t>(…)</w:t>
      </w:r>
      <w:r w:rsidRPr="000323A2">
        <w:rPr>
          <w:rFonts w:ascii="ITC Avant Garde" w:eastAsia="Calibri" w:hAnsi="ITC Avant Garde" w:cs="Times New Roman"/>
          <w:lang w:val="es-ES" w:eastAsia="es-ES"/>
        </w:rPr>
        <w:t xml:space="preserve"> Fecha de entrega: </w:t>
      </w:r>
      <w:r w:rsidR="0017463C" w:rsidRPr="0017463C">
        <w:rPr>
          <w:rFonts w:ascii="ITC Avant Garde" w:eastAsia="Calibri" w:hAnsi="ITC Avant Garde" w:cs="Times New Roman"/>
          <w:b/>
          <w:color w:val="00B0F0"/>
          <w:lang w:val="es-ES" w:eastAsia="es-ES"/>
        </w:rPr>
        <w:t>(…)</w:t>
      </w:r>
    </w:p>
    <w:p w14:paraId="48D77DEE" w14:textId="0CFFCFB3" w:rsidR="000323A2" w:rsidRDefault="000323A2" w:rsidP="000323A2">
      <w:pPr>
        <w:spacing w:before="240" w:after="0" w:line="276" w:lineRule="auto"/>
        <w:jc w:val="center"/>
        <w:rPr>
          <w:rFonts w:ascii="ITC Avant Garde" w:eastAsia="Calibri" w:hAnsi="ITC Avant Garde" w:cs="Times New Roman"/>
          <w:b/>
          <w:sz w:val="24"/>
          <w:szCs w:val="24"/>
          <w:lang w:val="es-ES" w:eastAsia="es-ES"/>
        </w:rPr>
      </w:pPr>
      <w:r w:rsidRPr="000323A2">
        <w:rPr>
          <w:rFonts w:ascii="ITC Avant Garde" w:eastAsia="Calibri" w:hAnsi="ITC Avant Garde" w:cs="Times New Roman"/>
          <w:b/>
          <w:sz w:val="24"/>
          <w:szCs w:val="24"/>
          <w:lang w:val="es-ES" w:eastAsia="es-ES"/>
        </w:rPr>
        <w:t>Enlaces dedicados</w:t>
      </w:r>
    </w:p>
    <w:p w14:paraId="4CCFBD8C" w14:textId="2B10A32E" w:rsidR="002E573E" w:rsidRPr="000323A2" w:rsidRDefault="002E573E" w:rsidP="000323A2">
      <w:pPr>
        <w:spacing w:before="240" w:after="0" w:line="276" w:lineRule="auto"/>
        <w:jc w:val="center"/>
        <w:rPr>
          <w:rFonts w:ascii="ITC Avant Garde" w:eastAsia="Calibri" w:hAnsi="ITC Avant Garde" w:cs="Times New Roman"/>
          <w:b/>
          <w:sz w:val="24"/>
          <w:szCs w:val="24"/>
          <w:lang w:val="es-ES" w:eastAsia="es-ES"/>
        </w:rPr>
      </w:pPr>
      <w:r w:rsidRPr="000323A2">
        <w:rPr>
          <w:rFonts w:ascii="ITC Avant Garde" w:hAnsi="ITC Avant Garde"/>
          <w:b/>
          <w:i/>
          <w:sz w:val="18"/>
          <w:szCs w:val="18"/>
          <w:lang w:eastAsia="es-ES"/>
        </w:rPr>
        <w:t>REQUERIMIENTO DEL CONCESIONARIO SOLICITANTE O AUTORIZADO SOLICITANTE</w:t>
      </w:r>
    </w:p>
    <w:tbl>
      <w:tblPr>
        <w:tblStyle w:val="Cuadrculadetablaclara1"/>
        <w:tblW w:w="7938" w:type="dxa"/>
        <w:jc w:val="center"/>
        <w:tblLook w:val="00A0" w:firstRow="1" w:lastRow="0" w:firstColumn="1" w:lastColumn="0" w:noHBand="0" w:noVBand="0"/>
        <w:tblCaption w:val="Tabla"/>
        <w:tblDescription w:val="Enlaces dedicados"/>
      </w:tblPr>
      <w:tblGrid>
        <w:gridCol w:w="1984"/>
        <w:gridCol w:w="2410"/>
        <w:gridCol w:w="1417"/>
        <w:gridCol w:w="2127"/>
      </w:tblGrid>
      <w:tr w:rsidR="000323A2" w:rsidRPr="000323A2" w14:paraId="37C42F57" w14:textId="77777777" w:rsidTr="002E573E">
        <w:trPr>
          <w:tblHeader/>
          <w:jc w:val="center"/>
        </w:trPr>
        <w:tc>
          <w:tcPr>
            <w:tcW w:w="1984" w:type="dxa"/>
            <w:tcBorders>
              <w:bottom w:val="single" w:sz="4" w:space="0" w:color="BFBFBF"/>
            </w:tcBorders>
          </w:tcPr>
          <w:p w14:paraId="11D58551"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Ciudad</w:t>
            </w:r>
          </w:p>
        </w:tc>
        <w:tc>
          <w:tcPr>
            <w:tcW w:w="2410" w:type="dxa"/>
            <w:tcBorders>
              <w:bottom w:val="single" w:sz="4" w:space="0" w:color="BFBFBF"/>
            </w:tcBorders>
          </w:tcPr>
          <w:p w14:paraId="4768274D"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Denominación y Capacidad</w:t>
            </w:r>
          </w:p>
        </w:tc>
        <w:tc>
          <w:tcPr>
            <w:tcW w:w="1417" w:type="dxa"/>
            <w:tcBorders>
              <w:bottom w:val="single" w:sz="4" w:space="0" w:color="BFBFBF"/>
            </w:tcBorders>
          </w:tcPr>
          <w:p w14:paraId="01B89BA1"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Cantidad</w:t>
            </w:r>
          </w:p>
        </w:tc>
        <w:tc>
          <w:tcPr>
            <w:tcW w:w="2127" w:type="dxa"/>
            <w:tcBorders>
              <w:bottom w:val="single" w:sz="4" w:space="0" w:color="BFBFBF"/>
            </w:tcBorders>
          </w:tcPr>
          <w:p w14:paraId="22371D1F"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L: Local</w:t>
            </w:r>
          </w:p>
          <w:p w14:paraId="3764F97E" w14:textId="77777777" w:rsidR="000323A2" w:rsidRPr="000323A2" w:rsidRDefault="000323A2" w:rsidP="000323A2">
            <w:pPr>
              <w:spacing w:before="240" w:line="276" w:lineRule="auto"/>
              <w:jc w:val="center"/>
              <w:rPr>
                <w:rFonts w:ascii="ITC Avant Garde" w:hAnsi="ITC Avant Garde"/>
                <w:b/>
                <w:i/>
                <w:sz w:val="18"/>
                <w:szCs w:val="18"/>
                <w:lang w:eastAsia="es-ES"/>
              </w:rPr>
            </w:pPr>
            <w:r w:rsidRPr="000323A2">
              <w:rPr>
                <w:rFonts w:ascii="ITC Avant Garde" w:hAnsi="ITC Avant Garde"/>
                <w:b/>
                <w:i/>
                <w:sz w:val="18"/>
                <w:szCs w:val="18"/>
                <w:lang w:eastAsia="es-ES"/>
              </w:rPr>
              <w:t>N: Entre Localidades</w:t>
            </w:r>
          </w:p>
        </w:tc>
      </w:tr>
      <w:tr w:rsidR="002E573E" w:rsidRPr="000323A2" w14:paraId="7A389900" w14:textId="77777777" w:rsidTr="002E573E">
        <w:trPr>
          <w:tblHeader/>
          <w:jc w:val="center"/>
        </w:trPr>
        <w:tc>
          <w:tcPr>
            <w:tcW w:w="1984" w:type="dxa"/>
            <w:tcBorders>
              <w:right w:val="nil"/>
            </w:tcBorders>
          </w:tcPr>
          <w:p w14:paraId="17B0DCF0" w14:textId="367B7676" w:rsidR="002E573E" w:rsidRPr="000323A2" w:rsidRDefault="002E573E" w:rsidP="002E573E">
            <w:pPr>
              <w:spacing w:before="240" w:line="276" w:lineRule="auto"/>
              <w:jc w:val="center"/>
              <w:rPr>
                <w:rFonts w:ascii="ITC Avant Garde" w:hAnsi="ITC Avant Garde"/>
                <w:b/>
                <w:i/>
                <w:sz w:val="18"/>
                <w:szCs w:val="18"/>
                <w:lang w:eastAsia="es-ES"/>
              </w:rPr>
            </w:pPr>
            <w:r w:rsidRPr="0017463C">
              <w:rPr>
                <w:rFonts w:ascii="ITC Avant Garde" w:hAnsi="ITC Avant Garde"/>
                <w:b/>
                <w:i/>
                <w:color w:val="FFFFFF" w:themeColor="background1"/>
                <w:sz w:val="10"/>
                <w:szCs w:val="10"/>
                <w:lang w:eastAsia="es-ES"/>
              </w:rPr>
              <w:t>Celda Sin texto</w:t>
            </w:r>
          </w:p>
        </w:tc>
        <w:tc>
          <w:tcPr>
            <w:tcW w:w="2410" w:type="dxa"/>
            <w:tcBorders>
              <w:left w:val="nil"/>
              <w:right w:val="nil"/>
            </w:tcBorders>
          </w:tcPr>
          <w:p w14:paraId="7718A8A5" w14:textId="5DD680FC" w:rsidR="002E573E" w:rsidRPr="000323A2" w:rsidRDefault="002E573E" w:rsidP="002E573E">
            <w:pPr>
              <w:spacing w:before="240" w:line="276" w:lineRule="auto"/>
              <w:jc w:val="center"/>
              <w:rPr>
                <w:rFonts w:ascii="ITC Avant Garde" w:hAnsi="ITC Avant Garde"/>
                <w:b/>
                <w:i/>
                <w:sz w:val="18"/>
                <w:szCs w:val="18"/>
                <w:lang w:eastAsia="es-ES"/>
              </w:rPr>
            </w:pPr>
            <w:r w:rsidRPr="0017463C">
              <w:rPr>
                <w:rFonts w:ascii="ITC Avant Garde" w:hAnsi="ITC Avant Garde"/>
                <w:b/>
                <w:color w:val="00B0F0"/>
                <w:lang w:val="es-ES" w:eastAsia="es-ES"/>
              </w:rPr>
              <w:t>(…)</w:t>
            </w:r>
            <w:r w:rsidRPr="000323A2">
              <w:rPr>
                <w:rFonts w:ascii="ITC Avant Garde" w:hAnsi="ITC Avant Garde"/>
                <w:b/>
                <w:i/>
                <w:sz w:val="18"/>
                <w:szCs w:val="18"/>
                <w:lang w:eastAsia="es-ES"/>
              </w:rPr>
              <w:t xml:space="preserve"> bimestre de 20</w:t>
            </w:r>
            <w:r w:rsidRPr="0017463C">
              <w:rPr>
                <w:rFonts w:ascii="ITC Avant Garde" w:hAnsi="ITC Avant Garde"/>
                <w:b/>
                <w:color w:val="00B0F0"/>
                <w:lang w:val="es-ES" w:eastAsia="es-ES"/>
              </w:rPr>
              <w:t>(…)</w:t>
            </w:r>
          </w:p>
        </w:tc>
        <w:tc>
          <w:tcPr>
            <w:tcW w:w="1417" w:type="dxa"/>
            <w:tcBorders>
              <w:left w:val="nil"/>
              <w:right w:val="nil"/>
            </w:tcBorders>
          </w:tcPr>
          <w:p w14:paraId="080AAA65" w14:textId="15354915" w:rsidR="002E573E" w:rsidRPr="000323A2" w:rsidRDefault="002E573E" w:rsidP="002E573E">
            <w:pPr>
              <w:spacing w:before="240" w:line="276" w:lineRule="auto"/>
              <w:jc w:val="center"/>
              <w:rPr>
                <w:rFonts w:ascii="ITC Avant Garde" w:hAnsi="ITC Avant Garde"/>
                <w:b/>
                <w:i/>
                <w:sz w:val="18"/>
                <w:szCs w:val="18"/>
                <w:lang w:eastAsia="es-ES"/>
              </w:rPr>
            </w:pPr>
            <w:r w:rsidRPr="0017463C">
              <w:rPr>
                <w:rFonts w:ascii="ITC Avant Garde" w:hAnsi="ITC Avant Garde"/>
                <w:b/>
                <w:i/>
                <w:color w:val="FFFFFF" w:themeColor="background1"/>
                <w:sz w:val="10"/>
                <w:szCs w:val="10"/>
                <w:lang w:eastAsia="es-ES"/>
              </w:rPr>
              <w:t>Celda Sin texto</w:t>
            </w:r>
          </w:p>
        </w:tc>
        <w:tc>
          <w:tcPr>
            <w:tcW w:w="2127" w:type="dxa"/>
            <w:tcBorders>
              <w:left w:val="nil"/>
            </w:tcBorders>
          </w:tcPr>
          <w:p w14:paraId="7C58EAE7" w14:textId="16172DC8" w:rsidR="002E573E" w:rsidRPr="000323A2" w:rsidRDefault="002E573E" w:rsidP="002E573E">
            <w:pPr>
              <w:spacing w:before="240" w:line="276" w:lineRule="auto"/>
              <w:jc w:val="center"/>
              <w:rPr>
                <w:rFonts w:ascii="ITC Avant Garde" w:hAnsi="ITC Avant Garde"/>
                <w:b/>
                <w:i/>
                <w:sz w:val="18"/>
                <w:szCs w:val="18"/>
                <w:lang w:eastAsia="es-ES"/>
              </w:rPr>
            </w:pPr>
            <w:r w:rsidRPr="0017463C">
              <w:rPr>
                <w:rFonts w:ascii="ITC Avant Garde" w:hAnsi="ITC Avant Garde"/>
                <w:b/>
                <w:i/>
                <w:color w:val="FFFFFF" w:themeColor="background1"/>
                <w:sz w:val="10"/>
                <w:szCs w:val="10"/>
                <w:lang w:eastAsia="es-ES"/>
              </w:rPr>
              <w:t>Celda Sin texto</w:t>
            </w:r>
          </w:p>
        </w:tc>
      </w:tr>
      <w:tr w:rsidR="002E573E" w:rsidRPr="000323A2" w14:paraId="72CA71CB" w14:textId="77777777" w:rsidTr="000323A2">
        <w:trPr>
          <w:tblHeader/>
          <w:jc w:val="center"/>
        </w:trPr>
        <w:tc>
          <w:tcPr>
            <w:tcW w:w="1984" w:type="dxa"/>
          </w:tcPr>
          <w:p w14:paraId="68528338" w14:textId="2C0BECBF" w:rsidR="002E573E" w:rsidRPr="000323A2" w:rsidRDefault="002E573E" w:rsidP="002E573E">
            <w:pPr>
              <w:spacing w:before="240" w:line="276" w:lineRule="auto"/>
              <w:jc w:val="both"/>
              <w:rPr>
                <w:rFonts w:ascii="ITC Avant Garde" w:hAnsi="ITC Avant Garde"/>
                <w:i/>
                <w:sz w:val="18"/>
                <w:szCs w:val="18"/>
                <w:lang w:eastAsia="es-ES"/>
              </w:rPr>
            </w:pPr>
            <w:r w:rsidRPr="0017463C">
              <w:rPr>
                <w:rFonts w:ascii="ITC Avant Garde" w:hAnsi="ITC Avant Garde"/>
                <w:b/>
                <w:color w:val="00B0F0"/>
                <w:lang w:val="es-ES" w:eastAsia="es-ES"/>
              </w:rPr>
              <w:t>(…)</w:t>
            </w:r>
          </w:p>
        </w:tc>
        <w:tc>
          <w:tcPr>
            <w:tcW w:w="2410" w:type="dxa"/>
          </w:tcPr>
          <w:p w14:paraId="4080DCAD" w14:textId="36C27187" w:rsidR="002E573E" w:rsidRPr="000323A2" w:rsidRDefault="002E573E" w:rsidP="002E573E">
            <w:pPr>
              <w:spacing w:before="240" w:line="276" w:lineRule="auto"/>
              <w:jc w:val="both"/>
              <w:rPr>
                <w:rFonts w:ascii="ITC Avant Garde" w:hAnsi="ITC Avant Garde"/>
                <w:i/>
                <w:sz w:val="18"/>
                <w:szCs w:val="18"/>
                <w:lang w:eastAsia="es-ES"/>
              </w:rPr>
            </w:pPr>
            <w:r w:rsidRPr="0017463C">
              <w:rPr>
                <w:rFonts w:ascii="ITC Avant Garde" w:hAnsi="ITC Avant Garde"/>
                <w:b/>
                <w:color w:val="00B0F0"/>
                <w:lang w:val="es-ES" w:eastAsia="es-ES"/>
              </w:rPr>
              <w:t>(…)</w:t>
            </w:r>
          </w:p>
        </w:tc>
        <w:tc>
          <w:tcPr>
            <w:tcW w:w="1417" w:type="dxa"/>
          </w:tcPr>
          <w:p w14:paraId="2A9EB0D1" w14:textId="0DC9E59F" w:rsidR="002E573E" w:rsidRPr="000323A2" w:rsidRDefault="002E573E" w:rsidP="002E573E">
            <w:pPr>
              <w:spacing w:before="240" w:line="276" w:lineRule="auto"/>
              <w:jc w:val="both"/>
              <w:rPr>
                <w:rFonts w:ascii="ITC Avant Garde" w:hAnsi="ITC Avant Garde"/>
                <w:i/>
                <w:sz w:val="18"/>
                <w:szCs w:val="18"/>
                <w:lang w:eastAsia="es-ES"/>
              </w:rPr>
            </w:pPr>
            <w:r w:rsidRPr="0017463C">
              <w:rPr>
                <w:rFonts w:ascii="ITC Avant Garde" w:hAnsi="ITC Avant Garde"/>
                <w:b/>
                <w:color w:val="00B0F0"/>
                <w:lang w:val="es-ES" w:eastAsia="es-ES"/>
              </w:rPr>
              <w:t>(…)</w:t>
            </w:r>
          </w:p>
        </w:tc>
        <w:tc>
          <w:tcPr>
            <w:tcW w:w="2127" w:type="dxa"/>
          </w:tcPr>
          <w:p w14:paraId="24F1FED8" w14:textId="43D400DC" w:rsidR="002E573E" w:rsidRPr="000323A2" w:rsidRDefault="002E573E" w:rsidP="002E573E">
            <w:pPr>
              <w:spacing w:before="240" w:line="276" w:lineRule="auto"/>
              <w:jc w:val="both"/>
              <w:rPr>
                <w:rFonts w:ascii="ITC Avant Garde" w:hAnsi="ITC Avant Garde"/>
                <w:i/>
                <w:sz w:val="18"/>
                <w:szCs w:val="18"/>
                <w:lang w:eastAsia="es-ES"/>
              </w:rPr>
            </w:pPr>
            <w:r w:rsidRPr="0017463C">
              <w:rPr>
                <w:rFonts w:ascii="ITC Avant Garde" w:hAnsi="ITC Avant Garde"/>
                <w:b/>
                <w:color w:val="00B0F0"/>
                <w:lang w:val="es-ES" w:eastAsia="es-ES"/>
              </w:rPr>
              <w:t>(…)</w:t>
            </w:r>
          </w:p>
        </w:tc>
      </w:tr>
      <w:tr w:rsidR="002E573E" w:rsidRPr="000323A2" w14:paraId="08DD930C" w14:textId="77777777" w:rsidTr="000323A2">
        <w:trPr>
          <w:tblHeader/>
          <w:jc w:val="center"/>
        </w:trPr>
        <w:tc>
          <w:tcPr>
            <w:tcW w:w="1984" w:type="dxa"/>
          </w:tcPr>
          <w:p w14:paraId="5B7C63F8"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c>
          <w:tcPr>
            <w:tcW w:w="2410" w:type="dxa"/>
          </w:tcPr>
          <w:p w14:paraId="4E13F83C"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c>
          <w:tcPr>
            <w:tcW w:w="1417" w:type="dxa"/>
          </w:tcPr>
          <w:p w14:paraId="6F26F926"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c>
          <w:tcPr>
            <w:tcW w:w="2127" w:type="dxa"/>
          </w:tcPr>
          <w:p w14:paraId="45312176"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r>
      <w:tr w:rsidR="002E573E" w:rsidRPr="000323A2" w14:paraId="6DC22EEA" w14:textId="77777777" w:rsidTr="000323A2">
        <w:trPr>
          <w:tblHeader/>
          <w:jc w:val="center"/>
        </w:trPr>
        <w:tc>
          <w:tcPr>
            <w:tcW w:w="1984" w:type="dxa"/>
          </w:tcPr>
          <w:p w14:paraId="375EEB68"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c>
          <w:tcPr>
            <w:tcW w:w="2410" w:type="dxa"/>
          </w:tcPr>
          <w:p w14:paraId="4F79C986"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c>
          <w:tcPr>
            <w:tcW w:w="1417" w:type="dxa"/>
          </w:tcPr>
          <w:p w14:paraId="0E35043B"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c>
          <w:tcPr>
            <w:tcW w:w="2127" w:type="dxa"/>
          </w:tcPr>
          <w:p w14:paraId="22F00A27"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r>
      <w:tr w:rsidR="002E573E" w:rsidRPr="000323A2" w14:paraId="50E7E41D" w14:textId="77777777" w:rsidTr="000323A2">
        <w:trPr>
          <w:tblHeader/>
          <w:jc w:val="center"/>
        </w:trPr>
        <w:tc>
          <w:tcPr>
            <w:tcW w:w="1984" w:type="dxa"/>
          </w:tcPr>
          <w:p w14:paraId="4D8EC26A"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c>
          <w:tcPr>
            <w:tcW w:w="2410" w:type="dxa"/>
          </w:tcPr>
          <w:p w14:paraId="78C53CA3"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c>
          <w:tcPr>
            <w:tcW w:w="1417" w:type="dxa"/>
          </w:tcPr>
          <w:p w14:paraId="41B43B24"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c>
          <w:tcPr>
            <w:tcW w:w="2127" w:type="dxa"/>
          </w:tcPr>
          <w:p w14:paraId="3A4DACB8" w14:textId="77777777" w:rsidR="002E573E" w:rsidRPr="000323A2" w:rsidRDefault="002E573E" w:rsidP="002E573E">
            <w:pPr>
              <w:spacing w:before="240" w:line="276" w:lineRule="auto"/>
              <w:jc w:val="both"/>
              <w:rPr>
                <w:rFonts w:ascii="ITC Avant Garde" w:hAnsi="ITC Avant Garde"/>
                <w:i/>
                <w:sz w:val="18"/>
                <w:szCs w:val="18"/>
                <w:lang w:eastAsia="es-ES"/>
              </w:rPr>
            </w:pPr>
            <w:r w:rsidRPr="000323A2">
              <w:rPr>
                <w:rFonts w:ascii="ITC Avant Garde" w:hAnsi="ITC Avant Garde"/>
                <w:i/>
                <w:sz w:val="18"/>
                <w:szCs w:val="18"/>
                <w:lang w:eastAsia="es-ES"/>
              </w:rPr>
              <w:t>-</w:t>
            </w:r>
          </w:p>
        </w:tc>
      </w:tr>
    </w:tbl>
    <w:p w14:paraId="517D35F2" w14:textId="49BFD6C0" w:rsidR="000323A2" w:rsidRPr="000323A2" w:rsidRDefault="000323A2" w:rsidP="000323A2">
      <w:pPr>
        <w:spacing w:before="240" w:after="0" w:line="276" w:lineRule="auto"/>
        <w:jc w:val="both"/>
        <w:rPr>
          <w:rFonts w:ascii="ITC Avant Garde" w:eastAsia="Times New Roman" w:hAnsi="ITC Avant Garde" w:cs="Times New Roman"/>
          <w:lang w:val="es-ES" w:eastAsia="es-ES"/>
        </w:rPr>
      </w:pPr>
      <w:r w:rsidRPr="000323A2">
        <w:rPr>
          <w:rFonts w:ascii="ITC Avant Garde" w:eastAsia="Times New Roman" w:hAnsi="ITC Avant Garde" w:cs="Times New Roman"/>
          <w:lang w:val="es-ES" w:eastAsia="es-ES"/>
        </w:rPr>
        <w:t>Este Anexo “G”</w:t>
      </w:r>
      <w:r w:rsidRPr="000323A2">
        <w:rPr>
          <w:rFonts w:ascii="ITC Avant Garde" w:eastAsia="Times New Roman" w:hAnsi="ITC Avant Garde" w:cs="Times New Roman"/>
          <w:i/>
          <w:lang w:val="es-ES" w:eastAsia="es-ES"/>
        </w:rPr>
        <w:t>,</w:t>
      </w:r>
      <w:r w:rsidRPr="000323A2">
        <w:rPr>
          <w:rFonts w:ascii="ITC Avant Garde" w:eastAsia="Times New Roman" w:hAnsi="ITC Avant Garde" w:cs="Times New Roman"/>
          <w:lang w:val="es-ES" w:eastAsia="es-ES"/>
        </w:rPr>
        <w:t xml:space="preserve"> firma por los responsables debidamente facultados de las partes el </w:t>
      </w:r>
      <w:r w:rsidR="002E573E" w:rsidRPr="0017463C">
        <w:rPr>
          <w:rFonts w:ascii="ITC Avant Garde" w:eastAsia="Calibri" w:hAnsi="ITC Avant Garde" w:cs="Times New Roman"/>
          <w:b/>
          <w:color w:val="00B0F0"/>
          <w:lang w:val="es-ES" w:eastAsia="es-ES"/>
        </w:rPr>
        <w:t>(…)</w:t>
      </w:r>
      <w:r w:rsidRPr="000323A2">
        <w:rPr>
          <w:rFonts w:ascii="ITC Avant Garde" w:eastAsia="Times New Roman" w:hAnsi="ITC Avant Garde" w:cs="Times New Roman"/>
          <w:lang w:val="es-ES" w:eastAsia="es-ES"/>
        </w:rPr>
        <w:t xml:space="preserve"> de </w:t>
      </w:r>
      <w:r w:rsidR="002E573E" w:rsidRPr="0017463C">
        <w:rPr>
          <w:rFonts w:ascii="ITC Avant Garde" w:eastAsia="Calibri" w:hAnsi="ITC Avant Garde" w:cs="Times New Roman"/>
          <w:b/>
          <w:color w:val="00B0F0"/>
          <w:lang w:val="es-ES" w:eastAsia="es-ES"/>
        </w:rPr>
        <w:t>(…)</w:t>
      </w:r>
      <w:r w:rsidRPr="000323A2">
        <w:rPr>
          <w:rFonts w:ascii="ITC Avant Garde" w:eastAsia="Times New Roman" w:hAnsi="ITC Avant Garde" w:cs="Times New Roman"/>
          <w:lang w:val="es-ES" w:eastAsia="es-ES"/>
        </w:rPr>
        <w:t xml:space="preserve"> de 20</w:t>
      </w:r>
      <w:r w:rsidR="002E573E" w:rsidRPr="0017463C">
        <w:rPr>
          <w:rFonts w:ascii="ITC Avant Garde" w:eastAsia="Calibri" w:hAnsi="ITC Avant Garde" w:cs="Times New Roman"/>
          <w:b/>
          <w:color w:val="00B0F0"/>
          <w:lang w:val="es-ES" w:eastAsia="es-ES"/>
        </w:rPr>
        <w:t>(…)</w:t>
      </w:r>
      <w:r w:rsidRPr="000323A2">
        <w:rPr>
          <w:rFonts w:ascii="ITC Avant Garde" w:eastAsia="Times New Roman" w:hAnsi="ITC Avant Garde" w:cs="Times New Roman"/>
          <w:lang w:val="es-ES" w:eastAsia="es-ES"/>
        </w:rPr>
        <w:t>.</w:t>
      </w:r>
    </w:p>
    <w:p w14:paraId="4B8B62A6" w14:textId="77777777" w:rsidR="000323A2" w:rsidRPr="000323A2" w:rsidRDefault="000323A2" w:rsidP="000323A2">
      <w:pPr>
        <w:spacing w:before="240"/>
        <w:rPr>
          <w:rFonts w:ascii="Calibri" w:eastAsia="Calibri" w:hAnsi="Calibri" w:cs="Times New Roman"/>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8828"/>
      </w:tblGrid>
      <w:tr w:rsidR="000323A2" w:rsidRPr="000323A2" w14:paraId="6882F1B9" w14:textId="77777777" w:rsidTr="000323A2">
        <w:trPr>
          <w:trHeight w:val="624"/>
          <w:tblHeader/>
          <w:jc w:val="center"/>
        </w:trPr>
        <w:tc>
          <w:tcPr>
            <w:tcW w:w="8828" w:type="dxa"/>
          </w:tcPr>
          <w:p w14:paraId="3D545D10"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TELÉFONOS DE MÉXICO, S.A.B. DE C.V.</w:t>
            </w:r>
          </w:p>
        </w:tc>
      </w:tr>
      <w:tr w:rsidR="000323A2" w:rsidRPr="000323A2" w14:paraId="09881075" w14:textId="77777777" w:rsidTr="000323A2">
        <w:trPr>
          <w:tblHeader/>
          <w:jc w:val="center"/>
        </w:trPr>
        <w:tc>
          <w:tcPr>
            <w:tcW w:w="8828" w:type="dxa"/>
          </w:tcPr>
          <w:p w14:paraId="028027EB" w14:textId="6676C736" w:rsidR="000323A2" w:rsidRPr="000323A2" w:rsidRDefault="002E573E" w:rsidP="000323A2">
            <w:pPr>
              <w:tabs>
                <w:tab w:val="left" w:pos="851"/>
              </w:tabs>
              <w:spacing w:before="240"/>
              <w:jc w:val="center"/>
              <w:outlineLvl w:val="0"/>
              <w:rPr>
                <w:rFonts w:ascii="ITC Avant Garde" w:hAnsi="ITC Avant Garde"/>
                <w:b/>
                <w:lang w:val="es-ES_tradnl"/>
              </w:rPr>
            </w:pPr>
            <w:r w:rsidRPr="0017463C">
              <w:rPr>
                <w:rFonts w:ascii="ITC Avant Garde" w:hAnsi="ITC Avant Garde"/>
                <w:b/>
                <w:color w:val="00B0F0"/>
                <w:lang w:val="es-ES" w:eastAsia="es-ES"/>
              </w:rPr>
              <w:t>(…)</w:t>
            </w:r>
          </w:p>
        </w:tc>
      </w:tr>
      <w:tr w:rsidR="000323A2" w:rsidRPr="000323A2" w14:paraId="4FE8381E" w14:textId="77777777" w:rsidTr="000323A2">
        <w:trPr>
          <w:tblHeader/>
          <w:jc w:val="center"/>
        </w:trPr>
        <w:tc>
          <w:tcPr>
            <w:tcW w:w="8828" w:type="dxa"/>
          </w:tcPr>
          <w:p w14:paraId="43EC00D1"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r w:rsidR="000323A2" w:rsidRPr="000323A2" w14:paraId="7C42FC88" w14:textId="77777777" w:rsidTr="000323A2">
        <w:trPr>
          <w:trHeight w:val="624"/>
          <w:tblHeader/>
          <w:jc w:val="center"/>
        </w:trPr>
        <w:tc>
          <w:tcPr>
            <w:tcW w:w="8828" w:type="dxa"/>
          </w:tcPr>
          <w:p w14:paraId="1ABDBE87"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CONCESIONARIO SOLICITANTE O AUTORIZADO SOLICITANTE</w:t>
            </w:r>
          </w:p>
        </w:tc>
      </w:tr>
      <w:tr w:rsidR="000323A2" w:rsidRPr="000323A2" w14:paraId="7495FCAC" w14:textId="77777777" w:rsidTr="000323A2">
        <w:trPr>
          <w:tblHeader/>
          <w:jc w:val="center"/>
        </w:trPr>
        <w:tc>
          <w:tcPr>
            <w:tcW w:w="8828" w:type="dxa"/>
          </w:tcPr>
          <w:p w14:paraId="30DEF627" w14:textId="176D07D0" w:rsidR="000323A2" w:rsidRPr="000323A2" w:rsidRDefault="002E573E" w:rsidP="000323A2">
            <w:pPr>
              <w:tabs>
                <w:tab w:val="left" w:pos="851"/>
              </w:tabs>
              <w:spacing w:before="240"/>
              <w:jc w:val="center"/>
              <w:outlineLvl w:val="0"/>
              <w:rPr>
                <w:rFonts w:ascii="ITC Avant Garde" w:hAnsi="ITC Avant Garde"/>
                <w:b/>
                <w:lang w:val="es-ES_tradnl"/>
              </w:rPr>
            </w:pPr>
            <w:r w:rsidRPr="0017463C">
              <w:rPr>
                <w:rFonts w:ascii="ITC Avant Garde" w:hAnsi="ITC Avant Garde"/>
                <w:b/>
                <w:color w:val="00B0F0"/>
                <w:lang w:val="es-ES" w:eastAsia="es-ES"/>
              </w:rPr>
              <w:t>(…)</w:t>
            </w:r>
          </w:p>
        </w:tc>
      </w:tr>
      <w:tr w:rsidR="000323A2" w:rsidRPr="000323A2" w14:paraId="01FFE0A8" w14:textId="77777777" w:rsidTr="000323A2">
        <w:trPr>
          <w:tblHeader/>
          <w:jc w:val="center"/>
        </w:trPr>
        <w:tc>
          <w:tcPr>
            <w:tcW w:w="8828" w:type="dxa"/>
          </w:tcPr>
          <w:p w14:paraId="390B4FC4"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Representante Legal</w:t>
            </w:r>
          </w:p>
        </w:tc>
      </w:tr>
    </w:tbl>
    <w:p w14:paraId="505A4753" w14:textId="77777777" w:rsidR="000323A2" w:rsidRPr="000323A2" w:rsidRDefault="000323A2" w:rsidP="000323A2">
      <w:pPr>
        <w:spacing w:before="240"/>
        <w:rPr>
          <w:rFonts w:ascii="Calibri" w:eastAsia="Calibri" w:hAnsi="Calibri" w:cs="Times New Roman"/>
        </w:rPr>
      </w:pP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a"/>
        <w:tblDescription w:val="Tabla de firmas"/>
      </w:tblPr>
      <w:tblGrid>
        <w:gridCol w:w="4414"/>
        <w:gridCol w:w="4414"/>
      </w:tblGrid>
      <w:tr w:rsidR="000323A2" w:rsidRPr="000323A2" w14:paraId="5D0F08E3" w14:textId="77777777" w:rsidTr="000323A2">
        <w:trPr>
          <w:trHeight w:val="624"/>
          <w:tblHeader/>
          <w:jc w:val="center"/>
        </w:trPr>
        <w:tc>
          <w:tcPr>
            <w:tcW w:w="4414" w:type="dxa"/>
          </w:tcPr>
          <w:p w14:paraId="326F2122"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Testigo</w:t>
            </w:r>
          </w:p>
        </w:tc>
        <w:tc>
          <w:tcPr>
            <w:tcW w:w="4414" w:type="dxa"/>
          </w:tcPr>
          <w:p w14:paraId="6C56E7FF" w14:textId="77777777" w:rsidR="000323A2" w:rsidRPr="000323A2" w:rsidRDefault="000323A2" w:rsidP="000323A2">
            <w:pPr>
              <w:tabs>
                <w:tab w:val="left" w:pos="851"/>
              </w:tabs>
              <w:spacing w:before="240"/>
              <w:jc w:val="center"/>
              <w:outlineLvl w:val="0"/>
              <w:rPr>
                <w:rFonts w:ascii="ITC Avant Garde" w:hAnsi="ITC Avant Garde"/>
                <w:b/>
                <w:lang w:val="es-ES_tradnl"/>
              </w:rPr>
            </w:pPr>
            <w:r w:rsidRPr="000323A2">
              <w:rPr>
                <w:rFonts w:ascii="ITC Avant Garde" w:hAnsi="ITC Avant Garde"/>
                <w:b/>
                <w:lang w:val="es-ES_tradnl"/>
              </w:rPr>
              <w:t>Testigo</w:t>
            </w:r>
          </w:p>
        </w:tc>
      </w:tr>
    </w:tbl>
    <w:p w14:paraId="24D4D1FF" w14:textId="77777777" w:rsidR="000323A2" w:rsidRPr="000323A2" w:rsidRDefault="000323A2" w:rsidP="000323A2">
      <w:pPr>
        <w:spacing w:before="240" w:after="0" w:line="240" w:lineRule="auto"/>
        <w:rPr>
          <w:rFonts w:ascii="Calibri" w:eastAsia="Calibri" w:hAnsi="Calibri" w:cs="Times New Roman"/>
          <w:lang w:eastAsia="es-ES"/>
        </w:rPr>
      </w:pPr>
      <w:r w:rsidRPr="000323A2">
        <w:rPr>
          <w:rFonts w:ascii="Calibri" w:eastAsia="Calibri" w:hAnsi="Calibri" w:cs="Times New Roman"/>
          <w:lang w:eastAsia="es-ES"/>
        </w:rPr>
        <w:br w:type="page"/>
      </w:r>
    </w:p>
    <w:p w14:paraId="1388DBD6"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spacing w:before="240" w:after="0" w:line="276" w:lineRule="auto"/>
        <w:ind w:left="567" w:right="567"/>
        <w:jc w:val="center"/>
        <w:outlineLvl w:val="0"/>
        <w:rPr>
          <w:rFonts w:ascii="Arial" w:eastAsia="Calibri" w:hAnsi="Arial" w:cs="Arial"/>
          <w:bCs/>
          <w:kern w:val="32"/>
          <w:sz w:val="56"/>
          <w:szCs w:val="32"/>
          <w:u w:val="single"/>
          <w:lang w:val="es-ES" w:eastAsia="es-ES"/>
        </w:rPr>
      </w:pPr>
      <w:r w:rsidRPr="000323A2">
        <w:rPr>
          <w:rFonts w:ascii="Arial" w:eastAsia="Calibri" w:hAnsi="Arial" w:cs="Arial"/>
          <w:bCs/>
          <w:kern w:val="32"/>
          <w:sz w:val="56"/>
          <w:szCs w:val="32"/>
          <w:u w:val="single"/>
          <w:lang w:val="es-ES" w:eastAsia="es-ES"/>
        </w:rPr>
        <w:lastRenderedPageBreak/>
        <w:t>ANEXO “H”</w:t>
      </w:r>
    </w:p>
    <w:p w14:paraId="04665D10" w14:textId="77777777" w:rsidR="000323A2" w:rsidRPr="000323A2" w:rsidRDefault="000323A2" w:rsidP="000323A2">
      <w:pPr>
        <w:keepNext/>
        <w:pBdr>
          <w:top w:val="single" w:sz="24" w:space="1" w:color="auto"/>
          <w:left w:val="single" w:sz="24" w:space="0" w:color="auto"/>
          <w:bottom w:val="single" w:sz="24" w:space="1" w:color="auto"/>
          <w:right w:val="single" w:sz="24" w:space="24" w:color="auto"/>
        </w:pBdr>
        <w:spacing w:before="240" w:after="0" w:line="276" w:lineRule="auto"/>
        <w:ind w:left="567" w:right="567"/>
        <w:jc w:val="center"/>
        <w:outlineLvl w:val="1"/>
        <w:rPr>
          <w:rFonts w:ascii="Arial" w:eastAsia="Calibri" w:hAnsi="Arial" w:cs="Arial"/>
          <w:b/>
          <w:bCs/>
          <w:iCs/>
          <w:sz w:val="44"/>
          <w:szCs w:val="28"/>
          <w:lang w:val="es-ES" w:eastAsia="es-ES"/>
        </w:rPr>
      </w:pPr>
      <w:r w:rsidRPr="000323A2">
        <w:rPr>
          <w:rFonts w:ascii="Arial" w:eastAsia="Calibri" w:hAnsi="Arial" w:cs="Arial"/>
          <w:b/>
          <w:bCs/>
          <w:iCs/>
          <w:sz w:val="44"/>
          <w:szCs w:val="28"/>
          <w:lang w:val="es-ES" w:eastAsia="es-ES"/>
        </w:rPr>
        <w:t>TIEMPOS DE TRASLADO PARA ATENCIÓN DE FALLAS</w:t>
      </w:r>
    </w:p>
    <w:p w14:paraId="1896D3F2" w14:textId="6E27DF81" w:rsidR="000323A2" w:rsidRDefault="000323A2" w:rsidP="000323A2">
      <w:pPr>
        <w:spacing w:before="240"/>
        <w:jc w:val="center"/>
        <w:rPr>
          <w:rFonts w:ascii="ITC Avant Garde" w:eastAsia="Calibri" w:hAnsi="ITC Avant Garde" w:cs="Times New Roman"/>
          <w:sz w:val="24"/>
          <w:szCs w:val="24"/>
        </w:rPr>
      </w:pPr>
      <w:r w:rsidRPr="000323A2">
        <w:rPr>
          <w:rFonts w:ascii="ITC Avant Garde" w:eastAsia="Calibri" w:hAnsi="ITC Avant Garde" w:cs="Times New Roman"/>
          <w:sz w:val="24"/>
          <w:szCs w:val="24"/>
        </w:rPr>
        <w:t>Zona Metro</w:t>
      </w:r>
    </w:p>
    <w:p w14:paraId="0AB648B5" w14:textId="32BD45A0" w:rsidR="002E573E" w:rsidRPr="000323A2" w:rsidRDefault="002E573E" w:rsidP="000323A2">
      <w:pPr>
        <w:spacing w:before="240"/>
        <w:jc w:val="center"/>
        <w:rPr>
          <w:rFonts w:ascii="ITC Avant Garde" w:eastAsia="Calibri" w:hAnsi="ITC Avant Garde" w:cs="Times New Roman"/>
          <w:sz w:val="24"/>
          <w:szCs w:val="24"/>
        </w:rPr>
      </w:pPr>
      <w:r>
        <w:rPr>
          <w:rFonts w:ascii="ITC Avant Garde" w:eastAsia="Calibri" w:hAnsi="ITC Avant Garde" w:cs="Times New Roman"/>
          <w:noProof/>
          <w:sz w:val="24"/>
          <w:szCs w:val="24"/>
          <w:lang w:eastAsia="es-MX"/>
        </w:rPr>
        <w:drawing>
          <wp:inline distT="0" distB="0" distL="0" distR="0" wp14:anchorId="2224E27E" wp14:editId="55949A6B">
            <wp:extent cx="3880338" cy="5404757"/>
            <wp:effectExtent l="0" t="0" r="6350" b="5715"/>
            <wp:docPr id="50" name="Imagen 50" descr="Imagen de tabla de 3 columnas que proporciona un listado de los tiempos de traslado en la zona metro." title="Tiempos de trasl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ona_norte.jpg"/>
                    <pic:cNvPicPr/>
                  </pic:nvPicPr>
                  <pic:blipFill>
                    <a:blip r:embed="rId60">
                      <a:extLst>
                        <a:ext uri="{28A0092B-C50C-407E-A947-70E740481C1C}">
                          <a14:useLocalDpi xmlns:a14="http://schemas.microsoft.com/office/drawing/2010/main" val="0"/>
                        </a:ext>
                      </a:extLst>
                    </a:blip>
                    <a:stretch>
                      <a:fillRect/>
                    </a:stretch>
                  </pic:blipFill>
                  <pic:spPr>
                    <a:xfrm>
                      <a:off x="0" y="0"/>
                      <a:ext cx="3885521" cy="5411976"/>
                    </a:xfrm>
                    <a:prstGeom prst="rect">
                      <a:avLst/>
                    </a:prstGeom>
                  </pic:spPr>
                </pic:pic>
              </a:graphicData>
            </a:graphic>
          </wp:inline>
        </w:drawing>
      </w:r>
    </w:p>
    <w:p w14:paraId="52CA1B39" w14:textId="77777777" w:rsidR="000323A2" w:rsidRPr="000323A2" w:rsidRDefault="000323A2" w:rsidP="000323A2">
      <w:pPr>
        <w:spacing w:before="240" w:after="0" w:line="276" w:lineRule="auto"/>
        <w:rPr>
          <w:rFonts w:ascii="ITC Avant Garde" w:eastAsia="Calibri" w:hAnsi="ITC Avant Garde" w:cs="Times New Roman"/>
          <w:sz w:val="24"/>
          <w:szCs w:val="24"/>
          <w:lang w:eastAsia="es-ES"/>
        </w:rPr>
      </w:pPr>
      <w:bookmarkStart w:id="46" w:name="RANGE!A1:C29"/>
      <w:bookmarkEnd w:id="46"/>
      <w:r w:rsidRPr="000323A2">
        <w:rPr>
          <w:rFonts w:ascii="ITC Avant Garde" w:eastAsia="Calibri" w:hAnsi="ITC Avant Garde" w:cs="Times New Roman"/>
          <w:sz w:val="24"/>
          <w:szCs w:val="24"/>
          <w:lang w:eastAsia="es-ES"/>
        </w:rPr>
        <w:br w:type="page"/>
      </w:r>
    </w:p>
    <w:p w14:paraId="2E833EF0" w14:textId="77777777" w:rsidR="000323A2" w:rsidRPr="000323A2" w:rsidRDefault="000323A2" w:rsidP="000323A2">
      <w:pPr>
        <w:spacing w:before="240"/>
        <w:jc w:val="center"/>
        <w:rPr>
          <w:rFonts w:ascii="ITC Avant Garde" w:eastAsia="Calibri" w:hAnsi="ITC Avant Garde" w:cs="Times New Roman"/>
          <w:sz w:val="24"/>
          <w:szCs w:val="24"/>
        </w:rPr>
      </w:pPr>
      <w:r w:rsidRPr="000323A2">
        <w:rPr>
          <w:rFonts w:ascii="ITC Avant Garde" w:eastAsia="Calibri" w:hAnsi="ITC Avant Garde" w:cs="Times New Roman"/>
          <w:sz w:val="24"/>
          <w:szCs w:val="24"/>
        </w:rPr>
        <w:lastRenderedPageBreak/>
        <w:t>Zona Sur</w:t>
      </w:r>
    </w:p>
    <w:tbl>
      <w:tblPr>
        <w:tblStyle w:val="Cuadrculadetablaclara1"/>
        <w:tblW w:w="10190" w:type="dxa"/>
        <w:jc w:val="center"/>
        <w:tblLook w:val="00A0" w:firstRow="1" w:lastRow="0" w:firstColumn="1" w:lastColumn="0" w:noHBand="0" w:noVBand="0"/>
        <w:tblCaption w:val="Tabla"/>
        <w:tblDescription w:val="Zona Sur"/>
      </w:tblPr>
      <w:tblGrid>
        <w:gridCol w:w="857"/>
        <w:gridCol w:w="1860"/>
        <w:gridCol w:w="2217"/>
        <w:gridCol w:w="315"/>
        <w:gridCol w:w="857"/>
        <w:gridCol w:w="1843"/>
        <w:gridCol w:w="2241"/>
      </w:tblGrid>
      <w:tr w:rsidR="000323A2" w:rsidRPr="000323A2" w14:paraId="1C63C874" w14:textId="77777777" w:rsidTr="00055D63">
        <w:trPr>
          <w:trHeight w:val="675"/>
          <w:tblHeader/>
          <w:jc w:val="center"/>
        </w:trPr>
        <w:tc>
          <w:tcPr>
            <w:tcW w:w="857" w:type="dxa"/>
            <w:tcBorders>
              <w:bottom w:val="single" w:sz="4" w:space="0" w:color="BFBFBF"/>
            </w:tcBorders>
            <w:shd w:val="clear" w:color="auto" w:fill="8DB3E2"/>
            <w:noWrap/>
          </w:tcPr>
          <w:p w14:paraId="6329412D" w14:textId="77777777" w:rsidR="000323A2" w:rsidRPr="000323A2" w:rsidRDefault="000323A2" w:rsidP="002E573E">
            <w:pPr>
              <w:spacing w:line="276" w:lineRule="auto"/>
              <w:jc w:val="center"/>
              <w:rPr>
                <w:rFonts w:ascii="ITC Avant Garde" w:hAnsi="ITC Avant Garde"/>
                <w:b/>
                <w:bCs/>
                <w:sz w:val="18"/>
                <w:szCs w:val="18"/>
              </w:rPr>
            </w:pPr>
            <w:bookmarkStart w:id="47" w:name="RANGE!A1:G31"/>
            <w:bookmarkEnd w:id="47"/>
            <w:r w:rsidRPr="000323A2">
              <w:rPr>
                <w:rFonts w:ascii="ITC Avant Garde" w:hAnsi="ITC Avant Garde"/>
                <w:b/>
                <w:bCs/>
                <w:sz w:val="18"/>
                <w:szCs w:val="18"/>
              </w:rPr>
              <w:t>División</w:t>
            </w:r>
          </w:p>
        </w:tc>
        <w:tc>
          <w:tcPr>
            <w:tcW w:w="1860" w:type="dxa"/>
            <w:shd w:val="clear" w:color="auto" w:fill="8DB3E2"/>
          </w:tcPr>
          <w:p w14:paraId="40B63C3B" w14:textId="77777777" w:rsidR="000323A2" w:rsidRPr="000323A2" w:rsidRDefault="000323A2"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 xml:space="preserve">Área urbana </w:t>
            </w:r>
            <w:r w:rsidRPr="000323A2">
              <w:rPr>
                <w:rFonts w:ascii="ITC Avant Garde" w:hAnsi="ITC Avant Garde"/>
                <w:b/>
                <w:bCs/>
                <w:sz w:val="18"/>
                <w:szCs w:val="18"/>
              </w:rPr>
              <w:br/>
              <w:t>(1 hora de traslado)</w:t>
            </w:r>
          </w:p>
        </w:tc>
        <w:tc>
          <w:tcPr>
            <w:tcW w:w="2217" w:type="dxa"/>
            <w:shd w:val="clear" w:color="auto" w:fill="8DB3E2"/>
          </w:tcPr>
          <w:p w14:paraId="2A3177F4" w14:textId="77777777" w:rsidR="000323A2" w:rsidRPr="000323A2" w:rsidRDefault="000323A2"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Área suburbana</w:t>
            </w:r>
            <w:r w:rsidRPr="000323A2">
              <w:rPr>
                <w:rFonts w:ascii="ITC Avant Garde" w:hAnsi="ITC Avant Garde"/>
                <w:b/>
                <w:bCs/>
                <w:sz w:val="18"/>
                <w:szCs w:val="18"/>
              </w:rPr>
              <w:br/>
              <w:t>(2 horas de traslado)</w:t>
            </w:r>
          </w:p>
        </w:tc>
        <w:tc>
          <w:tcPr>
            <w:tcW w:w="315" w:type="dxa"/>
            <w:tcBorders>
              <w:bottom w:val="nil"/>
            </w:tcBorders>
            <w:shd w:val="clear" w:color="auto" w:fill="auto"/>
            <w:noWrap/>
          </w:tcPr>
          <w:p w14:paraId="46D3A149" w14:textId="4413FB75" w:rsidR="000323A2" w:rsidRPr="00AE31D9" w:rsidRDefault="00055D63" w:rsidP="002E573E">
            <w:pPr>
              <w:spacing w:line="276" w:lineRule="auto"/>
              <w:rPr>
                <w:rFonts w:ascii="ITC Avant Garde" w:hAnsi="ITC Avant Garde"/>
                <w:color w:val="FFFFFF" w:themeColor="background1"/>
                <w:sz w:val="4"/>
                <w:szCs w:val="4"/>
              </w:rPr>
            </w:pPr>
            <w:r w:rsidRPr="00AE31D9">
              <w:rPr>
                <w:rFonts w:ascii="ITC Avant Garde" w:hAnsi="ITC Avant Garde"/>
                <w:color w:val="FFFFFF" w:themeColor="background1"/>
                <w:sz w:val="4"/>
                <w:szCs w:val="4"/>
              </w:rPr>
              <w:t>Sin texto</w:t>
            </w:r>
          </w:p>
        </w:tc>
        <w:tc>
          <w:tcPr>
            <w:tcW w:w="857" w:type="dxa"/>
            <w:tcBorders>
              <w:bottom w:val="single" w:sz="4" w:space="0" w:color="BFBFBF"/>
            </w:tcBorders>
            <w:shd w:val="clear" w:color="auto" w:fill="8DB3E2"/>
            <w:noWrap/>
          </w:tcPr>
          <w:p w14:paraId="3FDF3899" w14:textId="77777777" w:rsidR="000323A2" w:rsidRPr="000323A2" w:rsidRDefault="000323A2"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División</w:t>
            </w:r>
          </w:p>
        </w:tc>
        <w:tc>
          <w:tcPr>
            <w:tcW w:w="1843" w:type="dxa"/>
            <w:shd w:val="clear" w:color="auto" w:fill="8DB3E2"/>
          </w:tcPr>
          <w:p w14:paraId="718B1F91" w14:textId="77777777" w:rsidR="000323A2" w:rsidRPr="000323A2" w:rsidRDefault="000323A2"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 xml:space="preserve">Área urbana </w:t>
            </w:r>
            <w:r w:rsidRPr="000323A2">
              <w:rPr>
                <w:rFonts w:ascii="ITC Avant Garde" w:hAnsi="ITC Avant Garde"/>
                <w:b/>
                <w:bCs/>
                <w:sz w:val="18"/>
                <w:szCs w:val="18"/>
              </w:rPr>
              <w:br/>
              <w:t>(1 hora de traslado)</w:t>
            </w:r>
          </w:p>
        </w:tc>
        <w:tc>
          <w:tcPr>
            <w:tcW w:w="2241" w:type="dxa"/>
            <w:shd w:val="clear" w:color="auto" w:fill="8DB3E2"/>
          </w:tcPr>
          <w:p w14:paraId="014703A7" w14:textId="77777777" w:rsidR="000323A2" w:rsidRPr="000323A2" w:rsidRDefault="000323A2"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Área suburbana</w:t>
            </w:r>
            <w:r w:rsidRPr="000323A2">
              <w:rPr>
                <w:rFonts w:ascii="ITC Avant Garde" w:hAnsi="ITC Avant Garde"/>
                <w:b/>
                <w:bCs/>
                <w:sz w:val="18"/>
                <w:szCs w:val="18"/>
              </w:rPr>
              <w:br/>
              <w:t>(2 horas de traslado)</w:t>
            </w:r>
          </w:p>
        </w:tc>
      </w:tr>
      <w:tr w:rsidR="00055D63" w:rsidRPr="000323A2" w14:paraId="4E012851" w14:textId="77777777" w:rsidTr="00055D63">
        <w:trPr>
          <w:trHeight w:val="300"/>
          <w:tblHeader/>
          <w:jc w:val="center"/>
        </w:trPr>
        <w:tc>
          <w:tcPr>
            <w:tcW w:w="857" w:type="dxa"/>
            <w:tcBorders>
              <w:bottom w:val="nil"/>
            </w:tcBorders>
            <w:noWrap/>
          </w:tcPr>
          <w:p w14:paraId="3B0DD91E"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SUR</w:t>
            </w:r>
          </w:p>
        </w:tc>
        <w:tc>
          <w:tcPr>
            <w:tcW w:w="1860" w:type="dxa"/>
            <w:noWrap/>
          </w:tcPr>
          <w:p w14:paraId="1D4F241D"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CAMPECHE</w:t>
            </w:r>
          </w:p>
        </w:tc>
        <w:tc>
          <w:tcPr>
            <w:tcW w:w="2217" w:type="dxa"/>
            <w:noWrap/>
          </w:tcPr>
          <w:p w14:paraId="00291DFE"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CIUDAD DEL CARMEN</w:t>
            </w:r>
          </w:p>
        </w:tc>
        <w:tc>
          <w:tcPr>
            <w:tcW w:w="315" w:type="dxa"/>
            <w:tcBorders>
              <w:top w:val="nil"/>
              <w:bottom w:val="nil"/>
            </w:tcBorders>
            <w:noWrap/>
          </w:tcPr>
          <w:p w14:paraId="44704841" w14:textId="52C7BDF0"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bottom w:val="nil"/>
            </w:tcBorders>
            <w:noWrap/>
          </w:tcPr>
          <w:p w14:paraId="2290BB2F"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Sur</w:t>
            </w:r>
          </w:p>
        </w:tc>
        <w:tc>
          <w:tcPr>
            <w:tcW w:w="1843" w:type="dxa"/>
            <w:noWrap/>
          </w:tcPr>
          <w:p w14:paraId="2569CC92"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PUEBLA</w:t>
            </w:r>
          </w:p>
        </w:tc>
        <w:tc>
          <w:tcPr>
            <w:tcW w:w="2241" w:type="dxa"/>
            <w:noWrap/>
          </w:tcPr>
          <w:p w14:paraId="66D9D65A"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CHOLULA</w:t>
            </w:r>
          </w:p>
        </w:tc>
      </w:tr>
      <w:tr w:rsidR="00055D63" w:rsidRPr="000323A2" w14:paraId="43C6917D" w14:textId="77777777" w:rsidTr="00055D63">
        <w:trPr>
          <w:trHeight w:val="300"/>
          <w:tblHeader/>
          <w:jc w:val="center"/>
        </w:trPr>
        <w:tc>
          <w:tcPr>
            <w:tcW w:w="857" w:type="dxa"/>
            <w:tcBorders>
              <w:top w:val="nil"/>
              <w:bottom w:val="nil"/>
            </w:tcBorders>
            <w:noWrap/>
          </w:tcPr>
          <w:p w14:paraId="1D747B4D"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18AB0494"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CANCUN</w:t>
            </w:r>
          </w:p>
        </w:tc>
        <w:tc>
          <w:tcPr>
            <w:tcW w:w="2217" w:type="dxa"/>
            <w:noWrap/>
          </w:tcPr>
          <w:p w14:paraId="73DB5FCE"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CHETUMAL</w:t>
            </w:r>
          </w:p>
        </w:tc>
        <w:tc>
          <w:tcPr>
            <w:tcW w:w="315" w:type="dxa"/>
            <w:tcBorders>
              <w:top w:val="nil"/>
              <w:bottom w:val="nil"/>
            </w:tcBorders>
            <w:noWrap/>
          </w:tcPr>
          <w:p w14:paraId="41F74AF6" w14:textId="6E331036"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47039336"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6F336245"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TLAXCALA</w:t>
            </w:r>
          </w:p>
        </w:tc>
        <w:tc>
          <w:tcPr>
            <w:tcW w:w="2241" w:type="dxa"/>
            <w:noWrap/>
          </w:tcPr>
          <w:p w14:paraId="214DE13C"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APIZACO</w:t>
            </w:r>
          </w:p>
        </w:tc>
      </w:tr>
      <w:tr w:rsidR="00055D63" w:rsidRPr="000323A2" w14:paraId="05C7F34D" w14:textId="77777777" w:rsidTr="00055D63">
        <w:trPr>
          <w:trHeight w:val="300"/>
          <w:tblHeader/>
          <w:jc w:val="center"/>
        </w:trPr>
        <w:tc>
          <w:tcPr>
            <w:tcW w:w="857" w:type="dxa"/>
            <w:tcBorders>
              <w:top w:val="nil"/>
              <w:bottom w:val="nil"/>
            </w:tcBorders>
            <w:noWrap/>
          </w:tcPr>
          <w:p w14:paraId="33C84852"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258B3873"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69015244"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COZUMEL</w:t>
            </w:r>
          </w:p>
        </w:tc>
        <w:tc>
          <w:tcPr>
            <w:tcW w:w="315" w:type="dxa"/>
            <w:tcBorders>
              <w:top w:val="nil"/>
              <w:bottom w:val="nil"/>
            </w:tcBorders>
            <w:noWrap/>
          </w:tcPr>
          <w:p w14:paraId="72BDE745" w14:textId="7D3B8431"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7A5E49D5"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0E4375AE"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4D064D15"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HUAMANTLA</w:t>
            </w:r>
          </w:p>
        </w:tc>
      </w:tr>
      <w:tr w:rsidR="00055D63" w:rsidRPr="000323A2" w14:paraId="17A58618" w14:textId="77777777" w:rsidTr="00055D63">
        <w:trPr>
          <w:trHeight w:val="300"/>
          <w:tblHeader/>
          <w:jc w:val="center"/>
        </w:trPr>
        <w:tc>
          <w:tcPr>
            <w:tcW w:w="857" w:type="dxa"/>
            <w:tcBorders>
              <w:top w:val="nil"/>
              <w:bottom w:val="nil"/>
            </w:tcBorders>
            <w:noWrap/>
          </w:tcPr>
          <w:p w14:paraId="62CD8E30"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02D4B0A4"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348937F4"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PLAYA DEL CARMEN</w:t>
            </w:r>
          </w:p>
        </w:tc>
        <w:tc>
          <w:tcPr>
            <w:tcW w:w="315" w:type="dxa"/>
            <w:tcBorders>
              <w:top w:val="nil"/>
              <w:bottom w:val="nil"/>
            </w:tcBorders>
            <w:noWrap/>
          </w:tcPr>
          <w:p w14:paraId="0F346436" w14:textId="1A749F91"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67F52A8E"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436E799B"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003BF7FE"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HUAUCHINANGO</w:t>
            </w:r>
          </w:p>
        </w:tc>
      </w:tr>
      <w:tr w:rsidR="00055D63" w:rsidRPr="000323A2" w14:paraId="1745F1B5" w14:textId="77777777" w:rsidTr="00055D63">
        <w:trPr>
          <w:trHeight w:val="300"/>
          <w:tblHeader/>
          <w:jc w:val="center"/>
        </w:trPr>
        <w:tc>
          <w:tcPr>
            <w:tcW w:w="857" w:type="dxa"/>
            <w:tcBorders>
              <w:top w:val="nil"/>
              <w:bottom w:val="nil"/>
            </w:tcBorders>
            <w:noWrap/>
          </w:tcPr>
          <w:p w14:paraId="441610C0"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1D8D6947"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COATZACOALCOS</w:t>
            </w:r>
          </w:p>
        </w:tc>
        <w:tc>
          <w:tcPr>
            <w:tcW w:w="2217" w:type="dxa"/>
            <w:noWrap/>
          </w:tcPr>
          <w:p w14:paraId="550C9871"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ACAYUCAN</w:t>
            </w:r>
          </w:p>
        </w:tc>
        <w:tc>
          <w:tcPr>
            <w:tcW w:w="315" w:type="dxa"/>
            <w:tcBorders>
              <w:top w:val="nil"/>
              <w:bottom w:val="nil"/>
            </w:tcBorders>
            <w:noWrap/>
          </w:tcPr>
          <w:p w14:paraId="5F41041C" w14:textId="09B8A918"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5C4796F0"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41765D30"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74E1D8C5"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IZUCAR DE MATAMOROS</w:t>
            </w:r>
          </w:p>
        </w:tc>
      </w:tr>
      <w:tr w:rsidR="00055D63" w:rsidRPr="000323A2" w14:paraId="0829EF88" w14:textId="77777777" w:rsidTr="00055D63">
        <w:trPr>
          <w:trHeight w:val="390"/>
          <w:tblHeader/>
          <w:jc w:val="center"/>
        </w:trPr>
        <w:tc>
          <w:tcPr>
            <w:tcW w:w="857" w:type="dxa"/>
            <w:tcBorders>
              <w:top w:val="nil"/>
              <w:bottom w:val="nil"/>
            </w:tcBorders>
            <w:noWrap/>
          </w:tcPr>
          <w:p w14:paraId="71567535"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1CDB64E6"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27BA7BBC"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AGUA DULCE</w:t>
            </w:r>
          </w:p>
        </w:tc>
        <w:tc>
          <w:tcPr>
            <w:tcW w:w="315" w:type="dxa"/>
            <w:tcBorders>
              <w:top w:val="nil"/>
              <w:bottom w:val="nil"/>
            </w:tcBorders>
            <w:noWrap/>
          </w:tcPr>
          <w:p w14:paraId="3829AD45" w14:textId="0489DB10"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31E8FEF8"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528A2DD5"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1A0D37FF"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SAN MARTIN TEXMELUCAN</w:t>
            </w:r>
          </w:p>
        </w:tc>
      </w:tr>
      <w:tr w:rsidR="00055D63" w:rsidRPr="000323A2" w14:paraId="4E3A19A3" w14:textId="77777777" w:rsidTr="00055D63">
        <w:trPr>
          <w:trHeight w:val="300"/>
          <w:tblHeader/>
          <w:jc w:val="center"/>
        </w:trPr>
        <w:tc>
          <w:tcPr>
            <w:tcW w:w="857" w:type="dxa"/>
            <w:tcBorders>
              <w:top w:val="nil"/>
              <w:bottom w:val="nil"/>
            </w:tcBorders>
            <w:noWrap/>
          </w:tcPr>
          <w:p w14:paraId="4BD6E93B"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0EBE5873"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3753E95A"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LAS CHOAPAS</w:t>
            </w:r>
          </w:p>
        </w:tc>
        <w:tc>
          <w:tcPr>
            <w:tcW w:w="315" w:type="dxa"/>
            <w:tcBorders>
              <w:top w:val="nil"/>
              <w:bottom w:val="nil"/>
            </w:tcBorders>
            <w:noWrap/>
          </w:tcPr>
          <w:p w14:paraId="292BF6AA" w14:textId="7C9DCB52"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16A2B0DA"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7A674D8B"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6816D018"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TECAMACHALCO</w:t>
            </w:r>
          </w:p>
        </w:tc>
      </w:tr>
      <w:tr w:rsidR="00055D63" w:rsidRPr="000323A2" w14:paraId="1A76D24B" w14:textId="77777777" w:rsidTr="00055D63">
        <w:trPr>
          <w:trHeight w:val="80"/>
          <w:tblHeader/>
          <w:jc w:val="center"/>
        </w:trPr>
        <w:tc>
          <w:tcPr>
            <w:tcW w:w="857" w:type="dxa"/>
            <w:tcBorders>
              <w:top w:val="nil"/>
              <w:bottom w:val="nil"/>
            </w:tcBorders>
            <w:noWrap/>
          </w:tcPr>
          <w:p w14:paraId="25F651CA"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75AC8879"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76FC7ED8"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MINATITLAN</w:t>
            </w:r>
          </w:p>
        </w:tc>
        <w:tc>
          <w:tcPr>
            <w:tcW w:w="315" w:type="dxa"/>
            <w:tcBorders>
              <w:top w:val="nil"/>
              <w:bottom w:val="nil"/>
            </w:tcBorders>
            <w:noWrap/>
          </w:tcPr>
          <w:p w14:paraId="4F9B0C18" w14:textId="66A4E562"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0A2BD6A7"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4ED687A7"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171EFA58"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TEHUACAN</w:t>
            </w:r>
          </w:p>
        </w:tc>
      </w:tr>
      <w:tr w:rsidR="00055D63" w:rsidRPr="000323A2" w14:paraId="4222A95C" w14:textId="77777777" w:rsidTr="00055D63">
        <w:trPr>
          <w:trHeight w:val="300"/>
          <w:tblHeader/>
          <w:jc w:val="center"/>
        </w:trPr>
        <w:tc>
          <w:tcPr>
            <w:tcW w:w="857" w:type="dxa"/>
            <w:tcBorders>
              <w:top w:val="nil"/>
              <w:bottom w:val="nil"/>
            </w:tcBorders>
            <w:noWrap/>
          </w:tcPr>
          <w:p w14:paraId="5B6E564B"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32F16D4A"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CORDOBA</w:t>
            </w:r>
          </w:p>
        </w:tc>
        <w:tc>
          <w:tcPr>
            <w:tcW w:w="2217" w:type="dxa"/>
            <w:noWrap/>
          </w:tcPr>
          <w:p w14:paraId="72FA74E4"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ORIZABA</w:t>
            </w:r>
          </w:p>
        </w:tc>
        <w:tc>
          <w:tcPr>
            <w:tcW w:w="315" w:type="dxa"/>
            <w:tcBorders>
              <w:top w:val="nil"/>
              <w:bottom w:val="nil"/>
            </w:tcBorders>
            <w:noWrap/>
          </w:tcPr>
          <w:p w14:paraId="0D6333D6" w14:textId="09365016"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31C84686"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6B465BD8"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TUXTLA GUTIERREZ</w:t>
            </w:r>
          </w:p>
        </w:tc>
        <w:tc>
          <w:tcPr>
            <w:tcW w:w="2241" w:type="dxa"/>
            <w:noWrap/>
          </w:tcPr>
          <w:p w14:paraId="053E4D28"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ARRIAGA</w:t>
            </w:r>
          </w:p>
        </w:tc>
      </w:tr>
      <w:tr w:rsidR="00055D63" w:rsidRPr="000323A2" w14:paraId="545C6F61" w14:textId="77777777" w:rsidTr="00055D63">
        <w:trPr>
          <w:trHeight w:val="300"/>
          <w:tblHeader/>
          <w:jc w:val="center"/>
        </w:trPr>
        <w:tc>
          <w:tcPr>
            <w:tcW w:w="857" w:type="dxa"/>
            <w:tcBorders>
              <w:top w:val="nil"/>
              <w:bottom w:val="nil"/>
            </w:tcBorders>
            <w:noWrap/>
          </w:tcPr>
          <w:p w14:paraId="46C8003E"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01BE31DB"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788B3E2D"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TIERRA BLANCA</w:t>
            </w:r>
          </w:p>
        </w:tc>
        <w:tc>
          <w:tcPr>
            <w:tcW w:w="315" w:type="dxa"/>
            <w:tcBorders>
              <w:top w:val="nil"/>
              <w:bottom w:val="nil"/>
            </w:tcBorders>
            <w:noWrap/>
          </w:tcPr>
          <w:p w14:paraId="10DD3738" w14:textId="20AF847C"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119C14EC"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2BDB5057"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17A5F2B3"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COMITAN</w:t>
            </w:r>
          </w:p>
        </w:tc>
      </w:tr>
      <w:tr w:rsidR="00055D63" w:rsidRPr="000323A2" w14:paraId="5A4E6C66" w14:textId="77777777" w:rsidTr="00055D63">
        <w:trPr>
          <w:trHeight w:val="300"/>
          <w:tblHeader/>
          <w:jc w:val="center"/>
        </w:trPr>
        <w:tc>
          <w:tcPr>
            <w:tcW w:w="857" w:type="dxa"/>
            <w:tcBorders>
              <w:top w:val="nil"/>
              <w:bottom w:val="nil"/>
            </w:tcBorders>
            <w:noWrap/>
          </w:tcPr>
          <w:p w14:paraId="7929B879"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5096EACC"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48BA833A"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TUXTEPEC</w:t>
            </w:r>
          </w:p>
        </w:tc>
        <w:tc>
          <w:tcPr>
            <w:tcW w:w="315" w:type="dxa"/>
            <w:tcBorders>
              <w:top w:val="nil"/>
              <w:bottom w:val="nil"/>
            </w:tcBorders>
            <w:noWrap/>
          </w:tcPr>
          <w:p w14:paraId="36493039" w14:textId="0D4536FD"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30CBC09E"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13A932EF"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5D13C3E1"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SAN CRISTOBAL DE LAS CASAS</w:t>
            </w:r>
          </w:p>
        </w:tc>
      </w:tr>
      <w:tr w:rsidR="00055D63" w:rsidRPr="000323A2" w14:paraId="78115F96" w14:textId="77777777" w:rsidTr="00055D63">
        <w:trPr>
          <w:trHeight w:val="300"/>
          <w:tblHeader/>
          <w:jc w:val="center"/>
        </w:trPr>
        <w:tc>
          <w:tcPr>
            <w:tcW w:w="857" w:type="dxa"/>
            <w:tcBorders>
              <w:top w:val="nil"/>
              <w:bottom w:val="nil"/>
            </w:tcBorders>
            <w:noWrap/>
          </w:tcPr>
          <w:p w14:paraId="0DA160D8"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030D0581"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JALAPA</w:t>
            </w:r>
          </w:p>
        </w:tc>
        <w:tc>
          <w:tcPr>
            <w:tcW w:w="2217" w:type="dxa"/>
            <w:noWrap/>
          </w:tcPr>
          <w:p w14:paraId="2598E0D5"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MARTINEZ DE LA TORRE</w:t>
            </w:r>
          </w:p>
        </w:tc>
        <w:tc>
          <w:tcPr>
            <w:tcW w:w="315" w:type="dxa"/>
            <w:tcBorders>
              <w:top w:val="nil"/>
              <w:bottom w:val="nil"/>
            </w:tcBorders>
            <w:noWrap/>
          </w:tcPr>
          <w:p w14:paraId="74F62358" w14:textId="0F374030"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21B6E141"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7FEC3EDF"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2534DD0F"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TAPACHULA</w:t>
            </w:r>
          </w:p>
        </w:tc>
      </w:tr>
      <w:tr w:rsidR="00055D63" w:rsidRPr="000323A2" w14:paraId="46BB348D" w14:textId="77777777" w:rsidTr="00055D63">
        <w:trPr>
          <w:trHeight w:val="300"/>
          <w:tblHeader/>
          <w:jc w:val="center"/>
        </w:trPr>
        <w:tc>
          <w:tcPr>
            <w:tcW w:w="857" w:type="dxa"/>
            <w:tcBorders>
              <w:top w:val="nil"/>
              <w:bottom w:val="nil"/>
            </w:tcBorders>
            <w:noWrap/>
          </w:tcPr>
          <w:p w14:paraId="4D8D0736"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365A7710"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47966F7D"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TEZIUTLAN</w:t>
            </w:r>
          </w:p>
        </w:tc>
        <w:tc>
          <w:tcPr>
            <w:tcW w:w="315" w:type="dxa"/>
            <w:tcBorders>
              <w:top w:val="nil"/>
              <w:bottom w:val="nil"/>
            </w:tcBorders>
            <w:noWrap/>
          </w:tcPr>
          <w:p w14:paraId="713FDD9B" w14:textId="073EDE9F"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3A258349"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4C2A6AA6"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VERACRUZ</w:t>
            </w:r>
          </w:p>
        </w:tc>
        <w:tc>
          <w:tcPr>
            <w:tcW w:w="2241" w:type="dxa"/>
            <w:noWrap/>
          </w:tcPr>
          <w:p w14:paraId="124A480F"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COSAMALOAPAN</w:t>
            </w:r>
          </w:p>
        </w:tc>
      </w:tr>
      <w:tr w:rsidR="00055D63" w:rsidRPr="000323A2" w14:paraId="63F18A34" w14:textId="77777777" w:rsidTr="00055D63">
        <w:trPr>
          <w:trHeight w:val="300"/>
          <w:tblHeader/>
          <w:jc w:val="center"/>
        </w:trPr>
        <w:tc>
          <w:tcPr>
            <w:tcW w:w="857" w:type="dxa"/>
            <w:tcBorders>
              <w:top w:val="nil"/>
              <w:bottom w:val="nil"/>
            </w:tcBorders>
            <w:noWrap/>
          </w:tcPr>
          <w:p w14:paraId="16DBDB8B"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0B822091"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MERIDA</w:t>
            </w:r>
          </w:p>
        </w:tc>
        <w:tc>
          <w:tcPr>
            <w:tcW w:w="2217" w:type="dxa"/>
            <w:noWrap/>
          </w:tcPr>
          <w:p w14:paraId="1A280F94"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PROGRESO</w:t>
            </w:r>
          </w:p>
        </w:tc>
        <w:tc>
          <w:tcPr>
            <w:tcW w:w="315" w:type="dxa"/>
            <w:tcBorders>
              <w:top w:val="nil"/>
              <w:bottom w:val="nil"/>
            </w:tcBorders>
            <w:noWrap/>
          </w:tcPr>
          <w:p w14:paraId="0DEA5D63" w14:textId="645B3945"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730D506A"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60D2EE36"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170989A0"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SAN ANDRES TUXTLA</w:t>
            </w:r>
          </w:p>
        </w:tc>
      </w:tr>
      <w:tr w:rsidR="00055D63" w:rsidRPr="000323A2" w14:paraId="796E8997" w14:textId="77777777" w:rsidTr="00055D63">
        <w:trPr>
          <w:trHeight w:val="300"/>
          <w:tblHeader/>
          <w:jc w:val="center"/>
        </w:trPr>
        <w:tc>
          <w:tcPr>
            <w:tcW w:w="857" w:type="dxa"/>
            <w:tcBorders>
              <w:top w:val="nil"/>
              <w:bottom w:val="nil"/>
            </w:tcBorders>
            <w:noWrap/>
          </w:tcPr>
          <w:p w14:paraId="444FC6E1"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438D8559"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2741787B"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TICUL</w:t>
            </w:r>
          </w:p>
        </w:tc>
        <w:tc>
          <w:tcPr>
            <w:tcW w:w="315" w:type="dxa"/>
            <w:tcBorders>
              <w:top w:val="nil"/>
              <w:bottom w:val="nil"/>
            </w:tcBorders>
            <w:noWrap/>
          </w:tcPr>
          <w:p w14:paraId="15B7D5A9" w14:textId="1B307BD8"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488C791B"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500EC9F0"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VILLAHERMOSA</w:t>
            </w:r>
          </w:p>
        </w:tc>
        <w:tc>
          <w:tcPr>
            <w:tcW w:w="2241" w:type="dxa"/>
            <w:noWrap/>
          </w:tcPr>
          <w:p w14:paraId="6265E0D0"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CARDENAS</w:t>
            </w:r>
          </w:p>
        </w:tc>
      </w:tr>
      <w:tr w:rsidR="00055D63" w:rsidRPr="000323A2" w14:paraId="1E30C2B6" w14:textId="77777777" w:rsidTr="00055D63">
        <w:trPr>
          <w:trHeight w:val="300"/>
          <w:tblHeader/>
          <w:jc w:val="center"/>
        </w:trPr>
        <w:tc>
          <w:tcPr>
            <w:tcW w:w="857" w:type="dxa"/>
            <w:tcBorders>
              <w:top w:val="nil"/>
              <w:bottom w:val="nil"/>
            </w:tcBorders>
            <w:noWrap/>
          </w:tcPr>
          <w:p w14:paraId="20A153A1"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6811FF02"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1570E06C"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TIZIMIN</w:t>
            </w:r>
          </w:p>
        </w:tc>
        <w:tc>
          <w:tcPr>
            <w:tcW w:w="315" w:type="dxa"/>
            <w:tcBorders>
              <w:top w:val="nil"/>
              <w:bottom w:val="nil"/>
            </w:tcBorders>
            <w:noWrap/>
          </w:tcPr>
          <w:p w14:paraId="265E49E8" w14:textId="6E9CE2CA"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0A460561"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3B490147"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7AC2CC9E"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COMALCALCO</w:t>
            </w:r>
          </w:p>
        </w:tc>
      </w:tr>
      <w:tr w:rsidR="00055D63" w:rsidRPr="000323A2" w14:paraId="4950FFB0" w14:textId="77777777" w:rsidTr="00055D63">
        <w:trPr>
          <w:trHeight w:val="300"/>
          <w:tblHeader/>
          <w:jc w:val="center"/>
        </w:trPr>
        <w:tc>
          <w:tcPr>
            <w:tcW w:w="857" w:type="dxa"/>
            <w:tcBorders>
              <w:top w:val="nil"/>
              <w:bottom w:val="nil"/>
            </w:tcBorders>
            <w:noWrap/>
          </w:tcPr>
          <w:p w14:paraId="4FAA7697"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59945AB7"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2B6912D8"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VALLADOLID</w:t>
            </w:r>
          </w:p>
        </w:tc>
        <w:tc>
          <w:tcPr>
            <w:tcW w:w="315" w:type="dxa"/>
            <w:tcBorders>
              <w:top w:val="nil"/>
              <w:bottom w:val="nil"/>
            </w:tcBorders>
            <w:noWrap/>
          </w:tcPr>
          <w:p w14:paraId="7904C5AD" w14:textId="024F4138"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47207C8D"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44570D0E"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5A9CB823"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EMILIANO ZAPATA</w:t>
            </w:r>
          </w:p>
        </w:tc>
      </w:tr>
      <w:tr w:rsidR="00055D63" w:rsidRPr="000323A2" w14:paraId="4B63B369" w14:textId="77777777" w:rsidTr="00055D63">
        <w:trPr>
          <w:trHeight w:val="300"/>
          <w:tblHeader/>
          <w:jc w:val="center"/>
        </w:trPr>
        <w:tc>
          <w:tcPr>
            <w:tcW w:w="857" w:type="dxa"/>
            <w:tcBorders>
              <w:top w:val="nil"/>
              <w:bottom w:val="nil"/>
            </w:tcBorders>
            <w:noWrap/>
          </w:tcPr>
          <w:p w14:paraId="436DEF22"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6B7BD047"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OAXACA</w:t>
            </w:r>
          </w:p>
        </w:tc>
        <w:tc>
          <w:tcPr>
            <w:tcW w:w="2217" w:type="dxa"/>
            <w:noWrap/>
          </w:tcPr>
          <w:p w14:paraId="07F22756"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BAHIAS DE HUATULCO</w:t>
            </w:r>
          </w:p>
        </w:tc>
        <w:tc>
          <w:tcPr>
            <w:tcW w:w="315" w:type="dxa"/>
            <w:tcBorders>
              <w:top w:val="nil"/>
              <w:bottom w:val="nil"/>
            </w:tcBorders>
            <w:noWrap/>
          </w:tcPr>
          <w:p w14:paraId="6FDBC550" w14:textId="1E682EDD"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5D2D7B4E"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34E0593F"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1DCC8DAC"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MACUSPANA</w:t>
            </w:r>
          </w:p>
        </w:tc>
      </w:tr>
      <w:tr w:rsidR="00055D63" w:rsidRPr="000323A2" w14:paraId="0A714413" w14:textId="77777777" w:rsidTr="00055D63">
        <w:trPr>
          <w:trHeight w:val="300"/>
          <w:tblHeader/>
          <w:jc w:val="center"/>
        </w:trPr>
        <w:tc>
          <w:tcPr>
            <w:tcW w:w="857" w:type="dxa"/>
            <w:tcBorders>
              <w:top w:val="nil"/>
              <w:bottom w:val="nil"/>
            </w:tcBorders>
            <w:noWrap/>
          </w:tcPr>
          <w:p w14:paraId="4AE69843"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0B6C295F"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4F7BCB9F"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HUAJUAPAN DE LEON</w:t>
            </w:r>
          </w:p>
        </w:tc>
        <w:tc>
          <w:tcPr>
            <w:tcW w:w="315" w:type="dxa"/>
            <w:tcBorders>
              <w:top w:val="nil"/>
              <w:bottom w:val="nil"/>
            </w:tcBorders>
            <w:noWrap/>
          </w:tcPr>
          <w:p w14:paraId="5B3F6FBF" w14:textId="7B1102AF"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2BAEDC30"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6E41E331"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70B5D31F"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PALENQUE</w:t>
            </w:r>
          </w:p>
        </w:tc>
      </w:tr>
      <w:tr w:rsidR="00055D63" w:rsidRPr="000323A2" w14:paraId="389A66D5" w14:textId="77777777" w:rsidTr="00055D63">
        <w:trPr>
          <w:trHeight w:val="300"/>
          <w:tblHeader/>
          <w:jc w:val="center"/>
        </w:trPr>
        <w:tc>
          <w:tcPr>
            <w:tcW w:w="857" w:type="dxa"/>
            <w:tcBorders>
              <w:top w:val="nil"/>
              <w:bottom w:val="nil"/>
            </w:tcBorders>
            <w:noWrap/>
          </w:tcPr>
          <w:p w14:paraId="364D5176"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4F3AFD6C"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2519051B"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JUCHITAN</w:t>
            </w:r>
          </w:p>
        </w:tc>
        <w:tc>
          <w:tcPr>
            <w:tcW w:w="315" w:type="dxa"/>
            <w:tcBorders>
              <w:top w:val="nil"/>
              <w:bottom w:val="nil"/>
            </w:tcBorders>
            <w:noWrap/>
          </w:tcPr>
          <w:p w14:paraId="4BE5B3BA" w14:textId="063D29AD"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462CB505"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3C296179"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1A8D44F0"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PICHUCALCO</w:t>
            </w:r>
          </w:p>
        </w:tc>
      </w:tr>
      <w:tr w:rsidR="00055D63" w:rsidRPr="000323A2" w14:paraId="25AD550C" w14:textId="77777777" w:rsidTr="00055D63">
        <w:trPr>
          <w:trHeight w:val="300"/>
          <w:tblHeader/>
          <w:jc w:val="center"/>
        </w:trPr>
        <w:tc>
          <w:tcPr>
            <w:tcW w:w="857" w:type="dxa"/>
            <w:tcBorders>
              <w:top w:val="nil"/>
              <w:bottom w:val="nil"/>
            </w:tcBorders>
            <w:noWrap/>
          </w:tcPr>
          <w:p w14:paraId="1667C356"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25BD786F"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70C20B05"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PINOTEPA NACIONAL</w:t>
            </w:r>
          </w:p>
        </w:tc>
        <w:tc>
          <w:tcPr>
            <w:tcW w:w="315" w:type="dxa"/>
            <w:tcBorders>
              <w:top w:val="nil"/>
              <w:bottom w:val="nil"/>
            </w:tcBorders>
            <w:noWrap/>
          </w:tcPr>
          <w:p w14:paraId="5F2DB0B5" w14:textId="03B9CA92"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76E0ED30"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2DF837AF"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267D081F"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TEAPA</w:t>
            </w:r>
          </w:p>
        </w:tc>
      </w:tr>
      <w:tr w:rsidR="00055D63" w:rsidRPr="000323A2" w14:paraId="7DAC367F" w14:textId="77777777" w:rsidTr="00055D63">
        <w:trPr>
          <w:trHeight w:val="315"/>
          <w:tblHeader/>
          <w:jc w:val="center"/>
        </w:trPr>
        <w:tc>
          <w:tcPr>
            <w:tcW w:w="857" w:type="dxa"/>
            <w:tcBorders>
              <w:top w:val="nil"/>
              <w:bottom w:val="nil"/>
            </w:tcBorders>
            <w:noWrap/>
          </w:tcPr>
          <w:p w14:paraId="05A4614A"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0E3502A4"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22B30E3E"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PUERTO ESCONDIDO</w:t>
            </w:r>
          </w:p>
        </w:tc>
        <w:tc>
          <w:tcPr>
            <w:tcW w:w="315" w:type="dxa"/>
            <w:tcBorders>
              <w:top w:val="nil"/>
              <w:bottom w:val="nil"/>
            </w:tcBorders>
            <w:noWrap/>
          </w:tcPr>
          <w:p w14:paraId="4A3630FF" w14:textId="6EDDA2C4"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1C0283A0"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27805490"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0138DE13"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TENOSIQUE</w:t>
            </w:r>
          </w:p>
        </w:tc>
      </w:tr>
      <w:tr w:rsidR="00055D63" w:rsidRPr="000323A2" w14:paraId="46170240" w14:textId="77777777" w:rsidTr="00055D63">
        <w:trPr>
          <w:trHeight w:val="300"/>
          <w:tblHeader/>
          <w:jc w:val="center"/>
        </w:trPr>
        <w:tc>
          <w:tcPr>
            <w:tcW w:w="857" w:type="dxa"/>
            <w:tcBorders>
              <w:top w:val="nil"/>
              <w:bottom w:val="nil"/>
            </w:tcBorders>
            <w:noWrap/>
          </w:tcPr>
          <w:p w14:paraId="52B39DCC"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4FB983A2"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1AFBC69B"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SALINA CRUZ</w:t>
            </w:r>
          </w:p>
        </w:tc>
        <w:tc>
          <w:tcPr>
            <w:tcW w:w="315" w:type="dxa"/>
            <w:tcBorders>
              <w:top w:val="nil"/>
              <w:bottom w:val="nil"/>
            </w:tcBorders>
            <w:noWrap/>
          </w:tcPr>
          <w:p w14:paraId="47FED93D" w14:textId="1E80ABCB"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16E0C417"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47CF7268"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7C64E7A1" w14:textId="77777777" w:rsidR="00055D63" w:rsidRPr="000323A2" w:rsidRDefault="00055D63" w:rsidP="002E573E">
            <w:pPr>
              <w:spacing w:line="276" w:lineRule="auto"/>
              <w:rPr>
                <w:rFonts w:ascii="ITC Avant Garde" w:hAnsi="ITC Avant Garde"/>
                <w:sz w:val="18"/>
                <w:szCs w:val="18"/>
              </w:rPr>
            </w:pPr>
          </w:p>
        </w:tc>
      </w:tr>
      <w:tr w:rsidR="00055D63" w:rsidRPr="000323A2" w14:paraId="47E46949" w14:textId="77777777" w:rsidTr="00055D63">
        <w:trPr>
          <w:trHeight w:val="300"/>
          <w:tblHeader/>
          <w:jc w:val="center"/>
        </w:trPr>
        <w:tc>
          <w:tcPr>
            <w:tcW w:w="857" w:type="dxa"/>
            <w:tcBorders>
              <w:top w:val="nil"/>
              <w:bottom w:val="nil"/>
            </w:tcBorders>
            <w:noWrap/>
          </w:tcPr>
          <w:p w14:paraId="7BBE2757"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48F8297E"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735CAE65"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TLACOLULA</w:t>
            </w:r>
          </w:p>
        </w:tc>
        <w:tc>
          <w:tcPr>
            <w:tcW w:w="315" w:type="dxa"/>
            <w:tcBorders>
              <w:top w:val="nil"/>
              <w:bottom w:val="nil"/>
            </w:tcBorders>
            <w:noWrap/>
          </w:tcPr>
          <w:p w14:paraId="459B60E9" w14:textId="409AD1A1"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74E1AD2C"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10BD6BB8"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4DDA39B3" w14:textId="77777777" w:rsidR="00055D63" w:rsidRPr="000323A2" w:rsidRDefault="00055D63" w:rsidP="002E573E">
            <w:pPr>
              <w:spacing w:line="276" w:lineRule="auto"/>
              <w:rPr>
                <w:rFonts w:ascii="ITC Avant Garde" w:hAnsi="ITC Avant Garde"/>
                <w:sz w:val="18"/>
                <w:szCs w:val="18"/>
              </w:rPr>
            </w:pPr>
          </w:p>
        </w:tc>
      </w:tr>
      <w:tr w:rsidR="00055D63" w:rsidRPr="000323A2" w14:paraId="69CB7B75" w14:textId="77777777" w:rsidTr="00055D63">
        <w:trPr>
          <w:trHeight w:val="300"/>
          <w:tblHeader/>
          <w:jc w:val="center"/>
        </w:trPr>
        <w:tc>
          <w:tcPr>
            <w:tcW w:w="857" w:type="dxa"/>
            <w:tcBorders>
              <w:top w:val="nil"/>
              <w:bottom w:val="nil"/>
            </w:tcBorders>
            <w:noWrap/>
          </w:tcPr>
          <w:p w14:paraId="20A7E685"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64433D5A"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PACHUCA</w:t>
            </w:r>
          </w:p>
        </w:tc>
        <w:tc>
          <w:tcPr>
            <w:tcW w:w="2217" w:type="dxa"/>
            <w:noWrap/>
          </w:tcPr>
          <w:p w14:paraId="02959904"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AOPAN</w:t>
            </w:r>
          </w:p>
        </w:tc>
        <w:tc>
          <w:tcPr>
            <w:tcW w:w="315" w:type="dxa"/>
            <w:tcBorders>
              <w:top w:val="nil"/>
              <w:bottom w:val="nil"/>
            </w:tcBorders>
            <w:noWrap/>
          </w:tcPr>
          <w:p w14:paraId="401BD079" w14:textId="28F4943D"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06197746"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1A015D39"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41620E4D" w14:textId="77777777" w:rsidR="00055D63" w:rsidRPr="000323A2" w:rsidRDefault="00055D63" w:rsidP="002E573E">
            <w:pPr>
              <w:spacing w:line="276" w:lineRule="auto"/>
              <w:rPr>
                <w:rFonts w:ascii="ITC Avant Garde" w:hAnsi="ITC Avant Garde"/>
                <w:sz w:val="18"/>
                <w:szCs w:val="18"/>
              </w:rPr>
            </w:pPr>
          </w:p>
        </w:tc>
      </w:tr>
      <w:tr w:rsidR="00055D63" w:rsidRPr="000323A2" w14:paraId="47159FF0" w14:textId="77777777" w:rsidTr="00055D63">
        <w:trPr>
          <w:trHeight w:val="300"/>
          <w:tblHeader/>
          <w:jc w:val="center"/>
        </w:trPr>
        <w:tc>
          <w:tcPr>
            <w:tcW w:w="857" w:type="dxa"/>
            <w:tcBorders>
              <w:top w:val="nil"/>
              <w:bottom w:val="nil"/>
            </w:tcBorders>
            <w:noWrap/>
          </w:tcPr>
          <w:p w14:paraId="3E4C2F64"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0BC2DAC9"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4D50011F"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APAM</w:t>
            </w:r>
          </w:p>
        </w:tc>
        <w:tc>
          <w:tcPr>
            <w:tcW w:w="315" w:type="dxa"/>
            <w:tcBorders>
              <w:top w:val="nil"/>
              <w:bottom w:val="nil"/>
            </w:tcBorders>
            <w:noWrap/>
          </w:tcPr>
          <w:p w14:paraId="1147F3A2" w14:textId="266853D0"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105A3A83"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708370F4"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7D9137C6" w14:textId="77777777" w:rsidR="00055D63" w:rsidRPr="000323A2" w:rsidRDefault="00055D63" w:rsidP="002E573E">
            <w:pPr>
              <w:spacing w:line="276" w:lineRule="auto"/>
              <w:rPr>
                <w:rFonts w:ascii="ITC Avant Garde" w:hAnsi="ITC Avant Garde"/>
                <w:sz w:val="18"/>
                <w:szCs w:val="18"/>
              </w:rPr>
            </w:pPr>
          </w:p>
        </w:tc>
      </w:tr>
      <w:tr w:rsidR="00055D63" w:rsidRPr="000323A2" w14:paraId="48B91123" w14:textId="77777777" w:rsidTr="00055D63">
        <w:trPr>
          <w:trHeight w:val="300"/>
          <w:tblHeader/>
          <w:jc w:val="center"/>
        </w:trPr>
        <w:tc>
          <w:tcPr>
            <w:tcW w:w="857" w:type="dxa"/>
            <w:tcBorders>
              <w:top w:val="nil"/>
              <w:bottom w:val="nil"/>
            </w:tcBorders>
            <w:noWrap/>
          </w:tcPr>
          <w:p w14:paraId="23A5A184"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24320AF0"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2EDA65B1"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CIUDAD SAHAGUN</w:t>
            </w:r>
          </w:p>
        </w:tc>
        <w:tc>
          <w:tcPr>
            <w:tcW w:w="315" w:type="dxa"/>
            <w:tcBorders>
              <w:top w:val="nil"/>
              <w:bottom w:val="nil"/>
            </w:tcBorders>
            <w:noWrap/>
          </w:tcPr>
          <w:p w14:paraId="0B7BFC3D" w14:textId="45C50341"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2E8867D5"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42042EA5"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357E48BB" w14:textId="77777777" w:rsidR="00055D63" w:rsidRPr="000323A2" w:rsidRDefault="00055D63" w:rsidP="002E573E">
            <w:pPr>
              <w:spacing w:line="276" w:lineRule="auto"/>
              <w:rPr>
                <w:rFonts w:ascii="ITC Avant Garde" w:hAnsi="ITC Avant Garde"/>
                <w:sz w:val="18"/>
                <w:szCs w:val="18"/>
              </w:rPr>
            </w:pPr>
          </w:p>
        </w:tc>
      </w:tr>
      <w:tr w:rsidR="00055D63" w:rsidRPr="000323A2" w14:paraId="6CF6727D" w14:textId="77777777" w:rsidTr="00055D63">
        <w:trPr>
          <w:trHeight w:val="300"/>
          <w:tblHeader/>
          <w:jc w:val="center"/>
        </w:trPr>
        <w:tc>
          <w:tcPr>
            <w:tcW w:w="857" w:type="dxa"/>
            <w:tcBorders>
              <w:top w:val="nil"/>
              <w:bottom w:val="nil"/>
            </w:tcBorders>
            <w:noWrap/>
          </w:tcPr>
          <w:p w14:paraId="7ED3586F"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0CF489AC"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1C523BF7"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TULA</w:t>
            </w:r>
          </w:p>
        </w:tc>
        <w:tc>
          <w:tcPr>
            <w:tcW w:w="315" w:type="dxa"/>
            <w:tcBorders>
              <w:top w:val="nil"/>
              <w:bottom w:val="nil"/>
            </w:tcBorders>
            <w:noWrap/>
          </w:tcPr>
          <w:p w14:paraId="19D33A37" w14:textId="0955FF72"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576D0E65"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0DCE1E4C"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376D08C6" w14:textId="77777777" w:rsidR="00055D63" w:rsidRPr="000323A2" w:rsidRDefault="00055D63" w:rsidP="002E573E">
            <w:pPr>
              <w:spacing w:line="276" w:lineRule="auto"/>
              <w:rPr>
                <w:rFonts w:ascii="ITC Avant Garde" w:hAnsi="ITC Avant Garde"/>
                <w:sz w:val="18"/>
                <w:szCs w:val="18"/>
              </w:rPr>
            </w:pPr>
          </w:p>
        </w:tc>
      </w:tr>
      <w:tr w:rsidR="00055D63" w:rsidRPr="000323A2" w14:paraId="1E834F2C" w14:textId="77777777" w:rsidTr="00055D63">
        <w:trPr>
          <w:trHeight w:val="300"/>
          <w:tblHeader/>
          <w:jc w:val="center"/>
        </w:trPr>
        <w:tc>
          <w:tcPr>
            <w:tcW w:w="857" w:type="dxa"/>
            <w:tcBorders>
              <w:top w:val="nil"/>
              <w:bottom w:val="nil"/>
            </w:tcBorders>
            <w:noWrap/>
          </w:tcPr>
          <w:p w14:paraId="45930817"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34AA3CBD" w14:textId="77777777" w:rsidR="00055D63" w:rsidRPr="000323A2" w:rsidRDefault="00055D63" w:rsidP="002E573E">
            <w:pPr>
              <w:spacing w:line="276" w:lineRule="auto"/>
              <w:rPr>
                <w:rFonts w:ascii="ITC Avant Garde" w:hAnsi="ITC Avant Garde"/>
                <w:sz w:val="18"/>
                <w:szCs w:val="18"/>
              </w:rPr>
            </w:pPr>
          </w:p>
        </w:tc>
        <w:tc>
          <w:tcPr>
            <w:tcW w:w="2217" w:type="dxa"/>
            <w:noWrap/>
          </w:tcPr>
          <w:p w14:paraId="01E8E519"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TULANCINGO</w:t>
            </w:r>
          </w:p>
        </w:tc>
        <w:tc>
          <w:tcPr>
            <w:tcW w:w="315" w:type="dxa"/>
            <w:tcBorders>
              <w:top w:val="nil"/>
              <w:bottom w:val="nil"/>
            </w:tcBorders>
            <w:noWrap/>
          </w:tcPr>
          <w:p w14:paraId="5EA999AA" w14:textId="71F175A6"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bottom w:val="nil"/>
            </w:tcBorders>
            <w:noWrap/>
          </w:tcPr>
          <w:p w14:paraId="2B7907B2"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5D290896"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0A3B42EE" w14:textId="77777777" w:rsidR="00055D63" w:rsidRPr="000323A2" w:rsidRDefault="00055D63" w:rsidP="002E573E">
            <w:pPr>
              <w:spacing w:line="276" w:lineRule="auto"/>
              <w:rPr>
                <w:rFonts w:ascii="ITC Avant Garde" w:hAnsi="ITC Avant Garde"/>
                <w:sz w:val="18"/>
                <w:szCs w:val="18"/>
              </w:rPr>
            </w:pPr>
          </w:p>
        </w:tc>
      </w:tr>
      <w:tr w:rsidR="00055D63" w:rsidRPr="000323A2" w14:paraId="70D28C03" w14:textId="77777777" w:rsidTr="00055D63">
        <w:trPr>
          <w:trHeight w:val="315"/>
          <w:tblHeader/>
          <w:jc w:val="center"/>
        </w:trPr>
        <w:tc>
          <w:tcPr>
            <w:tcW w:w="857" w:type="dxa"/>
            <w:tcBorders>
              <w:top w:val="nil"/>
            </w:tcBorders>
            <w:noWrap/>
          </w:tcPr>
          <w:p w14:paraId="2E8112FE" w14:textId="77777777" w:rsidR="00055D63" w:rsidRPr="000323A2" w:rsidRDefault="00055D63" w:rsidP="002E573E">
            <w:pPr>
              <w:spacing w:line="276" w:lineRule="auto"/>
              <w:rPr>
                <w:rFonts w:ascii="ITC Avant Garde" w:hAnsi="ITC Avant Garde"/>
                <w:sz w:val="18"/>
                <w:szCs w:val="18"/>
              </w:rPr>
            </w:pPr>
          </w:p>
        </w:tc>
        <w:tc>
          <w:tcPr>
            <w:tcW w:w="1860" w:type="dxa"/>
            <w:noWrap/>
          </w:tcPr>
          <w:p w14:paraId="28C2631B"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POZA RICA</w:t>
            </w:r>
          </w:p>
        </w:tc>
        <w:tc>
          <w:tcPr>
            <w:tcW w:w="2217" w:type="dxa"/>
            <w:noWrap/>
          </w:tcPr>
          <w:p w14:paraId="4460CB90" w14:textId="77777777" w:rsidR="00055D63" w:rsidRPr="000323A2" w:rsidRDefault="00055D63" w:rsidP="002E573E">
            <w:pPr>
              <w:spacing w:line="276" w:lineRule="auto"/>
              <w:rPr>
                <w:rFonts w:ascii="ITC Avant Garde" w:hAnsi="ITC Avant Garde"/>
                <w:sz w:val="18"/>
                <w:szCs w:val="18"/>
              </w:rPr>
            </w:pPr>
            <w:r w:rsidRPr="000323A2">
              <w:rPr>
                <w:rFonts w:ascii="ITC Avant Garde" w:hAnsi="ITC Avant Garde"/>
                <w:sz w:val="18"/>
                <w:szCs w:val="18"/>
              </w:rPr>
              <w:t xml:space="preserve"> TUXPAN</w:t>
            </w:r>
          </w:p>
        </w:tc>
        <w:tc>
          <w:tcPr>
            <w:tcW w:w="315" w:type="dxa"/>
            <w:tcBorders>
              <w:top w:val="nil"/>
            </w:tcBorders>
            <w:noWrap/>
          </w:tcPr>
          <w:p w14:paraId="506E3B76" w14:textId="5E0573F4" w:rsidR="00055D63" w:rsidRPr="00AE31D9" w:rsidRDefault="00055D63"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857" w:type="dxa"/>
            <w:tcBorders>
              <w:top w:val="nil"/>
            </w:tcBorders>
            <w:noWrap/>
          </w:tcPr>
          <w:p w14:paraId="2FEC0A24" w14:textId="77777777" w:rsidR="00055D63" w:rsidRPr="000323A2" w:rsidRDefault="00055D63" w:rsidP="002E573E">
            <w:pPr>
              <w:spacing w:line="276" w:lineRule="auto"/>
              <w:rPr>
                <w:rFonts w:ascii="ITC Avant Garde" w:hAnsi="ITC Avant Garde"/>
                <w:sz w:val="18"/>
                <w:szCs w:val="18"/>
              </w:rPr>
            </w:pPr>
          </w:p>
        </w:tc>
        <w:tc>
          <w:tcPr>
            <w:tcW w:w="1843" w:type="dxa"/>
            <w:noWrap/>
          </w:tcPr>
          <w:p w14:paraId="0D4DCC9D" w14:textId="77777777" w:rsidR="00055D63" w:rsidRPr="000323A2" w:rsidRDefault="00055D63" w:rsidP="002E573E">
            <w:pPr>
              <w:spacing w:line="276" w:lineRule="auto"/>
              <w:rPr>
                <w:rFonts w:ascii="ITC Avant Garde" w:hAnsi="ITC Avant Garde"/>
                <w:sz w:val="18"/>
                <w:szCs w:val="18"/>
              </w:rPr>
            </w:pPr>
          </w:p>
        </w:tc>
        <w:tc>
          <w:tcPr>
            <w:tcW w:w="2241" w:type="dxa"/>
            <w:noWrap/>
          </w:tcPr>
          <w:p w14:paraId="7CAF6C16" w14:textId="77777777" w:rsidR="00055D63" w:rsidRPr="000323A2" w:rsidRDefault="00055D63" w:rsidP="002E573E">
            <w:pPr>
              <w:spacing w:line="276" w:lineRule="auto"/>
              <w:rPr>
                <w:rFonts w:ascii="ITC Avant Garde" w:hAnsi="ITC Avant Garde"/>
                <w:sz w:val="18"/>
                <w:szCs w:val="18"/>
              </w:rPr>
            </w:pPr>
          </w:p>
        </w:tc>
      </w:tr>
    </w:tbl>
    <w:p w14:paraId="58525164" w14:textId="77777777" w:rsidR="000323A2" w:rsidRPr="000323A2" w:rsidRDefault="000323A2" w:rsidP="000323A2">
      <w:pPr>
        <w:spacing w:before="240" w:after="0" w:line="276" w:lineRule="auto"/>
        <w:rPr>
          <w:rFonts w:ascii="ITC Avant Garde" w:eastAsia="Calibri" w:hAnsi="ITC Avant Garde" w:cs="Times New Roman"/>
          <w:sz w:val="24"/>
          <w:szCs w:val="24"/>
          <w:lang w:eastAsia="es-ES"/>
        </w:rPr>
      </w:pPr>
    </w:p>
    <w:p w14:paraId="69093E5F" w14:textId="77777777" w:rsidR="000323A2" w:rsidRPr="000323A2" w:rsidRDefault="000323A2" w:rsidP="000323A2">
      <w:pPr>
        <w:spacing w:before="240" w:after="0" w:line="276" w:lineRule="auto"/>
        <w:rPr>
          <w:rFonts w:ascii="ITC Avant Garde" w:eastAsia="Calibri" w:hAnsi="ITC Avant Garde" w:cs="Arial"/>
          <w:i/>
          <w:iCs/>
          <w:sz w:val="24"/>
          <w:szCs w:val="24"/>
          <w:lang w:val="es-ES" w:eastAsia="es-ES"/>
        </w:rPr>
      </w:pPr>
      <w:r w:rsidRPr="000323A2">
        <w:rPr>
          <w:rFonts w:ascii="ITC Avant Garde" w:eastAsia="Calibri" w:hAnsi="ITC Avant Garde" w:cs="Times New Roman"/>
          <w:sz w:val="24"/>
          <w:szCs w:val="24"/>
          <w:lang w:eastAsia="es-ES"/>
        </w:rPr>
        <w:br w:type="page"/>
      </w:r>
    </w:p>
    <w:p w14:paraId="22AAA292" w14:textId="77777777" w:rsidR="000323A2" w:rsidRPr="000323A2" w:rsidRDefault="000323A2" w:rsidP="000323A2">
      <w:pPr>
        <w:spacing w:before="240"/>
        <w:jc w:val="center"/>
        <w:rPr>
          <w:rFonts w:ascii="ITC Avant Garde" w:eastAsia="Calibri" w:hAnsi="ITC Avant Garde" w:cs="Times New Roman"/>
          <w:sz w:val="24"/>
          <w:szCs w:val="24"/>
        </w:rPr>
      </w:pPr>
      <w:r w:rsidRPr="000323A2">
        <w:rPr>
          <w:rFonts w:ascii="ITC Avant Garde" w:eastAsia="Calibri" w:hAnsi="ITC Avant Garde" w:cs="Times New Roman"/>
          <w:sz w:val="24"/>
          <w:szCs w:val="24"/>
        </w:rPr>
        <w:lastRenderedPageBreak/>
        <w:t>Zona Occidente</w:t>
      </w:r>
    </w:p>
    <w:tbl>
      <w:tblPr>
        <w:tblStyle w:val="Cuadrculadetablaclara1"/>
        <w:tblW w:w="10315" w:type="dxa"/>
        <w:jc w:val="center"/>
        <w:tblLook w:val="00A0" w:firstRow="1" w:lastRow="0" w:firstColumn="1" w:lastColumn="0" w:noHBand="0" w:noVBand="0"/>
        <w:tblCaption w:val="Tabla"/>
        <w:tblDescription w:val="Zona Occidente"/>
      </w:tblPr>
      <w:tblGrid>
        <w:gridCol w:w="1243"/>
        <w:gridCol w:w="1571"/>
        <w:gridCol w:w="2148"/>
        <w:gridCol w:w="315"/>
        <w:gridCol w:w="1243"/>
        <w:gridCol w:w="1527"/>
        <w:gridCol w:w="2268"/>
      </w:tblGrid>
      <w:tr w:rsidR="00AE31D9" w:rsidRPr="000323A2" w14:paraId="1B2516D2" w14:textId="77777777" w:rsidTr="00AE31D9">
        <w:trPr>
          <w:trHeight w:val="690"/>
          <w:tblHeader/>
          <w:jc w:val="center"/>
        </w:trPr>
        <w:tc>
          <w:tcPr>
            <w:tcW w:w="1243" w:type="dxa"/>
            <w:tcBorders>
              <w:bottom w:val="single" w:sz="4" w:space="0" w:color="BFBFBF"/>
            </w:tcBorders>
            <w:shd w:val="clear" w:color="auto" w:fill="8DB3E2"/>
            <w:noWrap/>
          </w:tcPr>
          <w:p w14:paraId="2D321677" w14:textId="77777777" w:rsidR="00AE31D9" w:rsidRPr="000323A2" w:rsidRDefault="00AE31D9" w:rsidP="002E573E">
            <w:pPr>
              <w:spacing w:line="276" w:lineRule="auto"/>
              <w:jc w:val="center"/>
              <w:rPr>
                <w:rFonts w:ascii="ITC Avant Garde" w:hAnsi="ITC Avant Garde"/>
                <w:b/>
                <w:bCs/>
                <w:sz w:val="18"/>
                <w:szCs w:val="18"/>
              </w:rPr>
            </w:pPr>
            <w:bookmarkStart w:id="48" w:name="RANGE!A1:C36"/>
            <w:bookmarkEnd w:id="48"/>
            <w:r w:rsidRPr="000323A2">
              <w:rPr>
                <w:rFonts w:ascii="ITC Avant Garde" w:hAnsi="ITC Avant Garde"/>
                <w:b/>
                <w:bCs/>
                <w:sz w:val="18"/>
                <w:szCs w:val="18"/>
              </w:rPr>
              <w:t>División</w:t>
            </w:r>
          </w:p>
        </w:tc>
        <w:tc>
          <w:tcPr>
            <w:tcW w:w="1571" w:type="dxa"/>
            <w:shd w:val="clear" w:color="auto" w:fill="8DB3E2"/>
          </w:tcPr>
          <w:p w14:paraId="75949A2F" w14:textId="77777777" w:rsidR="00AE31D9" w:rsidRPr="000323A2" w:rsidRDefault="00AE31D9"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 xml:space="preserve">Área urbana </w:t>
            </w:r>
            <w:r w:rsidRPr="000323A2">
              <w:rPr>
                <w:rFonts w:ascii="ITC Avant Garde" w:hAnsi="ITC Avant Garde"/>
                <w:b/>
                <w:bCs/>
                <w:sz w:val="18"/>
                <w:szCs w:val="18"/>
              </w:rPr>
              <w:br/>
              <w:t>(1 hora de traslado)</w:t>
            </w:r>
          </w:p>
        </w:tc>
        <w:tc>
          <w:tcPr>
            <w:tcW w:w="2148" w:type="dxa"/>
            <w:shd w:val="clear" w:color="auto" w:fill="8DB3E2"/>
          </w:tcPr>
          <w:p w14:paraId="60EBFDCD" w14:textId="77777777" w:rsidR="00AE31D9" w:rsidRPr="000323A2" w:rsidRDefault="00AE31D9"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Área suburbana</w:t>
            </w:r>
            <w:r w:rsidRPr="000323A2">
              <w:rPr>
                <w:rFonts w:ascii="ITC Avant Garde" w:hAnsi="ITC Avant Garde"/>
                <w:b/>
                <w:bCs/>
                <w:sz w:val="18"/>
                <w:szCs w:val="18"/>
              </w:rPr>
              <w:br/>
              <w:t>(2 horas de traslado)</w:t>
            </w:r>
          </w:p>
        </w:tc>
        <w:tc>
          <w:tcPr>
            <w:tcW w:w="315" w:type="dxa"/>
            <w:tcBorders>
              <w:bottom w:val="nil"/>
            </w:tcBorders>
            <w:shd w:val="clear" w:color="auto" w:fill="auto"/>
            <w:noWrap/>
          </w:tcPr>
          <w:p w14:paraId="58747DB5" w14:textId="6611A18A"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bottom w:val="single" w:sz="4" w:space="0" w:color="BFBFBF"/>
            </w:tcBorders>
            <w:shd w:val="clear" w:color="auto" w:fill="8DB3E2"/>
            <w:noWrap/>
          </w:tcPr>
          <w:p w14:paraId="0807799A" w14:textId="77777777" w:rsidR="00AE31D9" w:rsidRPr="000323A2" w:rsidRDefault="00AE31D9"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División</w:t>
            </w:r>
          </w:p>
        </w:tc>
        <w:tc>
          <w:tcPr>
            <w:tcW w:w="1527" w:type="dxa"/>
            <w:shd w:val="clear" w:color="auto" w:fill="8DB3E2"/>
          </w:tcPr>
          <w:p w14:paraId="21D0AB31" w14:textId="77777777" w:rsidR="00AE31D9" w:rsidRPr="000323A2" w:rsidRDefault="00AE31D9"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 xml:space="preserve">Área urbana </w:t>
            </w:r>
            <w:r w:rsidRPr="000323A2">
              <w:rPr>
                <w:rFonts w:ascii="ITC Avant Garde" w:hAnsi="ITC Avant Garde"/>
                <w:b/>
                <w:bCs/>
                <w:sz w:val="18"/>
                <w:szCs w:val="18"/>
              </w:rPr>
              <w:br/>
              <w:t>(1 hora de traslado)</w:t>
            </w:r>
          </w:p>
        </w:tc>
        <w:tc>
          <w:tcPr>
            <w:tcW w:w="2268" w:type="dxa"/>
            <w:shd w:val="clear" w:color="auto" w:fill="8DB3E2"/>
          </w:tcPr>
          <w:p w14:paraId="5D442AA6" w14:textId="77777777" w:rsidR="00AE31D9" w:rsidRPr="000323A2" w:rsidRDefault="00AE31D9" w:rsidP="002E573E">
            <w:pPr>
              <w:spacing w:line="276" w:lineRule="auto"/>
              <w:jc w:val="center"/>
              <w:rPr>
                <w:rFonts w:ascii="ITC Avant Garde" w:hAnsi="ITC Avant Garde"/>
                <w:b/>
                <w:bCs/>
                <w:sz w:val="18"/>
                <w:szCs w:val="18"/>
              </w:rPr>
            </w:pPr>
            <w:r w:rsidRPr="000323A2">
              <w:rPr>
                <w:rFonts w:ascii="ITC Avant Garde" w:hAnsi="ITC Avant Garde"/>
                <w:b/>
                <w:bCs/>
                <w:sz w:val="18"/>
                <w:szCs w:val="18"/>
              </w:rPr>
              <w:t>Área suburbana</w:t>
            </w:r>
            <w:r w:rsidRPr="000323A2">
              <w:rPr>
                <w:rFonts w:ascii="ITC Avant Garde" w:hAnsi="ITC Avant Garde"/>
                <w:b/>
                <w:bCs/>
                <w:sz w:val="18"/>
                <w:szCs w:val="18"/>
              </w:rPr>
              <w:br/>
              <w:t>(2 horas de traslado)</w:t>
            </w:r>
          </w:p>
        </w:tc>
      </w:tr>
      <w:tr w:rsidR="00AE31D9" w:rsidRPr="000323A2" w14:paraId="6F43D458" w14:textId="77777777" w:rsidTr="00AE31D9">
        <w:trPr>
          <w:trHeight w:val="300"/>
          <w:tblHeader/>
          <w:jc w:val="center"/>
        </w:trPr>
        <w:tc>
          <w:tcPr>
            <w:tcW w:w="1243" w:type="dxa"/>
            <w:tcBorders>
              <w:bottom w:val="nil"/>
            </w:tcBorders>
            <w:noWrap/>
          </w:tcPr>
          <w:p w14:paraId="78E93B12"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OCCIDENTE</w:t>
            </w:r>
          </w:p>
        </w:tc>
        <w:tc>
          <w:tcPr>
            <w:tcW w:w="1571" w:type="dxa"/>
            <w:noWrap/>
          </w:tcPr>
          <w:p w14:paraId="268C1801"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CHIHUAHUA</w:t>
            </w:r>
          </w:p>
        </w:tc>
        <w:tc>
          <w:tcPr>
            <w:tcW w:w="2148" w:type="dxa"/>
            <w:noWrap/>
          </w:tcPr>
          <w:p w14:paraId="67819895"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CIUDAD CAMARGO</w:t>
            </w:r>
          </w:p>
        </w:tc>
        <w:tc>
          <w:tcPr>
            <w:tcW w:w="315" w:type="dxa"/>
            <w:tcBorders>
              <w:top w:val="nil"/>
              <w:bottom w:val="nil"/>
            </w:tcBorders>
            <w:noWrap/>
          </w:tcPr>
          <w:p w14:paraId="71C76B23" w14:textId="7D1BAF4D"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bottom w:val="nil"/>
            </w:tcBorders>
            <w:noWrap/>
          </w:tcPr>
          <w:p w14:paraId="0A6603D9"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OCCIDENTE</w:t>
            </w:r>
          </w:p>
          <w:p w14:paraId="06AE3F21"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65B8774E"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MORELIA</w:t>
            </w:r>
          </w:p>
        </w:tc>
        <w:tc>
          <w:tcPr>
            <w:tcW w:w="2268" w:type="dxa"/>
            <w:noWrap/>
          </w:tcPr>
          <w:p w14:paraId="70C5CC84"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APATZINGAN</w:t>
            </w:r>
          </w:p>
        </w:tc>
      </w:tr>
      <w:tr w:rsidR="00AE31D9" w:rsidRPr="000323A2" w14:paraId="4DEC0921" w14:textId="77777777" w:rsidTr="00AE31D9">
        <w:trPr>
          <w:trHeight w:val="300"/>
          <w:tblHeader/>
          <w:jc w:val="center"/>
        </w:trPr>
        <w:tc>
          <w:tcPr>
            <w:tcW w:w="1243" w:type="dxa"/>
            <w:tcBorders>
              <w:top w:val="nil"/>
              <w:bottom w:val="nil"/>
            </w:tcBorders>
            <w:noWrap/>
          </w:tcPr>
          <w:p w14:paraId="18361F7E"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6F62F16C"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41D4B578"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CIUDAD CUAUHTEMOC</w:t>
            </w:r>
          </w:p>
        </w:tc>
        <w:tc>
          <w:tcPr>
            <w:tcW w:w="315" w:type="dxa"/>
            <w:tcBorders>
              <w:top w:val="nil"/>
              <w:bottom w:val="nil"/>
            </w:tcBorders>
            <w:noWrap/>
          </w:tcPr>
          <w:p w14:paraId="1842928A" w14:textId="49E66533"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4CFC78B8"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0CB01AB7"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5AFD9939"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CIUDAD HIDALGO</w:t>
            </w:r>
          </w:p>
        </w:tc>
      </w:tr>
      <w:tr w:rsidR="00AE31D9" w:rsidRPr="000323A2" w14:paraId="538DCE53" w14:textId="77777777" w:rsidTr="00AE31D9">
        <w:trPr>
          <w:trHeight w:val="300"/>
          <w:tblHeader/>
          <w:jc w:val="center"/>
        </w:trPr>
        <w:tc>
          <w:tcPr>
            <w:tcW w:w="1243" w:type="dxa"/>
            <w:tcBorders>
              <w:top w:val="nil"/>
              <w:bottom w:val="nil"/>
            </w:tcBorders>
            <w:noWrap/>
          </w:tcPr>
          <w:p w14:paraId="732726A1"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4001E10E"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2323A596"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CIUDAD DELICIAS</w:t>
            </w:r>
          </w:p>
        </w:tc>
        <w:tc>
          <w:tcPr>
            <w:tcW w:w="315" w:type="dxa"/>
            <w:tcBorders>
              <w:top w:val="nil"/>
              <w:bottom w:val="nil"/>
            </w:tcBorders>
            <w:noWrap/>
          </w:tcPr>
          <w:p w14:paraId="29943A9E" w14:textId="0F7605CA"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3699920C"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3C84973F"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45AB3144"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CIUDAD LAZARO CARDENAS</w:t>
            </w:r>
          </w:p>
        </w:tc>
      </w:tr>
      <w:tr w:rsidR="00AE31D9" w:rsidRPr="000323A2" w14:paraId="073C4BED" w14:textId="77777777" w:rsidTr="00AE31D9">
        <w:trPr>
          <w:trHeight w:val="300"/>
          <w:tblHeader/>
          <w:jc w:val="center"/>
        </w:trPr>
        <w:tc>
          <w:tcPr>
            <w:tcW w:w="1243" w:type="dxa"/>
            <w:tcBorders>
              <w:top w:val="nil"/>
              <w:bottom w:val="nil"/>
            </w:tcBorders>
            <w:noWrap/>
          </w:tcPr>
          <w:p w14:paraId="02313114"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34348776"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5E3D8060"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CIUDAD JIMENEZ</w:t>
            </w:r>
          </w:p>
        </w:tc>
        <w:tc>
          <w:tcPr>
            <w:tcW w:w="315" w:type="dxa"/>
            <w:tcBorders>
              <w:top w:val="nil"/>
              <w:bottom w:val="nil"/>
            </w:tcBorders>
            <w:noWrap/>
          </w:tcPr>
          <w:p w14:paraId="7872D0CB" w14:textId="16AF1EEF"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67C0E77E"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6E7DAE67"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66989941"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PATZCUARO</w:t>
            </w:r>
          </w:p>
        </w:tc>
      </w:tr>
      <w:tr w:rsidR="00AE31D9" w:rsidRPr="000323A2" w14:paraId="3C6DECAB" w14:textId="77777777" w:rsidTr="00AE31D9">
        <w:trPr>
          <w:trHeight w:val="300"/>
          <w:tblHeader/>
          <w:jc w:val="center"/>
        </w:trPr>
        <w:tc>
          <w:tcPr>
            <w:tcW w:w="1243" w:type="dxa"/>
            <w:tcBorders>
              <w:top w:val="nil"/>
              <w:bottom w:val="nil"/>
            </w:tcBorders>
            <w:noWrap/>
          </w:tcPr>
          <w:p w14:paraId="2F39797F"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4AF6D208"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79E44F06"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OJINAGA</w:t>
            </w:r>
          </w:p>
        </w:tc>
        <w:tc>
          <w:tcPr>
            <w:tcW w:w="315" w:type="dxa"/>
            <w:tcBorders>
              <w:top w:val="nil"/>
              <w:bottom w:val="nil"/>
            </w:tcBorders>
            <w:noWrap/>
          </w:tcPr>
          <w:p w14:paraId="46B89C61" w14:textId="560E0416"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3354112D"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3B23C051"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6595BC83"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PURUANDIRO</w:t>
            </w:r>
          </w:p>
        </w:tc>
      </w:tr>
      <w:tr w:rsidR="00AE31D9" w:rsidRPr="000323A2" w14:paraId="713B6BF5" w14:textId="77777777" w:rsidTr="00AE31D9">
        <w:trPr>
          <w:trHeight w:val="300"/>
          <w:tblHeader/>
          <w:jc w:val="center"/>
        </w:trPr>
        <w:tc>
          <w:tcPr>
            <w:tcW w:w="1243" w:type="dxa"/>
            <w:tcBorders>
              <w:top w:val="nil"/>
              <w:bottom w:val="nil"/>
            </w:tcBorders>
            <w:noWrap/>
          </w:tcPr>
          <w:p w14:paraId="601D385B"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5C07EBE6"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36F1C586"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PARRAL</w:t>
            </w:r>
          </w:p>
        </w:tc>
        <w:tc>
          <w:tcPr>
            <w:tcW w:w="315" w:type="dxa"/>
            <w:tcBorders>
              <w:top w:val="nil"/>
              <w:bottom w:val="nil"/>
            </w:tcBorders>
            <w:noWrap/>
          </w:tcPr>
          <w:p w14:paraId="74337FE4" w14:textId="2D4E8B5F"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76BE4257"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7C03EED3"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3DEE1228"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URUAPAN</w:t>
            </w:r>
          </w:p>
        </w:tc>
      </w:tr>
      <w:tr w:rsidR="00AE31D9" w:rsidRPr="000323A2" w14:paraId="2548F658" w14:textId="77777777" w:rsidTr="00AE31D9">
        <w:trPr>
          <w:trHeight w:val="300"/>
          <w:tblHeader/>
          <w:jc w:val="center"/>
        </w:trPr>
        <w:tc>
          <w:tcPr>
            <w:tcW w:w="1243" w:type="dxa"/>
            <w:tcBorders>
              <w:top w:val="nil"/>
              <w:bottom w:val="nil"/>
            </w:tcBorders>
            <w:noWrap/>
          </w:tcPr>
          <w:p w14:paraId="0FA997A2"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782ADE9E"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CIUDAD JUAREZ</w:t>
            </w:r>
          </w:p>
        </w:tc>
        <w:tc>
          <w:tcPr>
            <w:tcW w:w="2148" w:type="dxa"/>
            <w:noWrap/>
          </w:tcPr>
          <w:p w14:paraId="1FAB3927"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NUEVO CASAS GRANDES</w:t>
            </w:r>
          </w:p>
        </w:tc>
        <w:tc>
          <w:tcPr>
            <w:tcW w:w="315" w:type="dxa"/>
            <w:tcBorders>
              <w:top w:val="nil"/>
              <w:bottom w:val="nil"/>
            </w:tcBorders>
            <w:noWrap/>
          </w:tcPr>
          <w:p w14:paraId="06BC5A6C" w14:textId="3C0DAE53"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02E59F21"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3E1669D0"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7CE62C93"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ZACAPU</w:t>
            </w:r>
          </w:p>
        </w:tc>
      </w:tr>
      <w:tr w:rsidR="00AE31D9" w:rsidRPr="000323A2" w14:paraId="5A81F5FE" w14:textId="77777777" w:rsidTr="00AE31D9">
        <w:trPr>
          <w:trHeight w:val="300"/>
          <w:tblHeader/>
          <w:jc w:val="center"/>
        </w:trPr>
        <w:tc>
          <w:tcPr>
            <w:tcW w:w="1243" w:type="dxa"/>
            <w:tcBorders>
              <w:top w:val="nil"/>
              <w:bottom w:val="nil"/>
            </w:tcBorders>
            <w:noWrap/>
          </w:tcPr>
          <w:p w14:paraId="7B1F5A05"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7CCD59AA"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CIUDAD OBREGON</w:t>
            </w:r>
          </w:p>
        </w:tc>
        <w:tc>
          <w:tcPr>
            <w:tcW w:w="2148" w:type="dxa"/>
            <w:noWrap/>
          </w:tcPr>
          <w:p w14:paraId="6CF5C5AB"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HUATABAMPO</w:t>
            </w:r>
          </w:p>
        </w:tc>
        <w:tc>
          <w:tcPr>
            <w:tcW w:w="315" w:type="dxa"/>
            <w:tcBorders>
              <w:top w:val="nil"/>
              <w:bottom w:val="nil"/>
            </w:tcBorders>
            <w:noWrap/>
          </w:tcPr>
          <w:p w14:paraId="2BAD1527" w14:textId="58650D11"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2A113F87"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72BEE705"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20B1A7E0"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ZITACUARO</w:t>
            </w:r>
          </w:p>
        </w:tc>
      </w:tr>
      <w:tr w:rsidR="00AE31D9" w:rsidRPr="000323A2" w14:paraId="12AE27F3" w14:textId="77777777" w:rsidTr="00AE31D9">
        <w:trPr>
          <w:trHeight w:val="300"/>
          <w:tblHeader/>
          <w:jc w:val="center"/>
        </w:trPr>
        <w:tc>
          <w:tcPr>
            <w:tcW w:w="1243" w:type="dxa"/>
            <w:tcBorders>
              <w:top w:val="nil"/>
              <w:bottom w:val="nil"/>
            </w:tcBorders>
            <w:noWrap/>
          </w:tcPr>
          <w:p w14:paraId="46C70543"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5C21BC12"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1538EB7D"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NAVOJOA</w:t>
            </w:r>
          </w:p>
        </w:tc>
        <w:tc>
          <w:tcPr>
            <w:tcW w:w="315" w:type="dxa"/>
            <w:tcBorders>
              <w:top w:val="nil"/>
              <w:bottom w:val="nil"/>
            </w:tcBorders>
            <w:noWrap/>
          </w:tcPr>
          <w:p w14:paraId="43AED1EF" w14:textId="6D17382F"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24B88828"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564C2133"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NOGALES</w:t>
            </w:r>
          </w:p>
        </w:tc>
        <w:tc>
          <w:tcPr>
            <w:tcW w:w="2268" w:type="dxa"/>
            <w:noWrap/>
          </w:tcPr>
          <w:p w14:paraId="41A283FC"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AGUA PRIETA</w:t>
            </w:r>
          </w:p>
        </w:tc>
      </w:tr>
      <w:tr w:rsidR="00AE31D9" w:rsidRPr="000323A2" w14:paraId="14478C74" w14:textId="77777777" w:rsidTr="00AE31D9">
        <w:trPr>
          <w:trHeight w:val="300"/>
          <w:tblHeader/>
          <w:jc w:val="center"/>
        </w:trPr>
        <w:tc>
          <w:tcPr>
            <w:tcW w:w="1243" w:type="dxa"/>
            <w:tcBorders>
              <w:top w:val="nil"/>
              <w:bottom w:val="nil"/>
            </w:tcBorders>
            <w:noWrap/>
          </w:tcPr>
          <w:p w14:paraId="3E3F611B"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207D1BC2"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COLIMA</w:t>
            </w:r>
          </w:p>
        </w:tc>
        <w:tc>
          <w:tcPr>
            <w:tcW w:w="2148" w:type="dxa"/>
            <w:noWrap/>
          </w:tcPr>
          <w:p w14:paraId="7A9E97DF"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AUTLAN</w:t>
            </w:r>
          </w:p>
        </w:tc>
        <w:tc>
          <w:tcPr>
            <w:tcW w:w="315" w:type="dxa"/>
            <w:tcBorders>
              <w:top w:val="nil"/>
              <w:bottom w:val="nil"/>
            </w:tcBorders>
            <w:noWrap/>
          </w:tcPr>
          <w:p w14:paraId="31354145" w14:textId="19C74F73"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6315C643"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5563DC25"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73014F2E"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CABORCA</w:t>
            </w:r>
          </w:p>
        </w:tc>
      </w:tr>
      <w:tr w:rsidR="00AE31D9" w:rsidRPr="000323A2" w14:paraId="32792B42" w14:textId="77777777" w:rsidTr="00AE31D9">
        <w:trPr>
          <w:trHeight w:val="300"/>
          <w:tblHeader/>
          <w:jc w:val="center"/>
        </w:trPr>
        <w:tc>
          <w:tcPr>
            <w:tcW w:w="1243" w:type="dxa"/>
            <w:tcBorders>
              <w:top w:val="nil"/>
              <w:bottom w:val="nil"/>
            </w:tcBorders>
            <w:noWrap/>
          </w:tcPr>
          <w:p w14:paraId="17E3F19E"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1EB90C13"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3C10E7EE"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CIUDAD GUZMAN</w:t>
            </w:r>
          </w:p>
        </w:tc>
        <w:tc>
          <w:tcPr>
            <w:tcW w:w="315" w:type="dxa"/>
            <w:tcBorders>
              <w:top w:val="nil"/>
              <w:bottom w:val="nil"/>
            </w:tcBorders>
            <w:noWrap/>
          </w:tcPr>
          <w:p w14:paraId="6F9E63AF" w14:textId="69723C79"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2A6322B1"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3836AC5B"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247EE08C"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CANANEA</w:t>
            </w:r>
          </w:p>
        </w:tc>
      </w:tr>
      <w:tr w:rsidR="00AE31D9" w:rsidRPr="000323A2" w14:paraId="4144F0BF" w14:textId="77777777" w:rsidTr="00AE31D9">
        <w:trPr>
          <w:trHeight w:val="300"/>
          <w:tblHeader/>
          <w:jc w:val="center"/>
        </w:trPr>
        <w:tc>
          <w:tcPr>
            <w:tcW w:w="1243" w:type="dxa"/>
            <w:tcBorders>
              <w:top w:val="nil"/>
              <w:bottom w:val="nil"/>
            </w:tcBorders>
            <w:noWrap/>
          </w:tcPr>
          <w:p w14:paraId="6D7D58FE"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7CCBF631"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37B0A1A0"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MANZANILLO</w:t>
            </w:r>
          </w:p>
        </w:tc>
        <w:tc>
          <w:tcPr>
            <w:tcW w:w="315" w:type="dxa"/>
            <w:tcBorders>
              <w:top w:val="nil"/>
              <w:bottom w:val="nil"/>
            </w:tcBorders>
            <w:noWrap/>
          </w:tcPr>
          <w:p w14:paraId="0E35394A" w14:textId="74C9B80D"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2AE38E45"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76D5C45B"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01DAC85B"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PUERTO PEÑASCO</w:t>
            </w:r>
          </w:p>
        </w:tc>
      </w:tr>
      <w:tr w:rsidR="00AE31D9" w:rsidRPr="000323A2" w14:paraId="5CF0B547" w14:textId="77777777" w:rsidTr="00AE31D9">
        <w:trPr>
          <w:trHeight w:val="300"/>
          <w:tblHeader/>
          <w:jc w:val="center"/>
        </w:trPr>
        <w:tc>
          <w:tcPr>
            <w:tcW w:w="1243" w:type="dxa"/>
            <w:tcBorders>
              <w:top w:val="nil"/>
              <w:bottom w:val="nil"/>
            </w:tcBorders>
            <w:noWrap/>
          </w:tcPr>
          <w:p w14:paraId="0CD4B73E"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5786868F"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5EE50F43"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TECOMAN</w:t>
            </w:r>
          </w:p>
        </w:tc>
        <w:tc>
          <w:tcPr>
            <w:tcW w:w="315" w:type="dxa"/>
            <w:tcBorders>
              <w:top w:val="nil"/>
              <w:bottom w:val="nil"/>
            </w:tcBorders>
            <w:noWrap/>
          </w:tcPr>
          <w:p w14:paraId="14876C16" w14:textId="04C764C9"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2A4A4D4D"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7F845D7C"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TEPIC</w:t>
            </w:r>
          </w:p>
        </w:tc>
        <w:tc>
          <w:tcPr>
            <w:tcW w:w="2268" w:type="dxa"/>
            <w:noWrap/>
          </w:tcPr>
          <w:p w14:paraId="14034813"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SANTIAGO IXCUINTLA</w:t>
            </w:r>
          </w:p>
        </w:tc>
      </w:tr>
      <w:tr w:rsidR="00AE31D9" w:rsidRPr="000323A2" w14:paraId="6F3EA6C8" w14:textId="77777777" w:rsidTr="00AE31D9">
        <w:trPr>
          <w:trHeight w:val="300"/>
          <w:tblHeader/>
          <w:jc w:val="center"/>
        </w:trPr>
        <w:tc>
          <w:tcPr>
            <w:tcW w:w="1243" w:type="dxa"/>
            <w:tcBorders>
              <w:top w:val="nil"/>
              <w:bottom w:val="nil"/>
            </w:tcBorders>
            <w:noWrap/>
          </w:tcPr>
          <w:p w14:paraId="19673D5C"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28A9C0B9"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CULIACAN</w:t>
            </w:r>
          </w:p>
        </w:tc>
        <w:tc>
          <w:tcPr>
            <w:tcW w:w="2148" w:type="dxa"/>
            <w:noWrap/>
          </w:tcPr>
          <w:p w14:paraId="13534BEE"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GUAMUCHIL</w:t>
            </w:r>
          </w:p>
        </w:tc>
        <w:tc>
          <w:tcPr>
            <w:tcW w:w="315" w:type="dxa"/>
            <w:tcBorders>
              <w:top w:val="nil"/>
              <w:bottom w:val="nil"/>
            </w:tcBorders>
            <w:noWrap/>
          </w:tcPr>
          <w:p w14:paraId="7D94B150" w14:textId="1C4C16E4"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4C6351AF"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194177B9"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ZAMORA</w:t>
            </w:r>
          </w:p>
        </w:tc>
        <w:tc>
          <w:tcPr>
            <w:tcW w:w="2268" w:type="dxa"/>
            <w:noWrap/>
          </w:tcPr>
          <w:p w14:paraId="7F9AC32E"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LA PIEDAD</w:t>
            </w:r>
          </w:p>
        </w:tc>
      </w:tr>
      <w:tr w:rsidR="00AE31D9" w:rsidRPr="000323A2" w14:paraId="6D35ACAD" w14:textId="77777777" w:rsidTr="00AE31D9">
        <w:trPr>
          <w:trHeight w:val="300"/>
          <w:tblHeader/>
          <w:jc w:val="center"/>
        </w:trPr>
        <w:tc>
          <w:tcPr>
            <w:tcW w:w="1243" w:type="dxa"/>
            <w:tcBorders>
              <w:top w:val="nil"/>
              <w:bottom w:val="nil"/>
            </w:tcBorders>
            <w:noWrap/>
          </w:tcPr>
          <w:p w14:paraId="51913639"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4ADA1461"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2B4CA7C1"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NAVOLATO</w:t>
            </w:r>
          </w:p>
        </w:tc>
        <w:tc>
          <w:tcPr>
            <w:tcW w:w="315" w:type="dxa"/>
            <w:tcBorders>
              <w:top w:val="nil"/>
              <w:bottom w:val="nil"/>
            </w:tcBorders>
            <w:noWrap/>
          </w:tcPr>
          <w:p w14:paraId="36CC5AC6" w14:textId="50E91584"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58C33897"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545EF0D1"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59495458"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LOS REYES </w:t>
            </w:r>
          </w:p>
        </w:tc>
      </w:tr>
      <w:tr w:rsidR="00AE31D9" w:rsidRPr="000323A2" w14:paraId="63439F5C" w14:textId="77777777" w:rsidTr="00AE31D9">
        <w:trPr>
          <w:trHeight w:val="300"/>
          <w:tblHeader/>
          <w:jc w:val="center"/>
        </w:trPr>
        <w:tc>
          <w:tcPr>
            <w:tcW w:w="1243" w:type="dxa"/>
            <w:tcBorders>
              <w:top w:val="nil"/>
              <w:bottom w:val="nil"/>
            </w:tcBorders>
            <w:noWrap/>
          </w:tcPr>
          <w:p w14:paraId="3F2E5A97"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70562280"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HERMOSILLO</w:t>
            </w:r>
          </w:p>
        </w:tc>
        <w:tc>
          <w:tcPr>
            <w:tcW w:w="2148" w:type="dxa"/>
            <w:noWrap/>
          </w:tcPr>
          <w:p w14:paraId="33768BED"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GUAYMAS</w:t>
            </w:r>
          </w:p>
        </w:tc>
        <w:tc>
          <w:tcPr>
            <w:tcW w:w="315" w:type="dxa"/>
            <w:tcBorders>
              <w:top w:val="nil"/>
              <w:bottom w:val="nil"/>
            </w:tcBorders>
            <w:noWrap/>
          </w:tcPr>
          <w:p w14:paraId="65E2CDA6" w14:textId="25C3BEF0"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48F84F3E"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7904D39D"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493722EC"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SAHUAYO</w:t>
            </w:r>
          </w:p>
        </w:tc>
      </w:tr>
      <w:tr w:rsidR="00AE31D9" w:rsidRPr="000323A2" w14:paraId="4A3D84AC" w14:textId="77777777" w:rsidTr="00AE31D9">
        <w:trPr>
          <w:trHeight w:val="300"/>
          <w:tblHeader/>
          <w:jc w:val="center"/>
        </w:trPr>
        <w:tc>
          <w:tcPr>
            <w:tcW w:w="1243" w:type="dxa"/>
            <w:tcBorders>
              <w:top w:val="nil"/>
              <w:bottom w:val="nil"/>
            </w:tcBorders>
            <w:noWrap/>
          </w:tcPr>
          <w:p w14:paraId="34456E47"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66A47C2C"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GUADALAJARA</w:t>
            </w:r>
          </w:p>
        </w:tc>
        <w:tc>
          <w:tcPr>
            <w:tcW w:w="2148" w:type="dxa"/>
            <w:noWrap/>
          </w:tcPr>
          <w:p w14:paraId="4F3C90C8"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EL SALTO</w:t>
            </w:r>
          </w:p>
        </w:tc>
        <w:tc>
          <w:tcPr>
            <w:tcW w:w="315" w:type="dxa"/>
            <w:tcBorders>
              <w:top w:val="nil"/>
              <w:bottom w:val="nil"/>
            </w:tcBorders>
            <w:noWrap/>
          </w:tcPr>
          <w:p w14:paraId="618B189A" w14:textId="0A72C478"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303BC4E2"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7FFCCC04"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202BC551" w14:textId="77777777" w:rsidR="00AE31D9" w:rsidRPr="000323A2" w:rsidRDefault="00AE31D9" w:rsidP="002E573E">
            <w:pPr>
              <w:spacing w:line="276" w:lineRule="auto"/>
              <w:rPr>
                <w:rFonts w:ascii="ITC Avant Garde" w:hAnsi="ITC Avant Garde"/>
                <w:sz w:val="18"/>
                <w:szCs w:val="18"/>
              </w:rPr>
            </w:pPr>
          </w:p>
        </w:tc>
      </w:tr>
      <w:tr w:rsidR="00AE31D9" w:rsidRPr="000323A2" w14:paraId="6E888AFF" w14:textId="77777777" w:rsidTr="00AE31D9">
        <w:trPr>
          <w:trHeight w:val="300"/>
          <w:tblHeader/>
          <w:jc w:val="center"/>
        </w:trPr>
        <w:tc>
          <w:tcPr>
            <w:tcW w:w="1243" w:type="dxa"/>
            <w:tcBorders>
              <w:top w:val="nil"/>
              <w:bottom w:val="nil"/>
            </w:tcBorders>
            <w:noWrap/>
          </w:tcPr>
          <w:p w14:paraId="3517A8EE"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67B88242"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2C6A08FA"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AMECA</w:t>
            </w:r>
          </w:p>
        </w:tc>
        <w:tc>
          <w:tcPr>
            <w:tcW w:w="315" w:type="dxa"/>
            <w:tcBorders>
              <w:top w:val="nil"/>
              <w:bottom w:val="nil"/>
            </w:tcBorders>
            <w:noWrap/>
          </w:tcPr>
          <w:p w14:paraId="7AE720FB" w14:textId="1470B372"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0FE925F0"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7E611943"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6E131E91" w14:textId="77777777" w:rsidR="00AE31D9" w:rsidRPr="000323A2" w:rsidRDefault="00AE31D9" w:rsidP="002E573E">
            <w:pPr>
              <w:spacing w:line="276" w:lineRule="auto"/>
              <w:rPr>
                <w:rFonts w:ascii="ITC Avant Garde" w:hAnsi="ITC Avant Garde"/>
                <w:sz w:val="18"/>
                <w:szCs w:val="18"/>
              </w:rPr>
            </w:pPr>
          </w:p>
        </w:tc>
      </w:tr>
      <w:tr w:rsidR="002E573E" w:rsidRPr="000323A2" w14:paraId="631FF9E9" w14:textId="77777777" w:rsidTr="002E573E">
        <w:trPr>
          <w:trHeight w:val="80"/>
          <w:tblHeader/>
          <w:jc w:val="center"/>
        </w:trPr>
        <w:tc>
          <w:tcPr>
            <w:tcW w:w="1243" w:type="dxa"/>
            <w:tcBorders>
              <w:top w:val="nil"/>
              <w:bottom w:val="nil"/>
            </w:tcBorders>
            <w:noWrap/>
          </w:tcPr>
          <w:p w14:paraId="07494F41" w14:textId="77777777" w:rsidR="002E573E" w:rsidRPr="000323A2" w:rsidRDefault="002E573E" w:rsidP="002E573E">
            <w:pPr>
              <w:spacing w:line="276" w:lineRule="auto"/>
              <w:rPr>
                <w:rFonts w:ascii="ITC Avant Garde" w:hAnsi="ITC Avant Garde"/>
                <w:sz w:val="18"/>
                <w:szCs w:val="18"/>
              </w:rPr>
            </w:pPr>
          </w:p>
        </w:tc>
        <w:tc>
          <w:tcPr>
            <w:tcW w:w="1571" w:type="dxa"/>
            <w:noWrap/>
          </w:tcPr>
          <w:p w14:paraId="22721268" w14:textId="77777777" w:rsidR="002E573E" w:rsidRPr="000323A2" w:rsidRDefault="002E573E" w:rsidP="002E573E">
            <w:pPr>
              <w:spacing w:line="276" w:lineRule="auto"/>
              <w:rPr>
                <w:rFonts w:ascii="ITC Avant Garde" w:hAnsi="ITC Avant Garde"/>
                <w:sz w:val="18"/>
                <w:szCs w:val="18"/>
              </w:rPr>
            </w:pPr>
          </w:p>
        </w:tc>
        <w:tc>
          <w:tcPr>
            <w:tcW w:w="2148" w:type="dxa"/>
            <w:noWrap/>
          </w:tcPr>
          <w:p w14:paraId="0D38F68D" w14:textId="77777777" w:rsidR="002E573E" w:rsidRPr="000323A2" w:rsidRDefault="002E573E" w:rsidP="002E573E">
            <w:pPr>
              <w:spacing w:line="276" w:lineRule="auto"/>
              <w:rPr>
                <w:rFonts w:ascii="ITC Avant Garde" w:hAnsi="ITC Avant Garde"/>
                <w:sz w:val="18"/>
                <w:szCs w:val="18"/>
              </w:rPr>
            </w:pPr>
            <w:r w:rsidRPr="000323A2">
              <w:rPr>
                <w:rFonts w:ascii="ITC Avant Garde" w:hAnsi="ITC Avant Garde"/>
                <w:sz w:val="18"/>
                <w:szCs w:val="18"/>
              </w:rPr>
              <w:t xml:space="preserve"> CHAPALA</w:t>
            </w:r>
          </w:p>
        </w:tc>
        <w:tc>
          <w:tcPr>
            <w:tcW w:w="315" w:type="dxa"/>
            <w:tcBorders>
              <w:top w:val="nil"/>
              <w:bottom w:val="nil"/>
            </w:tcBorders>
            <w:noWrap/>
          </w:tcPr>
          <w:p w14:paraId="5D573FBC" w14:textId="663F711A" w:rsidR="002E573E" w:rsidRPr="00AE31D9" w:rsidRDefault="002E573E"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tcBorders>
            <w:noWrap/>
          </w:tcPr>
          <w:p w14:paraId="7734F832" w14:textId="77777777" w:rsidR="002E573E" w:rsidRPr="000323A2" w:rsidRDefault="002E573E" w:rsidP="002E573E">
            <w:pPr>
              <w:spacing w:line="276" w:lineRule="auto"/>
              <w:rPr>
                <w:rFonts w:ascii="ITC Avant Garde" w:hAnsi="ITC Avant Garde"/>
                <w:sz w:val="18"/>
                <w:szCs w:val="18"/>
              </w:rPr>
            </w:pPr>
          </w:p>
        </w:tc>
        <w:tc>
          <w:tcPr>
            <w:tcW w:w="1527" w:type="dxa"/>
            <w:noWrap/>
          </w:tcPr>
          <w:p w14:paraId="46227B64" w14:textId="77777777" w:rsidR="002E573E" w:rsidRPr="000323A2" w:rsidRDefault="002E573E" w:rsidP="002E573E">
            <w:pPr>
              <w:spacing w:line="276" w:lineRule="auto"/>
              <w:rPr>
                <w:rFonts w:ascii="ITC Avant Garde" w:hAnsi="ITC Avant Garde"/>
                <w:sz w:val="18"/>
                <w:szCs w:val="18"/>
              </w:rPr>
            </w:pPr>
          </w:p>
        </w:tc>
        <w:tc>
          <w:tcPr>
            <w:tcW w:w="2268" w:type="dxa"/>
            <w:noWrap/>
          </w:tcPr>
          <w:p w14:paraId="33E49474" w14:textId="77777777" w:rsidR="002E573E" w:rsidRPr="000323A2" w:rsidRDefault="002E573E" w:rsidP="002E573E">
            <w:pPr>
              <w:spacing w:line="276" w:lineRule="auto"/>
              <w:rPr>
                <w:rFonts w:ascii="ITC Avant Garde" w:hAnsi="ITC Avant Garde"/>
                <w:sz w:val="18"/>
                <w:szCs w:val="18"/>
              </w:rPr>
            </w:pPr>
          </w:p>
        </w:tc>
      </w:tr>
      <w:tr w:rsidR="002E573E" w:rsidRPr="000323A2" w14:paraId="79A333CD" w14:textId="77777777" w:rsidTr="002E573E">
        <w:trPr>
          <w:trHeight w:val="300"/>
          <w:tblHeader/>
          <w:jc w:val="center"/>
        </w:trPr>
        <w:tc>
          <w:tcPr>
            <w:tcW w:w="1243" w:type="dxa"/>
            <w:tcBorders>
              <w:top w:val="nil"/>
              <w:bottom w:val="nil"/>
            </w:tcBorders>
            <w:noWrap/>
          </w:tcPr>
          <w:p w14:paraId="5CC33C54" w14:textId="77777777" w:rsidR="002E573E" w:rsidRPr="000323A2" w:rsidRDefault="002E573E" w:rsidP="002E573E">
            <w:pPr>
              <w:spacing w:line="276" w:lineRule="auto"/>
              <w:rPr>
                <w:rFonts w:ascii="ITC Avant Garde" w:hAnsi="ITC Avant Garde"/>
                <w:sz w:val="18"/>
                <w:szCs w:val="18"/>
              </w:rPr>
            </w:pPr>
          </w:p>
        </w:tc>
        <w:tc>
          <w:tcPr>
            <w:tcW w:w="1571" w:type="dxa"/>
            <w:noWrap/>
          </w:tcPr>
          <w:p w14:paraId="48EE56CE" w14:textId="77777777" w:rsidR="002E573E" w:rsidRPr="000323A2" w:rsidRDefault="002E573E" w:rsidP="002E573E">
            <w:pPr>
              <w:spacing w:line="276" w:lineRule="auto"/>
              <w:rPr>
                <w:rFonts w:ascii="ITC Avant Garde" w:hAnsi="ITC Avant Garde"/>
                <w:sz w:val="18"/>
                <w:szCs w:val="18"/>
              </w:rPr>
            </w:pPr>
          </w:p>
        </w:tc>
        <w:tc>
          <w:tcPr>
            <w:tcW w:w="2148" w:type="dxa"/>
            <w:noWrap/>
          </w:tcPr>
          <w:p w14:paraId="7A84F313" w14:textId="77777777" w:rsidR="002E573E" w:rsidRPr="000323A2" w:rsidRDefault="002E573E" w:rsidP="002E573E">
            <w:pPr>
              <w:spacing w:line="276" w:lineRule="auto"/>
              <w:rPr>
                <w:rFonts w:ascii="ITC Avant Garde" w:hAnsi="ITC Avant Garde"/>
                <w:sz w:val="18"/>
                <w:szCs w:val="18"/>
              </w:rPr>
            </w:pPr>
            <w:r w:rsidRPr="000323A2">
              <w:rPr>
                <w:rFonts w:ascii="ITC Avant Garde" w:hAnsi="ITC Avant Garde"/>
                <w:sz w:val="18"/>
                <w:szCs w:val="18"/>
              </w:rPr>
              <w:t xml:space="preserve"> LAGOS DE MORENO</w:t>
            </w:r>
          </w:p>
        </w:tc>
        <w:tc>
          <w:tcPr>
            <w:tcW w:w="315" w:type="dxa"/>
            <w:tcBorders>
              <w:top w:val="nil"/>
              <w:bottom w:val="nil"/>
            </w:tcBorders>
            <w:noWrap/>
          </w:tcPr>
          <w:p w14:paraId="596E22BA" w14:textId="3D7F320A" w:rsidR="002E573E" w:rsidRPr="00AE31D9" w:rsidRDefault="002E573E"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bottom w:val="nil"/>
            </w:tcBorders>
            <w:noWrap/>
          </w:tcPr>
          <w:p w14:paraId="7137191A" w14:textId="77777777" w:rsidR="002E573E" w:rsidRPr="000323A2" w:rsidRDefault="002E573E" w:rsidP="002E573E">
            <w:pPr>
              <w:spacing w:line="276" w:lineRule="auto"/>
              <w:rPr>
                <w:rFonts w:ascii="ITC Avant Garde" w:hAnsi="ITC Avant Garde"/>
                <w:sz w:val="18"/>
                <w:szCs w:val="18"/>
              </w:rPr>
            </w:pPr>
          </w:p>
        </w:tc>
        <w:tc>
          <w:tcPr>
            <w:tcW w:w="1527" w:type="dxa"/>
            <w:noWrap/>
          </w:tcPr>
          <w:p w14:paraId="69CAEAFC" w14:textId="77777777" w:rsidR="002E573E" w:rsidRPr="000323A2" w:rsidRDefault="002E573E" w:rsidP="002E573E">
            <w:pPr>
              <w:spacing w:line="276" w:lineRule="auto"/>
              <w:rPr>
                <w:rFonts w:ascii="ITC Avant Garde" w:hAnsi="ITC Avant Garde"/>
                <w:sz w:val="18"/>
                <w:szCs w:val="18"/>
              </w:rPr>
            </w:pPr>
          </w:p>
        </w:tc>
        <w:tc>
          <w:tcPr>
            <w:tcW w:w="2268" w:type="dxa"/>
            <w:noWrap/>
          </w:tcPr>
          <w:p w14:paraId="28A5BF28" w14:textId="77777777" w:rsidR="002E573E" w:rsidRPr="000323A2" w:rsidRDefault="002E573E" w:rsidP="002E573E">
            <w:pPr>
              <w:spacing w:line="276" w:lineRule="auto"/>
              <w:rPr>
                <w:rFonts w:ascii="ITC Avant Garde" w:hAnsi="ITC Avant Garde"/>
                <w:sz w:val="18"/>
                <w:szCs w:val="18"/>
              </w:rPr>
            </w:pPr>
          </w:p>
        </w:tc>
      </w:tr>
      <w:tr w:rsidR="00AE31D9" w:rsidRPr="000323A2" w14:paraId="07CD2D87" w14:textId="77777777" w:rsidTr="00AE31D9">
        <w:trPr>
          <w:trHeight w:val="300"/>
          <w:tblHeader/>
          <w:jc w:val="center"/>
        </w:trPr>
        <w:tc>
          <w:tcPr>
            <w:tcW w:w="1243" w:type="dxa"/>
            <w:tcBorders>
              <w:top w:val="nil"/>
              <w:bottom w:val="nil"/>
            </w:tcBorders>
            <w:noWrap/>
          </w:tcPr>
          <w:p w14:paraId="05072A40"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7EEC8694"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52F3D7D9"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OCOTLAN</w:t>
            </w:r>
          </w:p>
        </w:tc>
        <w:tc>
          <w:tcPr>
            <w:tcW w:w="315" w:type="dxa"/>
            <w:tcBorders>
              <w:top w:val="nil"/>
              <w:bottom w:val="nil"/>
            </w:tcBorders>
            <w:noWrap/>
          </w:tcPr>
          <w:p w14:paraId="6FAC71E0" w14:textId="64DF81AF"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45999A9B"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30CD0C71"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4563269D" w14:textId="77777777" w:rsidR="00AE31D9" w:rsidRPr="000323A2" w:rsidRDefault="00AE31D9" w:rsidP="002E573E">
            <w:pPr>
              <w:spacing w:line="276" w:lineRule="auto"/>
              <w:rPr>
                <w:rFonts w:ascii="ITC Avant Garde" w:hAnsi="ITC Avant Garde"/>
                <w:sz w:val="18"/>
                <w:szCs w:val="18"/>
              </w:rPr>
            </w:pPr>
          </w:p>
        </w:tc>
      </w:tr>
      <w:tr w:rsidR="00AE31D9" w:rsidRPr="000323A2" w14:paraId="2AFA16F1" w14:textId="77777777" w:rsidTr="00AE31D9">
        <w:trPr>
          <w:trHeight w:val="300"/>
          <w:tblHeader/>
          <w:jc w:val="center"/>
        </w:trPr>
        <w:tc>
          <w:tcPr>
            <w:tcW w:w="1243" w:type="dxa"/>
            <w:tcBorders>
              <w:top w:val="nil"/>
              <w:bottom w:val="nil"/>
            </w:tcBorders>
            <w:noWrap/>
          </w:tcPr>
          <w:p w14:paraId="65585B5F"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09B648B8"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31108254"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SAN JUAN DE LOS LAGOS</w:t>
            </w:r>
          </w:p>
        </w:tc>
        <w:tc>
          <w:tcPr>
            <w:tcW w:w="315" w:type="dxa"/>
            <w:tcBorders>
              <w:top w:val="nil"/>
              <w:bottom w:val="nil"/>
            </w:tcBorders>
            <w:noWrap/>
          </w:tcPr>
          <w:p w14:paraId="61648EEE" w14:textId="30DEB8CC"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69CC2610"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57DD1957"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5821FD2A" w14:textId="77777777" w:rsidR="00AE31D9" w:rsidRPr="000323A2" w:rsidRDefault="00AE31D9" w:rsidP="002E573E">
            <w:pPr>
              <w:spacing w:line="276" w:lineRule="auto"/>
              <w:rPr>
                <w:rFonts w:ascii="ITC Avant Garde" w:hAnsi="ITC Avant Garde"/>
                <w:sz w:val="18"/>
                <w:szCs w:val="18"/>
              </w:rPr>
            </w:pPr>
          </w:p>
        </w:tc>
      </w:tr>
      <w:tr w:rsidR="00AE31D9" w:rsidRPr="000323A2" w14:paraId="19B5A64B" w14:textId="77777777" w:rsidTr="00AE31D9">
        <w:trPr>
          <w:trHeight w:val="300"/>
          <w:tblHeader/>
          <w:jc w:val="center"/>
        </w:trPr>
        <w:tc>
          <w:tcPr>
            <w:tcW w:w="1243" w:type="dxa"/>
            <w:tcBorders>
              <w:top w:val="nil"/>
              <w:bottom w:val="nil"/>
            </w:tcBorders>
            <w:noWrap/>
          </w:tcPr>
          <w:p w14:paraId="574ED77E"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06ADE29B"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57DB0204"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TEPATITLAN</w:t>
            </w:r>
          </w:p>
        </w:tc>
        <w:tc>
          <w:tcPr>
            <w:tcW w:w="315" w:type="dxa"/>
            <w:tcBorders>
              <w:top w:val="nil"/>
              <w:bottom w:val="nil"/>
            </w:tcBorders>
            <w:noWrap/>
          </w:tcPr>
          <w:p w14:paraId="07E925A7" w14:textId="76D9B6EC"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1656351D"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04404AEB"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3186C162" w14:textId="77777777" w:rsidR="00AE31D9" w:rsidRPr="000323A2" w:rsidRDefault="00AE31D9" w:rsidP="002E573E">
            <w:pPr>
              <w:spacing w:line="276" w:lineRule="auto"/>
              <w:rPr>
                <w:rFonts w:ascii="ITC Avant Garde" w:hAnsi="ITC Avant Garde"/>
                <w:sz w:val="18"/>
                <w:szCs w:val="18"/>
              </w:rPr>
            </w:pPr>
          </w:p>
        </w:tc>
      </w:tr>
      <w:tr w:rsidR="00AE31D9" w:rsidRPr="000323A2" w14:paraId="3946FDE5" w14:textId="77777777" w:rsidTr="00AE31D9">
        <w:trPr>
          <w:trHeight w:val="300"/>
          <w:tblHeader/>
          <w:jc w:val="center"/>
        </w:trPr>
        <w:tc>
          <w:tcPr>
            <w:tcW w:w="1243" w:type="dxa"/>
            <w:tcBorders>
              <w:top w:val="nil"/>
              <w:bottom w:val="nil"/>
            </w:tcBorders>
            <w:noWrap/>
          </w:tcPr>
          <w:p w14:paraId="68B94EFB"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2817D4D1"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LA PAZ</w:t>
            </w:r>
          </w:p>
        </w:tc>
        <w:tc>
          <w:tcPr>
            <w:tcW w:w="2148" w:type="dxa"/>
            <w:noWrap/>
          </w:tcPr>
          <w:p w14:paraId="354C2367"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CIUDAD CONSTITUCION</w:t>
            </w:r>
          </w:p>
        </w:tc>
        <w:tc>
          <w:tcPr>
            <w:tcW w:w="315" w:type="dxa"/>
            <w:tcBorders>
              <w:top w:val="nil"/>
              <w:bottom w:val="nil"/>
            </w:tcBorders>
            <w:noWrap/>
          </w:tcPr>
          <w:p w14:paraId="44F6F937" w14:textId="25EA48A4"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51C381CE"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545798F9"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3F9459D4" w14:textId="77777777" w:rsidR="00AE31D9" w:rsidRPr="000323A2" w:rsidRDefault="00AE31D9" w:rsidP="002E573E">
            <w:pPr>
              <w:spacing w:line="276" w:lineRule="auto"/>
              <w:rPr>
                <w:rFonts w:ascii="ITC Avant Garde" w:hAnsi="ITC Avant Garde"/>
                <w:sz w:val="18"/>
                <w:szCs w:val="18"/>
              </w:rPr>
            </w:pPr>
          </w:p>
        </w:tc>
      </w:tr>
      <w:tr w:rsidR="00AE31D9" w:rsidRPr="000323A2" w14:paraId="269474F9" w14:textId="77777777" w:rsidTr="00AE31D9">
        <w:trPr>
          <w:trHeight w:val="300"/>
          <w:tblHeader/>
          <w:jc w:val="center"/>
        </w:trPr>
        <w:tc>
          <w:tcPr>
            <w:tcW w:w="1243" w:type="dxa"/>
            <w:tcBorders>
              <w:top w:val="nil"/>
              <w:bottom w:val="nil"/>
            </w:tcBorders>
            <w:noWrap/>
          </w:tcPr>
          <w:p w14:paraId="738718E6"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20D3202D"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5E86121F"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SAN JOSE DEL CABO</w:t>
            </w:r>
          </w:p>
        </w:tc>
        <w:tc>
          <w:tcPr>
            <w:tcW w:w="315" w:type="dxa"/>
            <w:tcBorders>
              <w:top w:val="nil"/>
              <w:bottom w:val="nil"/>
            </w:tcBorders>
            <w:noWrap/>
          </w:tcPr>
          <w:p w14:paraId="58721CCE" w14:textId="1D804730"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2CC7FA1B"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0ED2AD89"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43581E70" w14:textId="77777777" w:rsidR="00AE31D9" w:rsidRPr="000323A2" w:rsidRDefault="00AE31D9" w:rsidP="002E573E">
            <w:pPr>
              <w:spacing w:line="276" w:lineRule="auto"/>
              <w:rPr>
                <w:rFonts w:ascii="ITC Avant Garde" w:hAnsi="ITC Avant Garde"/>
                <w:sz w:val="18"/>
                <w:szCs w:val="18"/>
              </w:rPr>
            </w:pPr>
          </w:p>
        </w:tc>
      </w:tr>
      <w:tr w:rsidR="00AE31D9" w:rsidRPr="000323A2" w14:paraId="7DDF4017" w14:textId="77777777" w:rsidTr="00AE31D9">
        <w:trPr>
          <w:trHeight w:val="300"/>
          <w:tblHeader/>
          <w:jc w:val="center"/>
        </w:trPr>
        <w:tc>
          <w:tcPr>
            <w:tcW w:w="1243" w:type="dxa"/>
            <w:tcBorders>
              <w:top w:val="nil"/>
              <w:bottom w:val="nil"/>
            </w:tcBorders>
            <w:noWrap/>
          </w:tcPr>
          <w:p w14:paraId="28583678"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5B2E7468" w14:textId="77777777" w:rsidR="00AE31D9" w:rsidRPr="000323A2" w:rsidRDefault="00AE31D9" w:rsidP="002E573E">
            <w:pPr>
              <w:spacing w:line="276" w:lineRule="auto"/>
              <w:rPr>
                <w:rFonts w:ascii="ITC Avant Garde" w:hAnsi="ITC Avant Garde"/>
                <w:sz w:val="18"/>
                <w:szCs w:val="18"/>
              </w:rPr>
            </w:pPr>
          </w:p>
        </w:tc>
        <w:tc>
          <w:tcPr>
            <w:tcW w:w="2148" w:type="dxa"/>
            <w:noWrap/>
          </w:tcPr>
          <w:p w14:paraId="20349951"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SANTA ROSALIA</w:t>
            </w:r>
          </w:p>
        </w:tc>
        <w:tc>
          <w:tcPr>
            <w:tcW w:w="315" w:type="dxa"/>
            <w:tcBorders>
              <w:top w:val="nil"/>
              <w:bottom w:val="nil"/>
            </w:tcBorders>
            <w:noWrap/>
          </w:tcPr>
          <w:p w14:paraId="1CEA829B" w14:textId="2772D034"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bottom w:val="nil"/>
            </w:tcBorders>
            <w:noWrap/>
          </w:tcPr>
          <w:p w14:paraId="6BA14767"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253D251E"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35C5BC8D" w14:textId="77777777" w:rsidR="00AE31D9" w:rsidRPr="000323A2" w:rsidRDefault="00AE31D9" w:rsidP="002E573E">
            <w:pPr>
              <w:spacing w:line="276" w:lineRule="auto"/>
              <w:rPr>
                <w:rFonts w:ascii="ITC Avant Garde" w:hAnsi="ITC Avant Garde"/>
                <w:sz w:val="18"/>
                <w:szCs w:val="18"/>
              </w:rPr>
            </w:pPr>
          </w:p>
        </w:tc>
      </w:tr>
      <w:tr w:rsidR="00AE31D9" w:rsidRPr="000323A2" w14:paraId="09B77D5A" w14:textId="77777777" w:rsidTr="00AE31D9">
        <w:trPr>
          <w:trHeight w:val="300"/>
          <w:tblHeader/>
          <w:jc w:val="center"/>
        </w:trPr>
        <w:tc>
          <w:tcPr>
            <w:tcW w:w="1243" w:type="dxa"/>
            <w:tcBorders>
              <w:top w:val="nil"/>
            </w:tcBorders>
            <w:noWrap/>
          </w:tcPr>
          <w:p w14:paraId="78AAAE82" w14:textId="77777777" w:rsidR="00AE31D9" w:rsidRPr="000323A2" w:rsidRDefault="00AE31D9" w:rsidP="002E573E">
            <w:pPr>
              <w:spacing w:line="276" w:lineRule="auto"/>
              <w:rPr>
                <w:rFonts w:ascii="ITC Avant Garde" w:hAnsi="ITC Avant Garde"/>
                <w:sz w:val="18"/>
                <w:szCs w:val="18"/>
              </w:rPr>
            </w:pPr>
          </w:p>
        </w:tc>
        <w:tc>
          <w:tcPr>
            <w:tcW w:w="1571" w:type="dxa"/>
            <w:noWrap/>
          </w:tcPr>
          <w:p w14:paraId="46F5B0AE"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LOS MOCHIS</w:t>
            </w:r>
          </w:p>
        </w:tc>
        <w:tc>
          <w:tcPr>
            <w:tcW w:w="2148" w:type="dxa"/>
            <w:noWrap/>
          </w:tcPr>
          <w:p w14:paraId="5A87DC00" w14:textId="77777777" w:rsidR="00AE31D9" w:rsidRPr="000323A2" w:rsidRDefault="00AE31D9" w:rsidP="002E573E">
            <w:pPr>
              <w:spacing w:line="276" w:lineRule="auto"/>
              <w:rPr>
                <w:rFonts w:ascii="ITC Avant Garde" w:hAnsi="ITC Avant Garde"/>
                <w:sz w:val="18"/>
                <w:szCs w:val="18"/>
              </w:rPr>
            </w:pPr>
            <w:r w:rsidRPr="000323A2">
              <w:rPr>
                <w:rFonts w:ascii="ITC Avant Garde" w:hAnsi="ITC Avant Garde"/>
                <w:sz w:val="18"/>
                <w:szCs w:val="18"/>
              </w:rPr>
              <w:t xml:space="preserve"> GUASAVE</w:t>
            </w:r>
          </w:p>
        </w:tc>
        <w:tc>
          <w:tcPr>
            <w:tcW w:w="315" w:type="dxa"/>
            <w:tcBorders>
              <w:top w:val="nil"/>
            </w:tcBorders>
            <w:noWrap/>
          </w:tcPr>
          <w:p w14:paraId="290FCF35" w14:textId="73CCC0FA" w:rsidR="00AE31D9" w:rsidRPr="00AE31D9" w:rsidRDefault="00AE31D9" w:rsidP="002E573E">
            <w:pPr>
              <w:spacing w:line="276" w:lineRule="auto"/>
              <w:rPr>
                <w:rFonts w:ascii="ITC Avant Garde" w:hAnsi="ITC Avant Garde"/>
                <w:color w:val="FFFFFF" w:themeColor="background1"/>
                <w:sz w:val="18"/>
                <w:szCs w:val="18"/>
              </w:rPr>
            </w:pPr>
            <w:r w:rsidRPr="00AE31D9">
              <w:rPr>
                <w:rFonts w:ascii="ITC Avant Garde" w:hAnsi="ITC Avant Garde"/>
                <w:color w:val="FFFFFF" w:themeColor="background1"/>
                <w:sz w:val="4"/>
                <w:szCs w:val="4"/>
              </w:rPr>
              <w:t>Sin texto</w:t>
            </w:r>
          </w:p>
        </w:tc>
        <w:tc>
          <w:tcPr>
            <w:tcW w:w="1243" w:type="dxa"/>
            <w:tcBorders>
              <w:top w:val="nil"/>
            </w:tcBorders>
            <w:noWrap/>
          </w:tcPr>
          <w:p w14:paraId="5E8CEA9C" w14:textId="77777777" w:rsidR="00AE31D9" w:rsidRPr="000323A2" w:rsidRDefault="00AE31D9" w:rsidP="002E573E">
            <w:pPr>
              <w:spacing w:line="276" w:lineRule="auto"/>
              <w:rPr>
                <w:rFonts w:ascii="ITC Avant Garde" w:hAnsi="ITC Avant Garde"/>
                <w:sz w:val="18"/>
                <w:szCs w:val="18"/>
              </w:rPr>
            </w:pPr>
          </w:p>
        </w:tc>
        <w:tc>
          <w:tcPr>
            <w:tcW w:w="1527" w:type="dxa"/>
            <w:noWrap/>
          </w:tcPr>
          <w:p w14:paraId="5F115204" w14:textId="77777777" w:rsidR="00AE31D9" w:rsidRPr="000323A2" w:rsidRDefault="00AE31D9" w:rsidP="002E573E">
            <w:pPr>
              <w:spacing w:line="276" w:lineRule="auto"/>
              <w:rPr>
                <w:rFonts w:ascii="ITC Avant Garde" w:hAnsi="ITC Avant Garde"/>
                <w:sz w:val="18"/>
                <w:szCs w:val="18"/>
              </w:rPr>
            </w:pPr>
          </w:p>
        </w:tc>
        <w:tc>
          <w:tcPr>
            <w:tcW w:w="2268" w:type="dxa"/>
            <w:noWrap/>
          </w:tcPr>
          <w:p w14:paraId="36843A25" w14:textId="77777777" w:rsidR="00AE31D9" w:rsidRPr="000323A2" w:rsidRDefault="00AE31D9" w:rsidP="002E573E">
            <w:pPr>
              <w:spacing w:line="276" w:lineRule="auto"/>
              <w:rPr>
                <w:rFonts w:ascii="ITC Avant Garde" w:hAnsi="ITC Avant Garde"/>
                <w:sz w:val="18"/>
                <w:szCs w:val="18"/>
              </w:rPr>
            </w:pPr>
          </w:p>
        </w:tc>
      </w:tr>
    </w:tbl>
    <w:p w14:paraId="5F50AC5A" w14:textId="77777777" w:rsidR="000323A2" w:rsidRPr="000323A2" w:rsidRDefault="000323A2" w:rsidP="000323A2">
      <w:pPr>
        <w:spacing w:before="240" w:after="0" w:line="276" w:lineRule="auto"/>
        <w:jc w:val="both"/>
        <w:rPr>
          <w:rFonts w:ascii="Calibri" w:eastAsia="Calibri" w:hAnsi="Calibri" w:cs="Times New Roman"/>
          <w:lang w:val="es-ES" w:eastAsia="es-ES"/>
        </w:rPr>
      </w:pPr>
    </w:p>
    <w:p w14:paraId="34F0DD8D" w14:textId="77777777" w:rsidR="000323A2" w:rsidRPr="000323A2" w:rsidRDefault="000323A2" w:rsidP="000323A2">
      <w:pPr>
        <w:spacing w:before="240" w:after="0" w:line="240" w:lineRule="auto"/>
        <w:rPr>
          <w:rFonts w:ascii="ITC Avant Garde" w:eastAsia="Calibri" w:hAnsi="ITC Avant Garde" w:cs="Arial"/>
          <w:i/>
          <w:iCs/>
          <w:sz w:val="24"/>
          <w:szCs w:val="24"/>
          <w:lang w:val="es-ES" w:eastAsia="es-ES"/>
        </w:rPr>
      </w:pPr>
      <w:r w:rsidRPr="000323A2">
        <w:rPr>
          <w:rFonts w:ascii="ITC Avant Garde" w:eastAsia="Calibri" w:hAnsi="ITC Avant Garde" w:cs="Arial"/>
          <w:i/>
          <w:iCs/>
          <w:sz w:val="24"/>
          <w:szCs w:val="24"/>
          <w:lang w:val="es-ES" w:eastAsia="es-ES"/>
        </w:rPr>
        <w:br w:type="page"/>
      </w:r>
    </w:p>
    <w:p w14:paraId="1770306F" w14:textId="77777777" w:rsidR="000323A2" w:rsidRPr="000323A2" w:rsidRDefault="000323A2" w:rsidP="000323A2">
      <w:pPr>
        <w:spacing w:before="240"/>
        <w:jc w:val="center"/>
        <w:rPr>
          <w:rFonts w:ascii="ITC Avant Garde" w:eastAsia="Calibri" w:hAnsi="ITC Avant Garde" w:cs="Times New Roman"/>
          <w:sz w:val="24"/>
          <w:szCs w:val="24"/>
        </w:rPr>
      </w:pPr>
      <w:r w:rsidRPr="000323A2">
        <w:rPr>
          <w:rFonts w:ascii="ITC Avant Garde" w:eastAsia="Calibri" w:hAnsi="ITC Avant Garde" w:cs="Times New Roman"/>
          <w:sz w:val="24"/>
          <w:szCs w:val="24"/>
        </w:rPr>
        <w:lastRenderedPageBreak/>
        <w:t>Zona Norte</w:t>
      </w:r>
    </w:p>
    <w:tbl>
      <w:tblPr>
        <w:tblStyle w:val="Cuadrculadetablaclara1"/>
        <w:tblW w:w="4441" w:type="dxa"/>
        <w:jc w:val="center"/>
        <w:tblLook w:val="00A0" w:firstRow="1" w:lastRow="0" w:firstColumn="1" w:lastColumn="0" w:noHBand="0" w:noVBand="0"/>
        <w:tblCaption w:val="Tabla"/>
        <w:tblDescription w:val="Zona Norte"/>
      </w:tblPr>
      <w:tblGrid>
        <w:gridCol w:w="1323"/>
        <w:gridCol w:w="3118"/>
      </w:tblGrid>
      <w:tr w:rsidR="000323A2" w:rsidRPr="000323A2" w14:paraId="2FC1E516" w14:textId="77777777" w:rsidTr="000323A2">
        <w:trPr>
          <w:trHeight w:val="690"/>
          <w:tblHeader/>
          <w:jc w:val="center"/>
        </w:trPr>
        <w:tc>
          <w:tcPr>
            <w:tcW w:w="1323" w:type="dxa"/>
            <w:tcBorders>
              <w:bottom w:val="single" w:sz="4" w:space="0" w:color="BFBFBF"/>
            </w:tcBorders>
            <w:shd w:val="clear" w:color="auto" w:fill="8DB3E2"/>
            <w:noWrap/>
          </w:tcPr>
          <w:p w14:paraId="5B196E15" w14:textId="77777777" w:rsidR="000323A2" w:rsidRPr="000323A2" w:rsidRDefault="000323A2" w:rsidP="000323A2">
            <w:pPr>
              <w:spacing w:before="240"/>
              <w:jc w:val="center"/>
              <w:rPr>
                <w:b/>
                <w:bCs/>
                <w:color w:val="000000"/>
              </w:rPr>
            </w:pPr>
            <w:r w:rsidRPr="000323A2">
              <w:rPr>
                <w:b/>
                <w:bCs/>
                <w:color w:val="000000"/>
              </w:rPr>
              <w:t>División</w:t>
            </w:r>
          </w:p>
        </w:tc>
        <w:tc>
          <w:tcPr>
            <w:tcW w:w="3118" w:type="dxa"/>
            <w:shd w:val="clear" w:color="auto" w:fill="8DB3E2"/>
          </w:tcPr>
          <w:p w14:paraId="79A0FAC9" w14:textId="77777777" w:rsidR="000323A2" w:rsidRPr="000323A2" w:rsidRDefault="000323A2" w:rsidP="000323A2">
            <w:pPr>
              <w:spacing w:before="240"/>
              <w:jc w:val="center"/>
              <w:rPr>
                <w:b/>
                <w:bCs/>
                <w:color w:val="000000"/>
              </w:rPr>
            </w:pPr>
            <w:r w:rsidRPr="000323A2">
              <w:rPr>
                <w:b/>
                <w:bCs/>
                <w:color w:val="000000"/>
              </w:rPr>
              <w:t xml:space="preserve">Área urbana </w:t>
            </w:r>
            <w:r w:rsidRPr="000323A2">
              <w:rPr>
                <w:b/>
                <w:bCs/>
                <w:color w:val="000000"/>
              </w:rPr>
              <w:br/>
              <w:t>(1 hora de traslado)</w:t>
            </w:r>
          </w:p>
        </w:tc>
      </w:tr>
      <w:tr w:rsidR="000323A2" w:rsidRPr="000323A2" w14:paraId="1F6222C2" w14:textId="77777777" w:rsidTr="000323A2">
        <w:trPr>
          <w:trHeight w:val="397"/>
          <w:tblHeader/>
          <w:jc w:val="center"/>
        </w:trPr>
        <w:tc>
          <w:tcPr>
            <w:tcW w:w="1323" w:type="dxa"/>
            <w:tcBorders>
              <w:bottom w:val="nil"/>
            </w:tcBorders>
            <w:noWrap/>
          </w:tcPr>
          <w:p w14:paraId="3C7E3E68" w14:textId="77777777" w:rsidR="000323A2" w:rsidRPr="000323A2" w:rsidRDefault="000323A2" w:rsidP="000323A2">
            <w:pPr>
              <w:spacing w:before="240"/>
              <w:rPr>
                <w:color w:val="000000"/>
                <w:sz w:val="24"/>
                <w:szCs w:val="24"/>
              </w:rPr>
            </w:pPr>
            <w:r w:rsidRPr="000323A2">
              <w:rPr>
                <w:color w:val="000000"/>
                <w:sz w:val="24"/>
                <w:szCs w:val="24"/>
              </w:rPr>
              <w:t>Norte</w:t>
            </w:r>
          </w:p>
        </w:tc>
        <w:tc>
          <w:tcPr>
            <w:tcW w:w="3118" w:type="dxa"/>
            <w:noWrap/>
          </w:tcPr>
          <w:p w14:paraId="522CE536" w14:textId="77777777" w:rsidR="000323A2" w:rsidRPr="000323A2" w:rsidRDefault="000323A2" w:rsidP="000323A2">
            <w:pPr>
              <w:spacing w:before="240"/>
              <w:rPr>
                <w:color w:val="000000"/>
              </w:rPr>
            </w:pPr>
            <w:r w:rsidRPr="000323A2">
              <w:rPr>
                <w:color w:val="000000"/>
              </w:rPr>
              <w:t>AGUASCALIENTES</w:t>
            </w:r>
          </w:p>
        </w:tc>
      </w:tr>
      <w:tr w:rsidR="000323A2" w:rsidRPr="000323A2" w14:paraId="0DA390B3" w14:textId="77777777" w:rsidTr="000323A2">
        <w:trPr>
          <w:trHeight w:val="397"/>
          <w:tblHeader/>
          <w:jc w:val="center"/>
        </w:trPr>
        <w:tc>
          <w:tcPr>
            <w:tcW w:w="1323" w:type="dxa"/>
            <w:tcBorders>
              <w:top w:val="nil"/>
              <w:bottom w:val="nil"/>
            </w:tcBorders>
            <w:noWrap/>
          </w:tcPr>
          <w:p w14:paraId="12DC33A9" w14:textId="77777777" w:rsidR="000323A2" w:rsidRPr="000323A2" w:rsidRDefault="000323A2" w:rsidP="000323A2">
            <w:pPr>
              <w:spacing w:before="240"/>
              <w:rPr>
                <w:color w:val="000000"/>
              </w:rPr>
            </w:pPr>
          </w:p>
        </w:tc>
        <w:tc>
          <w:tcPr>
            <w:tcW w:w="3118" w:type="dxa"/>
            <w:noWrap/>
          </w:tcPr>
          <w:p w14:paraId="24B6A34D" w14:textId="77777777" w:rsidR="000323A2" w:rsidRPr="000323A2" w:rsidRDefault="000323A2" w:rsidP="000323A2">
            <w:pPr>
              <w:spacing w:before="240"/>
              <w:rPr>
                <w:color w:val="000000"/>
              </w:rPr>
            </w:pPr>
            <w:r w:rsidRPr="000323A2">
              <w:rPr>
                <w:color w:val="000000"/>
              </w:rPr>
              <w:t>CELAYA</w:t>
            </w:r>
          </w:p>
        </w:tc>
      </w:tr>
      <w:tr w:rsidR="000323A2" w:rsidRPr="000323A2" w14:paraId="0783764B" w14:textId="77777777" w:rsidTr="000323A2">
        <w:trPr>
          <w:trHeight w:val="397"/>
          <w:tblHeader/>
          <w:jc w:val="center"/>
        </w:trPr>
        <w:tc>
          <w:tcPr>
            <w:tcW w:w="1323" w:type="dxa"/>
            <w:tcBorders>
              <w:top w:val="nil"/>
              <w:bottom w:val="nil"/>
            </w:tcBorders>
            <w:noWrap/>
          </w:tcPr>
          <w:p w14:paraId="56F2E0B1" w14:textId="77777777" w:rsidR="000323A2" w:rsidRPr="000323A2" w:rsidRDefault="000323A2" w:rsidP="000323A2">
            <w:pPr>
              <w:spacing w:before="240"/>
              <w:rPr>
                <w:color w:val="000000"/>
              </w:rPr>
            </w:pPr>
          </w:p>
        </w:tc>
        <w:tc>
          <w:tcPr>
            <w:tcW w:w="3118" w:type="dxa"/>
            <w:noWrap/>
          </w:tcPr>
          <w:p w14:paraId="3EA2D2F2" w14:textId="77777777" w:rsidR="000323A2" w:rsidRPr="000323A2" w:rsidRDefault="000323A2" w:rsidP="000323A2">
            <w:pPr>
              <w:spacing w:before="240"/>
              <w:rPr>
                <w:color w:val="000000"/>
              </w:rPr>
            </w:pPr>
            <w:r w:rsidRPr="000323A2">
              <w:rPr>
                <w:color w:val="000000"/>
              </w:rPr>
              <w:t>CIUDAD VICTORIA</w:t>
            </w:r>
          </w:p>
        </w:tc>
      </w:tr>
      <w:tr w:rsidR="000323A2" w:rsidRPr="000323A2" w14:paraId="34B4D1B5" w14:textId="77777777" w:rsidTr="000323A2">
        <w:trPr>
          <w:trHeight w:val="397"/>
          <w:tblHeader/>
          <w:jc w:val="center"/>
        </w:trPr>
        <w:tc>
          <w:tcPr>
            <w:tcW w:w="1323" w:type="dxa"/>
            <w:tcBorders>
              <w:top w:val="nil"/>
              <w:bottom w:val="nil"/>
            </w:tcBorders>
            <w:noWrap/>
          </w:tcPr>
          <w:p w14:paraId="595DCFB2" w14:textId="77777777" w:rsidR="000323A2" w:rsidRPr="000323A2" w:rsidRDefault="000323A2" w:rsidP="000323A2">
            <w:pPr>
              <w:spacing w:before="240"/>
              <w:rPr>
                <w:color w:val="000000"/>
              </w:rPr>
            </w:pPr>
          </w:p>
        </w:tc>
        <w:tc>
          <w:tcPr>
            <w:tcW w:w="3118" w:type="dxa"/>
            <w:noWrap/>
          </w:tcPr>
          <w:p w14:paraId="7EF5BF32" w14:textId="77777777" w:rsidR="000323A2" w:rsidRPr="000323A2" w:rsidRDefault="000323A2" w:rsidP="000323A2">
            <w:pPr>
              <w:spacing w:before="240"/>
              <w:rPr>
                <w:color w:val="000000"/>
              </w:rPr>
            </w:pPr>
            <w:r w:rsidRPr="000323A2">
              <w:rPr>
                <w:color w:val="000000"/>
              </w:rPr>
              <w:t>IRAPUATO</w:t>
            </w:r>
          </w:p>
        </w:tc>
      </w:tr>
      <w:tr w:rsidR="000323A2" w:rsidRPr="000323A2" w14:paraId="01806BD8" w14:textId="77777777" w:rsidTr="000323A2">
        <w:trPr>
          <w:trHeight w:val="397"/>
          <w:tblHeader/>
          <w:jc w:val="center"/>
        </w:trPr>
        <w:tc>
          <w:tcPr>
            <w:tcW w:w="1323" w:type="dxa"/>
            <w:tcBorders>
              <w:top w:val="nil"/>
              <w:bottom w:val="nil"/>
            </w:tcBorders>
            <w:noWrap/>
          </w:tcPr>
          <w:p w14:paraId="17DDE001" w14:textId="77777777" w:rsidR="000323A2" w:rsidRPr="000323A2" w:rsidRDefault="000323A2" w:rsidP="000323A2">
            <w:pPr>
              <w:spacing w:before="240"/>
              <w:rPr>
                <w:color w:val="000000"/>
              </w:rPr>
            </w:pPr>
          </w:p>
        </w:tc>
        <w:tc>
          <w:tcPr>
            <w:tcW w:w="3118" w:type="dxa"/>
            <w:noWrap/>
          </w:tcPr>
          <w:p w14:paraId="35E73246" w14:textId="77777777" w:rsidR="000323A2" w:rsidRPr="000323A2" w:rsidRDefault="000323A2" w:rsidP="000323A2">
            <w:pPr>
              <w:spacing w:before="240"/>
              <w:rPr>
                <w:color w:val="000000"/>
              </w:rPr>
            </w:pPr>
            <w:r w:rsidRPr="000323A2">
              <w:rPr>
                <w:color w:val="000000"/>
              </w:rPr>
              <w:t>LEON</w:t>
            </w:r>
          </w:p>
        </w:tc>
      </w:tr>
      <w:tr w:rsidR="000323A2" w:rsidRPr="000323A2" w14:paraId="5B4B1B6B" w14:textId="77777777" w:rsidTr="000323A2">
        <w:trPr>
          <w:trHeight w:val="397"/>
          <w:tblHeader/>
          <w:jc w:val="center"/>
        </w:trPr>
        <w:tc>
          <w:tcPr>
            <w:tcW w:w="1323" w:type="dxa"/>
            <w:tcBorders>
              <w:top w:val="nil"/>
              <w:bottom w:val="nil"/>
            </w:tcBorders>
            <w:noWrap/>
          </w:tcPr>
          <w:p w14:paraId="36B5EABA" w14:textId="77777777" w:rsidR="000323A2" w:rsidRPr="000323A2" w:rsidRDefault="000323A2" w:rsidP="000323A2">
            <w:pPr>
              <w:spacing w:before="240"/>
              <w:rPr>
                <w:color w:val="000000"/>
              </w:rPr>
            </w:pPr>
          </w:p>
        </w:tc>
        <w:tc>
          <w:tcPr>
            <w:tcW w:w="3118" w:type="dxa"/>
            <w:noWrap/>
          </w:tcPr>
          <w:p w14:paraId="7BFAB051" w14:textId="77777777" w:rsidR="000323A2" w:rsidRPr="000323A2" w:rsidRDefault="000323A2" w:rsidP="000323A2">
            <w:pPr>
              <w:spacing w:before="240"/>
              <w:rPr>
                <w:color w:val="000000"/>
              </w:rPr>
            </w:pPr>
            <w:r w:rsidRPr="000323A2">
              <w:rPr>
                <w:color w:val="000000"/>
              </w:rPr>
              <w:t>MATAMOROS</w:t>
            </w:r>
          </w:p>
        </w:tc>
      </w:tr>
      <w:tr w:rsidR="000323A2" w:rsidRPr="000323A2" w14:paraId="44F464DF" w14:textId="77777777" w:rsidTr="000323A2">
        <w:trPr>
          <w:trHeight w:val="397"/>
          <w:tblHeader/>
          <w:jc w:val="center"/>
        </w:trPr>
        <w:tc>
          <w:tcPr>
            <w:tcW w:w="1323" w:type="dxa"/>
            <w:tcBorders>
              <w:top w:val="nil"/>
              <w:bottom w:val="nil"/>
            </w:tcBorders>
            <w:noWrap/>
          </w:tcPr>
          <w:p w14:paraId="6B67CBC8" w14:textId="77777777" w:rsidR="000323A2" w:rsidRPr="000323A2" w:rsidRDefault="000323A2" w:rsidP="000323A2">
            <w:pPr>
              <w:spacing w:before="240"/>
              <w:rPr>
                <w:color w:val="000000"/>
              </w:rPr>
            </w:pPr>
          </w:p>
        </w:tc>
        <w:tc>
          <w:tcPr>
            <w:tcW w:w="3118" w:type="dxa"/>
            <w:noWrap/>
          </w:tcPr>
          <w:p w14:paraId="0801B7CA" w14:textId="77777777" w:rsidR="000323A2" w:rsidRPr="000323A2" w:rsidRDefault="000323A2" w:rsidP="000323A2">
            <w:pPr>
              <w:spacing w:before="240"/>
              <w:rPr>
                <w:color w:val="000000"/>
              </w:rPr>
            </w:pPr>
            <w:r w:rsidRPr="000323A2">
              <w:rPr>
                <w:color w:val="000000"/>
              </w:rPr>
              <w:t>MONTERREY</w:t>
            </w:r>
          </w:p>
        </w:tc>
      </w:tr>
      <w:tr w:rsidR="000323A2" w:rsidRPr="000323A2" w14:paraId="642CB66B" w14:textId="77777777" w:rsidTr="000323A2">
        <w:trPr>
          <w:trHeight w:val="397"/>
          <w:tblHeader/>
          <w:jc w:val="center"/>
        </w:trPr>
        <w:tc>
          <w:tcPr>
            <w:tcW w:w="1323" w:type="dxa"/>
            <w:tcBorders>
              <w:top w:val="nil"/>
              <w:bottom w:val="nil"/>
            </w:tcBorders>
            <w:noWrap/>
          </w:tcPr>
          <w:p w14:paraId="6ECEAA75" w14:textId="77777777" w:rsidR="000323A2" w:rsidRPr="000323A2" w:rsidRDefault="000323A2" w:rsidP="000323A2">
            <w:pPr>
              <w:spacing w:before="240"/>
              <w:rPr>
                <w:color w:val="000000"/>
              </w:rPr>
            </w:pPr>
          </w:p>
        </w:tc>
        <w:tc>
          <w:tcPr>
            <w:tcW w:w="3118" w:type="dxa"/>
            <w:noWrap/>
          </w:tcPr>
          <w:p w14:paraId="096E367B" w14:textId="77777777" w:rsidR="000323A2" w:rsidRPr="000323A2" w:rsidRDefault="000323A2" w:rsidP="000323A2">
            <w:pPr>
              <w:spacing w:before="240"/>
              <w:rPr>
                <w:color w:val="000000"/>
              </w:rPr>
            </w:pPr>
            <w:r w:rsidRPr="000323A2">
              <w:rPr>
                <w:color w:val="000000"/>
              </w:rPr>
              <w:t>NUEVO LAREDO</w:t>
            </w:r>
          </w:p>
        </w:tc>
      </w:tr>
      <w:tr w:rsidR="000323A2" w:rsidRPr="000323A2" w14:paraId="62374A0A" w14:textId="77777777" w:rsidTr="000323A2">
        <w:trPr>
          <w:trHeight w:val="397"/>
          <w:tblHeader/>
          <w:jc w:val="center"/>
        </w:trPr>
        <w:tc>
          <w:tcPr>
            <w:tcW w:w="1323" w:type="dxa"/>
            <w:tcBorders>
              <w:top w:val="nil"/>
              <w:bottom w:val="nil"/>
            </w:tcBorders>
            <w:noWrap/>
          </w:tcPr>
          <w:p w14:paraId="225F0762" w14:textId="77777777" w:rsidR="000323A2" w:rsidRPr="000323A2" w:rsidRDefault="000323A2" w:rsidP="000323A2">
            <w:pPr>
              <w:spacing w:before="240"/>
              <w:rPr>
                <w:color w:val="000000"/>
              </w:rPr>
            </w:pPr>
          </w:p>
        </w:tc>
        <w:tc>
          <w:tcPr>
            <w:tcW w:w="3118" w:type="dxa"/>
            <w:noWrap/>
          </w:tcPr>
          <w:p w14:paraId="32AAEC48" w14:textId="77777777" w:rsidR="000323A2" w:rsidRPr="000323A2" w:rsidRDefault="000323A2" w:rsidP="000323A2">
            <w:pPr>
              <w:spacing w:before="240"/>
              <w:rPr>
                <w:color w:val="000000"/>
              </w:rPr>
            </w:pPr>
            <w:r w:rsidRPr="000323A2">
              <w:rPr>
                <w:color w:val="000000"/>
              </w:rPr>
              <w:t>QUERETARO</w:t>
            </w:r>
          </w:p>
        </w:tc>
      </w:tr>
      <w:tr w:rsidR="000323A2" w:rsidRPr="000323A2" w14:paraId="5116882B" w14:textId="77777777" w:rsidTr="000323A2">
        <w:trPr>
          <w:trHeight w:val="397"/>
          <w:tblHeader/>
          <w:jc w:val="center"/>
        </w:trPr>
        <w:tc>
          <w:tcPr>
            <w:tcW w:w="1323" w:type="dxa"/>
            <w:tcBorders>
              <w:top w:val="nil"/>
              <w:bottom w:val="nil"/>
            </w:tcBorders>
            <w:noWrap/>
          </w:tcPr>
          <w:p w14:paraId="7E205133" w14:textId="77777777" w:rsidR="000323A2" w:rsidRPr="000323A2" w:rsidRDefault="000323A2" w:rsidP="000323A2">
            <w:pPr>
              <w:spacing w:before="240"/>
              <w:rPr>
                <w:color w:val="000000"/>
              </w:rPr>
            </w:pPr>
          </w:p>
        </w:tc>
        <w:tc>
          <w:tcPr>
            <w:tcW w:w="3118" w:type="dxa"/>
            <w:noWrap/>
          </w:tcPr>
          <w:p w14:paraId="38D7FD20" w14:textId="77777777" w:rsidR="000323A2" w:rsidRPr="000323A2" w:rsidRDefault="000323A2" w:rsidP="000323A2">
            <w:pPr>
              <w:spacing w:before="240"/>
              <w:rPr>
                <w:color w:val="000000"/>
              </w:rPr>
            </w:pPr>
            <w:r w:rsidRPr="000323A2">
              <w:rPr>
                <w:color w:val="000000"/>
              </w:rPr>
              <w:t>REYNOSA</w:t>
            </w:r>
          </w:p>
        </w:tc>
      </w:tr>
      <w:tr w:rsidR="000323A2" w:rsidRPr="000323A2" w14:paraId="75F5AAE4" w14:textId="77777777" w:rsidTr="000323A2">
        <w:trPr>
          <w:trHeight w:val="397"/>
          <w:tblHeader/>
          <w:jc w:val="center"/>
        </w:trPr>
        <w:tc>
          <w:tcPr>
            <w:tcW w:w="1323" w:type="dxa"/>
            <w:tcBorders>
              <w:top w:val="nil"/>
              <w:bottom w:val="nil"/>
            </w:tcBorders>
            <w:noWrap/>
          </w:tcPr>
          <w:p w14:paraId="6872C7C3" w14:textId="77777777" w:rsidR="000323A2" w:rsidRPr="000323A2" w:rsidRDefault="000323A2" w:rsidP="000323A2">
            <w:pPr>
              <w:spacing w:before="240"/>
              <w:rPr>
                <w:color w:val="000000"/>
              </w:rPr>
            </w:pPr>
          </w:p>
        </w:tc>
        <w:tc>
          <w:tcPr>
            <w:tcW w:w="3118" w:type="dxa"/>
            <w:noWrap/>
          </w:tcPr>
          <w:p w14:paraId="1666847F" w14:textId="77777777" w:rsidR="000323A2" w:rsidRPr="000323A2" w:rsidRDefault="000323A2" w:rsidP="000323A2">
            <w:pPr>
              <w:spacing w:before="240"/>
              <w:rPr>
                <w:color w:val="000000"/>
              </w:rPr>
            </w:pPr>
            <w:r w:rsidRPr="000323A2">
              <w:rPr>
                <w:color w:val="000000"/>
              </w:rPr>
              <w:t>SABINAS</w:t>
            </w:r>
          </w:p>
        </w:tc>
      </w:tr>
      <w:tr w:rsidR="000323A2" w:rsidRPr="000323A2" w14:paraId="5FCE74D6" w14:textId="77777777" w:rsidTr="000323A2">
        <w:trPr>
          <w:trHeight w:val="397"/>
          <w:tblHeader/>
          <w:jc w:val="center"/>
        </w:trPr>
        <w:tc>
          <w:tcPr>
            <w:tcW w:w="1323" w:type="dxa"/>
            <w:tcBorders>
              <w:top w:val="nil"/>
              <w:bottom w:val="nil"/>
            </w:tcBorders>
            <w:noWrap/>
          </w:tcPr>
          <w:p w14:paraId="6CA9D3DA" w14:textId="77777777" w:rsidR="000323A2" w:rsidRPr="000323A2" w:rsidRDefault="000323A2" w:rsidP="000323A2">
            <w:pPr>
              <w:spacing w:before="240"/>
              <w:rPr>
                <w:color w:val="000000"/>
              </w:rPr>
            </w:pPr>
          </w:p>
        </w:tc>
        <w:tc>
          <w:tcPr>
            <w:tcW w:w="3118" w:type="dxa"/>
            <w:noWrap/>
          </w:tcPr>
          <w:p w14:paraId="4A31491B" w14:textId="77777777" w:rsidR="000323A2" w:rsidRPr="000323A2" w:rsidRDefault="000323A2" w:rsidP="000323A2">
            <w:pPr>
              <w:spacing w:before="240"/>
              <w:rPr>
                <w:color w:val="000000"/>
              </w:rPr>
            </w:pPr>
            <w:r w:rsidRPr="000323A2">
              <w:rPr>
                <w:color w:val="000000"/>
              </w:rPr>
              <w:t>SALTILLO</w:t>
            </w:r>
          </w:p>
        </w:tc>
      </w:tr>
      <w:tr w:rsidR="000323A2" w:rsidRPr="000323A2" w14:paraId="67E39C6B" w14:textId="77777777" w:rsidTr="000323A2">
        <w:trPr>
          <w:trHeight w:val="397"/>
          <w:tblHeader/>
          <w:jc w:val="center"/>
        </w:trPr>
        <w:tc>
          <w:tcPr>
            <w:tcW w:w="1323" w:type="dxa"/>
            <w:tcBorders>
              <w:top w:val="nil"/>
              <w:bottom w:val="nil"/>
            </w:tcBorders>
            <w:noWrap/>
          </w:tcPr>
          <w:p w14:paraId="0E652264" w14:textId="77777777" w:rsidR="000323A2" w:rsidRPr="000323A2" w:rsidRDefault="000323A2" w:rsidP="000323A2">
            <w:pPr>
              <w:spacing w:before="240"/>
              <w:rPr>
                <w:color w:val="000000"/>
              </w:rPr>
            </w:pPr>
          </w:p>
        </w:tc>
        <w:tc>
          <w:tcPr>
            <w:tcW w:w="3118" w:type="dxa"/>
            <w:noWrap/>
          </w:tcPr>
          <w:p w14:paraId="58E51857" w14:textId="77777777" w:rsidR="000323A2" w:rsidRPr="000323A2" w:rsidRDefault="000323A2" w:rsidP="000323A2">
            <w:pPr>
              <w:spacing w:before="240"/>
              <w:rPr>
                <w:color w:val="000000"/>
              </w:rPr>
            </w:pPr>
            <w:r w:rsidRPr="000323A2">
              <w:rPr>
                <w:color w:val="000000"/>
              </w:rPr>
              <w:t>SAN LUIS POTOSI</w:t>
            </w:r>
          </w:p>
        </w:tc>
      </w:tr>
      <w:tr w:rsidR="000323A2" w:rsidRPr="000323A2" w14:paraId="50E66776" w14:textId="77777777" w:rsidTr="000323A2">
        <w:trPr>
          <w:trHeight w:val="397"/>
          <w:tblHeader/>
          <w:jc w:val="center"/>
        </w:trPr>
        <w:tc>
          <w:tcPr>
            <w:tcW w:w="1323" w:type="dxa"/>
            <w:tcBorders>
              <w:top w:val="nil"/>
              <w:bottom w:val="nil"/>
            </w:tcBorders>
            <w:noWrap/>
          </w:tcPr>
          <w:p w14:paraId="21F49468" w14:textId="77777777" w:rsidR="000323A2" w:rsidRPr="000323A2" w:rsidRDefault="000323A2" w:rsidP="000323A2">
            <w:pPr>
              <w:spacing w:before="240"/>
              <w:rPr>
                <w:color w:val="000000"/>
              </w:rPr>
            </w:pPr>
          </w:p>
        </w:tc>
        <w:tc>
          <w:tcPr>
            <w:tcW w:w="3118" w:type="dxa"/>
            <w:noWrap/>
          </w:tcPr>
          <w:p w14:paraId="3EEE23F6" w14:textId="77777777" w:rsidR="000323A2" w:rsidRPr="000323A2" w:rsidRDefault="000323A2" w:rsidP="000323A2">
            <w:pPr>
              <w:spacing w:before="240"/>
              <w:rPr>
                <w:color w:val="000000"/>
              </w:rPr>
            </w:pPr>
            <w:r w:rsidRPr="000323A2">
              <w:rPr>
                <w:color w:val="000000"/>
              </w:rPr>
              <w:t>TAMPICO</w:t>
            </w:r>
          </w:p>
        </w:tc>
      </w:tr>
      <w:tr w:rsidR="000323A2" w:rsidRPr="000323A2" w14:paraId="19A19864" w14:textId="77777777" w:rsidTr="000323A2">
        <w:trPr>
          <w:trHeight w:val="397"/>
          <w:tblHeader/>
          <w:jc w:val="center"/>
        </w:trPr>
        <w:tc>
          <w:tcPr>
            <w:tcW w:w="1323" w:type="dxa"/>
            <w:tcBorders>
              <w:top w:val="nil"/>
              <w:bottom w:val="nil"/>
            </w:tcBorders>
            <w:noWrap/>
          </w:tcPr>
          <w:p w14:paraId="321C0491" w14:textId="77777777" w:rsidR="000323A2" w:rsidRPr="000323A2" w:rsidRDefault="000323A2" w:rsidP="000323A2">
            <w:pPr>
              <w:spacing w:before="240"/>
              <w:rPr>
                <w:color w:val="000000"/>
              </w:rPr>
            </w:pPr>
          </w:p>
        </w:tc>
        <w:tc>
          <w:tcPr>
            <w:tcW w:w="3118" w:type="dxa"/>
            <w:noWrap/>
          </w:tcPr>
          <w:p w14:paraId="77E7FB53" w14:textId="77777777" w:rsidR="000323A2" w:rsidRPr="000323A2" w:rsidRDefault="000323A2" w:rsidP="000323A2">
            <w:pPr>
              <w:spacing w:before="240"/>
              <w:rPr>
                <w:color w:val="000000"/>
              </w:rPr>
            </w:pPr>
            <w:r w:rsidRPr="000323A2">
              <w:rPr>
                <w:color w:val="000000"/>
              </w:rPr>
              <w:t>TORREON</w:t>
            </w:r>
          </w:p>
        </w:tc>
      </w:tr>
      <w:tr w:rsidR="000323A2" w:rsidRPr="000323A2" w14:paraId="60A9214D" w14:textId="77777777" w:rsidTr="000323A2">
        <w:trPr>
          <w:trHeight w:val="397"/>
          <w:tblHeader/>
          <w:jc w:val="center"/>
        </w:trPr>
        <w:tc>
          <w:tcPr>
            <w:tcW w:w="1323" w:type="dxa"/>
            <w:tcBorders>
              <w:top w:val="nil"/>
            </w:tcBorders>
            <w:noWrap/>
          </w:tcPr>
          <w:p w14:paraId="675FE3E8" w14:textId="77777777" w:rsidR="000323A2" w:rsidRPr="000323A2" w:rsidRDefault="000323A2" w:rsidP="000323A2">
            <w:pPr>
              <w:spacing w:before="240"/>
              <w:rPr>
                <w:color w:val="000000"/>
              </w:rPr>
            </w:pPr>
          </w:p>
        </w:tc>
        <w:tc>
          <w:tcPr>
            <w:tcW w:w="3118" w:type="dxa"/>
            <w:noWrap/>
          </w:tcPr>
          <w:p w14:paraId="64B7223B" w14:textId="77777777" w:rsidR="000323A2" w:rsidRPr="000323A2" w:rsidRDefault="000323A2" w:rsidP="000323A2">
            <w:pPr>
              <w:spacing w:before="240"/>
              <w:rPr>
                <w:color w:val="000000"/>
              </w:rPr>
            </w:pPr>
            <w:r w:rsidRPr="000323A2">
              <w:rPr>
                <w:color w:val="000000"/>
              </w:rPr>
              <w:t>ZACATECAS</w:t>
            </w:r>
          </w:p>
        </w:tc>
      </w:tr>
    </w:tbl>
    <w:p w14:paraId="536F6814" w14:textId="77777777" w:rsidR="000323A2" w:rsidRPr="000323A2" w:rsidRDefault="000323A2" w:rsidP="000323A2">
      <w:pPr>
        <w:spacing w:before="240"/>
        <w:rPr>
          <w:rFonts w:ascii="Calibri" w:eastAsia="Calibri" w:hAnsi="Calibri" w:cs="Times New Roman"/>
        </w:rPr>
      </w:pPr>
    </w:p>
    <w:p w14:paraId="73F8B0B0" w14:textId="77777777" w:rsidR="000323A2" w:rsidRPr="000323A2" w:rsidRDefault="000323A2" w:rsidP="000323A2">
      <w:pPr>
        <w:spacing w:before="240" w:after="0" w:line="276" w:lineRule="auto"/>
        <w:jc w:val="both"/>
        <w:rPr>
          <w:rFonts w:ascii="Calibri" w:eastAsia="Calibri" w:hAnsi="Calibri" w:cs="Times New Roman"/>
          <w:lang w:val="es-ES" w:eastAsia="es-ES"/>
        </w:rPr>
      </w:pPr>
      <w:r w:rsidRPr="000323A2">
        <w:rPr>
          <w:rFonts w:ascii="ITC Avant Garde" w:eastAsia="Calibri" w:hAnsi="ITC Avant Garde" w:cs="Times New Roman"/>
          <w:sz w:val="24"/>
          <w:szCs w:val="24"/>
          <w:lang w:eastAsia="es-ES"/>
        </w:rPr>
        <w:t>**El tiempo de traslado para las poblaciones que no se encuentran descritas en el presente Anexo H, será de 2 horas.</w:t>
      </w:r>
    </w:p>
    <w:p w14:paraId="269F3F95" w14:textId="77777777" w:rsidR="000323A2" w:rsidRPr="000323A2" w:rsidRDefault="000323A2" w:rsidP="000323A2">
      <w:pPr>
        <w:spacing w:before="240" w:after="0" w:line="240" w:lineRule="auto"/>
        <w:rPr>
          <w:rFonts w:ascii="Calibri" w:eastAsia="Calibri" w:hAnsi="Calibri" w:cs="Times New Roman"/>
          <w:lang w:eastAsia="es-ES"/>
        </w:rPr>
      </w:pPr>
      <w:r w:rsidRPr="000323A2">
        <w:rPr>
          <w:rFonts w:ascii="Calibri" w:eastAsia="Calibri" w:hAnsi="Calibri" w:cs="Times New Roman"/>
          <w:lang w:eastAsia="es-ES"/>
        </w:rPr>
        <w:br w:type="page"/>
      </w:r>
    </w:p>
    <w:p w14:paraId="4657037B" w14:textId="77777777" w:rsidR="000323A2" w:rsidRPr="000323A2" w:rsidRDefault="000323A2" w:rsidP="000323A2">
      <w:pPr>
        <w:widowControl w:val="0"/>
        <w:adjustRightInd w:val="0"/>
        <w:spacing w:before="240" w:after="0" w:line="276" w:lineRule="auto"/>
        <w:jc w:val="both"/>
        <w:textAlignment w:val="baseline"/>
        <w:outlineLvl w:val="0"/>
        <w:rPr>
          <w:rFonts w:ascii="Arial" w:eastAsia="Calibri" w:hAnsi="Arial" w:cs="Arial"/>
          <w:b/>
          <w:sz w:val="24"/>
          <w:szCs w:val="24"/>
          <w:lang w:eastAsia="es-ES"/>
        </w:rPr>
      </w:pPr>
      <w:r w:rsidRPr="000323A2">
        <w:rPr>
          <w:rFonts w:ascii="Arial" w:eastAsia="Calibri" w:hAnsi="Arial" w:cs="Arial"/>
          <w:b/>
          <w:sz w:val="24"/>
          <w:szCs w:val="24"/>
          <w:lang w:eastAsia="es-ES"/>
        </w:rPr>
        <w:lastRenderedPageBreak/>
        <w:t>CONVENIO MARCO PARA LA PRESTACIÓN DEL SERVICIO MAYORISTA DE ARRENDAMIENTO DE ENLACES DEDICADOS LOCALES, ENTRE LOCALIDADES, Y DE LARGA DISTANCIA INTERNACIONAL PARA CONCESIONARIOS DE REDES PÚBLICAS DE TELECOMUNICACIONES Y AUTORIZADOS QUE CELEBRAN POR UNA PARTE TELÉFONOS DE MÉXICO, S.A.B. DE C.V. (EN LO SUCESIVO, “TELMEX”), REPRESENTADA EN ESTE ACTO POR EL LICENCIADO ALEJANDRO COCA SÁNCHEZ, Y POR LA OTRA PARTE [ ] (EN LO SUCESIVO, EL “CONCESIONARIO SOLICITANTE O AUTORIZADO SOLICITANTE”), REPRESENTADA EN ESTE ACTO POR EL SEÑOR [ ], A QUIENES EN SU CONJUNTO SE LES DENOMINARÁ COMO LAS “PARTES”, AL TENOR DE LAS SIGUIENTES DECLARACIONES Y CLÁUSULAS:</w:t>
      </w:r>
    </w:p>
    <w:p w14:paraId="132D630C" w14:textId="77777777" w:rsidR="000323A2" w:rsidRPr="000323A2" w:rsidRDefault="000323A2" w:rsidP="000323A2">
      <w:pPr>
        <w:spacing w:before="240"/>
        <w:jc w:val="center"/>
        <w:rPr>
          <w:rFonts w:ascii="Arial" w:eastAsia="Calibri" w:hAnsi="Arial" w:cs="Arial"/>
          <w:b/>
          <w:sz w:val="24"/>
          <w:szCs w:val="24"/>
        </w:rPr>
      </w:pPr>
      <w:r w:rsidRPr="000323A2">
        <w:rPr>
          <w:rFonts w:ascii="Arial" w:eastAsia="Calibri" w:hAnsi="Arial" w:cs="Arial"/>
          <w:b/>
          <w:sz w:val="24"/>
          <w:szCs w:val="24"/>
        </w:rPr>
        <w:t>DECLARACIONES</w:t>
      </w:r>
    </w:p>
    <w:p w14:paraId="4F3D8346"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 xml:space="preserve">I.- Declara el </w:t>
      </w:r>
      <w:r w:rsidRPr="000323A2">
        <w:rPr>
          <w:rFonts w:ascii="Arial" w:eastAsia="Calibri" w:hAnsi="Arial" w:cs="Arial"/>
          <w:b/>
          <w:sz w:val="24"/>
          <w:szCs w:val="24"/>
          <w:lang w:eastAsia="es-ES"/>
        </w:rPr>
        <w:t xml:space="preserve">CONCESIONARIO SOLICITANTE O AUTORIZADO SOLICITANTE </w:t>
      </w:r>
      <w:r w:rsidRPr="000323A2">
        <w:rPr>
          <w:rFonts w:ascii="Arial" w:eastAsia="Calibri" w:hAnsi="Arial" w:cs="Arial"/>
          <w:b/>
          <w:sz w:val="24"/>
          <w:szCs w:val="24"/>
          <w:lang w:val="es-ES" w:eastAsia="es-ES"/>
        </w:rPr>
        <w:t>que:</w:t>
      </w:r>
    </w:p>
    <w:p w14:paraId="05E1EBF3" w14:textId="77777777" w:rsidR="000323A2" w:rsidRPr="000323A2" w:rsidRDefault="000323A2" w:rsidP="00B04B36">
      <w:pPr>
        <w:widowControl w:val="0"/>
        <w:numPr>
          <w:ilvl w:val="0"/>
          <w:numId w:val="62"/>
        </w:numPr>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ab/>
        <w:t>Es una sociedad mercantil constituida de acuerdo con las leyes de la República Mexicana, y que cuenta con la capacidad jurídica, financiera y administrativa, así como con las condiciones técnicas y económicas para obligarse en los términos del presente CONVENIO.</w:t>
      </w:r>
    </w:p>
    <w:p w14:paraId="472582BF" w14:textId="77777777" w:rsidR="000323A2" w:rsidRPr="000323A2" w:rsidRDefault="000323A2" w:rsidP="00B04B36">
      <w:pPr>
        <w:widowControl w:val="0"/>
        <w:numPr>
          <w:ilvl w:val="0"/>
          <w:numId w:val="62"/>
        </w:numPr>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 xml:space="preserve"> </w:t>
      </w:r>
      <w:r w:rsidRPr="000323A2">
        <w:rPr>
          <w:rFonts w:ascii="Arial" w:eastAsia="Calibri" w:hAnsi="Arial" w:cs="Arial"/>
          <w:sz w:val="24"/>
          <w:szCs w:val="24"/>
          <w:lang w:val="es-ES" w:eastAsia="es-ES"/>
        </w:rPr>
        <w:t xml:space="preserve">Su representante legal cuenta con las facultades suficientes para obligar a su representada en los términos del presente CONVENIO, tal y como lo acredita con copia certificada de la escritura pública número </w:t>
      </w:r>
      <w:proofErr w:type="gramStart"/>
      <w:r w:rsidRPr="000323A2">
        <w:rPr>
          <w:rFonts w:ascii="Arial" w:eastAsia="Calibri" w:hAnsi="Arial" w:cs="Arial"/>
          <w:sz w:val="24"/>
          <w:szCs w:val="24"/>
          <w:lang w:val="es-ES" w:eastAsia="es-ES"/>
        </w:rPr>
        <w:t>[ ]</w:t>
      </w:r>
      <w:proofErr w:type="gramEnd"/>
      <w:r w:rsidRPr="000323A2">
        <w:rPr>
          <w:rFonts w:ascii="Arial" w:eastAsia="Calibri" w:hAnsi="Arial" w:cs="Arial"/>
          <w:sz w:val="24"/>
          <w:szCs w:val="24"/>
          <w:lang w:val="es-ES" w:eastAsia="es-ES"/>
        </w:rPr>
        <w:t xml:space="preserve"> de fecha [ ], otorgada ante la fe del licenciado [ ], Notario Público número [ ], misma que se encuentra inscrita en el Registro Público de Comercio en la Ciudad de México, bajo el folio mercantil [ ];</w:t>
      </w:r>
    </w:p>
    <w:p w14:paraId="0515BF71" w14:textId="77777777" w:rsidR="000323A2" w:rsidRPr="000323A2" w:rsidRDefault="000323A2" w:rsidP="00B04B36">
      <w:pPr>
        <w:widowControl w:val="0"/>
        <w:numPr>
          <w:ilvl w:val="0"/>
          <w:numId w:val="62"/>
        </w:numPr>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 xml:space="preserve"> Utilizará los servicios objeto del presente CONVENIO para los fines que en cada caso se establezcan en los ACUERDOS ESPECÍFICOS y en las CONDICIONES DEL SERVICIO correspondientes (conforme estos términos se encuentran definidos en la Cláusula Primera del presente CONVENIO);</w:t>
      </w:r>
    </w:p>
    <w:p w14:paraId="2E5E14AA" w14:textId="77777777" w:rsidR="000323A2" w:rsidRPr="000323A2" w:rsidRDefault="000323A2" w:rsidP="00B04B36">
      <w:pPr>
        <w:widowControl w:val="0"/>
        <w:numPr>
          <w:ilvl w:val="0"/>
          <w:numId w:val="62"/>
        </w:numPr>
        <w:tabs>
          <w:tab w:val="num" w:pos="709"/>
        </w:tabs>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 xml:space="preserve">No se encuentra pendiente, ni, hasta donde tiene conocimiento, se pretende presentar en su contra, ante tribunal judicial, administrativo o de otra índole, dependencia gubernamental o árbitro alguno, acción o procedimiento que afecte o pueda afectar su condición financiera, operaciones o propiedades, o que dicha acción o procedimiento pueda afectar la legalidad, validez o </w:t>
      </w:r>
      <w:r w:rsidRPr="000323A2">
        <w:rPr>
          <w:rFonts w:ascii="Arial" w:eastAsia="Calibri" w:hAnsi="Arial" w:cs="Arial"/>
          <w:sz w:val="24"/>
          <w:szCs w:val="24"/>
          <w:lang w:val="es-ES" w:eastAsia="es-ES"/>
        </w:rPr>
        <w:lastRenderedPageBreak/>
        <w:t>exigibilidad de este CONVENIO;</w:t>
      </w:r>
    </w:p>
    <w:p w14:paraId="6A4B8397" w14:textId="77777777" w:rsidR="000323A2" w:rsidRPr="000323A2" w:rsidRDefault="000323A2" w:rsidP="00B04B36">
      <w:pPr>
        <w:widowControl w:val="0"/>
        <w:numPr>
          <w:ilvl w:val="0"/>
          <w:numId w:val="62"/>
        </w:numPr>
        <w:tabs>
          <w:tab w:val="num" w:pos="709"/>
        </w:tabs>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Cuenta con la documentación y los elementos propios suficientes para cumplir con las obligaciones que deriven de las relaciones con sus trabajadores y cumple cabalmente con las disposiciones aplicables en materia de seguridad social, salud y medio ambiente del trabajo;</w:t>
      </w:r>
    </w:p>
    <w:p w14:paraId="6E041CC8" w14:textId="77777777" w:rsidR="000323A2" w:rsidRPr="000323A2" w:rsidRDefault="000323A2" w:rsidP="00B04B36">
      <w:pPr>
        <w:widowControl w:val="0"/>
        <w:numPr>
          <w:ilvl w:val="0"/>
          <w:numId w:val="62"/>
        </w:numPr>
        <w:tabs>
          <w:tab w:val="num" w:pos="709"/>
        </w:tabs>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No se encuentra limitado por disposición judicial, legal, administrativa o contractual alguna para la celebración del presente CONVENIO, por lo que no se requiere de acto posterior alguno a la celebración del mismo para que el Concesionario se encuentre obligado en sus términos; y</w:t>
      </w:r>
    </w:p>
    <w:p w14:paraId="2ED11832" w14:textId="77777777" w:rsidR="000323A2" w:rsidRPr="000323A2" w:rsidRDefault="000323A2" w:rsidP="00B04B36">
      <w:pPr>
        <w:widowControl w:val="0"/>
        <w:numPr>
          <w:ilvl w:val="0"/>
          <w:numId w:val="62"/>
        </w:numPr>
        <w:tabs>
          <w:tab w:val="num" w:pos="709"/>
        </w:tabs>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Entiende, conoce y acepta todas y cada una de las declaraciones y cláusulas (incluyendo su alcance legal y regulatorio) contenidas en el presente CONVENIO, así como los Anexos del mismo, bajo los términos y condiciones en ellos establecidos.</w:t>
      </w:r>
    </w:p>
    <w:p w14:paraId="269A139A"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II.- Declara TELMEX que:</w:t>
      </w:r>
    </w:p>
    <w:p w14:paraId="7FEEC1D3" w14:textId="77777777" w:rsidR="000323A2" w:rsidRPr="000323A2" w:rsidRDefault="000323A2" w:rsidP="00B04B36">
      <w:pPr>
        <w:widowControl w:val="0"/>
        <w:numPr>
          <w:ilvl w:val="0"/>
          <w:numId w:val="64"/>
        </w:numPr>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Es una sociedad mercantil constituida de acuerdo con las Leyes de la República Mexicana y cuenta con poder suficiente para celebrar el CONVENIO, de acuerdo a la copia certificada de la escritura notarial que se adjunta al presente instrumento.</w:t>
      </w:r>
    </w:p>
    <w:p w14:paraId="058EB56A" w14:textId="77777777" w:rsidR="000323A2" w:rsidRPr="000323A2" w:rsidRDefault="000323A2" w:rsidP="00B04B36">
      <w:pPr>
        <w:widowControl w:val="0"/>
        <w:numPr>
          <w:ilvl w:val="0"/>
          <w:numId w:val="64"/>
        </w:numPr>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Su objeto social es, entre otros, construir, instalar, mantener, operar y explotar una Red Pública Telefónica y de Telecomunicaciones para prestar el servicio público de conducción de señales de voz, sonidos, datos, textos e imágenes, a nivel local y de larga distancia nacional e internacional y el servicio público de telefonía básica.</w:t>
      </w:r>
    </w:p>
    <w:p w14:paraId="4ED25D6D" w14:textId="77777777" w:rsidR="000323A2" w:rsidRPr="000323A2" w:rsidRDefault="000323A2" w:rsidP="000323A2">
      <w:pPr>
        <w:widowControl w:val="0"/>
        <w:tabs>
          <w:tab w:val="left" w:pos="0"/>
          <w:tab w:val="left" w:pos="5220"/>
        </w:tabs>
        <w:adjustRightInd w:val="0"/>
        <w:spacing w:before="240" w:after="0" w:line="276" w:lineRule="auto"/>
        <w:ind w:left="705" w:hanging="705"/>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c)</w:t>
      </w:r>
      <w:r w:rsidRPr="000323A2">
        <w:rPr>
          <w:rFonts w:ascii="Arial" w:eastAsia="Calibri" w:hAnsi="Arial" w:cs="Arial"/>
          <w:sz w:val="24"/>
          <w:szCs w:val="24"/>
          <w:lang w:val="es-ES" w:eastAsia="es-ES"/>
        </w:rPr>
        <w:tab/>
        <w:t>Que su representante legal cuenta con las facultades suficientes para obligar a su representada en los términos del presente CONVENIO, tal y como lo acredita con copia certificada de la escritura pública número 92,482 de fecha 23 de abril de 1990, otorgada ante la fe del licenciado Homero Díaz Rodríguez, Notario Público número 54 del Distrito Federal, misma que se encuentra inscrita en el Registro Público de Comercio en el Distrito Federal;</w:t>
      </w:r>
    </w:p>
    <w:p w14:paraId="77570818" w14:textId="77777777" w:rsidR="000323A2" w:rsidRPr="000323A2" w:rsidRDefault="000323A2" w:rsidP="000323A2">
      <w:pPr>
        <w:widowControl w:val="0"/>
        <w:tabs>
          <w:tab w:val="num" w:pos="720"/>
        </w:tabs>
        <w:adjustRightInd w:val="0"/>
        <w:spacing w:before="240" w:after="0" w:line="276" w:lineRule="auto"/>
        <w:ind w:left="720" w:hanging="720"/>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lang w:val="es-ES" w:eastAsia="es-ES"/>
        </w:rPr>
        <w:t>d)</w:t>
      </w:r>
      <w:r w:rsidRPr="000323A2">
        <w:rPr>
          <w:rFonts w:ascii="Arial" w:eastAsia="Calibri" w:hAnsi="Arial" w:cs="Arial"/>
          <w:sz w:val="24"/>
          <w:szCs w:val="24"/>
          <w:lang w:val="es-ES" w:eastAsia="es-ES"/>
        </w:rPr>
        <w:tab/>
      </w:r>
      <w:r w:rsidRPr="000323A2">
        <w:rPr>
          <w:rFonts w:ascii="Arial" w:eastAsia="Calibri" w:hAnsi="Arial" w:cs="Arial"/>
          <w:sz w:val="24"/>
          <w:szCs w:val="24"/>
          <w:lang w:val="es-ES_tradnl" w:eastAsia="es-ES"/>
        </w:rPr>
        <w:t xml:space="preserve">Tener título de concesión otorgado por el Gobierno Federal para construir, instalar, mantener, operar y explotar una red pública telefónica por un período de 50 años contados a partir del 10 de marzo de 1976, de acuerdo con la publicación en el Diario Oficial de la Federación del 31 de marzo de 1976, y </w:t>
      </w:r>
      <w:r w:rsidRPr="000323A2">
        <w:rPr>
          <w:rFonts w:ascii="Arial" w:eastAsia="Calibri" w:hAnsi="Arial" w:cs="Arial"/>
          <w:sz w:val="24"/>
          <w:szCs w:val="24"/>
          <w:lang w:val="es-ES_tradnl" w:eastAsia="es-ES"/>
        </w:rPr>
        <w:lastRenderedPageBreak/>
        <w:t>de la modificación al título de concesión del 10 de agosto de 1990, publicada en el Diario Oficial de la Federación el 10 de diciembre de 1990.</w:t>
      </w:r>
    </w:p>
    <w:p w14:paraId="60DE7754"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III.- Las PARTES, por conducto de sus representantes legales y bajo protesta de decir verdad, declaran que:</w:t>
      </w:r>
    </w:p>
    <w:p w14:paraId="5194C009" w14:textId="77777777" w:rsidR="000323A2" w:rsidRPr="000323A2" w:rsidRDefault="000323A2" w:rsidP="000323A2">
      <w:pPr>
        <w:widowControl w:val="0"/>
        <w:tabs>
          <w:tab w:val="left" w:pos="0"/>
          <w:tab w:val="left" w:pos="720"/>
          <w:tab w:val="left" w:pos="900"/>
          <w:tab w:val="left" w:pos="1080"/>
        </w:tabs>
        <w:adjustRightInd w:val="0"/>
        <w:spacing w:before="240" w:after="0" w:line="276" w:lineRule="auto"/>
        <w:jc w:val="both"/>
        <w:textAlignment w:val="baseline"/>
        <w:rPr>
          <w:rFonts w:ascii="Arial" w:eastAsia="Calibri" w:hAnsi="Arial" w:cs="Arial"/>
          <w:sz w:val="24"/>
          <w:szCs w:val="24"/>
          <w:lang w:eastAsia="es-ES"/>
        </w:rPr>
      </w:pPr>
      <w:proofErr w:type="gramStart"/>
      <w:r w:rsidRPr="000323A2">
        <w:rPr>
          <w:rFonts w:ascii="Arial" w:eastAsia="Calibri" w:hAnsi="Arial" w:cs="Arial"/>
          <w:sz w:val="24"/>
          <w:szCs w:val="24"/>
          <w:u w:val="single"/>
          <w:lang w:val="es-ES" w:eastAsia="es-ES"/>
        </w:rPr>
        <w:t>Único</w:t>
      </w:r>
      <w:r w:rsidRPr="000323A2">
        <w:rPr>
          <w:rFonts w:ascii="Arial" w:eastAsia="Calibri" w:hAnsi="Arial" w:cs="Arial"/>
          <w:sz w:val="24"/>
          <w:szCs w:val="24"/>
          <w:lang w:val="es-ES" w:eastAsia="es-ES"/>
        </w:rPr>
        <w:t>.-</w:t>
      </w:r>
      <w:proofErr w:type="gramEnd"/>
      <w:r w:rsidRPr="000323A2">
        <w:rPr>
          <w:rFonts w:ascii="Arial" w:eastAsia="Calibri" w:hAnsi="Arial" w:cs="Arial"/>
          <w:sz w:val="24"/>
          <w:szCs w:val="24"/>
          <w:lang w:val="es-ES" w:eastAsia="es-ES"/>
        </w:rPr>
        <w:t xml:space="preserve"> </w:t>
      </w:r>
      <w:r w:rsidRPr="000323A2">
        <w:rPr>
          <w:rFonts w:ascii="Arial" w:eastAsia="Calibri" w:hAnsi="Arial" w:cs="Arial"/>
          <w:sz w:val="24"/>
          <w:szCs w:val="24"/>
          <w:lang w:eastAsia="es-ES"/>
        </w:rPr>
        <w:t>Para la aplicación del presente CONVENIO, se someten de manera expresa a lo previsto en su clausulado, sus anexos, ACUERDOS ESPECÍFICOS y la OFERTA.</w:t>
      </w:r>
    </w:p>
    <w:p w14:paraId="5297F009" w14:textId="77777777" w:rsidR="000323A2" w:rsidRPr="000323A2" w:rsidRDefault="000323A2" w:rsidP="000323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Con base en las anteriores declaraciones, las PARTES convienen en otorgar las siguientes:</w:t>
      </w:r>
    </w:p>
    <w:p w14:paraId="29E07026" w14:textId="77777777" w:rsidR="000323A2" w:rsidRPr="000323A2" w:rsidRDefault="000323A2" w:rsidP="000323A2">
      <w:pPr>
        <w:widowControl w:val="0"/>
        <w:adjustRightInd w:val="0"/>
        <w:spacing w:before="240" w:after="0" w:line="276" w:lineRule="auto"/>
        <w:jc w:val="center"/>
        <w:textAlignment w:val="baseline"/>
        <w:rPr>
          <w:rFonts w:ascii="Arial" w:eastAsia="Calibri" w:hAnsi="Arial" w:cs="Arial"/>
          <w:b/>
          <w:sz w:val="24"/>
          <w:szCs w:val="24"/>
          <w:lang w:eastAsia="es-ES"/>
        </w:rPr>
      </w:pPr>
      <w:r w:rsidRPr="000323A2">
        <w:rPr>
          <w:rFonts w:ascii="Arial" w:eastAsia="Calibri" w:hAnsi="Arial" w:cs="Arial"/>
          <w:b/>
          <w:sz w:val="24"/>
          <w:szCs w:val="24"/>
          <w:lang w:eastAsia="es-ES"/>
        </w:rPr>
        <w:t>CLÁUSULAS</w:t>
      </w:r>
    </w:p>
    <w:p w14:paraId="223B2458"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mallCaps/>
          <w:spacing w:val="-3"/>
          <w:sz w:val="24"/>
          <w:szCs w:val="24"/>
          <w:lang w:val="es-ES_tradnl" w:eastAsia="es-ES"/>
        </w:rPr>
      </w:pPr>
      <w:r w:rsidRPr="000323A2">
        <w:rPr>
          <w:rFonts w:ascii="Arial" w:eastAsia="Calibri" w:hAnsi="Arial" w:cs="Arial"/>
          <w:b/>
          <w:spacing w:val="-3"/>
          <w:sz w:val="24"/>
          <w:szCs w:val="24"/>
          <w:lang w:val="es-ES_tradnl" w:eastAsia="es-ES"/>
        </w:rPr>
        <w:t>PRIMERA.</w:t>
      </w:r>
      <w:r w:rsidRPr="000323A2">
        <w:rPr>
          <w:rFonts w:ascii="Arial" w:eastAsia="Calibri" w:hAnsi="Arial" w:cs="Arial"/>
          <w:b/>
          <w:smallCaps/>
          <w:spacing w:val="-3"/>
          <w:sz w:val="24"/>
          <w:szCs w:val="24"/>
          <w:lang w:val="es-ES_tradnl" w:eastAsia="es-ES"/>
        </w:rPr>
        <w:tab/>
        <w:t>DEFINICIONES</w:t>
      </w:r>
    </w:p>
    <w:p w14:paraId="51EE02D5"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 xml:space="preserve">Las PARTES acuerdan </w:t>
      </w:r>
      <w:proofErr w:type="gramStart"/>
      <w:r w:rsidRPr="000323A2">
        <w:rPr>
          <w:rFonts w:ascii="Arial" w:eastAsia="Calibri" w:hAnsi="Arial" w:cs="Arial"/>
          <w:sz w:val="24"/>
          <w:szCs w:val="24"/>
          <w:lang w:val="es-ES_tradnl" w:eastAsia="es-ES"/>
        </w:rPr>
        <w:t>que</w:t>
      </w:r>
      <w:proofErr w:type="gramEnd"/>
      <w:r w:rsidRPr="000323A2">
        <w:rPr>
          <w:rFonts w:ascii="Arial" w:eastAsia="Calibri" w:hAnsi="Arial" w:cs="Arial"/>
          <w:sz w:val="24"/>
          <w:szCs w:val="24"/>
          <w:lang w:val="es-ES_tradnl" w:eastAsia="es-ES"/>
        </w:rPr>
        <w:t xml:space="preserve"> para efectos del CONVENIO, los siguientes términos tendrán el significado que a continuación se señalan:</w:t>
      </w:r>
    </w:p>
    <w:p w14:paraId="32EF8E6E"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u w:val="single"/>
          <w:lang w:val="es-ES_tradnl" w:eastAsia="es-ES"/>
        </w:rPr>
      </w:pPr>
      <w:r w:rsidRPr="000323A2">
        <w:rPr>
          <w:rFonts w:ascii="Arial" w:eastAsia="Calibri" w:hAnsi="Arial" w:cs="Arial"/>
          <w:b/>
          <w:sz w:val="24"/>
          <w:szCs w:val="24"/>
          <w:u w:val="single"/>
          <w:lang w:val="es-ES_tradnl" w:eastAsia="es-ES"/>
        </w:rPr>
        <w:t xml:space="preserve">ACTA DE ACEPTACIÓN: </w:t>
      </w:r>
      <w:r w:rsidRPr="000323A2">
        <w:rPr>
          <w:rFonts w:ascii="Arial" w:eastAsia="Calibri" w:hAnsi="Arial" w:cs="Arial"/>
          <w:sz w:val="24"/>
          <w:szCs w:val="24"/>
          <w:lang w:val="es-ES_tradnl" w:eastAsia="es-ES"/>
        </w:rPr>
        <w:t>Documento que contiene la aceptación del SERVICIO (formato Anexo “A” de la Oferta).</w:t>
      </w:r>
    </w:p>
    <w:p w14:paraId="2B37DEC4"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 xml:space="preserve">ACUERDOS ESPECIFICOS: </w:t>
      </w:r>
      <w:r w:rsidRPr="000323A2">
        <w:rPr>
          <w:rFonts w:ascii="Arial" w:eastAsia="Calibri" w:hAnsi="Arial" w:cs="Arial"/>
          <w:sz w:val="24"/>
          <w:szCs w:val="24"/>
          <w:lang w:val="es-ES_tradnl" w:eastAsia="es-ES"/>
        </w:rPr>
        <w:t xml:space="preserve">Solicitudes presentadas por el </w:t>
      </w:r>
      <w:r w:rsidRPr="000323A2">
        <w:rPr>
          <w:rFonts w:ascii="Arial" w:eastAsia="Calibri" w:hAnsi="Arial" w:cs="Arial"/>
          <w:sz w:val="24"/>
          <w:szCs w:val="24"/>
          <w:lang w:eastAsia="es-ES"/>
        </w:rPr>
        <w:t xml:space="preserve">CONCESIONARIO SOLICITANTE O AUTORIZADO SOLICITANTE </w:t>
      </w:r>
      <w:r w:rsidRPr="000323A2">
        <w:rPr>
          <w:rFonts w:ascii="Arial" w:eastAsia="Calibri" w:hAnsi="Arial" w:cs="Arial"/>
          <w:sz w:val="24"/>
          <w:szCs w:val="24"/>
          <w:lang w:val="es-ES_tradnl" w:eastAsia="es-ES"/>
        </w:rPr>
        <w:t>conforme al formato e instructivo de llenado del Anexo “B” de la Oferta, para la prestación de los SERVICIOS y que, una vez validadas por TELMEX, se constituyen en parte integral del CONVENIO.</w:t>
      </w:r>
    </w:p>
    <w:p w14:paraId="1969BFA6" w14:textId="77777777" w:rsidR="000323A2" w:rsidRPr="000323A2" w:rsidRDefault="000323A2" w:rsidP="000323A2">
      <w:pPr>
        <w:spacing w:before="240"/>
        <w:rPr>
          <w:rFonts w:ascii="Arial" w:eastAsia="Calibri" w:hAnsi="Arial" w:cs="Arial"/>
          <w:sz w:val="24"/>
          <w:szCs w:val="24"/>
        </w:rPr>
      </w:pPr>
      <w:r w:rsidRPr="000323A2">
        <w:rPr>
          <w:rFonts w:ascii="Arial" w:eastAsia="Calibri" w:hAnsi="Arial" w:cs="Arial"/>
          <w:b/>
          <w:sz w:val="24"/>
          <w:szCs w:val="24"/>
        </w:rPr>
        <w:t>ALTA:</w:t>
      </w:r>
      <w:r w:rsidRPr="000323A2">
        <w:rPr>
          <w:rFonts w:ascii="Arial" w:eastAsia="Calibri" w:hAnsi="Arial" w:cs="Arial"/>
          <w:sz w:val="24"/>
          <w:szCs w:val="24"/>
        </w:rPr>
        <w:t xml:space="preserve"> Solicitud presentada por el CONCESIONARIO SOLICITANTE O AUTORIZADO SOLICITANTE para contar con un SERVICIO nuevo.</w:t>
      </w:r>
    </w:p>
    <w:p w14:paraId="08EA10DC"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AUTORIZADO DE TELECOMUNICACIONES O AUTORIZADO SOLICITANTE</w:t>
      </w:r>
      <w:r w:rsidRPr="000323A2">
        <w:rPr>
          <w:rFonts w:ascii="Arial" w:eastAsia="Calibri" w:hAnsi="Arial" w:cs="Arial"/>
          <w:sz w:val="24"/>
          <w:szCs w:val="24"/>
          <w:lang w:val="es-ES_tradnl" w:eastAsia="es-ES"/>
        </w:rPr>
        <w:t>: Es la persona física o moral que cuenta con una autorización otorgada por el IFT y que solicita servicios mayoristas, acceso y/o accede a la infraestructura de TELMEX a fin de prestar servicios de telecomunicaciones a usuarios finales.</w:t>
      </w:r>
    </w:p>
    <w:p w14:paraId="16957B53"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b/>
          <w:sz w:val="24"/>
          <w:szCs w:val="24"/>
          <w:u w:val="single"/>
          <w:lang w:val="es-ES" w:eastAsia="es-ES"/>
        </w:rPr>
        <w:t xml:space="preserve">BAJA: </w:t>
      </w:r>
      <w:r w:rsidRPr="000323A2">
        <w:rPr>
          <w:rFonts w:ascii="Arial" w:eastAsia="Calibri" w:hAnsi="Arial" w:cs="Arial"/>
          <w:sz w:val="24"/>
          <w:szCs w:val="24"/>
          <w:lang w:val="es-ES" w:eastAsia="es-ES"/>
        </w:rPr>
        <w:t>Es la suspensión definitiva de un SERVICIO a solicitud del</w:t>
      </w:r>
      <w:r w:rsidRPr="000323A2">
        <w:rPr>
          <w:rFonts w:ascii="Arial" w:eastAsia="Calibri" w:hAnsi="Arial" w:cs="Arial"/>
          <w:sz w:val="24"/>
          <w:szCs w:val="24"/>
          <w:lang w:eastAsia="es-ES"/>
        </w:rPr>
        <w:t xml:space="preserve"> CONCESIONARIO SOLICITANTE O AUTORIZADO SOLICITANTE</w:t>
      </w:r>
      <w:r w:rsidRPr="000323A2">
        <w:rPr>
          <w:rFonts w:ascii="Arial" w:eastAsia="Calibri" w:hAnsi="Arial" w:cs="Arial"/>
          <w:sz w:val="24"/>
          <w:szCs w:val="24"/>
          <w:lang w:val="es-ES" w:eastAsia="es-ES"/>
        </w:rPr>
        <w:t>.</w:t>
      </w:r>
    </w:p>
    <w:p w14:paraId="7FA8E9DA" w14:textId="77777777" w:rsidR="000323A2" w:rsidRPr="000323A2" w:rsidRDefault="000323A2" w:rsidP="000323A2">
      <w:pPr>
        <w:spacing w:before="240"/>
        <w:rPr>
          <w:rFonts w:ascii="Arial" w:eastAsia="Calibri" w:hAnsi="Arial" w:cs="Arial"/>
          <w:sz w:val="24"/>
          <w:szCs w:val="24"/>
        </w:rPr>
      </w:pPr>
      <w:r w:rsidRPr="000323A2">
        <w:rPr>
          <w:rFonts w:ascii="Arial" w:eastAsia="Calibri" w:hAnsi="Arial" w:cs="Arial"/>
          <w:b/>
          <w:sz w:val="24"/>
          <w:szCs w:val="24"/>
        </w:rPr>
        <w:t>CANCELACIÓN:</w:t>
      </w:r>
      <w:r w:rsidRPr="000323A2">
        <w:rPr>
          <w:rFonts w:ascii="Arial" w:eastAsia="Calibri" w:hAnsi="Arial" w:cs="Arial"/>
          <w:sz w:val="24"/>
          <w:szCs w:val="24"/>
        </w:rPr>
        <w:t xml:space="preserve"> Es la interrupción, a solicitud del CONCESIONARIO SOLICITANTE O AUTORIZADO SOLICITANTE del proceso de instalación de un SERVICIO previamente contratado y que aún no ha sido entregado.</w:t>
      </w:r>
    </w:p>
    <w:p w14:paraId="0E205413"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lastRenderedPageBreak/>
        <w:t>CONDICIONES DEL SERVICIO</w:t>
      </w:r>
      <w:r w:rsidRPr="000323A2">
        <w:rPr>
          <w:rFonts w:ascii="Arial" w:eastAsia="Calibri" w:hAnsi="Arial" w:cs="Arial"/>
          <w:b/>
          <w:sz w:val="24"/>
          <w:szCs w:val="24"/>
          <w:lang w:val="es-ES_tradnl" w:eastAsia="es-ES"/>
        </w:rPr>
        <w:t xml:space="preserve">: </w:t>
      </w:r>
      <w:r w:rsidRPr="000323A2">
        <w:rPr>
          <w:rFonts w:ascii="Arial" w:eastAsia="Calibri" w:hAnsi="Arial" w:cs="Arial"/>
          <w:sz w:val="24"/>
          <w:szCs w:val="24"/>
          <w:lang w:val="es-ES_tradnl" w:eastAsia="es-ES"/>
        </w:rPr>
        <w:t>Son aquellas estipuladas en el Anexo “C” “Suministro y Calidad de Servicio” de los ACUERDOS, así como las condiciones adicionales que serán acordadas mutuamente por las PARTES y que se establecen en el Anexo “C” de la Oferta.</w:t>
      </w:r>
    </w:p>
    <w:p w14:paraId="09460465"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CONCESIONARIO SOLICITANTE y/o CONCESIONARIO</w:t>
      </w:r>
      <w:r w:rsidRPr="000323A2">
        <w:rPr>
          <w:rFonts w:ascii="Arial" w:eastAsia="Calibri" w:hAnsi="Arial" w:cs="Arial"/>
          <w:sz w:val="24"/>
          <w:szCs w:val="24"/>
          <w:lang w:val="es-ES_tradnl" w:eastAsia="es-ES"/>
        </w:rPr>
        <w:t xml:space="preserve">: Es concesionario de telecomunicaciones que solicita servicios mayoristas regulados de la red del Agente </w:t>
      </w:r>
      <w:proofErr w:type="spellStart"/>
      <w:r w:rsidRPr="000323A2">
        <w:rPr>
          <w:rFonts w:ascii="Arial" w:eastAsia="Calibri" w:hAnsi="Arial" w:cs="Arial"/>
          <w:sz w:val="24"/>
          <w:szCs w:val="24"/>
          <w:lang w:val="es-ES_tradnl" w:eastAsia="es-ES"/>
        </w:rPr>
        <w:t>Economico</w:t>
      </w:r>
      <w:proofErr w:type="spellEnd"/>
      <w:r w:rsidRPr="000323A2">
        <w:rPr>
          <w:rFonts w:ascii="Arial" w:eastAsia="Calibri" w:hAnsi="Arial" w:cs="Arial"/>
          <w:sz w:val="24"/>
          <w:szCs w:val="24"/>
          <w:lang w:val="es-ES_tradnl" w:eastAsia="es-ES"/>
        </w:rPr>
        <w:t xml:space="preserve"> Preponderante a fin de prestar servicios de telecomunicaciones en términos de la presente oferta.</w:t>
      </w:r>
    </w:p>
    <w:p w14:paraId="5E233F9A"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 xml:space="preserve">CONVENIO: </w:t>
      </w:r>
      <w:r w:rsidRPr="000323A2">
        <w:rPr>
          <w:rFonts w:ascii="Arial" w:eastAsia="Calibri" w:hAnsi="Arial" w:cs="Arial"/>
          <w:sz w:val="24"/>
          <w:szCs w:val="24"/>
          <w:lang w:val="es-ES_tradnl" w:eastAsia="es-ES"/>
        </w:rPr>
        <w:t>Constituye el presente documento y sus anexos que llegaren a otorgar las PARTES para la prestación de los SERVICIOS y que se agregarán al presente instrumento, así como las CONDICIONES DEL SERVICIO.</w:t>
      </w:r>
    </w:p>
    <w:p w14:paraId="094BD788"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ENLACE DEDICADO</w:t>
      </w:r>
      <w:r w:rsidRPr="000323A2">
        <w:rPr>
          <w:rFonts w:ascii="Arial" w:eastAsia="Calibri" w:hAnsi="Arial" w:cs="Arial"/>
          <w:sz w:val="24"/>
          <w:szCs w:val="24"/>
          <w:lang w:val="es-ES_tradnl" w:eastAsia="es-ES"/>
        </w:rPr>
        <w:t>: Enlace Digital o Enlace Ethernet.</w:t>
      </w:r>
    </w:p>
    <w:p w14:paraId="3D98350D"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ENLACE DIGITAL</w:t>
      </w:r>
      <w:r w:rsidRPr="000323A2">
        <w:rPr>
          <w:rFonts w:ascii="Arial" w:eastAsia="Calibri" w:hAnsi="Arial" w:cs="Arial"/>
          <w:sz w:val="24"/>
          <w:szCs w:val="24"/>
          <w:lang w:val="es-ES_tradnl" w:eastAsia="es-ES"/>
        </w:rPr>
        <w:t>: Enlace de transmisión entre redes y puertos de acceso asociados, que deberán establecerse de manera digital utilizando el formato TDM (</w:t>
      </w:r>
      <w:proofErr w:type="spellStart"/>
      <w:r w:rsidRPr="000323A2">
        <w:rPr>
          <w:rFonts w:ascii="Arial" w:eastAsia="Calibri" w:hAnsi="Arial" w:cs="Arial"/>
          <w:sz w:val="24"/>
          <w:szCs w:val="24"/>
          <w:lang w:val="es-ES_tradnl" w:eastAsia="es-ES"/>
        </w:rPr>
        <w:t>Multiplexión</w:t>
      </w:r>
      <w:proofErr w:type="spellEnd"/>
      <w:r w:rsidRPr="000323A2">
        <w:rPr>
          <w:rFonts w:ascii="Arial" w:eastAsia="Calibri" w:hAnsi="Arial" w:cs="Arial"/>
          <w:sz w:val="24"/>
          <w:szCs w:val="24"/>
          <w:lang w:val="es-ES_tradnl" w:eastAsia="es-ES"/>
        </w:rPr>
        <w:t xml:space="preserve"> por División de Tiempo); </w:t>
      </w:r>
    </w:p>
    <w:p w14:paraId="133819DA"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ENLACE ETHERNET</w:t>
      </w:r>
      <w:r w:rsidRPr="000323A2">
        <w:rPr>
          <w:rFonts w:ascii="Arial" w:eastAsia="Calibri" w:hAnsi="Arial" w:cs="Arial"/>
          <w:sz w:val="24"/>
          <w:szCs w:val="24"/>
          <w:lang w:val="es-ES_tradnl" w:eastAsia="es-ES"/>
        </w:rPr>
        <w:t xml:space="preserve">: Enlace de transmisión que utiliza el estándar de transmisión Ethernet; </w:t>
      </w:r>
    </w:p>
    <w:p w14:paraId="6A4489C6"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IFT</w:t>
      </w:r>
      <w:r w:rsidRPr="000323A2">
        <w:rPr>
          <w:rFonts w:ascii="Arial" w:eastAsia="Calibri" w:hAnsi="Arial" w:cs="Arial"/>
          <w:b/>
          <w:sz w:val="24"/>
          <w:szCs w:val="24"/>
          <w:lang w:val="es-ES_tradnl" w:eastAsia="es-ES"/>
        </w:rPr>
        <w:t xml:space="preserve">: </w:t>
      </w:r>
      <w:r w:rsidRPr="000323A2">
        <w:rPr>
          <w:rFonts w:ascii="Arial" w:eastAsia="Calibri" w:hAnsi="Arial" w:cs="Arial"/>
          <w:sz w:val="24"/>
          <w:szCs w:val="24"/>
          <w:lang w:val="es-ES_tradnl" w:eastAsia="es-ES"/>
        </w:rPr>
        <w:t>Instituto Federal de Telecomunicaciones.</w:t>
      </w:r>
    </w:p>
    <w:p w14:paraId="62665901"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LFTR</w:t>
      </w:r>
      <w:r w:rsidRPr="000323A2">
        <w:rPr>
          <w:rFonts w:ascii="Arial" w:eastAsia="Calibri" w:hAnsi="Arial" w:cs="Arial"/>
          <w:b/>
          <w:sz w:val="24"/>
          <w:szCs w:val="24"/>
          <w:lang w:val="es-ES_tradnl" w:eastAsia="es-ES"/>
        </w:rPr>
        <w:t xml:space="preserve">: </w:t>
      </w:r>
      <w:r w:rsidRPr="000323A2">
        <w:rPr>
          <w:rFonts w:ascii="Arial" w:eastAsia="Calibri" w:hAnsi="Arial" w:cs="Arial"/>
          <w:sz w:val="24"/>
          <w:szCs w:val="24"/>
          <w:lang w:val="es-ES_tradnl" w:eastAsia="es-ES"/>
        </w:rPr>
        <w:t>Ley Federal de Telecomunicaciones y Radiodifusión.</w:t>
      </w:r>
    </w:p>
    <w:p w14:paraId="0B7160AB"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u w:val="single"/>
          <w:lang w:val="es-ES_tradnl" w:eastAsia="es-ES"/>
        </w:rPr>
      </w:pPr>
      <w:r w:rsidRPr="000323A2">
        <w:rPr>
          <w:rFonts w:ascii="Arial" w:eastAsia="Calibri" w:hAnsi="Arial" w:cs="Arial"/>
          <w:b/>
          <w:sz w:val="24"/>
          <w:szCs w:val="24"/>
          <w:u w:val="single"/>
          <w:lang w:val="es-ES_tradnl" w:eastAsia="es-ES"/>
        </w:rPr>
        <w:t>LOCALIDAD</w:t>
      </w:r>
      <w:r w:rsidRPr="000323A2">
        <w:rPr>
          <w:rFonts w:ascii="Arial" w:eastAsia="Calibri" w:hAnsi="Arial" w:cs="Arial"/>
          <w:sz w:val="24"/>
          <w:szCs w:val="24"/>
          <w:u w:val="single"/>
          <w:lang w:val="es-ES_tradnl" w:eastAsia="es-ES"/>
        </w:rPr>
        <w:t xml:space="preserve">: </w:t>
      </w:r>
      <w:r w:rsidRPr="000323A2">
        <w:rPr>
          <w:rFonts w:ascii="Arial" w:eastAsia="Calibri" w:hAnsi="Arial" w:cs="Arial"/>
          <w:sz w:val="24"/>
          <w:szCs w:val="24"/>
          <w:lang w:val="es-ES_tradnl" w:eastAsia="es-ES"/>
        </w:rPr>
        <w:t>Zona geográfica que es atendida por una central o grupo de centrales de la red pública de telecomunicaciones de Telmex, las cuales están asociadas a uno o más Puntos de Interconexión de una misma ciudad, de las definidas en el Resolutivo Tercero del “ACUERDO mediante el cual el Pleno del Instituto Federal de Telecomunicaciones define los puntos de interconexión a la red pública de telecomunicaciones del Agente Económico Preponderante” publicado en el Diario Oficial de la Federación el 17 de febrero de 2015.</w:t>
      </w:r>
    </w:p>
    <w:p w14:paraId="179649C7"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OFERTA</w:t>
      </w:r>
      <w:r w:rsidRPr="000323A2">
        <w:rPr>
          <w:rFonts w:ascii="Arial" w:eastAsia="Calibri" w:hAnsi="Arial" w:cs="Arial"/>
          <w:sz w:val="24"/>
          <w:szCs w:val="24"/>
          <w:lang w:val="es-ES_tradnl" w:eastAsia="es-ES"/>
        </w:rPr>
        <w:t>: La Oferta de Referencia para la prestación del servicio mayorista de arrendamiento de enlaces dedicados autorizada por el IFT.</w:t>
      </w:r>
    </w:p>
    <w:p w14:paraId="7B991FF8" w14:textId="77777777" w:rsidR="000323A2" w:rsidRPr="000323A2" w:rsidRDefault="000323A2" w:rsidP="000323A2">
      <w:pPr>
        <w:spacing w:before="240"/>
        <w:jc w:val="both"/>
        <w:rPr>
          <w:rFonts w:ascii="Arial" w:eastAsia="Calibri" w:hAnsi="Arial" w:cs="Arial"/>
          <w:sz w:val="24"/>
          <w:szCs w:val="24"/>
        </w:rPr>
      </w:pPr>
      <w:r w:rsidRPr="000323A2">
        <w:rPr>
          <w:rFonts w:ascii="Arial" w:eastAsia="Calibri" w:hAnsi="Arial" w:cs="Arial"/>
          <w:b/>
          <w:sz w:val="24"/>
          <w:szCs w:val="24"/>
        </w:rPr>
        <w:t>PARTES:</w:t>
      </w:r>
      <w:r w:rsidRPr="000323A2">
        <w:rPr>
          <w:rFonts w:ascii="Arial" w:eastAsia="Calibri" w:hAnsi="Arial" w:cs="Arial"/>
          <w:sz w:val="24"/>
          <w:szCs w:val="24"/>
        </w:rPr>
        <w:t xml:space="preserve"> TELMEX y el CONCESIONARIO SOLICITANTE O AUTORIZADO SOLICITANTE.</w:t>
      </w:r>
    </w:p>
    <w:p w14:paraId="3C6C74A4"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b/>
          <w:sz w:val="24"/>
          <w:szCs w:val="24"/>
          <w:lang w:eastAsia="es-ES"/>
        </w:rPr>
        <w:t xml:space="preserve">PARO DE RELOJ: </w:t>
      </w:r>
      <w:r w:rsidRPr="000323A2">
        <w:rPr>
          <w:rFonts w:ascii="Arial" w:eastAsia="Calibri" w:hAnsi="Arial" w:cs="Arial"/>
          <w:sz w:val="24"/>
          <w:szCs w:val="24"/>
          <w:lang w:eastAsia="es-ES"/>
        </w:rPr>
        <w:t xml:space="preserve">Situación en la cual se detiene el conteo del plazo </w:t>
      </w:r>
      <w:r w:rsidRPr="000323A2">
        <w:rPr>
          <w:rFonts w:ascii="Arial" w:eastAsia="Calibri" w:hAnsi="Arial" w:cs="Arial"/>
          <w:sz w:val="24"/>
          <w:szCs w:val="24"/>
          <w:lang w:eastAsia="es-ES"/>
        </w:rPr>
        <w:lastRenderedPageBreak/>
        <w:t>correspondiente.</w:t>
      </w:r>
    </w:p>
    <w:p w14:paraId="27C381AF"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u w:val="single"/>
          <w:lang w:val="es-ES_tradnl" w:eastAsia="es-ES"/>
        </w:rPr>
        <w:t>PROCEDIMIENTO DE ENTREGA / RECEPCIÓN:</w:t>
      </w:r>
      <w:r w:rsidRPr="000323A2">
        <w:rPr>
          <w:rFonts w:ascii="Arial" w:eastAsia="Calibri" w:hAnsi="Arial" w:cs="Arial"/>
          <w:b/>
          <w:sz w:val="24"/>
          <w:szCs w:val="24"/>
          <w:lang w:val="es-ES_tradnl" w:eastAsia="es-ES"/>
        </w:rPr>
        <w:t xml:space="preserve"> </w:t>
      </w:r>
      <w:r w:rsidRPr="000323A2">
        <w:rPr>
          <w:rFonts w:ascii="Arial" w:eastAsia="Calibri" w:hAnsi="Arial" w:cs="Arial"/>
          <w:sz w:val="24"/>
          <w:szCs w:val="24"/>
          <w:lang w:val="es-ES_tradnl" w:eastAsia="es-ES"/>
        </w:rPr>
        <w:t>Es el procedimiento estipulado en el Anexo “D”</w:t>
      </w:r>
      <w:r w:rsidRPr="000323A2">
        <w:rPr>
          <w:rFonts w:ascii="Arial" w:eastAsia="Calibri" w:hAnsi="Arial" w:cs="Arial"/>
          <w:b/>
          <w:sz w:val="24"/>
          <w:szCs w:val="24"/>
          <w:vertAlign w:val="subscript"/>
          <w:lang w:val="es-ES_tradnl" w:eastAsia="es-ES"/>
        </w:rPr>
        <w:t xml:space="preserve"> </w:t>
      </w:r>
      <w:r w:rsidRPr="000323A2">
        <w:rPr>
          <w:rFonts w:ascii="Arial" w:eastAsia="Calibri" w:hAnsi="Arial" w:cs="Arial"/>
          <w:spacing w:val="-3"/>
          <w:sz w:val="24"/>
          <w:szCs w:val="24"/>
          <w:lang w:val="es-ES_tradnl" w:eastAsia="es-ES"/>
        </w:rPr>
        <w:t>de la Oferta</w:t>
      </w:r>
      <w:r w:rsidRPr="000323A2">
        <w:rPr>
          <w:rFonts w:ascii="Arial" w:eastAsia="Calibri" w:hAnsi="Arial" w:cs="Arial"/>
          <w:sz w:val="24"/>
          <w:szCs w:val="24"/>
          <w:lang w:val="es-ES_tradnl" w:eastAsia="es-ES"/>
        </w:rPr>
        <w:t>.</w:t>
      </w:r>
    </w:p>
    <w:p w14:paraId="1252E2B4"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pacing w:val="-3"/>
          <w:sz w:val="24"/>
          <w:szCs w:val="24"/>
          <w:lang w:val="es-ES_tradnl" w:eastAsia="es-ES"/>
        </w:rPr>
      </w:pPr>
      <w:r w:rsidRPr="000323A2">
        <w:rPr>
          <w:rFonts w:ascii="Arial" w:eastAsia="Calibri" w:hAnsi="Arial" w:cs="Arial"/>
          <w:b/>
          <w:spacing w:val="-3"/>
          <w:sz w:val="24"/>
          <w:szCs w:val="24"/>
          <w:u w:val="single"/>
          <w:lang w:val="es-ES_tradnl" w:eastAsia="es-ES"/>
        </w:rPr>
        <w:t>SERVICIO MAYORISTA DE ARRENDAMIENTO DE ENLACES DEDICADOS LOCALES</w:t>
      </w:r>
      <w:r w:rsidRPr="000323A2">
        <w:rPr>
          <w:rFonts w:ascii="Arial" w:eastAsia="Calibri" w:hAnsi="Arial" w:cs="Arial"/>
          <w:spacing w:val="-3"/>
          <w:sz w:val="24"/>
          <w:szCs w:val="24"/>
          <w:lang w:val="es-ES_tradnl" w:eastAsia="es-ES"/>
        </w:rPr>
        <w:t xml:space="preserve">: Servicio de arrendamiento de enlaces de transmisión, cuyas puntas se ubican en una misma localidad del territorio nacional, prestado a </w:t>
      </w:r>
      <w:proofErr w:type="gramStart"/>
      <w:r w:rsidRPr="000323A2">
        <w:rPr>
          <w:rFonts w:ascii="Arial" w:eastAsia="Calibri" w:hAnsi="Arial" w:cs="Arial"/>
          <w:spacing w:val="-3"/>
          <w:sz w:val="24"/>
          <w:szCs w:val="24"/>
          <w:lang w:val="es-ES_tradnl" w:eastAsia="es-ES"/>
        </w:rPr>
        <w:t>otros  Concesionarios</w:t>
      </w:r>
      <w:proofErr w:type="gramEnd"/>
      <w:r w:rsidRPr="000323A2">
        <w:rPr>
          <w:rFonts w:ascii="Arial" w:eastAsia="Calibri" w:hAnsi="Arial" w:cs="Arial"/>
          <w:spacing w:val="-3"/>
          <w:sz w:val="24"/>
          <w:szCs w:val="24"/>
          <w:lang w:val="es-ES_tradnl" w:eastAsia="es-ES"/>
        </w:rPr>
        <w:t xml:space="preserve"> Solicitantes y Autorizados Solicitantes de telecomunicaciones.</w:t>
      </w:r>
    </w:p>
    <w:p w14:paraId="10CFDBD9"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pacing w:val="-3"/>
          <w:sz w:val="24"/>
          <w:szCs w:val="24"/>
          <w:lang w:val="es-ES_tradnl" w:eastAsia="es-ES"/>
        </w:rPr>
      </w:pPr>
      <w:r w:rsidRPr="000323A2">
        <w:rPr>
          <w:rFonts w:ascii="Arial" w:eastAsia="Calibri" w:hAnsi="Arial" w:cs="Arial"/>
          <w:b/>
          <w:spacing w:val="-3"/>
          <w:sz w:val="24"/>
          <w:szCs w:val="24"/>
          <w:u w:val="single"/>
          <w:lang w:val="es-ES_tradnl" w:eastAsia="es-ES"/>
        </w:rPr>
        <w:t>SERVICIO MAYORISTA DE ARRENDAMIENTO DE ENLACES DEDICADOS ENTRE LOCALIDADES:</w:t>
      </w:r>
      <w:r w:rsidRPr="000323A2">
        <w:rPr>
          <w:rFonts w:ascii="Arial" w:eastAsia="Calibri" w:hAnsi="Arial" w:cs="Arial"/>
          <w:spacing w:val="-3"/>
          <w:sz w:val="24"/>
          <w:szCs w:val="24"/>
          <w:lang w:val="es-ES_tradnl" w:eastAsia="es-ES"/>
        </w:rPr>
        <w:t xml:space="preserve"> Servicio de arrendamiento de enlaces de transmisión, cuyas puntas se ubican en localidades distintas del territorio nacional, prestado a otros Concesionarios Solicitantes y Autorizados Solicitantes de telecomunicaciones.</w:t>
      </w:r>
    </w:p>
    <w:p w14:paraId="1131E01D"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b/>
          <w:spacing w:val="-3"/>
          <w:sz w:val="24"/>
          <w:szCs w:val="24"/>
          <w:u w:val="single"/>
          <w:lang w:val="es-ES" w:eastAsia="es-ES"/>
        </w:rPr>
        <w:t>SERVICIO MAYORISTA DE ARRENDAMIENTO DE ENLACES DEDICADOS DE LARGA DISTANCIA INTERNACIONAL:</w:t>
      </w:r>
      <w:r w:rsidRPr="000323A2">
        <w:rPr>
          <w:rFonts w:ascii="Arial" w:eastAsia="Calibri" w:hAnsi="Arial" w:cs="Arial"/>
          <w:spacing w:val="-3"/>
          <w:sz w:val="24"/>
          <w:szCs w:val="24"/>
          <w:lang w:val="es-ES" w:eastAsia="es-ES"/>
        </w:rPr>
        <w:t xml:space="preserve"> Servicio de arrendamiento de enlaces de transmisión, en los cuales una de las puntas se ubica en alguna localidad del territorio nacional,</w:t>
      </w:r>
      <w:r w:rsidRPr="000323A2">
        <w:rPr>
          <w:rFonts w:ascii="Calibri" w:eastAsia="Calibri" w:hAnsi="Calibri" w:cs="Times New Roman"/>
        </w:rPr>
        <w:t xml:space="preserve"> </w:t>
      </w:r>
      <w:r w:rsidRPr="000323A2">
        <w:rPr>
          <w:rFonts w:ascii="Arial" w:eastAsia="Calibri" w:hAnsi="Arial" w:cs="Arial"/>
          <w:spacing w:val="-3"/>
          <w:sz w:val="24"/>
          <w:szCs w:val="24"/>
          <w:lang w:val="es-ES" w:eastAsia="es-ES"/>
        </w:rPr>
        <w:t>excepto ciudades fronterizas, y otra en el extranjero. Este servicio tiene un ámbito geográfico nacional, prestado a otros Concesionarios Solicitantes y Autorizados Solicitantes de telecomunicaciones</w:t>
      </w:r>
      <w:r w:rsidRPr="000323A2">
        <w:rPr>
          <w:rFonts w:ascii="Arial" w:eastAsia="Calibri" w:hAnsi="Arial" w:cs="Arial"/>
          <w:sz w:val="24"/>
          <w:szCs w:val="24"/>
          <w:lang w:val="es-ES" w:eastAsia="es-ES"/>
        </w:rPr>
        <w:t>.</w:t>
      </w:r>
    </w:p>
    <w:p w14:paraId="416F6890"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b/>
          <w:sz w:val="24"/>
          <w:szCs w:val="24"/>
          <w:u w:val="single"/>
          <w:lang w:val="es-ES" w:eastAsia="es-ES"/>
        </w:rPr>
        <w:t>SEG</w:t>
      </w:r>
      <w:r w:rsidRPr="000323A2">
        <w:rPr>
          <w:rFonts w:ascii="Arial" w:eastAsia="Calibri" w:hAnsi="Arial" w:cs="Arial"/>
          <w:sz w:val="24"/>
          <w:szCs w:val="24"/>
          <w:lang w:val="es-ES" w:eastAsia="es-ES"/>
        </w:rPr>
        <w:t>: Es el Sistema Electrónico de Gestión referido en la Medida Cuadragésima Segunda del Anexo 2 de la Resolución de Preponderancia.</w:t>
      </w:r>
    </w:p>
    <w:p w14:paraId="6A0B46B5"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b/>
          <w:sz w:val="24"/>
          <w:szCs w:val="24"/>
          <w:u w:val="single"/>
          <w:lang w:val="es-ES_tradnl" w:eastAsia="es-ES"/>
        </w:rPr>
        <w:t>SERVICIOS:</w:t>
      </w:r>
      <w:r w:rsidRPr="000323A2">
        <w:rPr>
          <w:rFonts w:ascii="Arial" w:eastAsia="Calibri" w:hAnsi="Arial" w:cs="Arial"/>
          <w:b/>
          <w:sz w:val="24"/>
          <w:szCs w:val="24"/>
          <w:lang w:val="es-ES_tradnl" w:eastAsia="es-ES"/>
        </w:rPr>
        <w:t xml:space="preserve"> </w:t>
      </w:r>
      <w:r w:rsidRPr="000323A2">
        <w:rPr>
          <w:rFonts w:ascii="Arial" w:eastAsia="Calibri" w:hAnsi="Arial" w:cs="Arial"/>
          <w:sz w:val="24"/>
          <w:szCs w:val="24"/>
          <w:lang w:val="es-ES" w:eastAsia="es-ES"/>
        </w:rPr>
        <w:t xml:space="preserve">Son los servicios de telecomunicaciones que TELMEX le ofrece al </w:t>
      </w:r>
      <w:r w:rsidRPr="000323A2">
        <w:rPr>
          <w:rFonts w:ascii="Arial" w:eastAsia="Calibri" w:hAnsi="Arial" w:cs="Arial"/>
          <w:sz w:val="24"/>
          <w:szCs w:val="24"/>
          <w:lang w:eastAsia="es-ES"/>
        </w:rPr>
        <w:t>CONCESIONARIO SOLICITANTE O AUTORIZADO SOLICITANTE</w:t>
      </w:r>
      <w:r w:rsidRPr="000323A2">
        <w:rPr>
          <w:rFonts w:ascii="Arial" w:eastAsia="Calibri" w:hAnsi="Arial" w:cs="Arial"/>
          <w:sz w:val="24"/>
          <w:szCs w:val="24"/>
          <w:lang w:val="es-ES" w:eastAsia="es-ES"/>
        </w:rPr>
        <w:t xml:space="preserve">, que se listan a continuación: </w:t>
      </w:r>
    </w:p>
    <w:p w14:paraId="4DA48B42" w14:textId="77777777" w:rsidR="000323A2" w:rsidRPr="000323A2" w:rsidRDefault="000323A2" w:rsidP="00B04B36">
      <w:pPr>
        <w:widowControl w:val="0"/>
        <w:numPr>
          <w:ilvl w:val="0"/>
          <w:numId w:val="65"/>
        </w:numPr>
        <w:tabs>
          <w:tab w:val="num" w:pos="0"/>
        </w:tabs>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Servicio Mayorista de Arrendamiento de Enlaces Dedicados Locales</w:t>
      </w:r>
    </w:p>
    <w:p w14:paraId="3C7F4655" w14:textId="77777777" w:rsidR="000323A2" w:rsidRPr="000323A2" w:rsidRDefault="000323A2" w:rsidP="00B04B36">
      <w:pPr>
        <w:widowControl w:val="0"/>
        <w:numPr>
          <w:ilvl w:val="0"/>
          <w:numId w:val="65"/>
        </w:numPr>
        <w:tabs>
          <w:tab w:val="num" w:pos="0"/>
        </w:tabs>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Servicio Mayorista de Arrendamiento de Enlaces Dedicados entre Localidades</w:t>
      </w:r>
    </w:p>
    <w:p w14:paraId="79B9FF2C" w14:textId="77777777" w:rsidR="000323A2" w:rsidRPr="000323A2" w:rsidRDefault="000323A2" w:rsidP="00B04B36">
      <w:pPr>
        <w:widowControl w:val="0"/>
        <w:numPr>
          <w:ilvl w:val="0"/>
          <w:numId w:val="65"/>
        </w:numPr>
        <w:tabs>
          <w:tab w:val="num" w:pos="0"/>
        </w:tabs>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Servicio Mayorista de Arrendamiento de Enlaces Dedicados de Larga Distancia Internacional</w:t>
      </w:r>
    </w:p>
    <w:p w14:paraId="6F7F2215" w14:textId="77777777" w:rsidR="000323A2" w:rsidRPr="000323A2" w:rsidRDefault="000323A2" w:rsidP="000323A2">
      <w:pPr>
        <w:spacing w:before="240"/>
        <w:rPr>
          <w:rFonts w:ascii="Arial" w:eastAsia="Calibri" w:hAnsi="Arial" w:cs="Arial"/>
          <w:b/>
          <w:sz w:val="24"/>
          <w:szCs w:val="24"/>
        </w:rPr>
      </w:pPr>
      <w:r w:rsidRPr="000323A2">
        <w:rPr>
          <w:rFonts w:ascii="Arial" w:eastAsia="Calibri" w:hAnsi="Arial" w:cs="Arial"/>
          <w:b/>
          <w:sz w:val="24"/>
          <w:szCs w:val="24"/>
        </w:rPr>
        <w:t>SEGUNDA.</w:t>
      </w:r>
      <w:r w:rsidRPr="000323A2">
        <w:rPr>
          <w:rFonts w:ascii="Arial" w:eastAsia="Calibri" w:hAnsi="Arial" w:cs="Arial"/>
          <w:b/>
          <w:sz w:val="24"/>
          <w:szCs w:val="24"/>
        </w:rPr>
        <w:tab/>
        <w:t>OBJETO</w:t>
      </w:r>
    </w:p>
    <w:p w14:paraId="7B4B7D6E" w14:textId="77777777" w:rsidR="000323A2" w:rsidRPr="000323A2" w:rsidRDefault="000323A2" w:rsidP="000323A2">
      <w:pPr>
        <w:widowControl w:val="0"/>
        <w:adjustRightInd w:val="0"/>
        <w:spacing w:before="240" w:after="0" w:line="276" w:lineRule="auto"/>
        <w:contextualSpacing/>
        <w:jc w:val="both"/>
        <w:textAlignment w:val="baseline"/>
        <w:rPr>
          <w:rFonts w:ascii="Arial" w:eastAsia="Calibri" w:hAnsi="Arial" w:cs="Arial"/>
          <w:sz w:val="24"/>
          <w:szCs w:val="24"/>
          <w:lang w:eastAsia="es-ES"/>
        </w:rPr>
      </w:pPr>
      <w:r w:rsidRPr="000323A2">
        <w:rPr>
          <w:rFonts w:ascii="Arial" w:eastAsia="Calibri" w:hAnsi="Arial" w:cs="Arial"/>
          <w:sz w:val="24"/>
          <w:szCs w:val="24"/>
          <w:lang w:val="es-ES_tradnl" w:eastAsia="es-ES"/>
        </w:rPr>
        <w:t xml:space="preserve">TELMEX se obliga a prestar al </w:t>
      </w:r>
      <w:r w:rsidRPr="000323A2">
        <w:rPr>
          <w:rFonts w:ascii="Arial" w:eastAsia="Calibri" w:hAnsi="Arial" w:cs="Arial"/>
          <w:sz w:val="24"/>
          <w:szCs w:val="24"/>
          <w:lang w:eastAsia="es-ES"/>
        </w:rPr>
        <w:t>CONCESIONARIO SOLICITANTE O AUTORIZADO SOLICITANTE</w:t>
      </w:r>
      <w:r w:rsidRPr="000323A2">
        <w:rPr>
          <w:rFonts w:ascii="Arial" w:eastAsia="Calibri" w:hAnsi="Arial" w:cs="Arial"/>
          <w:b/>
          <w:sz w:val="24"/>
          <w:szCs w:val="24"/>
          <w:lang w:eastAsia="es-ES"/>
        </w:rPr>
        <w:t xml:space="preserve"> </w:t>
      </w:r>
      <w:r w:rsidRPr="000323A2">
        <w:rPr>
          <w:rFonts w:ascii="Arial" w:eastAsia="Calibri" w:hAnsi="Arial" w:cs="Arial"/>
          <w:sz w:val="24"/>
          <w:szCs w:val="24"/>
          <w:lang w:val="es-ES_tradnl" w:eastAsia="es-ES"/>
        </w:rPr>
        <w:t xml:space="preserve">los SERVICIOS de conformidad con el presente CONVENIO su respectivo Anexo “A” de Tarifas, las Medidas de Preponderancia aplicables y </w:t>
      </w:r>
      <w:r w:rsidRPr="000323A2">
        <w:rPr>
          <w:rFonts w:ascii="Arial" w:eastAsia="Calibri" w:hAnsi="Arial" w:cs="Arial"/>
          <w:sz w:val="24"/>
          <w:szCs w:val="24"/>
          <w:lang w:val="es-ES_tradnl" w:eastAsia="es-ES"/>
        </w:rPr>
        <w:lastRenderedPageBreak/>
        <w:t>vigentes impuestas por el IFT, así como la Oferta de Referencia aplicable al periodo respectivo, el cual es parte integrante del presente CONVENIO y firmado por las PARTES se adjunta al presente como si a la letra se insertase</w:t>
      </w:r>
      <w:r w:rsidRPr="000323A2">
        <w:rPr>
          <w:rFonts w:ascii="Arial" w:eastAsia="Calibri" w:hAnsi="Arial" w:cs="Arial"/>
          <w:sz w:val="24"/>
          <w:szCs w:val="24"/>
          <w:lang w:eastAsia="es-ES"/>
        </w:rPr>
        <w:t>.</w:t>
      </w:r>
    </w:p>
    <w:p w14:paraId="1A17E444"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sidDel="00D31017">
        <w:rPr>
          <w:rFonts w:ascii="Arial" w:eastAsia="Calibri" w:hAnsi="Arial" w:cs="Arial"/>
          <w:sz w:val="24"/>
          <w:szCs w:val="24"/>
          <w:lang w:eastAsia="es-ES"/>
        </w:rPr>
        <w:t xml:space="preserve"> </w:t>
      </w:r>
    </w:p>
    <w:p w14:paraId="219CCF8F" w14:textId="77777777" w:rsidR="000323A2" w:rsidRPr="000323A2" w:rsidRDefault="000323A2" w:rsidP="000323A2">
      <w:pPr>
        <w:widowControl w:val="0"/>
        <w:autoSpaceDE w:val="0"/>
        <w:autoSpaceDN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El CONCESIONARIO SOLICITANTE O AUTORIZADO SOLICITANTE informará a TELMEX sobre aquellos acuerdos alcanzados con otros concesionarios para el uso compartido de la infraestructura de  éstos, presentando para tal efecto un escrito en el cual aquel concesionario con quien haya celebrado algún acuerdo autorice al CONCESIONARIO SOLICITANTE O AUTORIZADO SOLICITANTE el uso de tal infraestructura a fin de que, en caso de ser necesario, se tengan elementos que permitan deslindar responsabilidades respecto al uso compartido de esa infraestructura.</w:t>
      </w:r>
    </w:p>
    <w:p w14:paraId="17D36609"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Las tarifas</w:t>
      </w:r>
      <w:r w:rsidRPr="000323A2">
        <w:rPr>
          <w:rFonts w:ascii="Arial" w:eastAsia="Calibri" w:hAnsi="Arial" w:cs="Arial"/>
          <w:b/>
          <w:sz w:val="24"/>
          <w:szCs w:val="24"/>
          <w:lang w:val="es-ES" w:eastAsia="es-ES"/>
        </w:rPr>
        <w:t xml:space="preserve"> </w:t>
      </w:r>
      <w:r w:rsidRPr="000323A2">
        <w:rPr>
          <w:rFonts w:ascii="Arial" w:eastAsia="Calibri" w:hAnsi="Arial" w:cs="Arial"/>
          <w:sz w:val="24"/>
          <w:szCs w:val="24"/>
          <w:lang w:val="es-ES" w:eastAsia="es-ES"/>
        </w:rPr>
        <w:t xml:space="preserve">para los Servicios de Arrendamiento de Enlaces Dedicados Locales, entre Localidades y de Larga Distancia Internacional, son aquellas que se establecen en el Anexo “A” del presente CONVENIO. </w:t>
      </w:r>
    </w:p>
    <w:p w14:paraId="23FE2CE1" w14:textId="77777777" w:rsidR="000323A2" w:rsidRPr="000323A2" w:rsidRDefault="000323A2" w:rsidP="000323A2">
      <w:pPr>
        <w:spacing w:before="240"/>
        <w:jc w:val="both"/>
        <w:rPr>
          <w:rFonts w:ascii="Arial" w:eastAsia="Calibri" w:hAnsi="Arial" w:cs="Arial"/>
          <w:sz w:val="24"/>
          <w:szCs w:val="24"/>
        </w:rPr>
      </w:pPr>
      <w:r w:rsidRPr="000323A2">
        <w:rPr>
          <w:rFonts w:ascii="Arial" w:eastAsia="Calibri" w:hAnsi="Arial" w:cs="Arial"/>
          <w:sz w:val="24"/>
          <w:szCs w:val="24"/>
        </w:rPr>
        <w:t>Siendo el cumplimiento del CONVENIO y sus Anexos el principal objetivo de las PARTES, en caso de interpretación, ésta se llevará a cabo a fin de conservar y que surta efecto el objeto del CONVENIO y su intención, por lo que si los términos son claros se estará a su literalidad, se interpretará de acuerdo a lo que las PARTES propusieron, y se interpretará en el sentido en que produzca plenos efectos. La interpretación se hará de forma integral y armónica en conjunto con lo previsto en el CONVENIO y su Anexo, por lo que las palabras con más de un sentido se interpretarán de acuerdo a la naturaleza y efectos del CONVENIO, y en segundo lugar de su Anexo y, en su defecto, se estará de forma sucesiva a lo siguiente:</w:t>
      </w:r>
    </w:p>
    <w:p w14:paraId="690C83C2" w14:textId="77777777" w:rsidR="000323A2" w:rsidRPr="000323A2" w:rsidRDefault="000323A2" w:rsidP="00B04B36">
      <w:pPr>
        <w:widowControl w:val="0"/>
        <w:numPr>
          <w:ilvl w:val="0"/>
          <w:numId w:val="82"/>
        </w:numPr>
        <w:adjustRightInd w:val="0"/>
        <w:spacing w:before="240" w:after="0" w:line="360" w:lineRule="atLeast"/>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En primer lugar, a lo expresamente previsto en la Ley;</w:t>
      </w:r>
    </w:p>
    <w:p w14:paraId="2027A962" w14:textId="77777777" w:rsidR="000323A2" w:rsidRPr="000323A2" w:rsidRDefault="000323A2" w:rsidP="00B04B36">
      <w:pPr>
        <w:widowControl w:val="0"/>
        <w:numPr>
          <w:ilvl w:val="0"/>
          <w:numId w:val="82"/>
        </w:numPr>
        <w:adjustRightInd w:val="0"/>
        <w:spacing w:before="240" w:after="0" w:line="360" w:lineRule="atLeast"/>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En segundo lugar y en tanto estén vigentes, a lo expresamente previsto en las Medidas de Preponderancia impuestas por el IFT;</w:t>
      </w:r>
    </w:p>
    <w:p w14:paraId="2C99CA67" w14:textId="77777777" w:rsidR="000323A2" w:rsidRPr="000323A2" w:rsidRDefault="000323A2" w:rsidP="00B04B36">
      <w:pPr>
        <w:widowControl w:val="0"/>
        <w:numPr>
          <w:ilvl w:val="0"/>
          <w:numId w:val="82"/>
        </w:numPr>
        <w:adjustRightInd w:val="0"/>
        <w:spacing w:before="240" w:after="0" w:line="360" w:lineRule="atLeast"/>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En tercer lugar, a lo expresamente previsto en el Acuerdo P/IFT/EXT/181214/279 para la abstención de cargos de larga distancia nacional, el Acuerdo P/IFT/EXT/090215/43 de Puntos de Interconexión y el Acuerdo mediante el cual el Instituto determinó las Condiciones Técnicas Mínimas de Interconexión;</w:t>
      </w:r>
    </w:p>
    <w:p w14:paraId="22F694EE" w14:textId="77777777" w:rsidR="000323A2" w:rsidRPr="000323A2" w:rsidRDefault="000323A2" w:rsidP="00B04B36">
      <w:pPr>
        <w:widowControl w:val="0"/>
        <w:numPr>
          <w:ilvl w:val="0"/>
          <w:numId w:val="82"/>
        </w:numPr>
        <w:adjustRightInd w:val="0"/>
        <w:spacing w:before="240" w:after="0" w:line="360" w:lineRule="atLeast"/>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lastRenderedPageBreak/>
        <w:t xml:space="preserve">En cuarto lugar, para TELMEX, a lo expresamente previsto en sus títulos de concesión </w:t>
      </w:r>
    </w:p>
    <w:p w14:paraId="68BC3B2F" w14:textId="77777777" w:rsidR="000323A2" w:rsidRPr="000323A2" w:rsidRDefault="000323A2" w:rsidP="00B04B36">
      <w:pPr>
        <w:widowControl w:val="0"/>
        <w:numPr>
          <w:ilvl w:val="0"/>
          <w:numId w:val="82"/>
        </w:numPr>
        <w:adjustRightInd w:val="0"/>
        <w:spacing w:before="240" w:after="0" w:line="360" w:lineRule="atLeast"/>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En quinto lugar, a la intención de no afectar la prestación de los servicios concesionados y, después de ésta la de no afectar a ninguna de las redes; y</w:t>
      </w:r>
    </w:p>
    <w:p w14:paraId="18377A47" w14:textId="77777777" w:rsidR="000323A2" w:rsidRPr="000323A2" w:rsidRDefault="000323A2" w:rsidP="00B04B36">
      <w:pPr>
        <w:widowControl w:val="0"/>
        <w:numPr>
          <w:ilvl w:val="0"/>
          <w:numId w:val="82"/>
        </w:numPr>
        <w:adjustRightInd w:val="0"/>
        <w:spacing w:before="240" w:after="0" w:line="360" w:lineRule="atLeast"/>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En sexto lugar, a los principios contenidos en los artículos 20, 1851 al 1857 del Código Civil Federal.</w:t>
      </w:r>
    </w:p>
    <w:p w14:paraId="235AC778" w14:textId="77777777" w:rsidR="000323A2" w:rsidRPr="000323A2" w:rsidRDefault="000323A2" w:rsidP="000323A2">
      <w:pPr>
        <w:spacing w:before="240"/>
        <w:rPr>
          <w:rFonts w:ascii="Arial" w:eastAsia="Calibri" w:hAnsi="Arial" w:cs="Arial"/>
          <w:sz w:val="24"/>
          <w:szCs w:val="24"/>
        </w:rPr>
      </w:pPr>
      <w:r w:rsidRPr="000323A2">
        <w:rPr>
          <w:rFonts w:ascii="Arial" w:eastAsia="Calibri" w:hAnsi="Arial" w:cs="Arial"/>
          <w:sz w:val="24"/>
          <w:szCs w:val="24"/>
        </w:rPr>
        <w:t xml:space="preserve">El presente CONVENIO, su Anexo y cualquier modificación que </w:t>
      </w:r>
      <w:proofErr w:type="gramStart"/>
      <w:r w:rsidRPr="000323A2">
        <w:rPr>
          <w:rFonts w:ascii="Arial" w:eastAsia="Calibri" w:hAnsi="Arial" w:cs="Arial"/>
          <w:sz w:val="24"/>
          <w:szCs w:val="24"/>
        </w:rPr>
        <w:t>cualquiera de estos sufran</w:t>
      </w:r>
      <w:proofErr w:type="gramEnd"/>
      <w:r w:rsidRPr="000323A2">
        <w:rPr>
          <w:rFonts w:ascii="Arial" w:eastAsia="Calibri" w:hAnsi="Arial" w:cs="Arial"/>
          <w:sz w:val="24"/>
          <w:szCs w:val="24"/>
        </w:rPr>
        <w:t xml:space="preserve"> forman parte integrante del mismo.</w:t>
      </w:r>
    </w:p>
    <w:p w14:paraId="6CA2F99E"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_tradnl" w:eastAsia="es-ES"/>
        </w:rPr>
      </w:pPr>
      <w:r w:rsidRPr="000323A2">
        <w:rPr>
          <w:rFonts w:ascii="Arial" w:eastAsia="Calibri" w:hAnsi="Arial" w:cs="Arial"/>
          <w:b/>
          <w:sz w:val="24"/>
          <w:szCs w:val="24"/>
          <w:lang w:val="es-ES_tradnl" w:eastAsia="es-ES"/>
        </w:rPr>
        <w:t>TERCERA.</w:t>
      </w:r>
      <w:r w:rsidRPr="000323A2">
        <w:rPr>
          <w:rFonts w:ascii="Arial" w:eastAsia="Calibri" w:hAnsi="Arial" w:cs="Arial"/>
          <w:b/>
          <w:sz w:val="24"/>
          <w:szCs w:val="24"/>
          <w:lang w:val="es-ES_tradnl" w:eastAsia="es-ES"/>
        </w:rPr>
        <w:tab/>
        <w:t>PRECIO Y CONDICIONES DE PAGO</w:t>
      </w:r>
    </w:p>
    <w:p w14:paraId="434F16FD" w14:textId="77777777" w:rsidR="000323A2" w:rsidRPr="000323A2" w:rsidRDefault="000323A2" w:rsidP="000323A2">
      <w:pPr>
        <w:widowControl w:val="0"/>
        <w:adjustRightInd w:val="0"/>
        <w:spacing w:before="240" w:after="0" w:line="276" w:lineRule="auto"/>
        <w:ind w:left="705" w:hanging="705"/>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lang w:val="es-ES_tradnl" w:eastAsia="es-ES"/>
        </w:rPr>
        <w:t>3.1</w:t>
      </w:r>
      <w:r w:rsidRPr="000323A2">
        <w:rPr>
          <w:rFonts w:ascii="Arial" w:eastAsia="Calibri" w:hAnsi="Arial" w:cs="Arial"/>
          <w:b/>
          <w:sz w:val="24"/>
          <w:szCs w:val="24"/>
          <w:lang w:val="es-ES_tradnl" w:eastAsia="es-ES"/>
        </w:rPr>
        <w:tab/>
      </w:r>
      <w:r w:rsidRPr="000323A2">
        <w:rPr>
          <w:rFonts w:ascii="Arial" w:eastAsia="Calibri" w:hAnsi="Arial" w:cs="Arial"/>
          <w:sz w:val="24"/>
          <w:szCs w:val="24"/>
          <w:lang w:val="es-ES_tradnl" w:eastAsia="es-ES"/>
        </w:rPr>
        <w:t xml:space="preserve">El </w:t>
      </w:r>
      <w:r w:rsidRPr="000323A2">
        <w:rPr>
          <w:rFonts w:ascii="Arial" w:eastAsia="Calibri" w:hAnsi="Arial" w:cs="Arial"/>
          <w:sz w:val="24"/>
          <w:szCs w:val="24"/>
          <w:lang w:eastAsia="es-ES"/>
        </w:rPr>
        <w:t xml:space="preserve">CONCESIONARIO SOLICITANTE O AUTORIZADO SOLICITANTE </w:t>
      </w:r>
      <w:r w:rsidRPr="000323A2">
        <w:rPr>
          <w:rFonts w:ascii="Arial" w:eastAsia="Calibri" w:hAnsi="Arial" w:cs="Arial"/>
          <w:sz w:val="24"/>
          <w:szCs w:val="24"/>
          <w:lang w:val="es-ES_tradnl" w:eastAsia="es-ES"/>
        </w:rPr>
        <w:t xml:space="preserve">se obliga a pagar a TELMEX por la prestación de los SERVICIOS, las tarifas establecidas en el Anexo “A” del presente CONVENIO, mismas que se tienen por reproducidas en el presente apartado como si a la letra se </w:t>
      </w:r>
      <w:proofErr w:type="gramStart"/>
      <w:r w:rsidRPr="000323A2">
        <w:rPr>
          <w:rFonts w:ascii="Arial" w:eastAsia="Calibri" w:hAnsi="Arial" w:cs="Arial"/>
          <w:sz w:val="24"/>
          <w:szCs w:val="24"/>
          <w:lang w:val="es-ES_tradnl" w:eastAsia="es-ES"/>
        </w:rPr>
        <w:t>insertasen,  de</w:t>
      </w:r>
      <w:proofErr w:type="gramEnd"/>
      <w:r w:rsidRPr="000323A2">
        <w:rPr>
          <w:rFonts w:ascii="Arial" w:eastAsia="Calibri" w:hAnsi="Arial" w:cs="Arial"/>
          <w:sz w:val="24"/>
          <w:szCs w:val="24"/>
          <w:lang w:val="es-ES_tradnl" w:eastAsia="es-ES"/>
        </w:rPr>
        <w:t xml:space="preserve"> conformidad con las siguientes condiciones:</w:t>
      </w:r>
      <w:r w:rsidRPr="000323A2">
        <w:rPr>
          <w:rFonts w:ascii="Arial" w:eastAsia="Calibri" w:hAnsi="Arial" w:cs="Arial"/>
          <w:b/>
          <w:sz w:val="24"/>
          <w:szCs w:val="24"/>
          <w:vertAlign w:val="subscript"/>
          <w:lang w:val="es-ES_tradnl" w:eastAsia="es-ES"/>
        </w:rPr>
        <w:t xml:space="preserve"> </w:t>
      </w:r>
    </w:p>
    <w:p w14:paraId="4C31B3AA"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b/>
          <w:sz w:val="24"/>
          <w:szCs w:val="24"/>
          <w:lang w:val="es-ES_tradnl" w:eastAsia="es-ES"/>
        </w:rPr>
      </w:pPr>
      <w:r w:rsidRPr="000323A2">
        <w:rPr>
          <w:rFonts w:ascii="Arial" w:eastAsia="Calibri" w:hAnsi="Arial" w:cs="Arial"/>
          <w:b/>
          <w:sz w:val="24"/>
          <w:szCs w:val="24"/>
          <w:lang w:val="es-ES_tradnl" w:eastAsia="es-ES"/>
        </w:rPr>
        <w:t>a)</w:t>
      </w:r>
      <w:r w:rsidRPr="000323A2">
        <w:rPr>
          <w:rFonts w:ascii="Arial" w:eastAsia="Calibri" w:hAnsi="Arial" w:cs="Arial"/>
          <w:b/>
          <w:sz w:val="24"/>
          <w:szCs w:val="24"/>
          <w:lang w:val="es-ES_tradnl" w:eastAsia="es-ES"/>
        </w:rPr>
        <w:tab/>
        <w:t>Gastos de instalación</w:t>
      </w:r>
    </w:p>
    <w:p w14:paraId="29C64CBD"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Pago de los gastos de instalación en una sola exhibición al día hábil siguiente de la validación de los ACUERDOS ESPECIFICOS respectivos, conforme a las tarifas que se estipulan en el Anexo “A” del presente CONVENIO.</w:t>
      </w:r>
    </w:p>
    <w:p w14:paraId="377AA92E"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b/>
          <w:sz w:val="24"/>
          <w:szCs w:val="24"/>
          <w:lang w:val="es-ES_tradnl" w:eastAsia="es-ES"/>
        </w:rPr>
      </w:pPr>
      <w:r w:rsidRPr="000323A2">
        <w:rPr>
          <w:rFonts w:ascii="Arial" w:eastAsia="Calibri" w:hAnsi="Arial" w:cs="Arial"/>
          <w:b/>
          <w:sz w:val="24"/>
          <w:szCs w:val="24"/>
          <w:lang w:val="es-ES_tradnl" w:eastAsia="es-ES"/>
        </w:rPr>
        <w:t>b)</w:t>
      </w:r>
      <w:r w:rsidRPr="000323A2">
        <w:rPr>
          <w:rFonts w:ascii="Arial" w:eastAsia="Calibri" w:hAnsi="Arial" w:cs="Arial"/>
          <w:b/>
          <w:sz w:val="24"/>
          <w:szCs w:val="24"/>
          <w:lang w:val="es-ES_tradnl" w:eastAsia="es-ES"/>
        </w:rPr>
        <w:tab/>
        <w:t>Pago mensual de los SERVICIOS</w:t>
      </w:r>
    </w:p>
    <w:p w14:paraId="77B91E3A" w14:textId="77777777" w:rsidR="000323A2" w:rsidRPr="000323A2" w:rsidRDefault="000323A2" w:rsidP="000323A2">
      <w:pPr>
        <w:widowControl w:val="0"/>
        <w:adjustRightInd w:val="0"/>
        <w:spacing w:before="240" w:after="0" w:line="276" w:lineRule="auto"/>
        <w:ind w:firstLine="4"/>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Pago mensual de la renta del mes corriente de los SERVICIOS de conformidad con las tarifas que se estipulan en el Anexo “A” de Tarifas del presente CONVENIO.</w:t>
      </w:r>
    </w:p>
    <w:p w14:paraId="13C99314"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El CONCESIONARIO SOLICITANTE O AUTORIZADO SOLICITANTE se encuentra obligado al pago mensual de los servicios, a partir de la fecha de la notificación de entrega del servicio por parte de TELMEX confirmada mediante la recepción que del mismo realice el CONCESIONARIO SOLICITANTE O AUTORIZADO SOLICITANTE a través de la firma del ACTA de ACEPTACIÓN correspondiente. Un ejemplar del ACTA de ACEPTACIÓN quedará en poder de cada una de las PARTES.</w:t>
      </w:r>
    </w:p>
    <w:p w14:paraId="371C316B"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El PROCEDIMIENTO DE ENTREGA/RECEPCIÓN de los SERVICIOS se sujetará a los términos y condiciones del Anexo “D” de la Oferta.</w:t>
      </w:r>
    </w:p>
    <w:p w14:paraId="4FA0B6D4"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_tradnl" w:eastAsia="es-ES"/>
        </w:rPr>
        <w:lastRenderedPageBreak/>
        <w:t xml:space="preserve">Los pagos referidos deberán cubrirse a más tardar dentro de los 18 (dieciocho) días naturales siguientes a aquél en que el CONCESIONARIO SOLICITANTE O AUTORIZADO SOLICITANTE haya recibido la factura correspondiente, de no llevarse a cabo, </w:t>
      </w:r>
      <w:r w:rsidRPr="000323A2">
        <w:rPr>
          <w:rFonts w:ascii="Arial" w:eastAsia="Calibri" w:hAnsi="Arial" w:cs="Arial"/>
          <w:sz w:val="24"/>
          <w:szCs w:val="24"/>
          <w:lang w:val="es-ES" w:eastAsia="es-ES"/>
        </w:rPr>
        <w:t>TELMEX podrá rescindir el presente CONVENIO sin necesidad de declaración judicial. En caso de que la fecha de vencimiento corresponda a un día inhábil, se efectuará al día siguiente hábil.</w:t>
      </w:r>
    </w:p>
    <w:p w14:paraId="6392BE80"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 xml:space="preserve">TELMEX y el CONCESIONARIO SOLICITANTE O AUTORIZADO SOLICITANTE acuerdan que en el evento de que este último incumpla con cualesquiera de las obligaciones de pago a su cargo bajo el presente CONVENIO, TELMEX estará debidamente facultado para: (i) suspender, sin responsabilidad alguna, la prestación de los Servicios, una vez realizada la notificación al </w:t>
      </w:r>
      <w:r w:rsidRPr="000323A2" w:rsidDel="009A3E1C">
        <w:rPr>
          <w:rFonts w:ascii="Arial" w:eastAsia="Calibri" w:hAnsi="Arial" w:cs="Arial"/>
          <w:sz w:val="24"/>
          <w:szCs w:val="24"/>
          <w:lang w:val="es-ES" w:eastAsia="es-ES"/>
        </w:rPr>
        <w:t xml:space="preserve">CONCESIONARIO </w:t>
      </w:r>
      <w:r w:rsidRPr="000323A2">
        <w:rPr>
          <w:rFonts w:ascii="Arial" w:eastAsia="Calibri" w:hAnsi="Arial" w:cs="Arial"/>
          <w:sz w:val="24"/>
          <w:szCs w:val="24"/>
          <w:lang w:val="es-ES" w:eastAsia="es-ES"/>
        </w:rPr>
        <w:t>SOLICITANTE O AUTORIZADO SOLICITANTE. En esta notificación TELMEX le concederá al CONCESIONARIO O AUTORIZADO SOLICITANTE un periodo de 10 (diez) días hábiles para que subsane cualquier obligación de pago, TELMEX podrá, rescindir el presente CONVENIO en observancia a lo dispuesto en la cláusula Décima Tercera. Rescisión del CONVENIO. En este último caso, TELMEX podrá exigir el pago de daños y perjuicios</w:t>
      </w:r>
    </w:p>
    <w:p w14:paraId="0FA32C63"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lang w:val="es-ES_tradnl" w:eastAsia="es-ES"/>
        </w:rPr>
        <w:t>c)</w:t>
      </w:r>
      <w:r w:rsidRPr="000323A2">
        <w:rPr>
          <w:rFonts w:ascii="Arial" w:eastAsia="Calibri" w:hAnsi="Arial" w:cs="Arial"/>
          <w:b/>
          <w:sz w:val="24"/>
          <w:szCs w:val="24"/>
          <w:lang w:val="es-ES_tradnl" w:eastAsia="es-ES"/>
        </w:rPr>
        <w:tab/>
        <w:t>Remisión de facturas</w:t>
      </w:r>
    </w:p>
    <w:p w14:paraId="01EA9D6C"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TELMEX remitirá mensualmente de manera obligatoria mediante el SEG y al domicilio del CONCESIONARIO SOLICITANTE O AUTORIZADO SOLICITANTE y/o a la cuenta de correo electrónico señalada para tales efectos en la Cláusula VIGESIMA del presente CONVENIO, la factura a pagar por los SERVICIOS correspondientes, la cual deberá cumplir con los requisitos fiscales requeridos por la legislación vigente a la fecha de su expedición.</w:t>
      </w:r>
    </w:p>
    <w:p w14:paraId="20A5E857"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En caso de que el CONCESIONARIO SOLICITANTE O AUTORIZADO SOLICITANTE no reciba las facturas por causas imputables al mismo, éste deberá realizar el pago de dichas facturas dentro del plazo señalado en el inciso b) de la presente cláusula, contando el plazo correspondiente a partir de la fecha en que el CONCESIONARIO SOLICITANTE O AUTORIZADO SOLICITANTE debió haber recibido la factura.</w:t>
      </w:r>
    </w:p>
    <w:p w14:paraId="17CF1C9D"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El pago de las facturas y de los cargos de contratación podrá llevarse a cabo por cualquiera de las siguientes vías, con previo aviso del CONCESIONARIO SOLICITANTE O AUTORIZADO SOLICITANTE:</w:t>
      </w:r>
    </w:p>
    <w:p w14:paraId="7F8976B1"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1.</w:t>
      </w:r>
      <w:r w:rsidRPr="000323A2">
        <w:rPr>
          <w:rFonts w:ascii="Arial" w:eastAsia="Calibri" w:hAnsi="Arial" w:cs="Arial"/>
          <w:sz w:val="24"/>
          <w:szCs w:val="24"/>
          <w:lang w:val="es-ES_tradnl" w:eastAsia="es-ES"/>
        </w:rPr>
        <w:tab/>
        <w:t xml:space="preserve">Pago con cheque emitido por una Institución Bancaria, a nombre de </w:t>
      </w:r>
      <w:r w:rsidRPr="000323A2">
        <w:rPr>
          <w:rFonts w:ascii="Arial" w:eastAsia="Calibri" w:hAnsi="Arial" w:cs="Arial"/>
          <w:sz w:val="24"/>
          <w:szCs w:val="24"/>
          <w:lang w:val="es-ES_tradnl" w:eastAsia="es-ES"/>
        </w:rPr>
        <w:lastRenderedPageBreak/>
        <w:t>TELÉFONOS DE MÉXICO, S.A.B. DE C.V. el cual será entregado en el domicilio de TELMEX o depositado en la cuenta bancaria que TELMEX previamente le indique al CONCESIONARIO SOLICITANTE O AUTORIZADO SOLICITANTE.</w:t>
      </w:r>
    </w:p>
    <w:p w14:paraId="579B6554" w14:textId="77777777" w:rsidR="000323A2" w:rsidRPr="000323A2" w:rsidRDefault="000323A2" w:rsidP="000323A2">
      <w:pPr>
        <w:widowControl w:val="0"/>
        <w:adjustRightInd w:val="0"/>
        <w:spacing w:before="240" w:after="0" w:line="276" w:lineRule="auto"/>
        <w:ind w:left="705" w:hanging="705"/>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2.</w:t>
      </w:r>
      <w:r w:rsidRPr="000323A2">
        <w:rPr>
          <w:rFonts w:ascii="Arial" w:eastAsia="Calibri" w:hAnsi="Arial" w:cs="Arial"/>
          <w:sz w:val="24"/>
          <w:szCs w:val="24"/>
          <w:lang w:val="es-ES_tradnl" w:eastAsia="es-ES"/>
        </w:rPr>
        <w:tab/>
        <w:t>Pago por transferencia electrónica a la cuenta bancaria que TELMEX previamente le indique al CONCESIONARIO SOLICITANTE O AUTORIZADO SOLICITANTE.</w:t>
      </w:r>
    </w:p>
    <w:p w14:paraId="7F8B1942"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b/>
          <w:sz w:val="24"/>
          <w:szCs w:val="24"/>
          <w:lang w:val="es-ES_tradnl" w:eastAsia="es-ES"/>
        </w:rPr>
      </w:pPr>
      <w:r w:rsidRPr="000323A2">
        <w:rPr>
          <w:rFonts w:ascii="Arial" w:eastAsia="Calibri" w:hAnsi="Arial" w:cs="Arial"/>
          <w:b/>
          <w:sz w:val="24"/>
          <w:szCs w:val="24"/>
          <w:lang w:val="es-ES_tradnl" w:eastAsia="es-ES"/>
        </w:rPr>
        <w:t>d)</w:t>
      </w:r>
      <w:r w:rsidRPr="000323A2">
        <w:rPr>
          <w:rFonts w:ascii="Arial" w:eastAsia="Calibri" w:hAnsi="Arial" w:cs="Arial"/>
          <w:b/>
          <w:sz w:val="24"/>
          <w:szCs w:val="24"/>
          <w:lang w:val="es-ES_tradnl" w:eastAsia="es-ES"/>
        </w:rPr>
        <w:tab/>
        <w:t>Impuestos</w:t>
      </w:r>
    </w:p>
    <w:p w14:paraId="1654FFB3" w14:textId="77777777" w:rsidR="000323A2" w:rsidRPr="000323A2" w:rsidRDefault="000323A2" w:rsidP="000323A2">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Las PARTES se harán cargo del pago de los impuestos que en virtud de la prestación de los SERVICIOS y de acuerdo con la legislación vigente les corresponda.</w:t>
      </w:r>
    </w:p>
    <w:p w14:paraId="55E24048"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lang w:val="es-ES_tradnl" w:eastAsia="es-ES"/>
        </w:rPr>
        <w:t>3.2</w:t>
      </w:r>
      <w:r w:rsidRPr="000323A2">
        <w:rPr>
          <w:rFonts w:ascii="Arial" w:eastAsia="Calibri" w:hAnsi="Arial" w:cs="Arial"/>
          <w:b/>
          <w:sz w:val="24"/>
          <w:szCs w:val="24"/>
          <w:lang w:val="es-ES_tradnl" w:eastAsia="es-ES"/>
        </w:rPr>
        <w:tab/>
      </w:r>
      <w:r w:rsidRPr="000323A2">
        <w:rPr>
          <w:rFonts w:ascii="Arial" w:eastAsia="Calibri" w:hAnsi="Arial" w:cs="Arial"/>
          <w:sz w:val="24"/>
          <w:szCs w:val="24"/>
          <w:lang w:val="es-ES_tradnl" w:eastAsia="es-ES"/>
        </w:rPr>
        <w:t xml:space="preserve">En el caso de que el CONCESIONARIO SOLICITANTE O AUTORIZADO SOLICITANTE no esté de acuerdo con su factura, deberá dirigir su inconformidad a TELMEX de acuerdo a lo siguiente: </w:t>
      </w:r>
    </w:p>
    <w:p w14:paraId="63C8E438"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Para que cualquier inconformidad sea procedente, la misma deberá (i) referirse exclusivamente al número de unidades o cualquier otro parámetro de medición aplicable a los SERVICIOS, así como a errores matemáticos, de cálculo o de actualización, pero por ningún motivo a la tarifa misma pactada por unidad conforme a este CONVENIO, ni tampoco a la calidad con la que fueron prestados los SERVICIOS; (ii) hacerse valer dentro de los 18 (dieciocho) días naturales siguientes a la fecha de recepción de la factura original de que se trate, y (iii) acompañarse necesariamente de: (a) el rechazo formal, por escrito, en que el CONCESIONARIO SOLICITANTE O AUTORIZADO SOLICITANTE manifieste las razones de su inconformidad y (b) a elección del CONCESIONARIO SOLICITANTE O AUTORIZADO SOLICITANTE el pago total de los servicios o, el pago por los cargos reconocidos y la exhibición de una fianza que garantice el importe de aquellos no reconocidos. Como alternativa, la parte que objete la factura o receptora del servicio podrá pagar, bajo protesta, la totalidad o una porción de la factura, y ésta se considerará como Factura Objetada, por esa porción o la totalidad, en su caso. Lo anterior no implica una renuncia a los derechos de la parte objetante respecto de aquellas tarifas que sean determinadas administrativamente por la autoridad competente.</w:t>
      </w:r>
    </w:p>
    <w:p w14:paraId="2CE81EEC"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 xml:space="preserve">Queda claramente entendido por las PARTES que las inconformidades que no reúnan los requisitos precedentes no tendrán efecto o validez alguna y, en </w:t>
      </w:r>
      <w:r w:rsidRPr="000323A2">
        <w:rPr>
          <w:rFonts w:ascii="Arial" w:eastAsia="Calibri" w:hAnsi="Arial" w:cs="Arial"/>
          <w:sz w:val="24"/>
          <w:szCs w:val="24"/>
          <w:lang w:val="es-ES_tradnl" w:eastAsia="es-ES"/>
        </w:rPr>
        <w:lastRenderedPageBreak/>
        <w:t>consecuencia, las facturas y estados de adeudos correspondientes se tendrán por consentidos.</w:t>
      </w:r>
    </w:p>
    <w:p w14:paraId="5FF710C2"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rPr>
        <w:t xml:space="preserve">Aquellas facturas que el CONCESIONARIO SOLICITANTE O AUTORIZADO SOLICITANTE hubiese objetado, serán revisadas por ambas PARTES en un plazo que no excederá de 18 días naturales contados a partir de la recepción de la notificación por escrito de la objeción correspondiente, a efecto de determinar el monto efectivo a pagar , misma que no procederá si no es realizada dentro de los 18 (dieciocho) días naturales siguientes a la fecha de recepción de la factura de que se trate y de acuerdo con los demás términos y condiciones previstos en el segundo párrafo de este inciso. Si una vez concluido el plazo de 18 días al que alude el presente numeral, TELMEX no ha notificado la procedencia de la objeción al Concesionario Solicitante o Autorizado Solicitante, se entenderá automáticamente que la objeción es procedente y el Concesionario Solicitante o Autorizado Solicitante quedará </w:t>
      </w:r>
      <w:proofErr w:type="spellStart"/>
      <w:r w:rsidRPr="000323A2">
        <w:rPr>
          <w:rFonts w:ascii="Arial" w:eastAsia="Calibri" w:hAnsi="Arial" w:cs="Arial"/>
          <w:sz w:val="24"/>
          <w:szCs w:val="24"/>
        </w:rPr>
        <w:t>exhimido</w:t>
      </w:r>
      <w:proofErr w:type="spellEnd"/>
      <w:r w:rsidRPr="000323A2">
        <w:rPr>
          <w:rFonts w:ascii="Arial" w:eastAsia="Calibri" w:hAnsi="Arial" w:cs="Arial"/>
          <w:sz w:val="24"/>
          <w:szCs w:val="24"/>
        </w:rPr>
        <w:t xml:space="preserve"> del pago de la cantidad objetada. </w:t>
      </w:r>
    </w:p>
    <w:p w14:paraId="244AD831"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 xml:space="preserve">En caso de ser improcedente la objeción presentada por el CONCESIONARIO SOLICITANTE O AUTORIZADO SOLICITANTE, éste deberá pagar en adición al monto objetado, los intereses moratorios a los que hace referencia la Cláusula Cuarta del presente CONVENIO desde la fecha original de pago. En caso de que la objeción sea procedente, y el CONCESIONARIO SOLICITANTE O AUTORIZADO SOLICITANTE haya optado por efectuar el pago total de los servicios facturados, TELMEX deberá efectuar la devolución del monto que resulte procedente de la objeción y deberá pagar, </w:t>
      </w:r>
      <w:r w:rsidRPr="000323A2">
        <w:rPr>
          <w:rFonts w:ascii="Arial" w:eastAsia="Calibri" w:hAnsi="Arial" w:cs="Arial"/>
          <w:i/>
          <w:sz w:val="24"/>
          <w:szCs w:val="24"/>
          <w:lang w:val="es-ES_tradnl" w:eastAsia="es-ES"/>
        </w:rPr>
        <w:t>mutatis mutandis</w:t>
      </w:r>
      <w:r w:rsidRPr="000323A2">
        <w:rPr>
          <w:rFonts w:ascii="Arial" w:eastAsia="Calibri" w:hAnsi="Arial" w:cs="Arial"/>
          <w:sz w:val="24"/>
          <w:szCs w:val="24"/>
          <w:lang w:val="es-ES_tradnl" w:eastAsia="es-ES"/>
        </w:rPr>
        <w:t>, los intereses a que se refiere la Cláusula Cuarta del presente CONVENIO.</w:t>
      </w:r>
    </w:p>
    <w:p w14:paraId="665490FD"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_tradnl" w:eastAsia="es-ES"/>
        </w:rPr>
      </w:pPr>
      <w:r w:rsidRPr="000323A2">
        <w:rPr>
          <w:rFonts w:ascii="Arial" w:eastAsia="Calibri" w:hAnsi="Arial" w:cs="Arial"/>
          <w:b/>
          <w:sz w:val="24"/>
          <w:szCs w:val="24"/>
          <w:lang w:val="es-ES_tradnl" w:eastAsia="es-ES"/>
        </w:rPr>
        <w:t>e)</w:t>
      </w:r>
      <w:r w:rsidRPr="000323A2">
        <w:rPr>
          <w:rFonts w:ascii="Arial" w:eastAsia="Calibri" w:hAnsi="Arial" w:cs="Arial"/>
          <w:b/>
          <w:sz w:val="24"/>
          <w:szCs w:val="24"/>
          <w:lang w:val="es-ES_tradnl" w:eastAsia="es-ES"/>
        </w:rPr>
        <w:tab/>
        <w:t xml:space="preserve">Facturación extemporánea. </w:t>
      </w:r>
    </w:p>
    <w:p w14:paraId="554B14CC"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TELMEX podrá presentar en un plazo máximo de 90 (noventa) días naturales posteriores al mes de facturación correspondiente, facturas complementarias por SERVICIOS omitidos o incorrectamente facturados.</w:t>
      </w:r>
    </w:p>
    <w:p w14:paraId="3C69BC9D"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CUARTA.</w:t>
      </w:r>
      <w:r w:rsidRPr="000323A2">
        <w:rPr>
          <w:rFonts w:ascii="Arial" w:eastAsia="Calibri" w:hAnsi="Arial" w:cs="Arial"/>
          <w:b/>
          <w:sz w:val="24"/>
          <w:szCs w:val="24"/>
          <w:lang w:val="es-ES" w:eastAsia="es-ES"/>
        </w:rPr>
        <w:tab/>
        <w:t>INTERESES MORATORIOS</w:t>
      </w:r>
    </w:p>
    <w:p w14:paraId="3F759918"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val="es-ES" w:eastAsia="es-ES"/>
        </w:rPr>
        <w:tab/>
      </w:r>
    </w:p>
    <w:p w14:paraId="1D7F0131"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 xml:space="preserve">En caso de incumplimiento por parte del CONCESIONARIO SOLICITANTE O AUTORIZADO SOLICITANTE de cualesquiera de sus obligaciones de pago contenidas en el presente CONVENIO y en la Oferta de Referencia, deberá pagar, en adición a las cantidades adeudadas, y desde la fecha de vencimiento de su obligación de pago hasta la fecha en que queden totalmente pagadas, intereses </w:t>
      </w:r>
      <w:r w:rsidRPr="000323A2">
        <w:rPr>
          <w:rFonts w:ascii="Arial" w:eastAsia="Calibri" w:hAnsi="Arial" w:cs="Arial"/>
          <w:sz w:val="24"/>
          <w:szCs w:val="24"/>
          <w:lang w:eastAsia="es-ES"/>
        </w:rPr>
        <w:lastRenderedPageBreak/>
        <w:t xml:space="preserve">moratorios sobre saldos insolutos a una tasa anual que será igual a la Tasa de Interés </w:t>
      </w:r>
      <w:proofErr w:type="spellStart"/>
      <w:r w:rsidRPr="000323A2">
        <w:rPr>
          <w:rFonts w:ascii="Arial" w:eastAsia="Calibri" w:hAnsi="Arial" w:cs="Arial"/>
          <w:sz w:val="24"/>
          <w:szCs w:val="24"/>
          <w:lang w:eastAsia="es-ES"/>
        </w:rPr>
        <w:t>lnterbancaria</w:t>
      </w:r>
      <w:proofErr w:type="spellEnd"/>
      <w:r w:rsidRPr="000323A2">
        <w:rPr>
          <w:rFonts w:ascii="Arial" w:eastAsia="Calibri" w:hAnsi="Arial" w:cs="Arial"/>
          <w:sz w:val="24"/>
          <w:szCs w:val="24"/>
          <w:lang w:eastAsia="es-ES"/>
        </w:rPr>
        <w:t xml:space="preserve"> de Equilibrio (TIIE) vigente a plazo de 28 (veintiocho) días más reciente en relación con la fecha en que ocurra el incumplimiento de pago, multiplicada a razón de 1 (una) vez, sobre bases de cálculos mensuales.</w:t>
      </w:r>
    </w:p>
    <w:p w14:paraId="2C5D759E"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La tasa base para efectos del cálculo de intereses moratorios en el primer período mensual será la TIIE vigente a la fecha de vencimiento de la obligación de pago correspondiente. Dicha tasa base se ajustará mensualmente empleando la TIIE vigente en la fecha en que inicie cada período mensual subsecuente, contado a partir de la fecha de vencimiento de las contraprestaciones correspondientes.</w:t>
      </w:r>
    </w:p>
    <w:p w14:paraId="1875E673"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Los intereses moratorios se calcularán sobre las cantidades adeudadas y se computarán por días calendario sobre la base de 1 (un) año comercial de 360 (trescientos sesenta) días por el número de días efectivamente transcurridos desde la fecha de vencimiento de la obligación de pago, hasta la fecha en que se liquiden en su totalidad los saldos insolutos a TELMEX, en la inteligencia de que los intereses moratorios variarán mensualmente junto con las variaciones que sufra la tasa de referencia durante el período en que subsista el incumplimiento.</w:t>
      </w:r>
    </w:p>
    <w:p w14:paraId="7E167828"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Para el supuesto en que desaparezca la TIIE, la tasa de interés que servirá como base para determinar los intereses moratorios no podrá ser menor a la tasa de interés más alta del bono o instrumento que el Gobierno Federal coloque en el mercado de dinero que se aproxime al plazo de 28 (veintiocho) días.</w:t>
      </w:r>
    </w:p>
    <w:p w14:paraId="3F0C8114"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QUINTA.</w:t>
      </w:r>
      <w:r w:rsidRPr="000323A2">
        <w:rPr>
          <w:rFonts w:ascii="Arial" w:eastAsia="Calibri" w:hAnsi="Arial" w:cs="Arial"/>
          <w:b/>
          <w:sz w:val="24"/>
          <w:szCs w:val="24"/>
          <w:lang w:val="es-ES" w:eastAsia="es-ES"/>
        </w:rPr>
        <w:tab/>
        <w:t>CONDICIONES PARA LA INSTALACIÓN DE LOS SERVICIOS</w:t>
      </w:r>
    </w:p>
    <w:p w14:paraId="5DC0C17E" w14:textId="77777777" w:rsidR="000323A2" w:rsidRPr="000323A2" w:rsidRDefault="000323A2" w:rsidP="000323A2">
      <w:pPr>
        <w:widowControl w:val="0"/>
        <w:adjustRightInd w:val="0"/>
        <w:spacing w:before="240" w:after="0" w:line="276" w:lineRule="auto"/>
        <w:ind w:left="705" w:hanging="705"/>
        <w:jc w:val="both"/>
        <w:textAlignment w:val="baseline"/>
        <w:rPr>
          <w:rFonts w:ascii="Arial" w:eastAsia="Calibri" w:hAnsi="Arial" w:cs="Arial"/>
          <w:spacing w:val="-3"/>
          <w:sz w:val="24"/>
          <w:szCs w:val="24"/>
          <w:lang w:val="es-ES_tradnl" w:eastAsia="es-ES"/>
        </w:rPr>
      </w:pPr>
      <w:r w:rsidRPr="000323A2">
        <w:rPr>
          <w:rFonts w:ascii="Arial" w:eastAsia="Calibri" w:hAnsi="Arial" w:cs="Arial"/>
          <w:b/>
          <w:spacing w:val="-3"/>
          <w:sz w:val="24"/>
          <w:szCs w:val="24"/>
          <w:lang w:val="es-ES_tradnl" w:eastAsia="es-ES"/>
        </w:rPr>
        <w:t>5.1</w:t>
      </w:r>
      <w:r w:rsidRPr="000323A2">
        <w:rPr>
          <w:rFonts w:ascii="Arial" w:eastAsia="Calibri" w:hAnsi="Arial" w:cs="Arial"/>
          <w:b/>
          <w:spacing w:val="-3"/>
          <w:sz w:val="24"/>
          <w:szCs w:val="24"/>
          <w:lang w:val="es-ES_tradnl" w:eastAsia="es-ES"/>
        </w:rPr>
        <w:tab/>
      </w:r>
      <w:r w:rsidRPr="000323A2">
        <w:rPr>
          <w:rFonts w:ascii="Arial" w:eastAsia="Calibri" w:hAnsi="Arial" w:cs="Arial"/>
          <w:spacing w:val="-3"/>
          <w:sz w:val="24"/>
          <w:szCs w:val="24"/>
          <w:lang w:val="es-ES_tradnl" w:eastAsia="es-ES"/>
        </w:rPr>
        <w:t xml:space="preserve">Con el objeto de que TELMEX preste los SERVICIOS en los términos acordados en </w:t>
      </w:r>
      <w:r w:rsidRPr="000323A2">
        <w:rPr>
          <w:rFonts w:ascii="Arial" w:eastAsia="Calibri" w:hAnsi="Arial" w:cs="Arial"/>
          <w:sz w:val="24"/>
          <w:szCs w:val="24"/>
          <w:lang w:val="es-ES_tradnl" w:eastAsia="es-ES"/>
        </w:rPr>
        <w:t>el presente CONVENIO, el CONCESIONARIO SOLICITANTE O AUTORIZADO SOLICITANTE</w:t>
      </w:r>
      <w:r w:rsidRPr="000323A2">
        <w:rPr>
          <w:rFonts w:ascii="Arial" w:eastAsia="Calibri" w:hAnsi="Arial" w:cs="Arial"/>
          <w:spacing w:val="-3"/>
          <w:sz w:val="24"/>
          <w:szCs w:val="24"/>
          <w:lang w:val="es-ES_tradnl" w:eastAsia="es-ES"/>
        </w:rPr>
        <w:t xml:space="preserve"> debe acondicionar </w:t>
      </w:r>
      <w:r w:rsidRPr="000323A2">
        <w:rPr>
          <w:rFonts w:ascii="Arial" w:eastAsia="Calibri" w:hAnsi="Arial" w:cs="Arial"/>
          <w:sz w:val="24"/>
          <w:szCs w:val="24"/>
          <w:lang w:val="es-ES_tradnl" w:eastAsia="es-ES"/>
        </w:rPr>
        <w:t>el</w:t>
      </w:r>
      <w:r w:rsidRPr="000323A2">
        <w:rPr>
          <w:rFonts w:ascii="Arial" w:eastAsia="Calibri" w:hAnsi="Arial" w:cs="Arial"/>
          <w:spacing w:val="-3"/>
          <w:sz w:val="24"/>
          <w:szCs w:val="24"/>
          <w:lang w:val="es-ES_tradnl" w:eastAsia="es-ES"/>
        </w:rPr>
        <w:t xml:space="preserve"> sitio donde deban instalarse los SERVICIOS de conformidad con los requerimientos técnicos descritos en el Anexo “E” de la Oferta.</w:t>
      </w:r>
    </w:p>
    <w:p w14:paraId="46CBE7D3" w14:textId="77777777" w:rsidR="000323A2" w:rsidRPr="000323A2" w:rsidRDefault="000323A2" w:rsidP="000323A2">
      <w:pPr>
        <w:widowControl w:val="0"/>
        <w:adjustRightInd w:val="0"/>
        <w:spacing w:before="240" w:after="0" w:line="276" w:lineRule="auto"/>
        <w:ind w:left="705" w:hanging="720"/>
        <w:jc w:val="both"/>
        <w:textAlignment w:val="baseline"/>
        <w:rPr>
          <w:rFonts w:ascii="Arial" w:eastAsia="Calibri" w:hAnsi="Arial" w:cs="Arial"/>
          <w:spacing w:val="-3"/>
          <w:sz w:val="24"/>
          <w:szCs w:val="24"/>
          <w:lang w:val="es-ES_tradnl" w:eastAsia="es-ES"/>
        </w:rPr>
      </w:pPr>
      <w:r w:rsidRPr="000323A2">
        <w:rPr>
          <w:rFonts w:ascii="Arial" w:eastAsia="Calibri" w:hAnsi="Arial" w:cs="Arial"/>
          <w:b/>
          <w:spacing w:val="-3"/>
          <w:sz w:val="24"/>
          <w:szCs w:val="24"/>
          <w:lang w:val="es-ES_tradnl" w:eastAsia="es-ES"/>
        </w:rPr>
        <w:t>5.2</w:t>
      </w:r>
      <w:r w:rsidRPr="000323A2">
        <w:rPr>
          <w:rFonts w:ascii="Arial" w:eastAsia="Calibri" w:hAnsi="Arial" w:cs="Arial"/>
          <w:b/>
          <w:spacing w:val="-3"/>
          <w:sz w:val="24"/>
          <w:szCs w:val="24"/>
          <w:lang w:val="es-ES_tradnl" w:eastAsia="es-ES"/>
        </w:rPr>
        <w:tab/>
      </w:r>
      <w:r w:rsidRPr="000323A2">
        <w:rPr>
          <w:rFonts w:ascii="Arial" w:eastAsia="Calibri" w:hAnsi="Arial" w:cs="Arial"/>
          <w:spacing w:val="-3"/>
          <w:sz w:val="24"/>
          <w:szCs w:val="24"/>
          <w:lang w:val="es-ES_tradnl" w:eastAsia="es-ES"/>
        </w:rPr>
        <w:t xml:space="preserve">El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pacing w:val="-3"/>
          <w:sz w:val="24"/>
          <w:szCs w:val="24"/>
          <w:lang w:val="es-ES_tradnl" w:eastAsia="es-ES"/>
        </w:rPr>
        <w:t xml:space="preserve"> notificará a TELMEX cuando los sitios se encuentren totalmente acondicionados y preparados para recibir los SERVICIOS, de acuerdo con las condiciones de instalación definidas para cada uno de los SERVICIOS establecidas en el Anexo “E” de la Oferta.</w:t>
      </w:r>
    </w:p>
    <w:p w14:paraId="17895675" w14:textId="77777777" w:rsidR="000323A2" w:rsidRPr="000323A2" w:rsidRDefault="000323A2" w:rsidP="000323A2">
      <w:pPr>
        <w:spacing w:before="240"/>
        <w:rPr>
          <w:rFonts w:ascii="Arial" w:eastAsia="Calibri" w:hAnsi="Arial" w:cs="Arial"/>
          <w:b/>
          <w:sz w:val="24"/>
          <w:szCs w:val="24"/>
        </w:rPr>
      </w:pPr>
      <w:proofErr w:type="gramStart"/>
      <w:r w:rsidRPr="000323A2">
        <w:rPr>
          <w:rFonts w:ascii="Arial" w:eastAsia="Calibri" w:hAnsi="Arial" w:cs="Arial"/>
          <w:b/>
          <w:sz w:val="24"/>
          <w:szCs w:val="24"/>
        </w:rPr>
        <w:t>SEXTA.-</w:t>
      </w:r>
      <w:proofErr w:type="gramEnd"/>
      <w:r w:rsidRPr="000323A2">
        <w:rPr>
          <w:rFonts w:ascii="Arial" w:eastAsia="Calibri" w:hAnsi="Arial" w:cs="Arial"/>
          <w:b/>
          <w:sz w:val="24"/>
          <w:szCs w:val="24"/>
        </w:rPr>
        <w:t xml:space="preserve"> INCUMPLIMIENTO EN LA ENTREGA DE LOS SERVICIOS</w:t>
      </w:r>
    </w:p>
    <w:p w14:paraId="0AC680F4"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 xml:space="preserve">En caso de que TELMEX no cumpla con la entrega, instalación y puesta en </w:t>
      </w:r>
      <w:r w:rsidRPr="000323A2">
        <w:rPr>
          <w:rFonts w:ascii="Arial" w:eastAsia="Calibri" w:hAnsi="Arial" w:cs="Arial"/>
          <w:sz w:val="24"/>
          <w:szCs w:val="24"/>
          <w:lang w:val="es-ES_tradnl" w:eastAsia="es-ES"/>
        </w:rPr>
        <w:lastRenderedPageBreak/>
        <w:t xml:space="preserve">operación de los SERVICIOS, después de cumplido  por parte del CONCESIONARIO SOLICITANTE O AUTORIZADO SOLICITANTE el acondicionamiento de los sitios, de conformidad con lo establecido en la cláusula anterior, TELMEX liquidará una vez entregada de la factura correspondiente por parte del CONCESIONARIO SOLICITANTE O AUTORIZADO SOLICITANTE, el </w:t>
      </w:r>
      <w:r w:rsidRPr="000323A2">
        <w:rPr>
          <w:rFonts w:ascii="Arial" w:eastAsia="Calibri" w:hAnsi="Arial" w:cs="Arial"/>
          <w:color w:val="000000"/>
          <w:sz w:val="24"/>
          <w:szCs w:val="24"/>
        </w:rPr>
        <w:t>monto económico correspondiente al 10% de la renta mensual del enlace por cada día hábil de retraso en la entrega, respecto a las fechas comprometidas del servicio en cuestión. Las cantidades referidas serán liquidadas sin perjuicio de las penalidades que TELMEX deba pagar a los Concesionarios Solicitantes o Autorizados Solicitantes en términos de la Oferta de Referencia aplicable vigente.</w:t>
      </w:r>
    </w:p>
    <w:p w14:paraId="7C4DB7D3"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p>
    <w:p w14:paraId="4C9219C7"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Para la medición del cumplimento de los plazos de entrega no se computarán los días de retraso atribuibles al CONCESIONARIO SOLICITANTE O AUTORIZADO SOLICITANTE</w:t>
      </w:r>
      <w:r w:rsidRPr="000323A2">
        <w:rPr>
          <w:rFonts w:ascii="Arial" w:eastAsia="Calibri" w:hAnsi="Arial" w:cs="Arial"/>
          <w:sz w:val="24"/>
          <w:szCs w:val="24"/>
          <w:lang w:eastAsia="es-ES"/>
        </w:rPr>
        <w:t xml:space="preserve"> </w:t>
      </w:r>
      <w:r w:rsidRPr="000323A2">
        <w:rPr>
          <w:rFonts w:ascii="Arial" w:eastAsia="Calibri" w:hAnsi="Arial" w:cs="Arial"/>
          <w:sz w:val="24"/>
          <w:szCs w:val="24"/>
          <w:lang w:val="es-ES_tradnl" w:eastAsia="es-ES"/>
        </w:rPr>
        <w:t xml:space="preserve">del servicio respectivo, ni los que deriven de una causa de fuerza mayor o caso fortuito ni aquellos no imputables a TELMEX, los que de manera enunciativa mas no limitativa, pueden consistir en: inundaciones, guerras, huracanes, incendios, huelgas, sismos, terremotos, retrasos por permisos de trabajos en vías públicas </w:t>
      </w:r>
      <w:bookmarkStart w:id="49" w:name="_Hlk494022176"/>
      <w:r w:rsidRPr="000323A2">
        <w:rPr>
          <w:rFonts w:ascii="Arial" w:eastAsia="Calibri" w:hAnsi="Arial" w:cs="Arial"/>
          <w:sz w:val="24"/>
          <w:szCs w:val="24"/>
          <w:lang w:val="es-ES_tradnl" w:eastAsia="es-ES"/>
        </w:rPr>
        <w:t>(municipales, estatales o federales)</w:t>
      </w:r>
      <w:bookmarkEnd w:id="49"/>
      <w:r w:rsidRPr="000323A2">
        <w:rPr>
          <w:rFonts w:ascii="Arial" w:eastAsia="Calibri" w:hAnsi="Arial" w:cs="Arial"/>
          <w:sz w:val="24"/>
          <w:szCs w:val="24"/>
          <w:lang w:val="es-ES_tradnl" w:eastAsia="es-ES"/>
        </w:rPr>
        <w:t>, acondicionamiento de sitios del cliente que no estén listos, plantones en vía pública y negación de accesos a las instalaciones del cliente final. Tampoco se computarán los tiempos atribuibles a las notificaciones que TELMEX realice a los concesionarios de redes públicas de telecomunicaciones para que manifiesten su interés por participar en las nuevas obras civiles.</w:t>
      </w:r>
    </w:p>
    <w:p w14:paraId="1BF3D883" w14:textId="77777777" w:rsidR="000323A2" w:rsidRPr="000323A2" w:rsidRDefault="000323A2" w:rsidP="000323A2">
      <w:pPr>
        <w:spacing w:before="240"/>
        <w:rPr>
          <w:rFonts w:ascii="Arial" w:eastAsia="Calibri" w:hAnsi="Arial" w:cs="Arial"/>
          <w:b/>
          <w:sz w:val="24"/>
          <w:szCs w:val="24"/>
        </w:rPr>
      </w:pPr>
      <w:r w:rsidRPr="000323A2">
        <w:rPr>
          <w:rFonts w:ascii="Arial" w:eastAsia="Calibri" w:hAnsi="Arial" w:cs="Arial"/>
          <w:b/>
          <w:sz w:val="24"/>
          <w:szCs w:val="24"/>
        </w:rPr>
        <w:t>SÉPTIMA.</w:t>
      </w:r>
      <w:r w:rsidRPr="000323A2">
        <w:rPr>
          <w:rFonts w:ascii="Arial" w:eastAsia="Calibri" w:hAnsi="Arial" w:cs="Arial"/>
          <w:b/>
          <w:sz w:val="24"/>
          <w:szCs w:val="24"/>
        </w:rPr>
        <w:tab/>
        <w:t>FUNCIONAMIENTO Y SUPERVISIÓN DE LOS SERVICIOS</w:t>
      </w:r>
    </w:p>
    <w:p w14:paraId="74C5DEAC"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spacing w:val="-3"/>
          <w:sz w:val="24"/>
          <w:szCs w:val="24"/>
          <w:lang w:val="es-ES" w:eastAsia="es-ES"/>
        </w:rPr>
      </w:pPr>
      <w:r w:rsidRPr="000323A2">
        <w:rPr>
          <w:rFonts w:ascii="Arial" w:eastAsia="Calibri" w:hAnsi="Arial" w:cs="Arial"/>
          <w:b/>
          <w:spacing w:val="-3"/>
          <w:sz w:val="24"/>
          <w:szCs w:val="24"/>
          <w:lang w:eastAsia="es-ES"/>
        </w:rPr>
        <w:t>7.1</w:t>
      </w:r>
      <w:r w:rsidRPr="000323A2">
        <w:rPr>
          <w:rFonts w:ascii="Arial" w:eastAsia="Calibri" w:hAnsi="Arial" w:cs="Arial"/>
          <w:b/>
          <w:spacing w:val="-3"/>
          <w:sz w:val="24"/>
          <w:szCs w:val="24"/>
          <w:lang w:eastAsia="es-ES"/>
        </w:rPr>
        <w:tab/>
      </w:r>
      <w:r w:rsidRPr="000323A2">
        <w:rPr>
          <w:rFonts w:ascii="Arial" w:eastAsia="Calibri" w:hAnsi="Arial" w:cs="Arial"/>
          <w:spacing w:val="-3"/>
          <w:sz w:val="24"/>
          <w:szCs w:val="24"/>
          <w:lang w:val="es-ES" w:eastAsia="es-ES"/>
        </w:rPr>
        <w:t xml:space="preserve">En la fecha de entrega de los SERVICIOS definida según lo establecido en el Anexo “C” de la Oferta, el </w:t>
      </w:r>
      <w:r w:rsidRPr="000323A2">
        <w:rPr>
          <w:rFonts w:ascii="Arial" w:eastAsia="Calibri" w:hAnsi="Arial" w:cs="Arial"/>
          <w:sz w:val="24"/>
          <w:szCs w:val="24"/>
          <w:lang w:val="es-ES_tradnl" w:eastAsia="es-ES"/>
        </w:rPr>
        <w:t xml:space="preserve">CONCESIONARIO SOLICITANTE O AUTORIZADO SOLICITANTE </w:t>
      </w:r>
      <w:r w:rsidRPr="000323A2">
        <w:rPr>
          <w:rFonts w:ascii="Arial" w:eastAsia="Calibri" w:hAnsi="Arial" w:cs="Arial"/>
          <w:spacing w:val="-3"/>
          <w:sz w:val="24"/>
          <w:szCs w:val="24"/>
          <w:lang w:val="es-ES" w:eastAsia="es-ES"/>
        </w:rPr>
        <w:t xml:space="preserve">tendrá derecho a verificar su funcionalidad, a fin de constatar que los SERVICIOS se ajustan a las especificaciones establecidas en el PROCEDIMIENTO DE ENTREGA/ RECEPCIÓN. Dicha verificación se llevará a cabo conjuntamente con TELMEX y en caso de que se satisfagan dichas especificaciones el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pacing w:val="-3"/>
          <w:sz w:val="24"/>
          <w:szCs w:val="24"/>
          <w:lang w:val="es-ES" w:eastAsia="es-ES"/>
        </w:rPr>
        <w:t xml:space="preserve"> procederá a la firma del ACTA DE ACEPTACIÓN.</w:t>
      </w:r>
    </w:p>
    <w:p w14:paraId="65FC5874" w14:textId="77777777" w:rsidR="000323A2" w:rsidRPr="000323A2" w:rsidRDefault="000323A2" w:rsidP="000323A2">
      <w:pPr>
        <w:widowControl w:val="0"/>
        <w:adjustRightInd w:val="0"/>
        <w:spacing w:before="240" w:after="0" w:line="276" w:lineRule="auto"/>
        <w:ind w:left="1416" w:hanging="1416"/>
        <w:jc w:val="both"/>
        <w:textAlignment w:val="baseline"/>
        <w:rPr>
          <w:rFonts w:ascii="Arial" w:eastAsia="Calibri" w:hAnsi="Arial" w:cs="Arial"/>
          <w:spacing w:val="-3"/>
          <w:sz w:val="24"/>
          <w:szCs w:val="24"/>
          <w:lang w:val="es-ES" w:eastAsia="es-ES"/>
        </w:rPr>
      </w:pPr>
      <w:r w:rsidRPr="000323A2">
        <w:rPr>
          <w:rFonts w:ascii="Arial" w:eastAsia="Calibri" w:hAnsi="Arial" w:cs="Arial"/>
          <w:b/>
          <w:spacing w:val="-3"/>
          <w:sz w:val="24"/>
          <w:szCs w:val="24"/>
          <w:lang w:val="es-ES" w:eastAsia="es-ES"/>
        </w:rPr>
        <w:t>7.2</w:t>
      </w:r>
      <w:r w:rsidRPr="000323A2">
        <w:rPr>
          <w:rFonts w:ascii="Arial" w:eastAsia="Calibri" w:hAnsi="Arial" w:cs="Arial"/>
          <w:b/>
          <w:spacing w:val="-3"/>
          <w:sz w:val="24"/>
          <w:szCs w:val="24"/>
          <w:lang w:val="es-ES" w:eastAsia="es-ES"/>
        </w:rPr>
        <w:tab/>
      </w:r>
      <w:r w:rsidRPr="000323A2">
        <w:rPr>
          <w:rFonts w:ascii="Arial" w:eastAsia="Calibri" w:hAnsi="Arial" w:cs="Arial"/>
          <w:spacing w:val="-3"/>
          <w:sz w:val="24"/>
          <w:szCs w:val="24"/>
          <w:lang w:val="es-ES" w:eastAsia="es-ES"/>
        </w:rPr>
        <w:t xml:space="preserve">En el caso de que cualquiera de los supuestos previstos a continuación se llevara a cabo, TELMEX tendrá por aceptados los SERVICIOS y por </w:t>
      </w:r>
      <w:r w:rsidRPr="000323A2">
        <w:rPr>
          <w:rFonts w:ascii="Arial" w:eastAsia="Calibri" w:hAnsi="Arial" w:cs="Arial"/>
          <w:spacing w:val="-3"/>
          <w:sz w:val="24"/>
          <w:szCs w:val="24"/>
          <w:lang w:val="es-ES" w:eastAsia="es-ES"/>
        </w:rPr>
        <w:lastRenderedPageBreak/>
        <w:t xml:space="preserve">lo tanto el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pacing w:val="-3"/>
          <w:sz w:val="24"/>
          <w:szCs w:val="24"/>
          <w:lang w:val="es-ES" w:eastAsia="es-ES"/>
        </w:rPr>
        <w:t xml:space="preserve"> deberá cumplir con las obligaciones de pago por los conceptos que correspondan:</w:t>
      </w:r>
    </w:p>
    <w:p w14:paraId="1CDA509B" w14:textId="77777777" w:rsidR="000323A2" w:rsidRPr="000323A2" w:rsidRDefault="000323A2" w:rsidP="00B04B36">
      <w:pPr>
        <w:widowControl w:val="0"/>
        <w:numPr>
          <w:ilvl w:val="0"/>
          <w:numId w:val="73"/>
        </w:numPr>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spacing w:val="-3"/>
          <w:sz w:val="24"/>
          <w:szCs w:val="24"/>
          <w:lang w:val="es-ES" w:eastAsia="es-ES"/>
        </w:rPr>
        <w:t xml:space="preserve">En caso de que la verificación de la funcionalidad de los SERVICIOS no se realice en los términos previstos en el inciso 7.1 y el </w:t>
      </w:r>
      <w:r w:rsidRPr="000323A2">
        <w:rPr>
          <w:rFonts w:ascii="Arial" w:eastAsia="Calibri" w:hAnsi="Arial" w:cs="Arial"/>
          <w:sz w:val="24"/>
          <w:szCs w:val="24"/>
          <w:lang w:val="es-ES_tradnl" w:eastAsia="es-ES"/>
        </w:rPr>
        <w:t xml:space="preserve">CONCESIONARIO SOLICITANTE O AUTORIZADO SOLICITANTE </w:t>
      </w:r>
      <w:r w:rsidRPr="000323A2">
        <w:rPr>
          <w:rFonts w:ascii="Arial" w:eastAsia="Calibri" w:hAnsi="Arial" w:cs="Arial"/>
          <w:spacing w:val="-3"/>
          <w:sz w:val="24"/>
          <w:szCs w:val="24"/>
          <w:lang w:val="es-ES" w:eastAsia="es-ES"/>
        </w:rPr>
        <w:t>hiciere uso de los SERVICIOS.</w:t>
      </w:r>
    </w:p>
    <w:p w14:paraId="7E530473" w14:textId="77777777" w:rsidR="000323A2" w:rsidRPr="000323A2" w:rsidRDefault="000323A2" w:rsidP="00B04B36">
      <w:pPr>
        <w:widowControl w:val="0"/>
        <w:numPr>
          <w:ilvl w:val="0"/>
          <w:numId w:val="73"/>
        </w:numPr>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spacing w:val="-3"/>
          <w:sz w:val="24"/>
          <w:szCs w:val="24"/>
          <w:lang w:val="es-ES" w:eastAsia="es-ES"/>
        </w:rPr>
        <w:t xml:space="preserve">En caso de que los SERVICIOS ya hubieren sido entregados por TELMEX y aceptados por el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pacing w:val="-3"/>
          <w:sz w:val="24"/>
          <w:szCs w:val="24"/>
          <w:lang w:val="es-ES" w:eastAsia="es-ES"/>
        </w:rPr>
        <w:t xml:space="preserve"> y éste no hiciere uso de los mismos por causas no imputables a TELMEX.</w:t>
      </w:r>
    </w:p>
    <w:p w14:paraId="51DEAE2E" w14:textId="77777777" w:rsidR="000323A2" w:rsidRPr="000323A2" w:rsidRDefault="000323A2" w:rsidP="00B04B36">
      <w:pPr>
        <w:widowControl w:val="0"/>
        <w:numPr>
          <w:ilvl w:val="0"/>
          <w:numId w:val="73"/>
        </w:numPr>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spacing w:val="-3"/>
          <w:sz w:val="24"/>
          <w:szCs w:val="24"/>
          <w:lang w:val="es-ES" w:eastAsia="es-ES"/>
        </w:rPr>
        <w:t xml:space="preserve">Una vez que TELMEX notifique al concesionario que el servicio se encuentra terminado, instalado y listo para realizar las pruebas se detendrá el cómputo del plazo de entrega. Las PARTES tendrán un plazo de 2 (dos) días para realizar las pruebas de transmisión y concluir la entrega del servicio. En caso de que dicha prueba no sea realizada por causas imputables al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z w:val="24"/>
          <w:szCs w:val="24"/>
          <w:lang w:eastAsia="es-ES"/>
        </w:rPr>
        <w:t xml:space="preserve"> </w:t>
      </w:r>
      <w:r w:rsidRPr="000323A2">
        <w:rPr>
          <w:rFonts w:ascii="Arial" w:eastAsia="Calibri" w:hAnsi="Arial" w:cs="Arial"/>
          <w:spacing w:val="-3"/>
          <w:sz w:val="24"/>
          <w:szCs w:val="24"/>
          <w:lang w:val="es-ES" w:eastAsia="es-ES"/>
        </w:rPr>
        <w:t xml:space="preserve">o su cliente y se venza este plazo, TELMEX iniciará la facturación correspondiente y se </w:t>
      </w:r>
      <w:proofErr w:type="spellStart"/>
      <w:r w:rsidRPr="000323A2">
        <w:rPr>
          <w:rFonts w:ascii="Arial" w:eastAsia="Calibri" w:hAnsi="Arial" w:cs="Arial"/>
          <w:spacing w:val="-3"/>
          <w:sz w:val="24"/>
          <w:szCs w:val="24"/>
          <w:lang w:val="es-ES" w:eastAsia="es-ES"/>
        </w:rPr>
        <w:t>reagendará</w:t>
      </w:r>
      <w:proofErr w:type="spellEnd"/>
      <w:r w:rsidRPr="000323A2">
        <w:rPr>
          <w:rFonts w:ascii="Arial" w:eastAsia="Calibri" w:hAnsi="Arial" w:cs="Arial"/>
          <w:spacing w:val="-3"/>
          <w:sz w:val="24"/>
          <w:szCs w:val="24"/>
          <w:lang w:val="es-ES" w:eastAsia="es-ES"/>
        </w:rPr>
        <w:t xml:space="preserve"> la entrega del servicio cuando el concesionario notifique que se encuentra listo para recibirlo.</w:t>
      </w:r>
    </w:p>
    <w:p w14:paraId="66CD0508"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spacing w:val="-3"/>
          <w:sz w:val="24"/>
          <w:szCs w:val="24"/>
          <w:lang w:eastAsia="es-ES"/>
        </w:rPr>
      </w:pPr>
      <w:r w:rsidRPr="000323A2">
        <w:rPr>
          <w:rFonts w:ascii="Arial" w:eastAsia="Calibri" w:hAnsi="Arial" w:cs="Arial"/>
          <w:b/>
          <w:spacing w:val="-3"/>
          <w:sz w:val="24"/>
          <w:szCs w:val="24"/>
          <w:lang w:eastAsia="es-ES"/>
        </w:rPr>
        <w:t>7.3</w:t>
      </w:r>
      <w:r w:rsidRPr="000323A2">
        <w:rPr>
          <w:rFonts w:ascii="Arial" w:eastAsia="Calibri" w:hAnsi="Arial" w:cs="Arial"/>
          <w:b/>
          <w:spacing w:val="-3"/>
          <w:sz w:val="24"/>
          <w:szCs w:val="24"/>
          <w:lang w:eastAsia="es-ES"/>
        </w:rPr>
        <w:tab/>
      </w:r>
      <w:r w:rsidRPr="000323A2">
        <w:rPr>
          <w:rFonts w:ascii="Arial" w:eastAsia="Calibri" w:hAnsi="Arial" w:cs="Arial"/>
          <w:spacing w:val="-3"/>
          <w:sz w:val="24"/>
          <w:szCs w:val="24"/>
          <w:lang w:eastAsia="es-ES"/>
        </w:rPr>
        <w:t>Asimismo, las PARTES convienen en que, si derivado de la firma del ACTA DE ACEPTACIÓN</w:t>
      </w:r>
      <w:r w:rsidRPr="000323A2">
        <w:rPr>
          <w:rFonts w:ascii="Arial" w:eastAsia="Calibri" w:hAnsi="Arial" w:cs="Arial"/>
          <w:b/>
          <w:sz w:val="24"/>
          <w:szCs w:val="24"/>
          <w:vertAlign w:val="subscript"/>
          <w:lang w:eastAsia="es-ES"/>
        </w:rPr>
        <w:t xml:space="preserve"> </w:t>
      </w:r>
      <w:r w:rsidRPr="000323A2">
        <w:rPr>
          <w:rFonts w:ascii="Arial" w:eastAsia="Calibri" w:hAnsi="Arial" w:cs="Arial"/>
          <w:spacing w:val="-3"/>
          <w:sz w:val="24"/>
          <w:szCs w:val="24"/>
          <w:lang w:eastAsia="es-ES"/>
        </w:rPr>
        <w:t xml:space="preserve"> a que se refiere el inciso 7.1, o de la notificación que hiciere el </w:t>
      </w:r>
      <w:r w:rsidRPr="000323A2">
        <w:rPr>
          <w:rFonts w:ascii="Arial" w:eastAsia="Calibri" w:hAnsi="Arial" w:cs="Arial"/>
          <w:spacing w:val="-3"/>
          <w:sz w:val="24"/>
          <w:szCs w:val="24"/>
          <w:lang w:val="es-ES_tradnl" w:eastAsia="es-ES"/>
        </w:rPr>
        <w:t xml:space="preserve"> CONCESIONARIO SOLICITANTE O AUTORIZADO SOLICITANTE</w:t>
      </w:r>
      <w:r w:rsidRPr="000323A2">
        <w:rPr>
          <w:rFonts w:ascii="Arial" w:eastAsia="Calibri" w:hAnsi="Arial" w:cs="Arial"/>
          <w:spacing w:val="-3"/>
          <w:sz w:val="24"/>
          <w:szCs w:val="24"/>
          <w:lang w:eastAsia="es-ES"/>
        </w:rPr>
        <w:t xml:space="preserve"> a TELMEX respecto de su observación del funcionamiento de los SERVICIOS, al día hábil siguiente a la fecha de entrega de los mismos se acreditará que éstos no cumplen con las características solicitadas, se entenderá que es una falla en la continuidad de los SERVICIOS y se aplicará lo dispuesto en la cláusula Décima Segunda del CONVENIO.</w:t>
      </w:r>
    </w:p>
    <w:p w14:paraId="6246FA71"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OCTAVA.</w:t>
      </w:r>
      <w:r w:rsidRPr="000323A2">
        <w:rPr>
          <w:rFonts w:ascii="Arial" w:eastAsia="Calibri" w:hAnsi="Arial" w:cs="Arial"/>
          <w:b/>
          <w:sz w:val="24"/>
          <w:szCs w:val="24"/>
          <w:lang w:val="es-ES" w:eastAsia="es-ES"/>
        </w:rPr>
        <w:tab/>
        <w:t>PROPIEDAD DE LA INFRAESTRUCTURA Y RESPONSABILIDAD</w:t>
      </w:r>
    </w:p>
    <w:p w14:paraId="5802A887"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8.1</w:t>
      </w:r>
      <w:r w:rsidRPr="000323A2">
        <w:rPr>
          <w:rFonts w:ascii="Arial" w:eastAsia="Calibri" w:hAnsi="Arial" w:cs="Arial"/>
          <w:b/>
          <w:sz w:val="24"/>
          <w:szCs w:val="24"/>
          <w:lang w:val="es-ES" w:eastAsia="es-ES"/>
        </w:rPr>
        <w:tab/>
      </w:r>
      <w:r w:rsidRPr="000323A2">
        <w:rPr>
          <w:rFonts w:ascii="Arial" w:eastAsia="Calibri" w:hAnsi="Arial" w:cs="Arial"/>
          <w:sz w:val="24"/>
          <w:szCs w:val="24"/>
          <w:lang w:val="es-ES" w:eastAsia="es-ES"/>
        </w:rPr>
        <w:t>Los equipos, aparatos, accesorios, dispositivos, fibras ópticas, nodos de conmutación y transmisión, enlaces de transmisión y demás elementos que compongan las instalaciones necesarias para la prestación de los SERVICIOS</w:t>
      </w:r>
      <w:r w:rsidRPr="000323A2">
        <w:rPr>
          <w:rFonts w:ascii="Arial" w:eastAsia="Calibri" w:hAnsi="Arial" w:cs="Arial"/>
          <w:b/>
          <w:sz w:val="24"/>
          <w:szCs w:val="24"/>
          <w:lang w:val="es-ES" w:eastAsia="es-ES"/>
        </w:rPr>
        <w:t xml:space="preserve"> </w:t>
      </w:r>
      <w:r w:rsidRPr="000323A2">
        <w:rPr>
          <w:rFonts w:ascii="Arial" w:eastAsia="Calibri" w:hAnsi="Arial" w:cs="Arial"/>
          <w:sz w:val="24"/>
          <w:szCs w:val="24"/>
          <w:lang w:val="es-ES" w:eastAsia="es-ES"/>
        </w:rPr>
        <w:t xml:space="preserve">y que sean suministrados por TELMEX, son de la exclusiva </w:t>
      </w:r>
      <w:r w:rsidRPr="000323A2">
        <w:rPr>
          <w:rFonts w:ascii="Arial" w:eastAsia="Calibri" w:hAnsi="Arial" w:cs="Arial"/>
          <w:sz w:val="24"/>
          <w:szCs w:val="24"/>
          <w:lang w:val="es-ES" w:eastAsia="es-ES"/>
        </w:rPr>
        <w:lastRenderedPageBreak/>
        <w:t>propiedad de éste.</w:t>
      </w:r>
    </w:p>
    <w:p w14:paraId="790816F6"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8.2</w:t>
      </w:r>
      <w:r w:rsidRPr="000323A2">
        <w:rPr>
          <w:rFonts w:ascii="Arial" w:eastAsia="Calibri" w:hAnsi="Arial" w:cs="Arial"/>
          <w:b/>
          <w:sz w:val="24"/>
          <w:szCs w:val="24"/>
          <w:lang w:val="es-ES" w:eastAsia="es-ES"/>
        </w:rPr>
        <w:tab/>
      </w:r>
      <w:r w:rsidRPr="000323A2">
        <w:rPr>
          <w:rFonts w:ascii="Arial" w:eastAsia="Calibri" w:hAnsi="Arial" w:cs="Arial"/>
          <w:sz w:val="24"/>
          <w:szCs w:val="24"/>
          <w:lang w:val="es-ES" w:eastAsia="es-ES"/>
        </w:rPr>
        <w:t xml:space="preserve">En consecuencia, el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z w:val="24"/>
          <w:szCs w:val="24"/>
          <w:lang w:val="es-ES" w:eastAsia="es-ES"/>
        </w:rPr>
        <w:t xml:space="preserve"> se constituye como depositario responsable del buen uso y conservación de los equipos, aparatos, accesorios, dispositivos, fibras ópticas y enlaces de transmisión que se instalen en los sitios del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z w:val="24"/>
          <w:szCs w:val="24"/>
          <w:lang w:val="es-ES" w:eastAsia="es-ES"/>
        </w:rPr>
        <w:t xml:space="preserve"> para el uso de los SERVICIOS contratados. </w:t>
      </w:r>
      <w:r w:rsidRPr="000323A2">
        <w:rPr>
          <w:rFonts w:ascii="Arial" w:eastAsia="Calibri" w:hAnsi="Arial" w:cs="Arial"/>
          <w:sz w:val="24"/>
          <w:szCs w:val="24"/>
          <w:lang w:eastAsia="es-ES"/>
        </w:rPr>
        <w:t>TELMEX podrá recoger sus equipos en cualquier momento posterior a la notificación de BAJA de los SERVICIOS, hasta por un máximo de 20 (veinte) días hábiles o, en caso contrario, en la fecha o mediante los procedimientos que para tal efecto acuerde con el CONCESIONARIO SOLICITANTE O AUTORIZADO SOLICITANTE.</w:t>
      </w:r>
    </w:p>
    <w:p w14:paraId="4665C5FD"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8.3</w:t>
      </w:r>
      <w:r w:rsidRPr="000323A2">
        <w:rPr>
          <w:rFonts w:ascii="Arial" w:eastAsia="Calibri" w:hAnsi="Arial" w:cs="Arial"/>
          <w:b/>
          <w:sz w:val="24"/>
          <w:szCs w:val="24"/>
          <w:lang w:val="es-ES" w:eastAsia="es-ES"/>
        </w:rPr>
        <w:tab/>
      </w:r>
      <w:r w:rsidRPr="000323A2">
        <w:rPr>
          <w:rFonts w:ascii="Arial" w:eastAsia="Calibri" w:hAnsi="Arial" w:cs="Arial"/>
          <w:sz w:val="24"/>
          <w:szCs w:val="24"/>
          <w:lang w:val="es-ES" w:eastAsia="es-ES"/>
        </w:rPr>
        <w:t xml:space="preserve">En caso de daño, robo o destrucción a las instalaciones, infraestructura y equipos, propiedad de TELMEX, asociados a la operación de los SERVICIOS citados en los dos incisos anteriores, y que le sean directamente imputables al </w:t>
      </w:r>
      <w:r w:rsidRPr="000323A2">
        <w:rPr>
          <w:rFonts w:ascii="Arial" w:eastAsia="Calibri" w:hAnsi="Arial" w:cs="Arial"/>
          <w:sz w:val="24"/>
          <w:szCs w:val="24"/>
          <w:lang w:val="es-ES_tradnl" w:eastAsia="es-ES"/>
        </w:rPr>
        <w:t xml:space="preserve"> CONCESIONARIO SOLICITANTE O AUTORIZADO SOLICITANTE</w:t>
      </w:r>
      <w:r w:rsidRPr="000323A2">
        <w:rPr>
          <w:rFonts w:ascii="Arial" w:eastAsia="Calibri" w:hAnsi="Arial" w:cs="Arial"/>
          <w:sz w:val="24"/>
          <w:szCs w:val="24"/>
          <w:lang w:val="es-ES" w:eastAsia="es-ES"/>
        </w:rPr>
        <w:t xml:space="preserve">, sus subsidiarias, filiales y clientes, el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z w:val="24"/>
          <w:szCs w:val="24"/>
          <w:lang w:val="es-ES" w:eastAsia="es-ES"/>
        </w:rPr>
        <w:t xml:space="preserve"> se obliga a indemnizar a TELMEX las cantidades que resulten de la cuantificación, con previa investigación que al efecto realicen las PARTES respecto del origen </w:t>
      </w:r>
      <w:proofErr w:type="spellStart"/>
      <w:r w:rsidRPr="000323A2">
        <w:rPr>
          <w:rFonts w:ascii="Arial" w:eastAsia="Calibri" w:hAnsi="Arial" w:cs="Arial"/>
          <w:sz w:val="24"/>
          <w:szCs w:val="24"/>
          <w:lang w:val="es-ES" w:eastAsia="es-ES"/>
        </w:rPr>
        <w:t>e</w:t>
      </w:r>
      <w:proofErr w:type="spellEnd"/>
      <w:r w:rsidRPr="000323A2">
        <w:rPr>
          <w:rFonts w:ascii="Arial" w:eastAsia="Calibri" w:hAnsi="Arial" w:cs="Arial"/>
          <w:sz w:val="24"/>
          <w:szCs w:val="24"/>
          <w:lang w:val="es-ES" w:eastAsia="es-ES"/>
        </w:rPr>
        <w:t xml:space="preserve"> imputabilidad de los daños ocasionados por tales circunstancias. </w:t>
      </w:r>
    </w:p>
    <w:p w14:paraId="49696708"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8.4</w:t>
      </w:r>
      <w:r w:rsidRPr="000323A2">
        <w:rPr>
          <w:rFonts w:ascii="Arial" w:eastAsia="Calibri" w:hAnsi="Arial" w:cs="Arial"/>
          <w:sz w:val="24"/>
          <w:szCs w:val="24"/>
          <w:lang w:val="es-ES" w:eastAsia="es-ES"/>
        </w:rPr>
        <w:tab/>
        <w:t xml:space="preserve">Si durante el proceso de instalación de los equipos, aparatos, accesorios, dispositivos, fibras ópticas, nodos de conmutación y transmisión y demás elementos necesarios para la prestación de los SERVICIOS que sean suministrados por TELMEX, sus subsidiarias y filiales, dañen, destruyan o interrumpan los SERVICIOS del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z w:val="24"/>
          <w:szCs w:val="24"/>
          <w:lang w:val="es-ES" w:eastAsia="es-ES"/>
        </w:rPr>
        <w:t xml:space="preserve"> y que le sean directamente imputables a TELMEX, sus subsidiarias y filiales, por no haberse ajustado a las especificaciones, lineamientos, procedimientos, planos y diagramas de los equipos e instalaciones del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z w:val="24"/>
          <w:szCs w:val="24"/>
          <w:lang w:val="es-ES" w:eastAsia="es-ES"/>
        </w:rPr>
        <w:t xml:space="preserve">, que deberán ser provistos a TELMEX previamente al proceso de instalación de los SERVICIOS, TELMEX se obliga a indemnizar al </w:t>
      </w:r>
      <w:r w:rsidRPr="000323A2">
        <w:rPr>
          <w:rFonts w:ascii="Arial" w:eastAsia="Calibri" w:hAnsi="Arial" w:cs="Arial"/>
          <w:sz w:val="24"/>
          <w:szCs w:val="24"/>
          <w:lang w:val="es-ES_tradnl" w:eastAsia="es-ES"/>
        </w:rPr>
        <w:t>CONCESIONARIO SOLICITANTE O AUTORIZADO SOLICITANTE</w:t>
      </w:r>
      <w:r w:rsidRPr="000323A2">
        <w:rPr>
          <w:rFonts w:ascii="Arial" w:eastAsia="Calibri" w:hAnsi="Arial" w:cs="Arial"/>
          <w:sz w:val="24"/>
          <w:szCs w:val="24"/>
          <w:lang w:val="es-ES" w:eastAsia="es-ES"/>
        </w:rPr>
        <w:t xml:space="preserve"> las cantidades que resulten de la cuantificación de los daños ocasionados por tales circunstancias, previa investigación que al efecto realicen las PARTES respecto del origen </w:t>
      </w:r>
      <w:proofErr w:type="spellStart"/>
      <w:r w:rsidRPr="000323A2">
        <w:rPr>
          <w:rFonts w:ascii="Arial" w:eastAsia="Calibri" w:hAnsi="Arial" w:cs="Arial"/>
          <w:sz w:val="24"/>
          <w:szCs w:val="24"/>
          <w:lang w:val="es-ES" w:eastAsia="es-ES"/>
        </w:rPr>
        <w:t>e</w:t>
      </w:r>
      <w:proofErr w:type="spellEnd"/>
      <w:r w:rsidRPr="000323A2">
        <w:rPr>
          <w:rFonts w:ascii="Arial" w:eastAsia="Calibri" w:hAnsi="Arial" w:cs="Arial"/>
          <w:sz w:val="24"/>
          <w:szCs w:val="24"/>
          <w:lang w:val="es-ES" w:eastAsia="es-ES"/>
        </w:rPr>
        <w:t xml:space="preserve"> imputabilidad de dichos daños. En caso de que las especificaciones, lineamientos, procedimientos, planos y diagramas de los equipos e instalaciones del </w:t>
      </w:r>
      <w:r w:rsidRPr="000323A2">
        <w:rPr>
          <w:rFonts w:ascii="Arial" w:eastAsia="Calibri" w:hAnsi="Arial" w:cs="Arial"/>
          <w:sz w:val="24"/>
          <w:szCs w:val="24"/>
          <w:lang w:val="es-ES_tradnl" w:eastAsia="es-ES"/>
        </w:rPr>
        <w:t xml:space="preserve">CONCESIONARIO </w:t>
      </w:r>
      <w:r w:rsidRPr="000323A2">
        <w:rPr>
          <w:rFonts w:ascii="Arial" w:eastAsia="Calibri" w:hAnsi="Arial" w:cs="Arial"/>
          <w:sz w:val="24"/>
          <w:szCs w:val="24"/>
          <w:lang w:val="es-ES_tradnl" w:eastAsia="es-ES"/>
        </w:rPr>
        <w:lastRenderedPageBreak/>
        <w:t>SOLICITANTE O AUTORIZADO SOLICITANTE</w:t>
      </w:r>
      <w:r w:rsidRPr="000323A2">
        <w:rPr>
          <w:rFonts w:ascii="Arial" w:eastAsia="Calibri" w:hAnsi="Arial" w:cs="Arial"/>
          <w:sz w:val="24"/>
          <w:szCs w:val="24"/>
          <w:lang w:val="es-ES" w:eastAsia="es-ES"/>
        </w:rPr>
        <w:t xml:space="preserve"> no hayan sido entregados a TELMEX, ésta no será responsable de los daños que se ocasionen.</w:t>
      </w:r>
    </w:p>
    <w:p w14:paraId="6BA27BDD" w14:textId="77777777" w:rsidR="000323A2" w:rsidRPr="000323A2" w:rsidRDefault="000323A2" w:rsidP="000323A2">
      <w:pPr>
        <w:widowControl w:val="0"/>
        <w:adjustRightInd w:val="0"/>
        <w:spacing w:before="240" w:after="0" w:line="276" w:lineRule="auto"/>
        <w:ind w:left="709"/>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Asimismo, las PARTES procederán a la elaboración del acta administrativa correspondiente, con la finalidad de establecer en forma clara y detallada la cuantificación de los daños antes mencionados.</w:t>
      </w:r>
    </w:p>
    <w:p w14:paraId="5376C4F2"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NOVENA.</w:t>
      </w:r>
      <w:r w:rsidRPr="000323A2">
        <w:rPr>
          <w:rFonts w:ascii="Arial" w:eastAsia="Calibri" w:hAnsi="Arial" w:cs="Arial"/>
          <w:b/>
          <w:sz w:val="24"/>
          <w:szCs w:val="24"/>
          <w:lang w:val="es-ES" w:eastAsia="es-ES"/>
        </w:rPr>
        <w:tab/>
        <w:t>GARANTÍAS DEL CONVENIO</w:t>
      </w:r>
    </w:p>
    <w:p w14:paraId="0E6E54E7" w14:textId="77777777" w:rsidR="000323A2" w:rsidRPr="000323A2" w:rsidRDefault="000323A2" w:rsidP="00B04B36">
      <w:pPr>
        <w:widowControl w:val="0"/>
        <w:numPr>
          <w:ilvl w:val="1"/>
          <w:numId w:val="61"/>
        </w:numPr>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FIANZA PARA EL PAGO DE LAS CONTRAPRESTACIONES</w:t>
      </w:r>
      <w:r w:rsidRPr="000323A2">
        <w:rPr>
          <w:rFonts w:ascii="Arial" w:eastAsia="Calibri" w:hAnsi="Arial" w:cs="Arial"/>
          <w:sz w:val="24"/>
          <w:szCs w:val="24"/>
          <w:lang w:val="es-ES" w:eastAsia="es-ES"/>
        </w:rPr>
        <w:t xml:space="preserve">. Mientras esté vigente este CONVENIO, el CONCESIONARIO SOLICITANTE O AUTORIZADO SOLICITANTE mantendrá constituida una fianza o carta de crédito, a su elección, en garantía del pago de las contraprestaciones a su cargo en los términos de este CONVENIO, por un monto que cubra por lo menos un promedio de contraprestaciones </w:t>
      </w:r>
      <w:proofErr w:type="gramStart"/>
      <w:r w:rsidRPr="000323A2">
        <w:rPr>
          <w:rFonts w:ascii="Arial" w:eastAsia="Calibri" w:hAnsi="Arial" w:cs="Arial"/>
          <w:sz w:val="24"/>
          <w:szCs w:val="24"/>
          <w:lang w:val="es-ES" w:eastAsia="es-ES"/>
        </w:rPr>
        <w:t>equivalente  a</w:t>
      </w:r>
      <w:proofErr w:type="gramEnd"/>
      <w:r w:rsidRPr="000323A2">
        <w:rPr>
          <w:rFonts w:ascii="Arial" w:eastAsia="Calibri" w:hAnsi="Arial" w:cs="Arial"/>
          <w:sz w:val="24"/>
          <w:szCs w:val="24"/>
          <w:lang w:val="es-ES" w:eastAsia="es-ES"/>
        </w:rPr>
        <w:t xml:space="preserve"> dos meses , incluyendo accesorios y cualquier otro cargo. El monto de la fianza o carta de crédito de un CONCESIONARIO SOLICITANTE O AUTORIZADO SOLICITANTE que realice por primera vez la contratación de SERVICIOS, es acordada entre las PARTES por la cantidad de </w:t>
      </w:r>
      <w:proofErr w:type="gramStart"/>
      <w:r w:rsidRPr="000323A2">
        <w:rPr>
          <w:rFonts w:ascii="Arial" w:eastAsia="Calibri" w:hAnsi="Arial" w:cs="Arial"/>
          <w:sz w:val="24"/>
          <w:szCs w:val="24"/>
          <w:lang w:val="es-ES" w:eastAsia="es-ES"/>
        </w:rPr>
        <w:t>XXXXXX(</w:t>
      </w:r>
      <w:proofErr w:type="gramEnd"/>
      <w:r w:rsidRPr="000323A2">
        <w:rPr>
          <w:rFonts w:ascii="Arial" w:eastAsia="Calibri" w:hAnsi="Arial" w:cs="Arial"/>
          <w:sz w:val="24"/>
          <w:szCs w:val="24"/>
          <w:lang w:val="es-ES" w:eastAsia="es-ES"/>
        </w:rPr>
        <w:t>XXXX pesos 00/100 M.N.), la cual no deberá exceder la cantidad de $1,000,000 de pesos M.N (un millón de pesos 00/100 M.N.)</w:t>
      </w:r>
      <w:r w:rsidRPr="000323A2">
        <w:rPr>
          <w:rFonts w:ascii="ITC Avant Garde" w:eastAsia="Times New Roman" w:hAnsi="ITC Avant Garde" w:cs="Arial"/>
          <w:lang w:val="es-ES" w:eastAsia="es-ES"/>
        </w:rPr>
        <w:t xml:space="preserve">  </w:t>
      </w:r>
      <w:r w:rsidRPr="000323A2">
        <w:rPr>
          <w:rFonts w:ascii="Arial" w:eastAsia="Calibri" w:hAnsi="Arial" w:cs="Arial"/>
          <w:sz w:val="24"/>
          <w:szCs w:val="24"/>
          <w:lang w:val="es-ES" w:eastAsia="es-ES"/>
        </w:rPr>
        <w:t>y deberá ser expedida por una Institución de Fianzas o una Institución Bancaria, según sea el caso, de los Estados Unidos Mexicanos. La fianza o carta de crédito se sujetarán a los términos de la Legislación vigente en la materia, en lo no previsto por ésta, a lo dispuesto en el Título Decimotercero del Código Civil Federal, garantizando la Institución correspondiente el pago de las contraprestaciones que se pactan en este CONVENIO a cargo del CONCESIONARIO SOLICITANTE O AUTORIZADO SOLICITANTE, y todos y cada uno de los gastos en que incurra TELMEX al exigir dicho derecho conforme a este CONVENIO.</w:t>
      </w:r>
    </w:p>
    <w:p w14:paraId="39BBE55B" w14:textId="77777777" w:rsidR="000323A2" w:rsidRPr="000323A2" w:rsidRDefault="000323A2" w:rsidP="000323A2">
      <w:pPr>
        <w:widowControl w:val="0"/>
        <w:adjustRightInd w:val="0"/>
        <w:spacing w:before="240" w:after="0" w:line="276" w:lineRule="auto"/>
        <w:ind w:left="709" w:hanging="709"/>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9.2</w:t>
      </w:r>
      <w:r w:rsidRPr="000323A2">
        <w:rPr>
          <w:rFonts w:ascii="Arial" w:eastAsia="Calibri" w:hAnsi="Arial" w:cs="Arial"/>
          <w:b/>
          <w:sz w:val="24"/>
          <w:szCs w:val="24"/>
          <w:lang w:val="es-ES" w:eastAsia="es-ES"/>
        </w:rPr>
        <w:tab/>
      </w:r>
      <w:r w:rsidRPr="000323A2">
        <w:rPr>
          <w:rFonts w:ascii="Arial" w:eastAsia="Calibri" w:hAnsi="Arial" w:cs="Arial"/>
          <w:sz w:val="24"/>
          <w:szCs w:val="24"/>
          <w:lang w:val="es-ES" w:eastAsia="es-ES"/>
        </w:rPr>
        <w:t>En todo caso, la fianza deberá cumplir con los siguientes requisitos y estipulaciones mínimas, a satisfacción de TELMEX:</w:t>
      </w:r>
    </w:p>
    <w:p w14:paraId="785A99D0" w14:textId="77777777" w:rsidR="000323A2" w:rsidRPr="000323A2" w:rsidRDefault="000323A2" w:rsidP="00B04B36">
      <w:pPr>
        <w:widowControl w:val="0"/>
        <w:numPr>
          <w:ilvl w:val="2"/>
          <w:numId w:val="63"/>
        </w:numPr>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Deberá ser otorgada por una Institución de Fianzas Mexicana de reconocido prestigio que no pertenezca al mismo grupo corporativo o de interés del fiado y que esté debidamente autorizada por la Secretaría de Hacienda y Crédito Público.</w:t>
      </w:r>
    </w:p>
    <w:p w14:paraId="46CBC4E3" w14:textId="77777777" w:rsidR="000323A2" w:rsidRPr="000323A2" w:rsidRDefault="000323A2" w:rsidP="000323A2">
      <w:pPr>
        <w:widowControl w:val="0"/>
        <w:adjustRightInd w:val="0"/>
        <w:spacing w:before="240" w:after="0" w:line="276" w:lineRule="auto"/>
        <w:ind w:left="1440" w:hanging="720"/>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9.2.2</w:t>
      </w:r>
      <w:r w:rsidRPr="000323A2">
        <w:rPr>
          <w:rFonts w:ascii="Arial" w:eastAsia="Calibri" w:hAnsi="Arial" w:cs="Arial"/>
          <w:sz w:val="24"/>
          <w:szCs w:val="24"/>
          <w:lang w:val="es-ES" w:eastAsia="es-ES"/>
        </w:rPr>
        <w:tab/>
        <w:t xml:space="preserve">Deberá señalar que la Institución de Fianzas acepta someterse al procedimiento establecido en los artículos 93, 118 Bis y demás </w:t>
      </w:r>
      <w:r w:rsidRPr="000323A2">
        <w:rPr>
          <w:rFonts w:ascii="Arial" w:eastAsia="Calibri" w:hAnsi="Arial" w:cs="Arial"/>
          <w:sz w:val="24"/>
          <w:szCs w:val="24"/>
          <w:lang w:val="es-ES" w:eastAsia="es-ES"/>
        </w:rPr>
        <w:lastRenderedPageBreak/>
        <w:t>relativos de la Ley Federal de Instituciones de Fianzas.</w:t>
      </w:r>
    </w:p>
    <w:p w14:paraId="124D09EA" w14:textId="77777777" w:rsidR="000323A2" w:rsidRPr="000323A2" w:rsidRDefault="000323A2" w:rsidP="000323A2">
      <w:pPr>
        <w:widowControl w:val="0"/>
        <w:adjustRightInd w:val="0"/>
        <w:spacing w:before="240" w:after="0" w:line="276" w:lineRule="auto"/>
        <w:ind w:left="1440" w:hanging="720"/>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9.2.3</w:t>
      </w:r>
      <w:r w:rsidRPr="000323A2">
        <w:rPr>
          <w:rFonts w:ascii="Arial" w:eastAsia="Calibri" w:hAnsi="Arial" w:cs="Arial"/>
          <w:sz w:val="24"/>
          <w:szCs w:val="24"/>
          <w:lang w:val="es-ES" w:eastAsia="es-ES"/>
        </w:rPr>
        <w:tab/>
        <w:t>Para cancelar la fianza, será requisito que el fiado presente a la Institución de Fianzas la autorización por escrito de TELMEX.</w:t>
      </w:r>
    </w:p>
    <w:p w14:paraId="30821A7E" w14:textId="77777777" w:rsidR="000323A2" w:rsidRPr="000323A2" w:rsidRDefault="000323A2" w:rsidP="000323A2">
      <w:pPr>
        <w:widowControl w:val="0"/>
        <w:adjustRightInd w:val="0"/>
        <w:spacing w:before="240" w:after="0" w:line="276" w:lineRule="auto"/>
        <w:ind w:left="709" w:firstLine="11"/>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Se otorgará una nueva garantía anualmente por una cantidad equivalente al 100% del importe total de los SERVICIOS objeto de este CONVENIO facturados por TELMEX al CONCESIONARIO SOLICITANTE O AUTORIZADO SOLICITANTE durante 2 (dos) meses del año calendario inmediato anterior o el estimado de SERVICIOS correspondientes a 2 (</w:t>
      </w:r>
      <w:proofErr w:type="gramStart"/>
      <w:r w:rsidRPr="000323A2">
        <w:rPr>
          <w:rFonts w:ascii="Arial" w:eastAsia="Calibri" w:hAnsi="Arial" w:cs="Arial"/>
          <w:sz w:val="24"/>
          <w:szCs w:val="24"/>
          <w:lang w:val="es-ES" w:eastAsia="es-ES"/>
        </w:rPr>
        <w:t>dos)  meses</w:t>
      </w:r>
      <w:proofErr w:type="gramEnd"/>
      <w:r w:rsidRPr="000323A2">
        <w:rPr>
          <w:rFonts w:ascii="Arial" w:eastAsia="Calibri" w:hAnsi="Arial" w:cs="Arial"/>
          <w:sz w:val="24"/>
          <w:szCs w:val="24"/>
          <w:lang w:val="es-ES" w:eastAsia="es-ES"/>
        </w:rPr>
        <w:t xml:space="preserve"> del siguiente año, el monto que resulte mayor.</w:t>
      </w:r>
    </w:p>
    <w:p w14:paraId="0A3F2E5E" w14:textId="77777777" w:rsidR="000323A2" w:rsidRPr="000323A2" w:rsidRDefault="000323A2" w:rsidP="000323A2">
      <w:pPr>
        <w:widowControl w:val="0"/>
        <w:adjustRightInd w:val="0"/>
        <w:spacing w:before="240" w:after="0" w:line="276" w:lineRule="auto"/>
        <w:ind w:left="720"/>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La garantía deberá ser constituida dentro de los 30 (treinta) días siguientes a la fecha de firma del presente CONVENIO o a requerimiento de TELMEX, según el caso, quedando TELMEX facultada para rescindir el mismo en caso de que dicha garantía no sea otorgada por el CONCESIONARIO SOLICITANTE O AUTORIZADO SOLICITANTE dentro de dicho plazo.</w:t>
      </w:r>
    </w:p>
    <w:p w14:paraId="34E2706A" w14:textId="77777777" w:rsidR="000323A2" w:rsidRPr="000323A2" w:rsidRDefault="000323A2" w:rsidP="000323A2">
      <w:pPr>
        <w:widowControl w:val="0"/>
        <w:adjustRightInd w:val="0"/>
        <w:spacing w:before="240" w:after="0" w:line="276" w:lineRule="auto"/>
        <w:ind w:left="720"/>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En caso de que el CONCESIONARIO SOLICITANTE O AUTORIZADO SOLICITANTE no otorgase una nueva garantía dentro de los 30 (treinta) días posteriores al vencimiento de la garantía anterior, TELMEX podrá rescindir el presente CONVENIO sin necesidad de declaración judicial.</w:t>
      </w:r>
    </w:p>
    <w:p w14:paraId="6DFF690C" w14:textId="77777777" w:rsidR="000323A2" w:rsidRPr="000323A2" w:rsidRDefault="000323A2" w:rsidP="00B04B36">
      <w:pPr>
        <w:widowControl w:val="0"/>
        <w:numPr>
          <w:ilvl w:val="1"/>
          <w:numId w:val="63"/>
        </w:numPr>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MODIFICACIÓN DE LAS GARANTÍAS.</w:t>
      </w:r>
      <w:r w:rsidRPr="000323A2">
        <w:rPr>
          <w:rFonts w:ascii="Arial" w:eastAsia="Calibri" w:hAnsi="Arial" w:cs="Arial"/>
          <w:sz w:val="24"/>
          <w:szCs w:val="24"/>
          <w:lang w:val="es-ES" w:eastAsia="es-ES"/>
        </w:rPr>
        <w:t xml:space="preserve"> No </w:t>
      </w:r>
      <w:proofErr w:type="gramStart"/>
      <w:r w:rsidRPr="000323A2">
        <w:rPr>
          <w:rFonts w:ascii="Arial" w:eastAsia="Calibri" w:hAnsi="Arial" w:cs="Arial"/>
          <w:sz w:val="24"/>
          <w:szCs w:val="24"/>
          <w:lang w:val="es-ES" w:eastAsia="es-ES"/>
        </w:rPr>
        <w:t>obstante</w:t>
      </w:r>
      <w:proofErr w:type="gramEnd"/>
      <w:r w:rsidRPr="000323A2">
        <w:rPr>
          <w:rFonts w:ascii="Arial" w:eastAsia="Calibri" w:hAnsi="Arial" w:cs="Arial"/>
          <w:sz w:val="24"/>
          <w:szCs w:val="24"/>
          <w:lang w:val="es-ES" w:eastAsia="es-ES"/>
        </w:rPr>
        <w:t xml:space="preserve"> lo anterior, el CONCESIONARIO SOLICITANTE O AUTORIZADO SOLICITANTE deberá, a solicitud de TELMEX, actualizar la garantía a que hace referencia esta Cláusula Sexta con la finalidad de que (i) sea equivalente al 100% del valor de los 2 (dos) meses del año calendario inmediato anterior de mayor consumo, y; (ii) refleje la solvencia y el comportamiento crediticio del CONCESIONARIO SOLICITANTE O AUTORIZADO SOLICITANTE.</w:t>
      </w:r>
    </w:p>
    <w:p w14:paraId="7A6DE9B1"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pacing w:val="-3"/>
          <w:sz w:val="24"/>
          <w:szCs w:val="24"/>
          <w:lang w:eastAsia="es-ES"/>
        </w:rPr>
      </w:pPr>
      <w:r w:rsidRPr="000323A2">
        <w:rPr>
          <w:rFonts w:ascii="Arial" w:eastAsia="Calibri" w:hAnsi="Arial" w:cs="Arial"/>
          <w:b/>
          <w:spacing w:val="-3"/>
          <w:sz w:val="24"/>
          <w:szCs w:val="24"/>
          <w:lang w:eastAsia="es-ES"/>
        </w:rPr>
        <w:t>DÉCIMA. PROCESO DE BAJAS</w:t>
      </w:r>
    </w:p>
    <w:p w14:paraId="65AB20B6" w14:textId="77777777" w:rsidR="000323A2" w:rsidRPr="000323A2" w:rsidRDefault="000323A2" w:rsidP="000323A2">
      <w:pPr>
        <w:widowControl w:val="0"/>
        <w:adjustRightInd w:val="0"/>
        <w:spacing w:before="240" w:after="0" w:line="276" w:lineRule="auto"/>
        <w:ind w:left="720" w:hanging="720"/>
        <w:jc w:val="both"/>
        <w:textAlignment w:val="baseline"/>
        <w:rPr>
          <w:rFonts w:ascii="Arial" w:eastAsia="Calibri" w:hAnsi="Arial" w:cs="Arial"/>
          <w:spacing w:val="-3"/>
          <w:sz w:val="24"/>
          <w:szCs w:val="24"/>
          <w:lang w:eastAsia="es-ES"/>
        </w:rPr>
      </w:pPr>
      <w:r w:rsidRPr="000323A2">
        <w:rPr>
          <w:rFonts w:ascii="Arial" w:eastAsia="Calibri" w:hAnsi="Arial" w:cs="Arial"/>
          <w:b/>
          <w:spacing w:val="-3"/>
          <w:sz w:val="24"/>
          <w:szCs w:val="24"/>
          <w:lang w:eastAsia="es-ES"/>
        </w:rPr>
        <w:t>10.1</w:t>
      </w:r>
      <w:r w:rsidRPr="000323A2">
        <w:rPr>
          <w:rFonts w:ascii="Arial" w:eastAsia="Calibri" w:hAnsi="Arial" w:cs="Arial"/>
          <w:spacing w:val="-3"/>
          <w:sz w:val="24"/>
          <w:szCs w:val="24"/>
          <w:lang w:eastAsia="es-ES"/>
        </w:rPr>
        <w:tab/>
        <w:t xml:space="preserve">Para la BAJA de un SERVICIO el CONCESIONARIO SOLICITANTE O AUTORIZADO SOLICITANTE debe presentar la solicitud oficial de BAJA a TELMEX mediante el SEG y solo por </w:t>
      </w:r>
      <w:proofErr w:type="spellStart"/>
      <w:r w:rsidRPr="000323A2">
        <w:rPr>
          <w:rFonts w:ascii="Arial" w:eastAsia="Calibri" w:hAnsi="Arial" w:cs="Arial"/>
          <w:spacing w:val="-3"/>
          <w:sz w:val="24"/>
          <w:szCs w:val="24"/>
          <w:lang w:eastAsia="es-ES"/>
        </w:rPr>
        <w:t>inmposibilidad</w:t>
      </w:r>
      <w:proofErr w:type="spellEnd"/>
      <w:r w:rsidRPr="000323A2">
        <w:rPr>
          <w:rFonts w:ascii="Arial" w:eastAsia="Calibri" w:hAnsi="Arial" w:cs="Arial"/>
          <w:spacing w:val="-3"/>
          <w:sz w:val="24"/>
          <w:szCs w:val="24"/>
          <w:lang w:eastAsia="es-ES"/>
        </w:rPr>
        <w:t xml:space="preserve"> técnica se hará en el formato escrito.</w:t>
      </w:r>
    </w:p>
    <w:p w14:paraId="7112D83B" w14:textId="77777777" w:rsidR="000323A2" w:rsidRPr="000323A2" w:rsidRDefault="000323A2" w:rsidP="000323A2">
      <w:pPr>
        <w:widowControl w:val="0"/>
        <w:adjustRightInd w:val="0"/>
        <w:spacing w:before="240" w:after="0" w:line="276" w:lineRule="auto"/>
        <w:ind w:left="720" w:hanging="720"/>
        <w:jc w:val="both"/>
        <w:textAlignment w:val="baseline"/>
        <w:rPr>
          <w:rFonts w:ascii="Arial" w:eastAsia="Calibri" w:hAnsi="Arial" w:cs="Arial"/>
          <w:spacing w:val="-3"/>
          <w:sz w:val="24"/>
          <w:szCs w:val="24"/>
          <w:lang w:eastAsia="es-ES"/>
        </w:rPr>
      </w:pPr>
      <w:r w:rsidRPr="000323A2">
        <w:rPr>
          <w:rFonts w:ascii="Arial" w:eastAsia="Calibri" w:hAnsi="Arial" w:cs="Arial"/>
          <w:b/>
          <w:spacing w:val="-3"/>
          <w:sz w:val="24"/>
          <w:szCs w:val="24"/>
          <w:lang w:eastAsia="es-ES"/>
        </w:rPr>
        <w:t>10.2</w:t>
      </w:r>
      <w:r w:rsidRPr="000323A2">
        <w:rPr>
          <w:rFonts w:ascii="Arial" w:eastAsia="Calibri" w:hAnsi="Arial" w:cs="Arial"/>
          <w:spacing w:val="-3"/>
          <w:sz w:val="24"/>
          <w:szCs w:val="24"/>
          <w:lang w:eastAsia="es-ES"/>
        </w:rPr>
        <w:tab/>
        <w:t xml:space="preserve">El CONCESIONARIO SOLICITANTE O AUTORIZADO SOLICITANTE tendrá un plazo de 2 (dos) días hábiles posteriores a la presentación del ACUERDO </w:t>
      </w:r>
      <w:r w:rsidRPr="000323A2">
        <w:rPr>
          <w:rFonts w:ascii="Arial" w:eastAsia="Calibri" w:hAnsi="Arial" w:cs="Arial"/>
          <w:spacing w:val="-3"/>
          <w:sz w:val="24"/>
          <w:szCs w:val="24"/>
          <w:lang w:eastAsia="es-ES"/>
        </w:rPr>
        <w:lastRenderedPageBreak/>
        <w:t xml:space="preserve">ESPECÍFICO para reconsiderar su petición y solicitar la reconexión.  Para este caso, no se aplicarán los cargos por gastos de instalación y se mantendrá el SERVICIO en </w:t>
      </w:r>
      <w:proofErr w:type="gramStart"/>
      <w:r w:rsidRPr="000323A2">
        <w:rPr>
          <w:rFonts w:ascii="Arial" w:eastAsia="Calibri" w:hAnsi="Arial" w:cs="Arial"/>
          <w:spacing w:val="-3"/>
          <w:sz w:val="24"/>
          <w:szCs w:val="24"/>
          <w:lang w:eastAsia="es-ES"/>
        </w:rPr>
        <w:t>operación</w:t>
      </w:r>
      <w:proofErr w:type="gramEnd"/>
      <w:r w:rsidRPr="000323A2">
        <w:rPr>
          <w:rFonts w:ascii="Arial" w:eastAsia="Calibri" w:hAnsi="Arial" w:cs="Arial"/>
          <w:spacing w:val="-3"/>
          <w:sz w:val="24"/>
          <w:szCs w:val="24"/>
          <w:lang w:eastAsia="es-ES"/>
        </w:rPr>
        <w:t xml:space="preserve"> así como en la facturación correspondiente. </w:t>
      </w:r>
    </w:p>
    <w:p w14:paraId="7AFE41C5" w14:textId="77777777" w:rsidR="000323A2" w:rsidRPr="000323A2" w:rsidRDefault="000323A2" w:rsidP="000323A2">
      <w:pPr>
        <w:widowControl w:val="0"/>
        <w:adjustRightInd w:val="0"/>
        <w:spacing w:before="240" w:after="0" w:line="276" w:lineRule="auto"/>
        <w:ind w:left="720" w:hanging="720"/>
        <w:jc w:val="both"/>
        <w:textAlignment w:val="baseline"/>
        <w:rPr>
          <w:rFonts w:ascii="Arial" w:eastAsia="Calibri" w:hAnsi="Arial" w:cs="Arial"/>
          <w:sz w:val="24"/>
          <w:szCs w:val="24"/>
          <w:lang w:eastAsia="es-ES"/>
        </w:rPr>
      </w:pPr>
      <w:r w:rsidRPr="000323A2">
        <w:rPr>
          <w:rFonts w:ascii="Arial" w:eastAsia="Calibri" w:hAnsi="Arial" w:cs="Arial"/>
          <w:b/>
          <w:spacing w:val="-3"/>
          <w:sz w:val="24"/>
          <w:szCs w:val="24"/>
          <w:lang w:eastAsia="es-ES"/>
        </w:rPr>
        <w:t>10.3</w:t>
      </w:r>
      <w:r w:rsidRPr="000323A2">
        <w:rPr>
          <w:rFonts w:ascii="Arial" w:eastAsia="Calibri" w:hAnsi="Arial" w:cs="Arial"/>
          <w:spacing w:val="-3"/>
          <w:sz w:val="24"/>
          <w:szCs w:val="24"/>
          <w:lang w:eastAsia="es-ES"/>
        </w:rPr>
        <w:tab/>
        <w:t>La eliminación de cargos y del proceso de facturación de un SERVICIO se harán efectivas 15 (quince) días naturales después de la solicitud oficial de BAJA del mismo por parte del CONCESIONARIO SOLICITANTE O AUTORIZADO SOLICITANTE.</w:t>
      </w:r>
    </w:p>
    <w:p w14:paraId="072E29F7" w14:textId="77777777" w:rsidR="000323A2" w:rsidRPr="000323A2" w:rsidRDefault="000323A2" w:rsidP="000323A2">
      <w:pPr>
        <w:widowControl w:val="0"/>
        <w:adjustRightInd w:val="0"/>
        <w:spacing w:before="240" w:after="0" w:line="276" w:lineRule="auto"/>
        <w:ind w:left="720" w:hanging="720"/>
        <w:jc w:val="both"/>
        <w:textAlignment w:val="baseline"/>
        <w:rPr>
          <w:rFonts w:ascii="Arial" w:eastAsia="Calibri" w:hAnsi="Arial" w:cs="Arial"/>
          <w:spacing w:val="-3"/>
          <w:sz w:val="24"/>
          <w:szCs w:val="24"/>
          <w:lang w:eastAsia="es-ES"/>
        </w:rPr>
      </w:pPr>
      <w:r w:rsidRPr="000323A2">
        <w:rPr>
          <w:rFonts w:ascii="Arial" w:eastAsia="Calibri" w:hAnsi="Arial" w:cs="Arial"/>
          <w:b/>
          <w:spacing w:val="-3"/>
          <w:sz w:val="24"/>
          <w:szCs w:val="24"/>
          <w:lang w:eastAsia="es-ES"/>
        </w:rPr>
        <w:t>10.4</w:t>
      </w:r>
      <w:r w:rsidRPr="000323A2">
        <w:rPr>
          <w:rFonts w:ascii="Arial" w:eastAsia="Calibri" w:hAnsi="Arial" w:cs="Arial"/>
          <w:spacing w:val="-3"/>
          <w:sz w:val="24"/>
          <w:szCs w:val="24"/>
          <w:lang w:eastAsia="es-ES"/>
        </w:rPr>
        <w:tab/>
        <w:t xml:space="preserve">En caso de que transcurriera el período señalado 15 (quince) días naturales y el SERVICIO continuara facturándose, se procederá a realizar el ajuste correspondiente. </w:t>
      </w:r>
    </w:p>
    <w:p w14:paraId="110CA4E7" w14:textId="77777777" w:rsidR="000323A2" w:rsidRPr="000323A2" w:rsidRDefault="000323A2" w:rsidP="000323A2">
      <w:pPr>
        <w:widowControl w:val="0"/>
        <w:adjustRightInd w:val="0"/>
        <w:spacing w:before="240" w:after="0" w:line="276" w:lineRule="auto"/>
        <w:ind w:left="720" w:hanging="720"/>
        <w:jc w:val="both"/>
        <w:textAlignment w:val="baseline"/>
        <w:rPr>
          <w:rFonts w:ascii="Arial" w:eastAsia="Calibri" w:hAnsi="Arial" w:cs="Arial"/>
          <w:spacing w:val="-3"/>
          <w:sz w:val="24"/>
          <w:szCs w:val="24"/>
          <w:lang w:eastAsia="es-ES"/>
        </w:rPr>
      </w:pPr>
      <w:r w:rsidRPr="000323A2">
        <w:rPr>
          <w:rFonts w:ascii="Arial" w:eastAsia="Calibri" w:hAnsi="Arial" w:cs="Arial"/>
          <w:b/>
          <w:spacing w:val="-3"/>
          <w:sz w:val="24"/>
          <w:szCs w:val="24"/>
          <w:lang w:eastAsia="es-ES"/>
        </w:rPr>
        <w:t>10.5</w:t>
      </w:r>
      <w:r w:rsidRPr="000323A2">
        <w:rPr>
          <w:rFonts w:ascii="Arial" w:eastAsia="Calibri" w:hAnsi="Arial" w:cs="Arial"/>
          <w:spacing w:val="-3"/>
          <w:sz w:val="24"/>
          <w:szCs w:val="24"/>
          <w:lang w:eastAsia="es-ES"/>
        </w:rPr>
        <w:tab/>
        <w:t>En caso de que el CONCESIONARIO SOLICITANTE O AUTORIZADO SOLICITANTE solicite una reconexión del SERVICIO posterior a los 2 (dos) días hábiles mencionados en el punto 10.2.2  y antes de los 15 (quince) días naturales de la desincorporación a la facturación, el CONCESIONARIO SOLICITANTE O AUTORIZADO SOLICITANTE enviará un nuevo ACUERDO ESPECÍFICO en el entendido que el CONCESIONARIO SOLICITANTE O AUTORIZADO SOLICITANTE deberá pagar los gastos de instalación de este SERVICIO de manera inmediata.</w:t>
      </w:r>
    </w:p>
    <w:p w14:paraId="2D1EDFED"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DÉCIMA PRIMERA.</w:t>
      </w:r>
      <w:r w:rsidRPr="000323A2">
        <w:rPr>
          <w:rFonts w:ascii="Arial" w:eastAsia="Calibri" w:hAnsi="Arial" w:cs="Arial"/>
          <w:b/>
          <w:sz w:val="24"/>
          <w:szCs w:val="24"/>
          <w:lang w:val="es-ES" w:eastAsia="es-ES"/>
        </w:rPr>
        <w:tab/>
        <w:t>CESIÓN DE DERECHOS</w:t>
      </w:r>
    </w:p>
    <w:p w14:paraId="14814ECF"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Tanto TELMEX como el CONCESIONARIO SOLICITANTE O AUTORIZADO SOLICITANTE deberán cumplir sus obligaciones objeto del presente CONVENIO por sí mismos, y, en consecuencia, los derechos y obligaciones derivados del mismo en ningún caso podrán ser cedidos, gravados o transmitidos en forma alguna sin la autorización previa por escrito de la otra parte, autorización que no será negada sin razón justificada. Sin embargo, las PARTES acuerdan que las cuentas por cobrar al CONCESIONARIO SOLICITANTE O AUTORIZADO SOLICITANTE y en favor de TELMEX, presentes o futuras, podrán ser cedidas por cualquier medio legal a instituciones de crédito, fideicomisos u organizaciones auxiliares de crédito, o cualquier otra persona o vehículo, tanto nacionales como extranjeras. Queda exceptuada de lo previsto en esta Cláusula la cesión que el CONCESIONARIO SOLICITANTE O AUTORIZADO SOLICITANTE efectúe a sus filiales, afiliadas, subsidiarias o Controladora, la cual requerirá exclusivamente previa notificación por escrito a TELMEX.</w:t>
      </w:r>
    </w:p>
    <w:p w14:paraId="3FB90828" w14:textId="77777777" w:rsidR="000323A2" w:rsidRPr="000323A2" w:rsidRDefault="000323A2" w:rsidP="000323A2">
      <w:pPr>
        <w:widowControl w:val="0"/>
        <w:adjustRightInd w:val="0"/>
        <w:spacing w:before="240" w:after="0" w:line="276" w:lineRule="auto"/>
        <w:ind w:hanging="5"/>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 xml:space="preserve">DÉCIMA SEGUNDA. </w:t>
      </w:r>
      <w:r w:rsidRPr="000323A2">
        <w:rPr>
          <w:rFonts w:ascii="Arial" w:eastAsia="Calibri" w:hAnsi="Arial" w:cs="Arial"/>
          <w:b/>
          <w:sz w:val="24"/>
          <w:szCs w:val="24"/>
          <w:lang w:val="es-ES" w:eastAsia="es-ES"/>
        </w:rPr>
        <w:tab/>
        <w:t xml:space="preserve">CONTINUIDAD Y CONDICIONES DE </w:t>
      </w:r>
      <w:r w:rsidRPr="000323A2">
        <w:rPr>
          <w:rFonts w:ascii="Arial" w:eastAsia="Calibri" w:hAnsi="Arial" w:cs="Arial"/>
          <w:b/>
          <w:sz w:val="24"/>
          <w:szCs w:val="24"/>
          <w:lang w:val="es-ES" w:eastAsia="es-ES"/>
        </w:rPr>
        <w:lastRenderedPageBreak/>
        <w:t>RECUPERACIÓN DE LOS SERVICIOS</w:t>
      </w:r>
    </w:p>
    <w:p w14:paraId="387ABFC6"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En caso de interrupción de cualquiera de los SERVICIOS, por fallas atribuibles a los equipos y cableados de TELMEX, el restablecimiento de los mismos se llevará a cabo de conformidad con lo previsto en el Anexo “C” (Suministro y Calidad del Servicio) de los ACUERDOS.</w:t>
      </w:r>
    </w:p>
    <w:p w14:paraId="581BCF38"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DÉCIMA TERCERA.</w:t>
      </w:r>
      <w:r w:rsidRPr="000323A2">
        <w:rPr>
          <w:rFonts w:ascii="Arial" w:eastAsia="Calibri" w:hAnsi="Arial" w:cs="Arial"/>
          <w:b/>
          <w:sz w:val="24"/>
          <w:szCs w:val="24"/>
          <w:lang w:val="es-ES" w:eastAsia="es-ES"/>
        </w:rPr>
        <w:tab/>
        <w:t xml:space="preserve"> ACCESO A LOS SITIOS</w:t>
      </w:r>
    </w:p>
    <w:p w14:paraId="3DE96B57"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val="es-ES" w:eastAsia="es-ES"/>
        </w:rPr>
        <w:t xml:space="preserve">Para los efectos de inspección, arreglo, retiro y/o reparación de las instalaciones o infraestructura propiedad de TELMEX, el CONCESIONARIO SOLICITANTE O AUTORIZADANE SOLICITANTE conviene en permitir a los inspectores, trabajadores o contratistas de TELMEX, el libre acceso al sitio en donde estén instaladas las mismas preferentemente las 24 (veinticuatro) horas del día, los 365 (trescientos sesenta y cinco) días del año, previa presentación de la identificación vigente de los empleados o contratistas de TELMEX, en caso contrario el CONCESIONARIO SOLICITANTE O AUTORIZADO SOLICITANTE indicará la fecha y horario dentro del cual se podrá acceder al sitio,  en el entendido de que si por causas imputables al CONCESIONARIO SOLICITANTE O AUTORIZADO SOLICITANTE o a su cliente se le restringiera o negara el acceso al sitio del cliente en donde se encuentren las instalaciones, dichos retrasos en la instalación o reparación no se tomarán en cuenta </w:t>
      </w:r>
      <w:r w:rsidRPr="000323A2">
        <w:rPr>
          <w:rFonts w:ascii="Arial" w:eastAsia="Calibri" w:hAnsi="Arial" w:cs="Arial"/>
          <w:sz w:val="24"/>
          <w:szCs w:val="24"/>
          <w:lang w:eastAsia="es-ES"/>
        </w:rPr>
        <w:t>para la medición del cumplimento de los plazos de reparación de incidencias</w:t>
      </w:r>
      <w:r w:rsidRPr="000323A2">
        <w:rPr>
          <w:rFonts w:ascii="Arial" w:eastAsia="Calibri" w:hAnsi="Arial" w:cs="Arial"/>
          <w:sz w:val="24"/>
          <w:szCs w:val="24"/>
          <w:lang w:val="es-ES" w:eastAsia="es-ES"/>
        </w:rPr>
        <w:t xml:space="preserve"> previstos en el Anexo “F” de la Oferta.</w:t>
      </w:r>
    </w:p>
    <w:p w14:paraId="3EC7B3D5"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DÉCIMA CUARTA.</w:t>
      </w:r>
      <w:r w:rsidRPr="000323A2">
        <w:rPr>
          <w:rFonts w:ascii="Arial" w:eastAsia="Calibri" w:hAnsi="Arial" w:cs="Arial"/>
          <w:b/>
          <w:sz w:val="24"/>
          <w:szCs w:val="24"/>
          <w:lang w:val="es-ES" w:eastAsia="es-ES"/>
        </w:rPr>
        <w:tab/>
      </w:r>
      <w:r w:rsidRPr="000323A2">
        <w:rPr>
          <w:rFonts w:ascii="Arial" w:eastAsia="Calibri" w:hAnsi="Arial" w:cs="Arial"/>
          <w:b/>
          <w:sz w:val="24"/>
          <w:szCs w:val="24"/>
          <w:lang w:val="es-ES" w:eastAsia="es-ES"/>
        </w:rPr>
        <w:tab/>
        <w:t>CAUSAS DE FUERZA MAYOR Y/O CASO FORTUITO</w:t>
      </w:r>
    </w:p>
    <w:p w14:paraId="0E4ADA4F"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Ninguna de las PARTES será responsable por caso fortuito y/o fuerza mayor, incluyendo sin limitar, explosiones, sismos, fenómenos naturales, huelgas, revueltas civiles, sabotaje, terrorismo, inundaciones, guerras, huracanes, incendios, terremotos u otras situaciones similares.</w:t>
      </w:r>
    </w:p>
    <w:p w14:paraId="68A5B9B3"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val="es-ES" w:eastAsia="es-ES"/>
        </w:rPr>
        <w:t xml:space="preserve">TELMEX tampoco será responsable por causas que no le sean imputables, las </w:t>
      </w:r>
      <w:proofErr w:type="gramStart"/>
      <w:r w:rsidRPr="000323A2">
        <w:rPr>
          <w:rFonts w:ascii="Arial" w:eastAsia="Calibri" w:hAnsi="Arial" w:cs="Arial"/>
          <w:sz w:val="24"/>
          <w:szCs w:val="24"/>
          <w:lang w:val="es-ES" w:eastAsia="es-ES"/>
        </w:rPr>
        <w:t>que</w:t>
      </w:r>
      <w:proofErr w:type="gramEnd"/>
      <w:r w:rsidRPr="000323A2">
        <w:rPr>
          <w:rFonts w:ascii="Arial" w:eastAsia="Calibri" w:hAnsi="Arial" w:cs="Arial"/>
          <w:sz w:val="24"/>
          <w:szCs w:val="24"/>
          <w:lang w:val="es-ES" w:eastAsia="es-ES"/>
        </w:rPr>
        <w:t xml:space="preserve"> de manera enunciativa mas no limitativa, pueden consistir en: retrasos por permisos de trabajos en vías públicas (municipales, estatales o federales), cortes de fibra óptica ocasionados por vandalismo o un tercero, acondicionamiento de sitios del cliente que no estén listos, plantones en vía pública y negación de accesos a las instalaciones del cliente final.</w:t>
      </w:r>
      <w:r w:rsidRPr="000323A2">
        <w:rPr>
          <w:rFonts w:ascii="Arial" w:eastAsia="Calibri" w:hAnsi="Arial" w:cs="Arial"/>
          <w:sz w:val="24"/>
          <w:szCs w:val="24"/>
          <w:lang w:eastAsia="es-ES"/>
        </w:rPr>
        <w:t xml:space="preserve"> </w:t>
      </w:r>
    </w:p>
    <w:p w14:paraId="38D2004A" w14:textId="77777777" w:rsidR="000323A2" w:rsidRPr="000323A2" w:rsidRDefault="000323A2" w:rsidP="000323A2">
      <w:pPr>
        <w:spacing w:before="240"/>
        <w:rPr>
          <w:rFonts w:ascii="Arial" w:eastAsia="Calibri" w:hAnsi="Arial" w:cs="Arial"/>
          <w:b/>
          <w:sz w:val="24"/>
          <w:szCs w:val="24"/>
        </w:rPr>
      </w:pPr>
      <w:r w:rsidRPr="000323A2">
        <w:rPr>
          <w:rFonts w:ascii="Arial" w:eastAsia="Calibri" w:hAnsi="Arial" w:cs="Arial"/>
          <w:b/>
          <w:sz w:val="24"/>
          <w:szCs w:val="24"/>
        </w:rPr>
        <w:t>DÉCIMA QUINTA.</w:t>
      </w:r>
      <w:r w:rsidRPr="000323A2">
        <w:rPr>
          <w:rFonts w:ascii="Arial" w:eastAsia="Calibri" w:hAnsi="Arial" w:cs="Arial"/>
          <w:b/>
          <w:sz w:val="24"/>
          <w:szCs w:val="24"/>
        </w:rPr>
        <w:tab/>
        <w:t xml:space="preserve">VIGENCIA </w:t>
      </w:r>
    </w:p>
    <w:p w14:paraId="6B61DED0"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pacing w:val="-3"/>
          <w:sz w:val="24"/>
          <w:szCs w:val="24"/>
          <w:lang w:val="es-ES" w:eastAsia="es-ES"/>
        </w:rPr>
      </w:pPr>
      <w:r w:rsidRPr="000323A2">
        <w:rPr>
          <w:rFonts w:ascii="Arial" w:eastAsia="Calibri" w:hAnsi="Arial" w:cs="Arial"/>
          <w:b/>
          <w:spacing w:val="-3"/>
          <w:sz w:val="24"/>
          <w:szCs w:val="24"/>
          <w:lang w:val="es-ES" w:eastAsia="es-ES"/>
        </w:rPr>
        <w:t>15.1</w:t>
      </w:r>
      <w:r w:rsidRPr="000323A2">
        <w:rPr>
          <w:rFonts w:ascii="Arial" w:eastAsia="Calibri" w:hAnsi="Arial" w:cs="Arial"/>
          <w:b/>
          <w:spacing w:val="-3"/>
          <w:sz w:val="24"/>
          <w:szCs w:val="24"/>
          <w:lang w:val="es-ES" w:eastAsia="es-ES"/>
        </w:rPr>
        <w:tab/>
        <w:t>DURACIÓN DEL CONVENIO</w:t>
      </w:r>
    </w:p>
    <w:p w14:paraId="24ADB9CA"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spacing w:val="-3"/>
          <w:sz w:val="24"/>
          <w:szCs w:val="24"/>
          <w:lang w:val="es-ES" w:eastAsia="es-ES"/>
        </w:rPr>
        <w:lastRenderedPageBreak/>
        <w:t xml:space="preserve">El presente CONVENIO estará vigente a partir de la fecha de firma y hasta el 31 de </w:t>
      </w:r>
      <w:proofErr w:type="gramStart"/>
      <w:r w:rsidRPr="000323A2">
        <w:rPr>
          <w:rFonts w:ascii="Arial" w:eastAsia="Calibri" w:hAnsi="Arial" w:cs="Arial"/>
          <w:spacing w:val="-3"/>
          <w:sz w:val="24"/>
          <w:szCs w:val="24"/>
          <w:lang w:val="es-ES" w:eastAsia="es-ES"/>
        </w:rPr>
        <w:t>Diciembre</w:t>
      </w:r>
      <w:proofErr w:type="gramEnd"/>
      <w:r w:rsidRPr="000323A2">
        <w:rPr>
          <w:rFonts w:ascii="Arial" w:eastAsia="Calibri" w:hAnsi="Arial" w:cs="Arial"/>
          <w:spacing w:val="-3"/>
          <w:sz w:val="24"/>
          <w:szCs w:val="24"/>
          <w:lang w:val="es-ES" w:eastAsia="es-ES"/>
        </w:rPr>
        <w:t xml:space="preserve"> del 2018, sin </w:t>
      </w:r>
      <w:proofErr w:type="spellStart"/>
      <w:r w:rsidRPr="000323A2">
        <w:rPr>
          <w:rFonts w:ascii="Arial" w:eastAsia="Calibri" w:hAnsi="Arial" w:cs="Arial"/>
          <w:spacing w:val="-3"/>
          <w:sz w:val="24"/>
          <w:szCs w:val="24"/>
          <w:lang w:val="es-ES" w:eastAsia="es-ES"/>
        </w:rPr>
        <w:t>perjucio</w:t>
      </w:r>
      <w:proofErr w:type="spellEnd"/>
      <w:r w:rsidRPr="000323A2">
        <w:rPr>
          <w:rFonts w:ascii="Arial" w:eastAsia="Calibri" w:hAnsi="Arial" w:cs="Arial"/>
          <w:spacing w:val="-3"/>
          <w:sz w:val="24"/>
          <w:szCs w:val="24"/>
          <w:lang w:val="es-ES" w:eastAsia="es-ES"/>
        </w:rPr>
        <w:t xml:space="preserve"> de que las partes puedan acordar una duración mayor en términos de la medida CUADRAGESIMA PRIMERA de las Medidas Fijas</w:t>
      </w:r>
    </w:p>
    <w:p w14:paraId="37BD4756"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15.2</w:t>
      </w:r>
      <w:r w:rsidRPr="000323A2">
        <w:rPr>
          <w:rFonts w:ascii="Arial" w:eastAsia="Calibri" w:hAnsi="Arial" w:cs="Arial"/>
          <w:b/>
          <w:sz w:val="24"/>
          <w:szCs w:val="24"/>
          <w:lang w:val="es-ES" w:eastAsia="es-ES"/>
        </w:rPr>
        <w:tab/>
        <w:t>TERMINACIÓN ANTICIPADA</w:t>
      </w:r>
    </w:p>
    <w:p w14:paraId="7366769F"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spacing w:val="-3"/>
          <w:sz w:val="24"/>
          <w:szCs w:val="24"/>
          <w:lang w:val="es-ES" w:eastAsia="es-ES"/>
        </w:rPr>
        <w:t>El presente CONVENIO podrá terminarse de manera anticipada, ya sea por acuerdo de las PARTES firmado por sus respectivos apoderados o con previa notificación por escrito enviada por alguna de las PARTES a la otra con una anticipación mínima de 60 (</w:t>
      </w:r>
      <w:proofErr w:type="spellStart"/>
      <w:r w:rsidRPr="000323A2">
        <w:rPr>
          <w:rFonts w:ascii="Arial" w:eastAsia="Calibri" w:hAnsi="Arial" w:cs="Arial"/>
          <w:spacing w:val="-3"/>
          <w:sz w:val="24"/>
          <w:szCs w:val="24"/>
          <w:lang w:val="es-ES" w:eastAsia="es-ES"/>
        </w:rPr>
        <w:t>senenta</w:t>
      </w:r>
      <w:proofErr w:type="spellEnd"/>
      <w:r w:rsidRPr="000323A2">
        <w:rPr>
          <w:rFonts w:ascii="Arial" w:eastAsia="Calibri" w:hAnsi="Arial" w:cs="Arial"/>
          <w:spacing w:val="-3"/>
          <w:sz w:val="24"/>
          <w:szCs w:val="24"/>
          <w:lang w:val="es-ES" w:eastAsia="es-ES"/>
        </w:rPr>
        <w:t>) días naturales previos a la fecha efectiva de terminación, cuando se presente una o más de las causales siguientes:</w:t>
      </w:r>
    </w:p>
    <w:p w14:paraId="3CE19D6F" w14:textId="77777777" w:rsidR="000323A2" w:rsidRPr="000323A2" w:rsidRDefault="000323A2" w:rsidP="00B04B36">
      <w:pPr>
        <w:widowControl w:val="0"/>
        <w:numPr>
          <w:ilvl w:val="0"/>
          <w:numId w:val="72"/>
        </w:numPr>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spacing w:val="-3"/>
          <w:sz w:val="24"/>
          <w:szCs w:val="24"/>
          <w:lang w:val="es-ES" w:eastAsia="es-ES"/>
        </w:rPr>
        <w:t>Revocación del título de concesión de cualquiera de las PARTES;</w:t>
      </w:r>
    </w:p>
    <w:p w14:paraId="366185EA" w14:textId="77777777" w:rsidR="000323A2" w:rsidRPr="000323A2" w:rsidRDefault="000323A2" w:rsidP="00B04B36">
      <w:pPr>
        <w:widowControl w:val="0"/>
        <w:numPr>
          <w:ilvl w:val="0"/>
          <w:numId w:val="72"/>
        </w:numPr>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spacing w:val="-3"/>
          <w:sz w:val="24"/>
          <w:szCs w:val="24"/>
          <w:lang w:val="es-ES" w:eastAsia="es-ES"/>
        </w:rPr>
        <w:t>Declaración judicial o resolución administrativa emitida por autoridad competente que así lo ordene;</w:t>
      </w:r>
    </w:p>
    <w:p w14:paraId="565B2CA3" w14:textId="77777777" w:rsidR="000323A2" w:rsidRPr="000323A2" w:rsidRDefault="000323A2" w:rsidP="00B04B36">
      <w:pPr>
        <w:widowControl w:val="0"/>
        <w:numPr>
          <w:ilvl w:val="0"/>
          <w:numId w:val="72"/>
        </w:numPr>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spacing w:val="-3"/>
          <w:sz w:val="24"/>
          <w:szCs w:val="24"/>
          <w:lang w:val="es-ES" w:eastAsia="es-ES"/>
        </w:rPr>
        <w:t>Novación de los términos, condiciones, derechos y obligaciones contractuales;</w:t>
      </w:r>
    </w:p>
    <w:p w14:paraId="02CC3FC3" w14:textId="77777777" w:rsidR="000323A2" w:rsidRPr="000323A2" w:rsidRDefault="000323A2" w:rsidP="00B04B36">
      <w:pPr>
        <w:widowControl w:val="0"/>
        <w:numPr>
          <w:ilvl w:val="0"/>
          <w:numId w:val="72"/>
        </w:numPr>
        <w:adjustRightInd w:val="0"/>
        <w:spacing w:before="240" w:after="0" w:line="276" w:lineRule="auto"/>
        <w:jc w:val="both"/>
        <w:textAlignment w:val="baseline"/>
        <w:rPr>
          <w:rFonts w:ascii="Arial" w:eastAsia="Calibri" w:hAnsi="Arial" w:cs="Arial"/>
          <w:spacing w:val="-3"/>
          <w:sz w:val="24"/>
          <w:szCs w:val="24"/>
          <w:lang w:val="es-ES" w:eastAsia="es-ES"/>
        </w:rPr>
      </w:pPr>
      <w:r w:rsidRPr="000323A2">
        <w:rPr>
          <w:rFonts w:ascii="Arial" w:eastAsia="Calibri" w:hAnsi="Arial" w:cs="Arial"/>
          <w:spacing w:val="-3"/>
          <w:sz w:val="24"/>
          <w:szCs w:val="24"/>
          <w:lang w:val="es-ES" w:eastAsia="es-ES"/>
        </w:rPr>
        <w:t>Se presente un estado de excepción como guerra, invasión, conflicto armado, por el cual, no se puedan salvaguardar las garantías individuales.</w:t>
      </w:r>
    </w:p>
    <w:p w14:paraId="70B6C772" w14:textId="77777777" w:rsidR="000323A2" w:rsidRPr="000323A2" w:rsidRDefault="000323A2" w:rsidP="00B04B36">
      <w:pPr>
        <w:widowControl w:val="0"/>
        <w:numPr>
          <w:ilvl w:val="1"/>
          <w:numId w:val="66"/>
        </w:numPr>
        <w:adjustRightInd w:val="0"/>
        <w:spacing w:before="240" w:after="0" w:line="276" w:lineRule="auto"/>
        <w:jc w:val="both"/>
        <w:textAlignment w:val="baseline"/>
        <w:rPr>
          <w:rFonts w:ascii="Arial" w:eastAsia="Calibri" w:hAnsi="Arial" w:cs="Arial"/>
          <w:b/>
          <w:spacing w:val="-3"/>
          <w:sz w:val="24"/>
          <w:szCs w:val="24"/>
          <w:lang w:val="es-ES" w:eastAsia="es-ES"/>
        </w:rPr>
      </w:pPr>
      <w:r w:rsidRPr="000323A2">
        <w:rPr>
          <w:rFonts w:ascii="Arial" w:eastAsia="Calibri" w:hAnsi="Arial" w:cs="Arial"/>
          <w:b/>
          <w:spacing w:val="-3"/>
          <w:sz w:val="24"/>
          <w:szCs w:val="24"/>
          <w:lang w:val="es-ES" w:eastAsia="es-ES"/>
        </w:rPr>
        <w:t>DURACIÓN DE LOS SERVICIOS</w:t>
      </w:r>
    </w:p>
    <w:p w14:paraId="2F0E55AE"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pacing w:val="-3"/>
          <w:sz w:val="24"/>
          <w:szCs w:val="24"/>
          <w:lang w:val="es-ES" w:eastAsia="es-ES"/>
        </w:rPr>
        <w:t xml:space="preserve">No </w:t>
      </w:r>
      <w:proofErr w:type="gramStart"/>
      <w:r w:rsidRPr="000323A2">
        <w:rPr>
          <w:rFonts w:ascii="Arial" w:eastAsia="Calibri" w:hAnsi="Arial" w:cs="Arial"/>
          <w:spacing w:val="-3"/>
          <w:sz w:val="24"/>
          <w:szCs w:val="24"/>
          <w:lang w:val="es-ES" w:eastAsia="es-ES"/>
        </w:rPr>
        <w:t>obstante</w:t>
      </w:r>
      <w:proofErr w:type="gramEnd"/>
      <w:r w:rsidRPr="000323A2">
        <w:rPr>
          <w:rFonts w:ascii="Arial" w:eastAsia="Calibri" w:hAnsi="Arial" w:cs="Arial"/>
          <w:spacing w:val="-3"/>
          <w:sz w:val="24"/>
          <w:szCs w:val="24"/>
          <w:lang w:val="es-ES" w:eastAsia="es-ES"/>
        </w:rPr>
        <w:t xml:space="preserve"> lo establecido en los numerales 15.1 y 15.2 anteriores, los SERVICIOS objeto del CONVENIO que el CONCESIONARIO SOLICITANTE O AUTORIZADO SOLICITANTE hubiera requerido a TELMEX a través de los ACUERDOS ESPECIFICOS correspondientes, tendrán la vigencia mínima forzosa que para cada uno de éstos se determine en los mismos y la tarifa aplicable a los mismos regirá hasta el término de cada ACUERDO. E</w:t>
      </w:r>
      <w:r w:rsidRPr="000323A2">
        <w:rPr>
          <w:rFonts w:ascii="Arial" w:eastAsia="Calibri" w:hAnsi="Arial" w:cs="Arial"/>
          <w:sz w:val="24"/>
          <w:szCs w:val="24"/>
          <w:lang w:val="es-ES" w:eastAsia="es-ES"/>
        </w:rPr>
        <w:t>n caso de que TELMEX de por terminado de forma anticipada el presente CONVENIO, no estará obligada a proporcionar al CONCESIONARIO SOLICITANTE O AUTORIZADO SOLICITANTE los servicios adicionales que requiera dicho concesionario a partir de la fecha efectiva en que el CONVENIO termine sus efectos, es decir, una vez concluido el plazo de 30 (treinta) días a que hace referencia el numeral 15.2 anterior.</w:t>
      </w:r>
    </w:p>
    <w:p w14:paraId="53F9C8F4" w14:textId="77777777" w:rsidR="000323A2" w:rsidRPr="000323A2" w:rsidRDefault="000323A2" w:rsidP="000323A2">
      <w:pPr>
        <w:widowControl w:val="0"/>
        <w:adjustRightInd w:val="0"/>
        <w:spacing w:before="240" w:after="0" w:line="276" w:lineRule="auto"/>
        <w:ind w:left="720" w:hanging="720"/>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15.4</w:t>
      </w:r>
      <w:r w:rsidRPr="000323A2">
        <w:rPr>
          <w:rFonts w:ascii="Arial" w:eastAsia="Calibri" w:hAnsi="Arial" w:cs="Arial"/>
          <w:b/>
          <w:sz w:val="24"/>
          <w:szCs w:val="24"/>
          <w:lang w:val="es-ES" w:eastAsia="es-ES"/>
        </w:rPr>
        <w:tab/>
      </w:r>
      <w:r w:rsidRPr="000323A2">
        <w:rPr>
          <w:rFonts w:ascii="Arial" w:eastAsia="Calibri" w:hAnsi="Arial" w:cs="Arial"/>
          <w:sz w:val="24"/>
          <w:szCs w:val="24"/>
          <w:lang w:val="es-ES" w:eastAsia="es-ES"/>
        </w:rPr>
        <w:t>Las PARTES acuerdan que los ACUERDOS ESPECIFICOS respectivos se sujetarán a lo establecido en el presente CONVENIO.</w:t>
      </w:r>
    </w:p>
    <w:p w14:paraId="309F2331" w14:textId="77777777" w:rsidR="000323A2" w:rsidRPr="000323A2" w:rsidRDefault="000323A2" w:rsidP="000323A2">
      <w:pPr>
        <w:widowControl w:val="0"/>
        <w:adjustRightInd w:val="0"/>
        <w:spacing w:before="240" w:after="0" w:line="276" w:lineRule="auto"/>
        <w:ind w:left="720" w:hanging="720"/>
        <w:jc w:val="both"/>
        <w:textAlignment w:val="baseline"/>
        <w:rPr>
          <w:rFonts w:ascii="Arial" w:eastAsia="Calibri" w:hAnsi="Arial" w:cs="Arial"/>
          <w:sz w:val="24"/>
          <w:szCs w:val="24"/>
          <w:lang w:eastAsia="es-ES"/>
        </w:rPr>
      </w:pPr>
      <w:r w:rsidRPr="000323A2">
        <w:rPr>
          <w:rFonts w:ascii="Arial" w:eastAsia="Calibri" w:hAnsi="Arial" w:cs="Arial"/>
          <w:b/>
          <w:sz w:val="24"/>
          <w:szCs w:val="24"/>
          <w:lang w:val="es-ES" w:eastAsia="es-ES"/>
        </w:rPr>
        <w:t>15.5</w:t>
      </w:r>
      <w:r w:rsidRPr="000323A2">
        <w:rPr>
          <w:rFonts w:ascii="Arial" w:eastAsia="Calibri" w:hAnsi="Arial" w:cs="Arial"/>
          <w:b/>
          <w:sz w:val="24"/>
          <w:szCs w:val="24"/>
          <w:lang w:val="es-ES" w:eastAsia="es-ES"/>
        </w:rPr>
        <w:tab/>
      </w:r>
      <w:r w:rsidRPr="000323A2">
        <w:rPr>
          <w:rFonts w:ascii="Arial" w:eastAsia="Calibri" w:hAnsi="Arial" w:cs="Arial"/>
          <w:sz w:val="24"/>
          <w:szCs w:val="24"/>
          <w:lang w:val="es-ES" w:eastAsia="es-ES"/>
        </w:rPr>
        <w:t>Las obligaciones pendientes de cumplimiento por las PARTES, quedarán subsistentes hasta su total cumplimiento.</w:t>
      </w:r>
    </w:p>
    <w:p w14:paraId="6415CD84" w14:textId="77777777" w:rsidR="000323A2" w:rsidRPr="000323A2" w:rsidRDefault="000323A2" w:rsidP="000323A2">
      <w:pPr>
        <w:spacing w:before="240"/>
        <w:rPr>
          <w:rFonts w:ascii="Arial" w:eastAsia="Calibri" w:hAnsi="Arial" w:cs="Arial"/>
          <w:b/>
          <w:sz w:val="24"/>
          <w:szCs w:val="24"/>
        </w:rPr>
      </w:pPr>
      <w:r w:rsidRPr="000323A2">
        <w:rPr>
          <w:rFonts w:ascii="Arial" w:eastAsia="Calibri" w:hAnsi="Arial" w:cs="Arial"/>
          <w:b/>
          <w:sz w:val="24"/>
          <w:szCs w:val="24"/>
        </w:rPr>
        <w:lastRenderedPageBreak/>
        <w:t>DÉCIMA SEXTA. RESCISIÓN DEL CONVENIO</w:t>
      </w:r>
    </w:p>
    <w:p w14:paraId="337A1C11"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La PARTE que resulte afectada por el incumplimiento de la otra a cualquiera de, o todas sus obligaciones contenidas en el presente CONVENIO, podrá rescindir de forma inmediata el mismo, sin necesidad de declaración judicial o administrativa, mediante simple notificación por escrito que dirija a la parte que incumplió con por lo menos 30 (treinta) días naturales de anticipación a la fecha en que surtirá sus efectos la rescisión. De igual forma la parte afectada dará aviso por escrito al Instituto sobre la rescisión notificada, adjuntando la documentación con la justificación correspondiente. El efecto inmediato de la rescisión tiene como consecuencia que la parte afectada por el incumplimiento no tendrá la obligación de entregar los servicios que hubiesen sido solicitados por la parte incumplida con anterioridad a la fecha efectiva de rescisión y que no hubiesen sido entregados materialmente por la parte afectada por el incumplimiento, así como también dará lugar a que la parte incumplida no pueda solicitar la contratación de servicios adicionales y que la parte afectada por el incumplimiento no esté obligada a la prestación de los mismos. Si la parte afectada es la receptora de los SERVICIOS conforme a este CONVENIO, aquella recibirá el pago íntegro de las penalidades a las que la otra parte esté sujeta en atención a dicho incumplimiento.</w:t>
      </w:r>
    </w:p>
    <w:p w14:paraId="6E938D38"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Las contraprestaciones que quedaren pendientes al término del presente instrumento, deberán ser cubiertas por el CONCESIONARIO SOLICITANTE O AUTORIZADO SOLICITANTE a más tardar dentro de los 15 (quince) días hábiles posteriores a la notificación de la rescisión.</w:t>
      </w:r>
    </w:p>
    <w:p w14:paraId="2D9D7D67"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DÉCIMA SÉPTIMA.</w:t>
      </w:r>
      <w:r w:rsidRPr="000323A2">
        <w:rPr>
          <w:rFonts w:ascii="Arial" w:eastAsia="Calibri" w:hAnsi="Arial" w:cs="Arial"/>
          <w:b/>
          <w:sz w:val="24"/>
          <w:szCs w:val="24"/>
          <w:lang w:val="es-ES" w:eastAsia="es-ES"/>
        </w:rPr>
        <w:tab/>
        <w:t>PERJUICIO A TERCEROS</w:t>
      </w:r>
    </w:p>
    <w:p w14:paraId="0DE0AD2A" w14:textId="77777777" w:rsidR="000323A2" w:rsidRPr="000323A2" w:rsidRDefault="000323A2" w:rsidP="000323A2">
      <w:pPr>
        <w:widowControl w:val="0"/>
        <w:adjustRightInd w:val="0"/>
        <w:spacing w:before="240" w:after="0" w:line="276" w:lineRule="auto"/>
        <w:ind w:left="705" w:hanging="705"/>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17.1</w:t>
      </w:r>
      <w:r w:rsidRPr="000323A2">
        <w:rPr>
          <w:rFonts w:ascii="Arial" w:eastAsia="Calibri" w:hAnsi="Arial" w:cs="Arial"/>
          <w:b/>
          <w:sz w:val="24"/>
          <w:szCs w:val="24"/>
          <w:lang w:val="es-ES" w:eastAsia="es-ES"/>
        </w:rPr>
        <w:tab/>
      </w:r>
      <w:r w:rsidRPr="000323A2">
        <w:rPr>
          <w:rFonts w:ascii="Arial" w:eastAsia="Calibri" w:hAnsi="Arial" w:cs="Arial"/>
          <w:sz w:val="24"/>
          <w:szCs w:val="24"/>
          <w:lang w:val="es-ES" w:eastAsia="es-ES"/>
        </w:rPr>
        <w:t>Si con motivo del traslado de los equipos que va a suministrar TELMEX se causara perjuicio a terceros, TELMEX y sus proveedores, en su caso, se obligarán a responder de ello y a eximir de toda responsabilidad al CONCESIONARIO SOLICITANTE O AUTORIZADO SOLICITANTE.</w:t>
      </w:r>
    </w:p>
    <w:p w14:paraId="7F5FE870" w14:textId="77777777" w:rsidR="000323A2" w:rsidRPr="000323A2" w:rsidRDefault="000323A2" w:rsidP="000323A2">
      <w:pPr>
        <w:widowControl w:val="0"/>
        <w:adjustRightInd w:val="0"/>
        <w:spacing w:before="240" w:after="0" w:line="276" w:lineRule="auto"/>
        <w:ind w:left="705" w:hanging="705"/>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17.2</w:t>
      </w:r>
      <w:r w:rsidRPr="000323A2">
        <w:rPr>
          <w:rFonts w:ascii="Arial" w:eastAsia="Calibri" w:hAnsi="Arial" w:cs="Arial"/>
          <w:b/>
          <w:sz w:val="24"/>
          <w:szCs w:val="24"/>
          <w:lang w:val="es-ES" w:eastAsia="es-ES"/>
        </w:rPr>
        <w:tab/>
      </w:r>
      <w:r w:rsidRPr="000323A2">
        <w:rPr>
          <w:rFonts w:ascii="Arial" w:eastAsia="Calibri" w:hAnsi="Arial" w:cs="Arial"/>
          <w:sz w:val="24"/>
          <w:szCs w:val="24"/>
          <w:lang w:val="es-ES" w:eastAsia="es-ES"/>
        </w:rPr>
        <w:t>Si con motivo de la operación de los SERVICIOS se causara perjuicio a terceros, y se comprueba la responsabilidad directa del CONCESIONARIO SOLICITANTE O AUTORIZADO SOLICITANTE, ésta se obligará a responder de ello y a eximir de toda responsabilidad a TELMEX.</w:t>
      </w:r>
    </w:p>
    <w:p w14:paraId="1D651C22"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DÉCIMA OCTAVA.</w:t>
      </w:r>
      <w:r w:rsidRPr="000323A2">
        <w:rPr>
          <w:rFonts w:ascii="Arial" w:eastAsia="Calibri" w:hAnsi="Arial" w:cs="Arial"/>
          <w:b/>
          <w:sz w:val="24"/>
          <w:szCs w:val="24"/>
          <w:lang w:val="es-ES" w:eastAsia="es-ES"/>
        </w:rPr>
        <w:tab/>
        <w:t>OBLIGACIONES FISCALES</w:t>
      </w:r>
    </w:p>
    <w:p w14:paraId="4AF4F92D"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Ambas PARTES están de acuerdo en cumplir con las obligaciones fiscales establecidas a su cargo por la legislación fiscal vigente.</w:t>
      </w:r>
    </w:p>
    <w:p w14:paraId="33080F5C"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lastRenderedPageBreak/>
        <w:t>DÉCIMA NOVENA.</w:t>
      </w:r>
      <w:r w:rsidRPr="000323A2">
        <w:rPr>
          <w:rFonts w:ascii="Arial" w:eastAsia="Calibri" w:hAnsi="Arial" w:cs="Arial"/>
          <w:sz w:val="24"/>
          <w:szCs w:val="24"/>
          <w:lang w:val="es-ES" w:eastAsia="es-ES"/>
        </w:rPr>
        <w:tab/>
      </w:r>
      <w:r w:rsidRPr="000323A2">
        <w:rPr>
          <w:rFonts w:ascii="Arial" w:eastAsia="Calibri" w:hAnsi="Arial" w:cs="Arial"/>
          <w:b/>
          <w:sz w:val="24"/>
          <w:szCs w:val="24"/>
          <w:lang w:val="es-ES" w:eastAsia="es-ES"/>
        </w:rPr>
        <w:t>ACUERDO INTEGRAL</w:t>
      </w:r>
    </w:p>
    <w:p w14:paraId="5742185C"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El presente CONVENIO, así como cualquier documento que deba ser otorgado o entregado de acuerdo con lo que aquí se establece, contiene el acuerdo total entre las PARTES con respecto a las materias aquí incluidas y sobre éste.</w:t>
      </w:r>
    </w:p>
    <w:p w14:paraId="1DAD5665"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VIGÉSIMA.</w:t>
      </w:r>
      <w:r w:rsidRPr="000323A2">
        <w:rPr>
          <w:rFonts w:ascii="Arial" w:eastAsia="Calibri" w:hAnsi="Arial" w:cs="Arial"/>
          <w:b/>
          <w:sz w:val="24"/>
          <w:szCs w:val="24"/>
          <w:lang w:val="es-ES" w:eastAsia="es-ES"/>
        </w:rPr>
        <w:tab/>
        <w:t>DOMICILIOS.</w:t>
      </w:r>
    </w:p>
    <w:p w14:paraId="1DD8136C" w14:textId="77777777" w:rsidR="000323A2" w:rsidRPr="000323A2" w:rsidRDefault="000323A2" w:rsidP="000323A2">
      <w:pPr>
        <w:widowControl w:val="0"/>
        <w:adjustRightInd w:val="0"/>
        <w:spacing w:before="240" w:after="0" w:line="276" w:lineRule="auto"/>
        <w:ind w:left="720" w:hanging="720"/>
        <w:jc w:val="both"/>
        <w:textAlignment w:val="baseline"/>
        <w:rPr>
          <w:rFonts w:ascii="Arial" w:eastAsia="Calibri" w:hAnsi="Arial" w:cs="Arial"/>
          <w:sz w:val="24"/>
          <w:szCs w:val="24"/>
          <w:lang w:val="es-ES_tradnl" w:eastAsia="es-ES"/>
        </w:rPr>
      </w:pPr>
      <w:r w:rsidRPr="000323A2">
        <w:rPr>
          <w:rFonts w:ascii="Arial" w:eastAsia="Calibri" w:hAnsi="Arial" w:cs="Arial"/>
          <w:b/>
          <w:sz w:val="24"/>
          <w:szCs w:val="24"/>
          <w:lang w:val="es-ES_tradnl" w:eastAsia="es-ES"/>
        </w:rPr>
        <w:t>20.1</w:t>
      </w:r>
      <w:r w:rsidRPr="000323A2">
        <w:rPr>
          <w:rFonts w:ascii="Arial" w:eastAsia="Calibri" w:hAnsi="Arial" w:cs="Arial"/>
          <w:sz w:val="24"/>
          <w:szCs w:val="24"/>
          <w:lang w:val="es-ES_tradnl" w:eastAsia="es-ES"/>
        </w:rPr>
        <w:tab/>
        <w:t>Las PARTES convienen que cualesquier solicitudes o notificaciones deberán hacerse de forma escrita o a través de cualquier otro medio electrónico, de cómputo o telecomunicación aceptado por las PARTES del cual quede constancia de su realización con acuse de recibo. Para tal efecto las PARTES señalan como sus domicilios los siguientes:</w:t>
      </w:r>
    </w:p>
    <w:p w14:paraId="056DC897" w14:textId="77777777" w:rsidR="000323A2" w:rsidRPr="000323A2" w:rsidRDefault="000323A2" w:rsidP="000323A2">
      <w:pPr>
        <w:spacing w:before="120"/>
        <w:jc w:val="center"/>
        <w:rPr>
          <w:rFonts w:ascii="Arial" w:eastAsia="Calibri" w:hAnsi="Arial" w:cs="Arial"/>
          <w:sz w:val="24"/>
          <w:szCs w:val="24"/>
        </w:rPr>
      </w:pPr>
      <w:r w:rsidRPr="000323A2">
        <w:rPr>
          <w:rFonts w:ascii="Arial" w:eastAsia="Calibri" w:hAnsi="Arial" w:cs="Arial"/>
          <w:sz w:val="24"/>
          <w:szCs w:val="24"/>
        </w:rPr>
        <w:t>TELMEX</w:t>
      </w:r>
    </w:p>
    <w:p w14:paraId="5FB4FEBA" w14:textId="77777777" w:rsidR="000323A2" w:rsidRPr="000323A2" w:rsidRDefault="000323A2" w:rsidP="000323A2">
      <w:pPr>
        <w:widowControl w:val="0"/>
        <w:adjustRightInd w:val="0"/>
        <w:spacing w:before="120" w:after="0" w:line="276" w:lineRule="auto"/>
        <w:ind w:left="1080" w:right="1100"/>
        <w:jc w:val="center"/>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Parque Vía No. 190 Piso 9</w:t>
      </w:r>
    </w:p>
    <w:p w14:paraId="3D9D166A" w14:textId="77777777" w:rsidR="000323A2" w:rsidRPr="000323A2" w:rsidRDefault="000323A2" w:rsidP="000323A2">
      <w:pPr>
        <w:widowControl w:val="0"/>
        <w:adjustRightInd w:val="0"/>
        <w:spacing w:before="120" w:after="0" w:line="276" w:lineRule="auto"/>
        <w:ind w:left="1080" w:right="1100"/>
        <w:jc w:val="center"/>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Col. Cuauhtémoc, Ciudad de México, CP 06500</w:t>
      </w:r>
    </w:p>
    <w:p w14:paraId="4E71A91D" w14:textId="77777777" w:rsidR="000323A2" w:rsidRPr="000323A2" w:rsidRDefault="000323A2" w:rsidP="000323A2">
      <w:pPr>
        <w:widowControl w:val="0"/>
        <w:adjustRightInd w:val="0"/>
        <w:spacing w:before="120" w:after="0" w:line="276" w:lineRule="auto"/>
        <w:ind w:left="1080" w:right="1100"/>
        <w:jc w:val="center"/>
        <w:textAlignment w:val="baseline"/>
        <w:rPr>
          <w:rFonts w:ascii="Arial" w:eastAsia="Calibri" w:hAnsi="Arial" w:cs="Arial"/>
          <w:sz w:val="24"/>
          <w:szCs w:val="24"/>
          <w:lang w:eastAsia="es-ES"/>
        </w:rPr>
      </w:pPr>
      <w:r w:rsidRPr="000323A2">
        <w:rPr>
          <w:rFonts w:ascii="Arial" w:eastAsia="Calibri" w:hAnsi="Arial" w:cs="Arial"/>
          <w:sz w:val="24"/>
          <w:szCs w:val="24"/>
          <w:lang w:val="es-ES_tradnl" w:eastAsia="es-ES"/>
        </w:rPr>
        <w:t>CONCESIONARIO SOLICITANTE O AUTORIZADO SOLICITANTE</w:t>
      </w:r>
    </w:p>
    <w:p w14:paraId="797197BF" w14:textId="77777777" w:rsidR="000323A2" w:rsidRPr="000323A2" w:rsidRDefault="000323A2" w:rsidP="000323A2">
      <w:pPr>
        <w:widowControl w:val="0"/>
        <w:adjustRightInd w:val="0"/>
        <w:spacing w:before="240" w:after="0" w:line="276" w:lineRule="auto"/>
        <w:ind w:left="1080" w:right="1100"/>
        <w:jc w:val="center"/>
        <w:textAlignment w:val="baseline"/>
        <w:rPr>
          <w:rFonts w:ascii="Arial" w:eastAsia="Calibri" w:hAnsi="Arial" w:cs="Arial"/>
          <w:sz w:val="24"/>
          <w:szCs w:val="24"/>
          <w:lang w:val="es-ES" w:eastAsia="es-ES"/>
        </w:rPr>
      </w:pPr>
      <w:r w:rsidRPr="000323A2">
        <w:rPr>
          <w:rFonts w:ascii="Arial" w:eastAsia="Calibri" w:hAnsi="Arial" w:cs="Arial"/>
          <w:sz w:val="24"/>
          <w:szCs w:val="24"/>
          <w:lang w:val="es-ES" w:eastAsia="es-ES"/>
        </w:rPr>
        <w:t>Dirección de correo electrónico para envío de facturas:</w:t>
      </w:r>
    </w:p>
    <w:p w14:paraId="15D76EE7" w14:textId="77777777" w:rsidR="000323A2" w:rsidRPr="000323A2" w:rsidRDefault="000323A2" w:rsidP="000323A2">
      <w:pPr>
        <w:widowControl w:val="0"/>
        <w:adjustRightInd w:val="0"/>
        <w:spacing w:before="240" w:after="0" w:line="276" w:lineRule="auto"/>
        <w:ind w:left="720" w:hanging="720"/>
        <w:jc w:val="both"/>
        <w:textAlignment w:val="baseline"/>
        <w:rPr>
          <w:rFonts w:ascii="Arial" w:eastAsia="Calibri" w:hAnsi="Arial" w:cs="Arial"/>
          <w:sz w:val="24"/>
          <w:szCs w:val="24"/>
          <w:lang w:val="es-ES" w:eastAsia="es-ES"/>
        </w:rPr>
      </w:pPr>
      <w:r w:rsidRPr="000323A2">
        <w:rPr>
          <w:rFonts w:ascii="Arial" w:eastAsia="Calibri" w:hAnsi="Arial" w:cs="Arial"/>
          <w:b/>
          <w:sz w:val="24"/>
          <w:szCs w:val="24"/>
          <w:lang w:val="es-ES" w:eastAsia="es-ES"/>
        </w:rPr>
        <w:t>20.2</w:t>
      </w:r>
      <w:r w:rsidRPr="000323A2">
        <w:rPr>
          <w:rFonts w:ascii="Arial" w:eastAsia="Calibri" w:hAnsi="Arial" w:cs="Arial"/>
          <w:sz w:val="24"/>
          <w:szCs w:val="24"/>
          <w:lang w:val="es-ES" w:eastAsia="es-ES"/>
        </w:rPr>
        <w:t xml:space="preserve"> </w:t>
      </w:r>
      <w:r w:rsidRPr="000323A2">
        <w:rPr>
          <w:rFonts w:ascii="Arial" w:eastAsia="Calibri" w:hAnsi="Arial" w:cs="Arial"/>
          <w:sz w:val="24"/>
          <w:szCs w:val="24"/>
          <w:lang w:val="es-ES" w:eastAsia="es-ES"/>
        </w:rPr>
        <w:tab/>
        <w:t>En caso de que cualquiera de las PARTES cambiara de domicilio, deberá notificarlo a la otra parte con cuando menos 15 (quince) días hábiles de anticipación a la fecha en que ocurra tal evento, de lo contrario se entenderá que los avisos, notificaciones o comunicaciones que conforme a este CONVENIO deban darse, surtirán efectos legales en el último domicilio así informado a la otra parte.</w:t>
      </w:r>
    </w:p>
    <w:p w14:paraId="04C658C8"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pacing w:val="-3"/>
          <w:sz w:val="24"/>
          <w:szCs w:val="24"/>
          <w:lang w:val="es-ES_tradnl" w:eastAsia="es-ES"/>
        </w:rPr>
      </w:pPr>
      <w:r w:rsidRPr="000323A2">
        <w:rPr>
          <w:rFonts w:ascii="Arial" w:eastAsia="Calibri" w:hAnsi="Arial" w:cs="Arial"/>
          <w:b/>
          <w:sz w:val="24"/>
          <w:szCs w:val="24"/>
          <w:lang w:val="es-ES_tradnl" w:eastAsia="es-ES"/>
        </w:rPr>
        <w:t>VIGÉSIMA PRIMERA.</w:t>
      </w:r>
      <w:r w:rsidRPr="000323A2">
        <w:rPr>
          <w:rFonts w:ascii="Arial" w:eastAsia="Calibri" w:hAnsi="Arial" w:cs="Arial"/>
          <w:b/>
          <w:sz w:val="24"/>
          <w:szCs w:val="24"/>
          <w:lang w:val="es-ES_tradnl" w:eastAsia="es-ES"/>
        </w:rPr>
        <w:tab/>
        <w:t>JURISDICCIÓN APLICABLE</w:t>
      </w:r>
    </w:p>
    <w:p w14:paraId="4848A15C" w14:textId="77777777" w:rsidR="000323A2" w:rsidRPr="000323A2" w:rsidRDefault="000323A2" w:rsidP="000323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0" w:line="276" w:lineRule="auto"/>
        <w:jc w:val="both"/>
        <w:textAlignment w:val="baseline"/>
        <w:rPr>
          <w:rFonts w:ascii="Arial" w:eastAsia="Calibri" w:hAnsi="Arial" w:cs="Arial"/>
          <w:sz w:val="24"/>
          <w:szCs w:val="24"/>
          <w:lang w:val="es-ES_tradnl" w:eastAsia="es-ES"/>
        </w:rPr>
      </w:pPr>
      <w:r w:rsidRPr="000323A2">
        <w:rPr>
          <w:rFonts w:ascii="Arial" w:eastAsia="Calibri" w:hAnsi="Arial" w:cs="Arial"/>
          <w:sz w:val="24"/>
          <w:szCs w:val="24"/>
          <w:lang w:val="es-ES_tradnl" w:eastAsia="es-ES"/>
        </w:rPr>
        <w:t xml:space="preserve">Para la interpretación y cumplimiento del CONVENIO, las PARTES se someten expresamente a las leyes aplicables y a los tribunales federales competentes de la Ciudad de México, renunciando expresamente al fuero </w:t>
      </w:r>
      <w:r w:rsidRPr="000323A2">
        <w:rPr>
          <w:rFonts w:ascii="Arial" w:eastAsia="Calibri" w:hAnsi="Arial" w:cs="Arial"/>
          <w:spacing w:val="-3"/>
          <w:sz w:val="24"/>
          <w:szCs w:val="24"/>
          <w:lang w:val="es-ES_tradnl" w:eastAsia="es-ES"/>
        </w:rPr>
        <w:t>que</w:t>
      </w:r>
      <w:r w:rsidRPr="000323A2">
        <w:rPr>
          <w:rFonts w:ascii="Arial" w:eastAsia="Calibri" w:hAnsi="Arial" w:cs="Arial"/>
          <w:sz w:val="24"/>
          <w:szCs w:val="24"/>
          <w:lang w:val="es-ES_tradnl" w:eastAsia="es-ES"/>
        </w:rPr>
        <w:t xml:space="preserve"> pudiere corresponderles en razón de su domicilio presente o futuro o por cualquier otra causa.</w:t>
      </w:r>
    </w:p>
    <w:p w14:paraId="256322CF"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u w:val="single"/>
          <w:lang w:val="es-ES" w:eastAsia="es-ES"/>
        </w:rPr>
      </w:pPr>
      <w:r w:rsidRPr="000323A2">
        <w:rPr>
          <w:rFonts w:ascii="Arial" w:eastAsia="Calibri" w:hAnsi="Arial" w:cs="Arial"/>
          <w:b/>
          <w:sz w:val="24"/>
          <w:szCs w:val="24"/>
          <w:lang w:val="es-ES" w:eastAsia="es-ES"/>
        </w:rPr>
        <w:t xml:space="preserve">VIGÉSIMA SEGUNDA. </w:t>
      </w:r>
      <w:r w:rsidRPr="000323A2">
        <w:rPr>
          <w:rFonts w:ascii="Arial" w:eastAsia="Calibri" w:hAnsi="Arial" w:cs="Arial"/>
          <w:b/>
          <w:sz w:val="24"/>
          <w:szCs w:val="24"/>
          <w:lang w:val="es-ES" w:eastAsia="es-ES"/>
        </w:rPr>
        <w:tab/>
        <w:t>CONDICIÓN SUSPENSIVA</w:t>
      </w:r>
    </w:p>
    <w:p w14:paraId="673B379D"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spacing w:val="-3"/>
          <w:sz w:val="24"/>
          <w:szCs w:val="24"/>
          <w:lang w:eastAsia="es-ES"/>
        </w:rPr>
      </w:pPr>
      <w:r w:rsidRPr="000323A2">
        <w:rPr>
          <w:rFonts w:ascii="Arial" w:eastAsia="Calibri" w:hAnsi="Arial" w:cs="Arial"/>
          <w:spacing w:val="-3"/>
          <w:sz w:val="24"/>
          <w:szCs w:val="24"/>
          <w:lang w:eastAsia="es-ES"/>
        </w:rPr>
        <w:t xml:space="preserve">Las PARTES acuerdan expresamente que el presente CONVENIO y sus efectos se encuentran sujetos al cumplimiento de la condición suspensiva consistente en que el </w:t>
      </w:r>
      <w:r w:rsidRPr="000323A2">
        <w:rPr>
          <w:rFonts w:ascii="Arial" w:eastAsia="Calibri" w:hAnsi="Arial" w:cs="Arial"/>
          <w:spacing w:val="-3"/>
          <w:sz w:val="24"/>
          <w:szCs w:val="24"/>
          <w:lang w:eastAsia="es-ES"/>
        </w:rPr>
        <w:lastRenderedPageBreak/>
        <w:t>CONCESIONARIO SOLICITANTE O AUTORIZADO SOLICITANTE constituya a favor de TELMEX la garantía a la que se hace referencia en la Cláusula Novena del presente CONVENIO, en el entendido de que TELMEX no estará obligada a prestar al CONCESIONARIO SOLICITANTE O AUTORIZADO SOLICITANTE los SERVICIOS en tanto dicha garantía no esté plenamente constituida a satisfacción de TELMEX de acuerdo con lo establecido en la cláusula aplicable. En todo caso, la garantía deberá quedar constituida a más tardar dentro de los siguientes treinta días hábiles siguientes a la firma del presente CONVENIO.</w:t>
      </w:r>
    </w:p>
    <w:p w14:paraId="65D168C3" w14:textId="77777777" w:rsidR="000323A2" w:rsidRPr="000323A2" w:rsidRDefault="000323A2" w:rsidP="000323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0" w:line="276" w:lineRule="auto"/>
        <w:jc w:val="both"/>
        <w:textAlignment w:val="baseline"/>
        <w:rPr>
          <w:rFonts w:ascii="Arial" w:eastAsia="Calibri" w:hAnsi="Arial" w:cs="Arial"/>
          <w:b/>
          <w:sz w:val="24"/>
          <w:szCs w:val="24"/>
          <w:lang w:eastAsia="es-ES"/>
        </w:rPr>
      </w:pPr>
      <w:r w:rsidRPr="000323A2">
        <w:rPr>
          <w:rFonts w:ascii="Arial" w:eastAsia="Calibri" w:hAnsi="Arial" w:cs="Arial"/>
          <w:b/>
          <w:sz w:val="24"/>
          <w:szCs w:val="24"/>
          <w:lang w:eastAsia="es-ES"/>
        </w:rPr>
        <w:t>VIGÉSIMA TERCERA.</w:t>
      </w:r>
      <w:r w:rsidRPr="000323A2">
        <w:rPr>
          <w:rFonts w:ascii="Arial" w:eastAsia="Calibri" w:hAnsi="Arial" w:cs="Arial"/>
          <w:sz w:val="24"/>
          <w:szCs w:val="24"/>
          <w:lang w:eastAsia="es-ES"/>
        </w:rPr>
        <w:tab/>
      </w:r>
      <w:r w:rsidRPr="000323A2">
        <w:rPr>
          <w:rFonts w:ascii="Arial" w:eastAsia="Calibri" w:hAnsi="Arial" w:cs="Arial"/>
          <w:b/>
          <w:sz w:val="24"/>
          <w:szCs w:val="24"/>
          <w:lang w:eastAsia="es-ES"/>
        </w:rPr>
        <w:t>TRATO NO DISCRIMINATORIO</w:t>
      </w:r>
    </w:p>
    <w:p w14:paraId="2DACDBCE" w14:textId="77777777" w:rsidR="000323A2" w:rsidRPr="000323A2" w:rsidRDefault="000323A2" w:rsidP="000323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TELMEX y el CONCESIONARIO SOLICITANTE O AUTORIZADO SOLICITANTE convienen en que deberán actuar sobre bases de Trato No Discriminatorio respecto de los servicios mayoristas de arrendamiento de Enlaces Dedicados Locales, entre Localidades o de Larga Distancia Internacional que provean a otros concesionarios.</w:t>
      </w:r>
    </w:p>
    <w:p w14:paraId="5B7934F1" w14:textId="77777777" w:rsidR="000323A2" w:rsidRPr="000323A2" w:rsidRDefault="000323A2" w:rsidP="000323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En caso de que TELMEX haya otorgado u otorgue, ya sea por acuerdo o por resolución del Instituto, términos y condiciones distintos a otros concesionarios solicitantes, a sus propias operaciones, subsidiarias, filiales o empresas que pertenezcan al mismo grupo de interés económico respecto de servicios mayoristas de arrendamiento de Enlaces Dedicados Locales, entre Localidades o de Larga Distancia Internacional, deberá hacer extensivos los mismos términos y condiciones al CONCESIONARIO SOLICITANTE O AUTORIZADO SOLICITANTE a partir de la fecha en que se lo soliciten. A petición del CONCESIONARIO SOLICITANTE O AUTORIZADO SOLICITANTE, podrán celebrar el convenio o la modificación correspondiente, en un plazo no mayor a 15 (quince) días hábiles contados a partir de la fecha de solicitud.</w:t>
      </w:r>
    </w:p>
    <w:p w14:paraId="53F0E9DA" w14:textId="77777777" w:rsidR="000323A2" w:rsidRPr="000323A2" w:rsidRDefault="000323A2" w:rsidP="000323A2">
      <w:pPr>
        <w:widowControl w:val="0"/>
        <w:adjustRightInd w:val="0"/>
        <w:spacing w:before="240" w:after="0" w:line="276" w:lineRule="auto"/>
        <w:jc w:val="both"/>
        <w:textAlignment w:val="baseline"/>
        <w:rPr>
          <w:rFonts w:ascii="Arial" w:eastAsia="Calibri" w:hAnsi="Arial" w:cs="Arial"/>
          <w:b/>
          <w:sz w:val="24"/>
          <w:szCs w:val="24"/>
          <w:lang w:val="es-ES" w:eastAsia="es-ES"/>
        </w:rPr>
      </w:pPr>
      <w:r w:rsidRPr="000323A2">
        <w:rPr>
          <w:rFonts w:ascii="Arial" w:eastAsia="Calibri" w:hAnsi="Arial" w:cs="Arial"/>
          <w:b/>
          <w:sz w:val="24"/>
          <w:szCs w:val="24"/>
          <w:lang w:val="es-ES" w:eastAsia="es-ES"/>
        </w:rPr>
        <w:t>VIGÉSIMA CUARTA. SUSPENSIÓN DE MEDIDAS DE PREPONDERANCIA.</w:t>
      </w:r>
    </w:p>
    <w:p w14:paraId="5C48240A" w14:textId="77777777" w:rsidR="000323A2" w:rsidRPr="000323A2" w:rsidRDefault="000323A2" w:rsidP="000323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 xml:space="preserve">En el momento en el que el Instituto notifique a TELMEX que ha dejado de ser Agente Económico Preponderante en telecomunicaciones y por ende le han dejado de aplicar las Medidas de Preponderancia a que se refieren las Resoluciones P/IFT/EXT/060314/76 de fecha 6 de marzo de 2014 y P/IFT/EXT/270217/119 de fecha 27 de febrero de 2017, por haber obtenido TELMEX resolución favorable en los Juicios promovidos en contra de las Resoluciones citadas, en la que se declare la nulidad o ilegalidad de éstas o por que el Instituto así lo determine, las PARTES se obligan a negociar de buena fe durante un periodo de 120 (ciento veinte) días naturales, los nuevos términos y condiciones aplicables a los SERVICIOS objeto del presente CONVENIO que reflejen la nueva situación jurídica aplicable a dichos </w:t>
      </w:r>
      <w:r w:rsidRPr="000323A2">
        <w:rPr>
          <w:rFonts w:ascii="Arial" w:eastAsia="Calibri" w:hAnsi="Arial" w:cs="Arial"/>
          <w:sz w:val="24"/>
          <w:szCs w:val="24"/>
          <w:lang w:eastAsia="es-ES"/>
        </w:rPr>
        <w:lastRenderedPageBreak/>
        <w:t>SERVICIOS, plazo durante el cual permanecerán vigentes las últimas tarifas, términos y condiciones suscritos entre las PARTES Las Partes podrán acordar prorrogar el periodo de negociación cuantas veces lo consideren necesario.</w:t>
      </w:r>
    </w:p>
    <w:p w14:paraId="569B7749" w14:textId="77777777" w:rsidR="000323A2" w:rsidRPr="000323A2" w:rsidRDefault="000323A2" w:rsidP="000323A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adjustRightInd w:val="0"/>
        <w:spacing w:before="240" w:after="0" w:line="276" w:lineRule="auto"/>
        <w:jc w:val="both"/>
        <w:textAlignment w:val="baseline"/>
        <w:rPr>
          <w:rFonts w:ascii="Arial" w:eastAsia="Calibri" w:hAnsi="Arial" w:cs="Arial"/>
          <w:sz w:val="24"/>
          <w:szCs w:val="24"/>
          <w:lang w:eastAsia="es-ES"/>
        </w:rPr>
      </w:pPr>
      <w:r w:rsidRPr="000323A2">
        <w:rPr>
          <w:rFonts w:ascii="Arial" w:eastAsia="Calibri" w:hAnsi="Arial" w:cs="Arial"/>
          <w:sz w:val="24"/>
          <w:szCs w:val="24"/>
          <w:lang w:eastAsia="es-ES"/>
        </w:rPr>
        <w:t>Leído que fue el presente CONVENIO y enteradas las PARTES de su contenido y alcance, los representantes debidamente facultados de TELMEX y el CONCESIONARIO SOLICITANTE O AUTORIZADO SOLICITANTE lo firman por triplicado en la Ciudad de México, el día XX de XXXXXXXXXX de 201</w:t>
      </w:r>
      <w:proofErr w:type="gramStart"/>
      <w:r w:rsidRPr="000323A2">
        <w:rPr>
          <w:rFonts w:ascii="Arial" w:eastAsia="Calibri" w:hAnsi="Arial" w:cs="Arial"/>
          <w:sz w:val="24"/>
          <w:szCs w:val="24"/>
          <w:lang w:eastAsia="es-ES"/>
        </w:rPr>
        <w:t>[ ]</w:t>
      </w:r>
      <w:proofErr w:type="gramEnd"/>
      <w:r w:rsidRPr="000323A2">
        <w:rPr>
          <w:rFonts w:ascii="Arial" w:eastAsia="Calibri" w:hAnsi="Arial" w:cs="Arial"/>
          <w:sz w:val="24"/>
          <w:szCs w:val="24"/>
          <w:lang w:eastAsia="es-ES"/>
        </w:rPr>
        <w:t>.</w:t>
      </w:r>
    </w:p>
    <w:tbl>
      <w:tblPr>
        <w:tblStyle w:val="Cuadrculadetablaclar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Tabla de firmas"/>
      </w:tblPr>
      <w:tblGrid>
        <w:gridCol w:w="4932"/>
        <w:gridCol w:w="4266"/>
      </w:tblGrid>
      <w:tr w:rsidR="000323A2" w:rsidRPr="000323A2" w14:paraId="0B84F188" w14:textId="77777777" w:rsidTr="000323A2">
        <w:trPr>
          <w:tblHeader/>
          <w:jc w:val="center"/>
        </w:trPr>
        <w:tc>
          <w:tcPr>
            <w:tcW w:w="4932" w:type="dxa"/>
          </w:tcPr>
          <w:p w14:paraId="253C1BB0" w14:textId="77777777" w:rsidR="000323A2" w:rsidRPr="000323A2" w:rsidRDefault="000323A2" w:rsidP="000323A2">
            <w:pPr>
              <w:widowControl w:val="0"/>
              <w:adjustRightInd w:val="0"/>
              <w:spacing w:before="240" w:line="276" w:lineRule="auto"/>
              <w:jc w:val="center"/>
              <w:textAlignment w:val="baseline"/>
              <w:rPr>
                <w:rFonts w:ascii="Arial" w:hAnsi="Arial" w:cs="Arial"/>
                <w:sz w:val="24"/>
                <w:szCs w:val="24"/>
                <w:lang w:val="es-ES_tradnl" w:eastAsia="es-ES"/>
              </w:rPr>
            </w:pPr>
            <w:r w:rsidRPr="000323A2">
              <w:rPr>
                <w:rFonts w:ascii="Arial" w:hAnsi="Arial" w:cs="Arial"/>
                <w:b/>
                <w:sz w:val="24"/>
                <w:szCs w:val="24"/>
                <w:lang w:val="es-ES_tradnl" w:eastAsia="es-ES"/>
              </w:rPr>
              <w:t>TELÉFONOS DE MÉXICO, S.A.B. DE C.V.</w:t>
            </w:r>
          </w:p>
        </w:tc>
        <w:tc>
          <w:tcPr>
            <w:tcW w:w="4266" w:type="dxa"/>
          </w:tcPr>
          <w:p w14:paraId="0DFF058F" w14:textId="77777777" w:rsidR="000323A2" w:rsidRPr="000323A2" w:rsidRDefault="000323A2" w:rsidP="000323A2">
            <w:pPr>
              <w:widowControl w:val="0"/>
              <w:adjustRightInd w:val="0"/>
              <w:spacing w:before="240" w:line="276" w:lineRule="auto"/>
              <w:jc w:val="center"/>
              <w:textAlignment w:val="baseline"/>
              <w:rPr>
                <w:rFonts w:ascii="Arial" w:hAnsi="Arial" w:cs="Arial"/>
                <w:sz w:val="24"/>
                <w:szCs w:val="24"/>
                <w:lang w:val="es-ES_tradnl" w:eastAsia="es-ES"/>
              </w:rPr>
            </w:pPr>
            <w:r w:rsidRPr="000323A2">
              <w:rPr>
                <w:rFonts w:ascii="Arial" w:hAnsi="Arial" w:cs="Arial"/>
                <w:b/>
                <w:sz w:val="24"/>
                <w:szCs w:val="24"/>
                <w:lang w:val="es-ES_tradnl" w:eastAsia="es-ES"/>
              </w:rPr>
              <w:t>CONCESIONARIO SOLICITANTE O AUTORIZADO SOLICITANTE</w:t>
            </w:r>
          </w:p>
        </w:tc>
      </w:tr>
      <w:tr w:rsidR="000323A2" w:rsidRPr="000323A2" w14:paraId="316E5D4C" w14:textId="77777777" w:rsidTr="000323A2">
        <w:trPr>
          <w:trHeight w:val="680"/>
          <w:tblHeader/>
          <w:jc w:val="center"/>
        </w:trPr>
        <w:tc>
          <w:tcPr>
            <w:tcW w:w="4932" w:type="dxa"/>
          </w:tcPr>
          <w:p w14:paraId="063292D3" w14:textId="77777777" w:rsidR="000323A2" w:rsidRPr="000323A2" w:rsidRDefault="000323A2" w:rsidP="000323A2">
            <w:pPr>
              <w:widowControl w:val="0"/>
              <w:adjustRightInd w:val="0"/>
              <w:spacing w:before="240" w:line="276" w:lineRule="auto"/>
              <w:jc w:val="center"/>
              <w:textAlignment w:val="baseline"/>
              <w:rPr>
                <w:rFonts w:ascii="Arial" w:hAnsi="Arial" w:cs="Arial"/>
                <w:sz w:val="24"/>
                <w:szCs w:val="24"/>
                <w:lang w:val="es-ES_tradnl" w:eastAsia="es-ES"/>
              </w:rPr>
            </w:pPr>
            <w:r w:rsidRPr="000323A2">
              <w:rPr>
                <w:rFonts w:ascii="Arial" w:hAnsi="Arial" w:cs="Arial"/>
                <w:b/>
                <w:color w:val="00B0F0"/>
                <w:sz w:val="24"/>
                <w:szCs w:val="24"/>
                <w:lang w:val="es-ES" w:eastAsia="es-ES"/>
              </w:rPr>
              <w:t>(…)</w:t>
            </w:r>
          </w:p>
        </w:tc>
        <w:tc>
          <w:tcPr>
            <w:tcW w:w="4266" w:type="dxa"/>
          </w:tcPr>
          <w:p w14:paraId="5D3766C4" w14:textId="77777777" w:rsidR="000323A2" w:rsidRPr="000323A2" w:rsidRDefault="000323A2" w:rsidP="000323A2">
            <w:pPr>
              <w:widowControl w:val="0"/>
              <w:adjustRightInd w:val="0"/>
              <w:spacing w:before="240" w:line="276" w:lineRule="auto"/>
              <w:jc w:val="center"/>
              <w:textAlignment w:val="baseline"/>
              <w:rPr>
                <w:rFonts w:ascii="Arial" w:hAnsi="Arial" w:cs="Arial"/>
                <w:sz w:val="24"/>
                <w:szCs w:val="24"/>
                <w:lang w:val="es-ES_tradnl" w:eastAsia="es-ES"/>
              </w:rPr>
            </w:pPr>
            <w:r w:rsidRPr="000323A2">
              <w:rPr>
                <w:rFonts w:ascii="Arial" w:hAnsi="Arial" w:cs="Arial"/>
                <w:b/>
                <w:color w:val="00B0F0"/>
                <w:sz w:val="24"/>
                <w:szCs w:val="24"/>
                <w:lang w:val="es-ES" w:eastAsia="es-ES"/>
              </w:rPr>
              <w:t>(…)</w:t>
            </w:r>
          </w:p>
        </w:tc>
      </w:tr>
      <w:tr w:rsidR="000323A2" w:rsidRPr="000323A2" w14:paraId="5A6F432F" w14:textId="77777777" w:rsidTr="000323A2">
        <w:trPr>
          <w:tblHeader/>
          <w:jc w:val="center"/>
        </w:trPr>
        <w:tc>
          <w:tcPr>
            <w:tcW w:w="4932" w:type="dxa"/>
          </w:tcPr>
          <w:p w14:paraId="71FDFC41" w14:textId="77777777" w:rsidR="000323A2" w:rsidRPr="000323A2" w:rsidRDefault="000323A2" w:rsidP="000323A2">
            <w:pPr>
              <w:widowControl w:val="0"/>
              <w:adjustRightInd w:val="0"/>
              <w:spacing w:before="240" w:line="276" w:lineRule="auto"/>
              <w:jc w:val="center"/>
              <w:textAlignment w:val="baseline"/>
              <w:rPr>
                <w:rFonts w:ascii="Arial" w:hAnsi="Arial" w:cs="Arial"/>
                <w:b/>
                <w:sz w:val="24"/>
                <w:szCs w:val="24"/>
                <w:lang w:val="es-ES_tradnl" w:eastAsia="es-ES"/>
              </w:rPr>
            </w:pPr>
            <w:r w:rsidRPr="000323A2">
              <w:rPr>
                <w:rFonts w:ascii="Arial" w:hAnsi="Arial" w:cs="Arial"/>
                <w:b/>
                <w:sz w:val="24"/>
                <w:szCs w:val="24"/>
                <w:lang w:val="es-ES" w:eastAsia="es-ES"/>
              </w:rPr>
              <w:t>ALEJANDRO COCA SÁNCHEZ</w:t>
            </w:r>
          </w:p>
        </w:tc>
        <w:tc>
          <w:tcPr>
            <w:tcW w:w="4266" w:type="dxa"/>
          </w:tcPr>
          <w:p w14:paraId="37C34D0A" w14:textId="77777777" w:rsidR="000323A2" w:rsidRPr="000323A2" w:rsidRDefault="000323A2" w:rsidP="000323A2">
            <w:pPr>
              <w:widowControl w:val="0"/>
              <w:adjustRightInd w:val="0"/>
              <w:spacing w:before="240" w:line="276" w:lineRule="auto"/>
              <w:jc w:val="center"/>
              <w:textAlignment w:val="baseline"/>
              <w:rPr>
                <w:rFonts w:ascii="Arial" w:hAnsi="Arial" w:cs="Arial"/>
                <w:b/>
                <w:sz w:val="24"/>
                <w:szCs w:val="24"/>
                <w:lang w:val="es-ES" w:eastAsia="es-ES"/>
              </w:rPr>
            </w:pPr>
            <w:r w:rsidRPr="000323A2">
              <w:rPr>
                <w:rFonts w:ascii="Arial" w:hAnsi="Arial" w:cs="Arial"/>
                <w:b/>
                <w:color w:val="00B0F0"/>
                <w:sz w:val="24"/>
                <w:szCs w:val="24"/>
                <w:lang w:val="es-ES" w:eastAsia="es-ES"/>
              </w:rPr>
              <w:t>(…)</w:t>
            </w:r>
          </w:p>
        </w:tc>
      </w:tr>
    </w:tbl>
    <w:p w14:paraId="79715802" w14:textId="77777777" w:rsidR="000323A2" w:rsidRPr="000323A2" w:rsidRDefault="000323A2" w:rsidP="000323A2">
      <w:pPr>
        <w:spacing w:before="240" w:after="0" w:line="240" w:lineRule="auto"/>
        <w:rPr>
          <w:rFonts w:ascii="Calibri" w:eastAsia="Calibri" w:hAnsi="Calibri" w:cs="Times New Roman"/>
          <w:lang w:eastAsia="es-ES"/>
        </w:rPr>
      </w:pPr>
      <w:r w:rsidRPr="000323A2">
        <w:rPr>
          <w:rFonts w:ascii="Calibri" w:eastAsia="Calibri" w:hAnsi="Calibri" w:cs="Times New Roman"/>
          <w:lang w:eastAsia="es-ES"/>
        </w:rPr>
        <w:br w:type="page"/>
      </w:r>
    </w:p>
    <w:p w14:paraId="0C4A4130" w14:textId="77777777" w:rsidR="000323A2" w:rsidRPr="000323A2" w:rsidRDefault="000323A2" w:rsidP="000323A2">
      <w:pPr>
        <w:keepNext/>
        <w:widowControl w:val="0"/>
        <w:pBdr>
          <w:top w:val="single" w:sz="24" w:space="1" w:color="auto"/>
          <w:left w:val="single" w:sz="24" w:space="31" w:color="auto"/>
          <w:bottom w:val="single" w:sz="24" w:space="0" w:color="auto"/>
          <w:right w:val="single" w:sz="24" w:space="27" w:color="auto"/>
        </w:pBdr>
        <w:adjustRightInd w:val="0"/>
        <w:spacing w:before="240" w:after="0" w:line="360" w:lineRule="atLeast"/>
        <w:ind w:left="567" w:right="567"/>
        <w:jc w:val="center"/>
        <w:textAlignment w:val="baseline"/>
        <w:outlineLvl w:val="0"/>
        <w:rPr>
          <w:rFonts w:ascii="Arial" w:eastAsia="Calibri" w:hAnsi="Arial" w:cs="Arial"/>
          <w:sz w:val="56"/>
          <w:szCs w:val="20"/>
          <w:u w:val="single"/>
          <w:lang w:eastAsia="es-ES"/>
        </w:rPr>
      </w:pPr>
      <w:r w:rsidRPr="000323A2">
        <w:rPr>
          <w:rFonts w:ascii="Arial" w:eastAsia="Calibri" w:hAnsi="Arial" w:cs="Arial"/>
          <w:sz w:val="56"/>
          <w:szCs w:val="20"/>
          <w:u w:val="single"/>
          <w:lang w:eastAsia="es-ES"/>
        </w:rPr>
        <w:lastRenderedPageBreak/>
        <w:t>ANEXO “A”</w:t>
      </w:r>
    </w:p>
    <w:p w14:paraId="17B376AD" w14:textId="77777777" w:rsidR="000323A2" w:rsidRPr="000323A2" w:rsidRDefault="000323A2" w:rsidP="000323A2">
      <w:pPr>
        <w:keepNext/>
        <w:widowControl w:val="0"/>
        <w:pBdr>
          <w:top w:val="single" w:sz="24" w:space="1" w:color="auto"/>
          <w:left w:val="single" w:sz="24" w:space="31" w:color="auto"/>
          <w:bottom w:val="single" w:sz="24" w:space="0" w:color="auto"/>
          <w:right w:val="single" w:sz="24" w:space="27" w:color="auto"/>
        </w:pBdr>
        <w:adjustRightInd w:val="0"/>
        <w:spacing w:before="240" w:after="0" w:line="240" w:lineRule="exact"/>
        <w:ind w:left="567" w:right="567"/>
        <w:jc w:val="center"/>
        <w:textAlignment w:val="baseline"/>
        <w:outlineLvl w:val="1"/>
        <w:rPr>
          <w:rFonts w:ascii="Arial" w:eastAsia="Calibri" w:hAnsi="Arial" w:cs="Arial"/>
          <w:sz w:val="56"/>
          <w:szCs w:val="20"/>
          <w:u w:val="single"/>
          <w:lang w:eastAsia="es-ES"/>
        </w:rPr>
      </w:pPr>
      <w:r w:rsidRPr="000323A2">
        <w:rPr>
          <w:rFonts w:ascii="Arial" w:eastAsia="Calibri" w:hAnsi="Arial" w:cs="Arial"/>
          <w:sz w:val="56"/>
          <w:szCs w:val="20"/>
          <w:u w:val="single"/>
          <w:lang w:eastAsia="es-ES"/>
        </w:rPr>
        <w:t>TARIFAS</w:t>
      </w:r>
    </w:p>
    <w:p w14:paraId="5ADC9314" w14:textId="77777777" w:rsidR="000323A2" w:rsidRPr="000323A2" w:rsidRDefault="000323A2" w:rsidP="000323A2">
      <w:pPr>
        <w:spacing w:before="240" w:line="240" w:lineRule="auto"/>
        <w:jc w:val="both"/>
        <w:rPr>
          <w:rFonts w:ascii="Arial" w:eastAsia="Calibri" w:hAnsi="Arial" w:cs="Arial"/>
          <w:b/>
        </w:rPr>
      </w:pPr>
      <w:r w:rsidRPr="000323A2">
        <w:rPr>
          <w:rFonts w:ascii="Arial" w:eastAsia="Calibri" w:hAnsi="Arial" w:cs="Arial"/>
          <w:b/>
          <w:bCs/>
        </w:rPr>
        <w:t xml:space="preserve">ANEXO DE PRECIOS QUE SE ADJUNTA AL CONVENIO </w:t>
      </w:r>
      <w:r w:rsidRPr="000323A2">
        <w:rPr>
          <w:rFonts w:ascii="Arial" w:eastAsia="Calibri" w:hAnsi="Arial" w:cs="Arial"/>
          <w:b/>
        </w:rPr>
        <w:t xml:space="preserve">PARA LA PRESTACIÓN DEL SERVICIO MAYORISTA DE ARRENDAMIENTO DE ENLACES DEDICADOS LOCALES, ENTRE LOCALIDADES Y DE LARGA DISTANCIA INTERNACIONAL </w:t>
      </w:r>
      <w:r w:rsidRPr="000323A2">
        <w:rPr>
          <w:rFonts w:ascii="Arial" w:eastAsia="Calibri" w:hAnsi="Arial" w:cs="Arial"/>
          <w:b/>
          <w:bCs/>
        </w:rPr>
        <w:t xml:space="preserve">DE FECHA </w:t>
      </w:r>
      <w:proofErr w:type="gramStart"/>
      <w:r w:rsidRPr="000323A2">
        <w:rPr>
          <w:rFonts w:ascii="Arial" w:eastAsia="Calibri" w:hAnsi="Arial" w:cs="Arial"/>
          <w:b/>
          <w:bCs/>
        </w:rPr>
        <w:t>XX  DE</w:t>
      </w:r>
      <w:proofErr w:type="gramEnd"/>
      <w:r w:rsidRPr="000323A2">
        <w:rPr>
          <w:rFonts w:ascii="Arial" w:eastAsia="Calibri" w:hAnsi="Arial" w:cs="Arial"/>
          <w:b/>
          <w:bCs/>
        </w:rPr>
        <w:t xml:space="preserve"> XXXX DE 2018, QUE CELEBRAN, POR UNA PARTE, TELÉFONOS DE MÉXICO, S.A.B. DE C.V. (EN LO SUCESIVO "</w:t>
      </w:r>
      <w:r w:rsidRPr="000323A2">
        <w:rPr>
          <w:rFonts w:ascii="Arial" w:eastAsia="Calibri" w:hAnsi="Arial" w:cs="Arial"/>
          <w:b/>
          <w:bCs/>
          <w:u w:val="single"/>
        </w:rPr>
        <w:t>TELMEX</w:t>
      </w:r>
      <w:r w:rsidRPr="000323A2">
        <w:rPr>
          <w:rFonts w:ascii="Arial" w:eastAsia="Calibri" w:hAnsi="Arial" w:cs="Arial"/>
          <w:b/>
          <w:bCs/>
        </w:rPr>
        <w:t>"), REPRESENTADA EN ESTE ACTO POR XXXXXX, POR LA OTRA XXXXXX.</w:t>
      </w:r>
      <w:r w:rsidRPr="000323A2">
        <w:rPr>
          <w:rFonts w:ascii="Arial" w:eastAsia="Calibri" w:hAnsi="Arial" w:cs="Arial"/>
          <w:b/>
        </w:rPr>
        <w:t xml:space="preserve"> (EN LO SUCESIVO EL “CONCESIONARIO SOLICITANTE O AUTORIZADO SOLICITANTE”), REPRESENTADA EN ESTE ACTO POR XXXXX.</w:t>
      </w:r>
    </w:p>
    <w:p w14:paraId="5B034400" w14:textId="77777777" w:rsidR="000323A2" w:rsidRPr="000323A2" w:rsidRDefault="000323A2" w:rsidP="00B04B36">
      <w:pPr>
        <w:numPr>
          <w:ilvl w:val="0"/>
          <w:numId w:val="75"/>
        </w:numPr>
        <w:spacing w:before="240" w:after="0" w:line="240" w:lineRule="auto"/>
        <w:jc w:val="both"/>
        <w:rPr>
          <w:rFonts w:ascii="Arial" w:eastAsia="Calibri" w:hAnsi="Arial" w:cs="Times New Roman"/>
          <w:b/>
        </w:rPr>
      </w:pPr>
      <w:r w:rsidRPr="000323A2">
        <w:rPr>
          <w:rFonts w:ascii="Arial" w:eastAsia="Calibri" w:hAnsi="Arial" w:cs="Times New Roman"/>
          <w:b/>
        </w:rPr>
        <w:t>Contraprestaciones que el CONCESIONARIO SOLICITANTE O AUTORIZADO SOLICITANTE, deberá pagar a TELMEX por concepto de Gastos de Instalación.</w:t>
      </w:r>
    </w:p>
    <w:p w14:paraId="275496C2" w14:textId="77777777" w:rsidR="000323A2" w:rsidRPr="000323A2" w:rsidRDefault="000323A2" w:rsidP="000323A2">
      <w:pPr>
        <w:spacing w:before="240" w:line="240" w:lineRule="auto"/>
        <w:ind w:firstLine="720"/>
        <w:jc w:val="both"/>
        <w:rPr>
          <w:rFonts w:ascii="Arial" w:eastAsia="Calibri" w:hAnsi="Arial" w:cs="Times New Roman"/>
          <w:b/>
        </w:rPr>
      </w:pPr>
      <w:r w:rsidRPr="000323A2">
        <w:rPr>
          <w:rFonts w:ascii="Arial" w:eastAsia="Calibri" w:hAnsi="Arial" w:cs="Times New Roman"/>
          <w:b/>
        </w:rPr>
        <w:t>1.1 Gastos de Instalación Enlace Dedicado Local</w:t>
      </w:r>
    </w:p>
    <w:p w14:paraId="73285362" w14:textId="77777777" w:rsidR="000323A2" w:rsidRPr="000323A2" w:rsidRDefault="000323A2" w:rsidP="00B04B36">
      <w:pPr>
        <w:numPr>
          <w:ilvl w:val="0"/>
          <w:numId w:val="74"/>
        </w:numPr>
        <w:tabs>
          <w:tab w:val="num" w:pos="1418"/>
        </w:tabs>
        <w:spacing w:before="240" w:after="0" w:line="240" w:lineRule="auto"/>
        <w:ind w:left="1418" w:hanging="284"/>
        <w:jc w:val="both"/>
        <w:rPr>
          <w:rFonts w:ascii="Arial" w:eastAsia="Calibri" w:hAnsi="Arial" w:cs="Times New Roman"/>
        </w:rPr>
      </w:pPr>
      <w:r w:rsidRPr="000323A2">
        <w:rPr>
          <w:rFonts w:ascii="Arial" w:eastAsia="Calibri" w:hAnsi="Arial" w:cs="Times New Roman"/>
        </w:rPr>
        <w:t xml:space="preserve">Enlace Punto a Punto. El cargo por Gastos de Instalación comprende dos tramos locales, uno en cada punta. </w:t>
      </w:r>
    </w:p>
    <w:p w14:paraId="6D13DEAB" w14:textId="77777777" w:rsidR="000323A2" w:rsidRPr="000323A2" w:rsidRDefault="000323A2" w:rsidP="00B04B36">
      <w:pPr>
        <w:numPr>
          <w:ilvl w:val="0"/>
          <w:numId w:val="74"/>
        </w:numPr>
        <w:spacing w:before="240" w:after="0" w:line="240" w:lineRule="auto"/>
        <w:ind w:left="1418" w:hanging="284"/>
        <w:jc w:val="both"/>
        <w:rPr>
          <w:rFonts w:ascii="Arial" w:eastAsia="Calibri" w:hAnsi="Arial" w:cs="Times New Roman"/>
        </w:rPr>
      </w:pPr>
      <w:r w:rsidRPr="000323A2">
        <w:rPr>
          <w:rFonts w:ascii="Arial" w:eastAsia="Calibri" w:hAnsi="Arial" w:cs="Times New Roman"/>
        </w:rPr>
        <w:t>Enlace Punto a Punto Multipunto. El cargo por Gastos de Instalación comprende un tamo local en una punta, más el tramo local del Punto Multipunto en la otra punta.</w:t>
      </w:r>
    </w:p>
    <w:p w14:paraId="2E5240EE" w14:textId="77777777" w:rsidR="000323A2" w:rsidRPr="000323A2" w:rsidRDefault="000323A2" w:rsidP="00B04B36">
      <w:pPr>
        <w:numPr>
          <w:ilvl w:val="0"/>
          <w:numId w:val="74"/>
        </w:numPr>
        <w:spacing w:before="240" w:after="0" w:line="240" w:lineRule="auto"/>
        <w:ind w:left="1418" w:hanging="284"/>
        <w:jc w:val="both"/>
        <w:rPr>
          <w:rFonts w:ascii="Arial" w:eastAsia="Calibri" w:hAnsi="Arial" w:cs="Times New Roman"/>
        </w:rPr>
      </w:pPr>
      <w:r w:rsidRPr="000323A2">
        <w:rPr>
          <w:rFonts w:ascii="Arial" w:eastAsia="Calibri" w:hAnsi="Arial" w:cs="Times New Roman"/>
        </w:rPr>
        <w:t>Enlace Punto Multipunto. El cargo por Gastos de Instalación comprende el tramo local del PMP o HUB.</w:t>
      </w:r>
    </w:p>
    <w:p w14:paraId="2491B936" w14:textId="77777777" w:rsidR="000323A2" w:rsidRPr="000323A2" w:rsidRDefault="000323A2" w:rsidP="00B04B36">
      <w:pPr>
        <w:numPr>
          <w:ilvl w:val="1"/>
          <w:numId w:val="78"/>
        </w:numPr>
        <w:spacing w:before="240" w:after="0" w:line="240" w:lineRule="auto"/>
        <w:jc w:val="both"/>
        <w:rPr>
          <w:rFonts w:ascii="Arial" w:eastAsia="Calibri" w:hAnsi="Arial" w:cs="Times New Roman"/>
          <w:b/>
        </w:rPr>
      </w:pPr>
      <w:r w:rsidRPr="000323A2">
        <w:rPr>
          <w:rFonts w:ascii="Arial" w:eastAsia="Calibri" w:hAnsi="Arial" w:cs="Times New Roman"/>
          <w:b/>
        </w:rPr>
        <w:t xml:space="preserve"> Gastos de Instalación Enlace Dedicado Entre Localidades</w:t>
      </w:r>
    </w:p>
    <w:p w14:paraId="057B22CA" w14:textId="77777777" w:rsidR="000323A2" w:rsidRPr="000323A2" w:rsidRDefault="000323A2" w:rsidP="00B04B36">
      <w:pPr>
        <w:numPr>
          <w:ilvl w:val="0"/>
          <w:numId w:val="77"/>
        </w:numPr>
        <w:spacing w:before="240" w:after="0" w:line="240" w:lineRule="auto"/>
        <w:jc w:val="both"/>
        <w:rPr>
          <w:rFonts w:ascii="Arial" w:eastAsia="Calibri" w:hAnsi="Arial" w:cs="Times New Roman"/>
        </w:rPr>
      </w:pPr>
      <w:r w:rsidRPr="000323A2">
        <w:rPr>
          <w:rFonts w:ascii="Arial" w:eastAsia="Calibri" w:hAnsi="Arial" w:cs="Times New Roman"/>
        </w:rPr>
        <w:t>Enlace Punto a Punto. El cargo por Gastos de Instalación comprende dos tramos locales, uno en cada punta, más el tramo entre localidades.</w:t>
      </w:r>
    </w:p>
    <w:p w14:paraId="5FF24E83" w14:textId="77777777" w:rsidR="000323A2" w:rsidRPr="000323A2" w:rsidRDefault="000323A2" w:rsidP="00B04B36">
      <w:pPr>
        <w:numPr>
          <w:ilvl w:val="0"/>
          <w:numId w:val="77"/>
        </w:numPr>
        <w:spacing w:before="240" w:after="0" w:line="240" w:lineRule="auto"/>
        <w:jc w:val="both"/>
        <w:rPr>
          <w:rFonts w:ascii="Arial" w:eastAsia="Calibri" w:hAnsi="Arial" w:cs="Times New Roman"/>
        </w:rPr>
      </w:pPr>
      <w:r w:rsidRPr="000323A2">
        <w:rPr>
          <w:rFonts w:ascii="Arial" w:eastAsia="Calibri" w:hAnsi="Arial" w:cs="Times New Roman"/>
        </w:rPr>
        <w:t>Enlace Punto a Punto Multipunto. El cargo por Gastos de Instalación comprende un tramo local en una punta, más el tramo entre localidades, más el tramo local del Punto Multipunto en la otra punta.</w:t>
      </w:r>
    </w:p>
    <w:p w14:paraId="6DBADB18" w14:textId="77777777" w:rsidR="000323A2" w:rsidRPr="000323A2" w:rsidRDefault="000323A2" w:rsidP="000323A2">
      <w:pPr>
        <w:spacing w:before="240" w:line="240" w:lineRule="auto"/>
        <w:ind w:left="1276" w:hanging="556"/>
        <w:jc w:val="both"/>
        <w:rPr>
          <w:rFonts w:ascii="Arial" w:eastAsia="Calibri" w:hAnsi="Arial" w:cs="Times New Roman"/>
          <w:b/>
        </w:rPr>
      </w:pPr>
      <w:r w:rsidRPr="000323A2">
        <w:rPr>
          <w:rFonts w:ascii="Arial" w:eastAsia="Calibri" w:hAnsi="Arial" w:cs="Times New Roman"/>
          <w:b/>
        </w:rPr>
        <w:t>1.3 Gastos de Instalación Enlace Dedicado de Larga Distancia Internacional</w:t>
      </w:r>
    </w:p>
    <w:p w14:paraId="347409F3" w14:textId="77777777" w:rsidR="000323A2" w:rsidRPr="000323A2" w:rsidRDefault="000323A2" w:rsidP="00B04B36">
      <w:pPr>
        <w:numPr>
          <w:ilvl w:val="0"/>
          <w:numId w:val="76"/>
        </w:numPr>
        <w:spacing w:before="240" w:after="0" w:line="240" w:lineRule="auto"/>
        <w:jc w:val="both"/>
        <w:rPr>
          <w:rFonts w:ascii="Arial" w:eastAsia="Calibri" w:hAnsi="Arial" w:cs="Times New Roman"/>
        </w:rPr>
      </w:pPr>
      <w:r w:rsidRPr="000323A2">
        <w:rPr>
          <w:rFonts w:ascii="Arial" w:eastAsia="Calibri" w:hAnsi="Arial" w:cs="Times New Roman"/>
        </w:rPr>
        <w:t>Enlace Punto a Punto. El cargo por Gastos de Instalación comprende un tramo local, más el tramo de larga distancia más la parte internacional.</w:t>
      </w:r>
    </w:p>
    <w:p w14:paraId="62AE8E36" w14:textId="77777777" w:rsidR="000323A2" w:rsidRPr="000323A2" w:rsidRDefault="000323A2" w:rsidP="00B04B36">
      <w:pPr>
        <w:numPr>
          <w:ilvl w:val="0"/>
          <w:numId w:val="76"/>
        </w:numPr>
        <w:spacing w:before="240" w:after="0" w:line="240" w:lineRule="auto"/>
        <w:jc w:val="both"/>
        <w:rPr>
          <w:rFonts w:ascii="Arial" w:eastAsia="Calibri" w:hAnsi="Arial" w:cs="Times New Roman"/>
        </w:rPr>
      </w:pPr>
      <w:r w:rsidRPr="000323A2">
        <w:rPr>
          <w:rFonts w:ascii="Arial" w:eastAsia="Calibri" w:hAnsi="Arial" w:cs="Times New Roman"/>
        </w:rPr>
        <w:t>Enlace Punto a Punto Multipunto. El cargo por Gastos de Instalación comprende el tramo local del Punto Multipunto, más el tramo de larga distancia, más la parte internacional.</w:t>
      </w:r>
    </w:p>
    <w:p w14:paraId="5D928CC6" w14:textId="77777777" w:rsidR="000323A2" w:rsidRPr="000323A2" w:rsidRDefault="000323A2" w:rsidP="000323A2">
      <w:pPr>
        <w:spacing w:before="240" w:line="240" w:lineRule="auto"/>
        <w:ind w:left="1134" w:hanging="414"/>
        <w:jc w:val="both"/>
        <w:rPr>
          <w:rFonts w:ascii="Arial" w:eastAsia="Calibri" w:hAnsi="Arial" w:cs="Times New Roman"/>
        </w:rPr>
      </w:pPr>
      <w:r w:rsidRPr="000323A2">
        <w:rPr>
          <w:rFonts w:ascii="Arial" w:eastAsia="Calibri" w:hAnsi="Arial" w:cs="Times New Roman"/>
          <w:b/>
        </w:rPr>
        <w:lastRenderedPageBreak/>
        <w:t>1.4</w:t>
      </w:r>
      <w:r w:rsidRPr="000323A2">
        <w:rPr>
          <w:rFonts w:ascii="Arial" w:eastAsia="Calibri" w:hAnsi="Arial" w:cs="Times New Roman"/>
          <w:b/>
        </w:rPr>
        <w:tab/>
      </w:r>
      <w:r w:rsidRPr="000323A2">
        <w:rPr>
          <w:rFonts w:ascii="Arial" w:eastAsia="Calibri" w:hAnsi="Arial" w:cs="Times New Roman"/>
        </w:rPr>
        <w:t>Las contraprestaciones que el CONCESIONARIO SOLICITANTE deberá pagar a TELMEX por concepto de Gastos de Instalación se describen en las tablas 1, 2 y 3 siguientes:</w:t>
      </w:r>
    </w:p>
    <w:p w14:paraId="5A2F7BFE" w14:textId="77777777" w:rsidR="000323A2" w:rsidRPr="000323A2" w:rsidRDefault="000323A2" w:rsidP="000323A2">
      <w:pPr>
        <w:spacing w:before="240" w:after="0" w:line="240" w:lineRule="auto"/>
        <w:jc w:val="center"/>
        <w:rPr>
          <w:rFonts w:ascii="Calibri" w:eastAsia="Calibri" w:hAnsi="Calibri" w:cs="Calibri"/>
          <w:b/>
          <w:bCs/>
          <w:color w:val="000000"/>
          <w:szCs w:val="20"/>
        </w:rPr>
      </w:pPr>
      <w:r w:rsidRPr="000323A2">
        <w:rPr>
          <w:rFonts w:ascii="Calibri" w:eastAsia="Calibri" w:hAnsi="Calibri" w:cs="Calibri"/>
          <w:b/>
          <w:bCs/>
          <w:color w:val="000000"/>
          <w:szCs w:val="20"/>
        </w:rPr>
        <w:t>Tabla 1. Tarifas de Gastos de Instalación para Tramos Locales</w:t>
      </w:r>
    </w:p>
    <w:tbl>
      <w:tblPr>
        <w:tblStyle w:val="Cuadrculadetablaclara1"/>
        <w:tblW w:w="8626" w:type="dxa"/>
        <w:jc w:val="center"/>
        <w:tblLook w:val="00A0" w:firstRow="1" w:lastRow="0" w:firstColumn="1" w:lastColumn="0" w:noHBand="0" w:noVBand="0"/>
        <w:tblCaption w:val="Tabla"/>
        <w:tblDescription w:val="Tabla 1. Tarifas de Gastos de Instalación para Tramos Locales"/>
      </w:tblPr>
      <w:tblGrid>
        <w:gridCol w:w="2258"/>
        <w:gridCol w:w="1855"/>
        <w:gridCol w:w="2642"/>
        <w:gridCol w:w="1871"/>
      </w:tblGrid>
      <w:tr w:rsidR="000323A2" w:rsidRPr="000323A2" w14:paraId="1BBB9DB7" w14:textId="77777777" w:rsidTr="000323A2">
        <w:trPr>
          <w:trHeight w:val="780"/>
          <w:tblHeader/>
          <w:jc w:val="center"/>
        </w:trPr>
        <w:tc>
          <w:tcPr>
            <w:tcW w:w="2258" w:type="dxa"/>
            <w:shd w:val="clear" w:color="auto" w:fill="D9D9D9"/>
          </w:tcPr>
          <w:p w14:paraId="6AB4A6F9"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Velocidad</w:t>
            </w:r>
          </w:p>
        </w:tc>
        <w:tc>
          <w:tcPr>
            <w:tcW w:w="1855" w:type="dxa"/>
            <w:shd w:val="clear" w:color="auto" w:fill="D9D9D9"/>
          </w:tcPr>
          <w:p w14:paraId="2F768748"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Gasto de Instalación por Tramo Local</w:t>
            </w:r>
          </w:p>
        </w:tc>
        <w:tc>
          <w:tcPr>
            <w:tcW w:w="2642" w:type="dxa"/>
            <w:shd w:val="clear" w:color="auto" w:fill="D9D9D9"/>
          </w:tcPr>
          <w:p w14:paraId="7130B36A"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Velocidad</w:t>
            </w:r>
          </w:p>
        </w:tc>
        <w:tc>
          <w:tcPr>
            <w:tcW w:w="1871" w:type="dxa"/>
            <w:shd w:val="clear" w:color="auto" w:fill="D9D9D9"/>
          </w:tcPr>
          <w:p w14:paraId="745FD6AD"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Gasto de Instalación por Tramo Local</w:t>
            </w:r>
          </w:p>
        </w:tc>
      </w:tr>
      <w:tr w:rsidR="000323A2" w:rsidRPr="000323A2" w14:paraId="1B132E11" w14:textId="77777777" w:rsidTr="000323A2">
        <w:trPr>
          <w:trHeight w:val="285"/>
          <w:jc w:val="center"/>
        </w:trPr>
        <w:tc>
          <w:tcPr>
            <w:tcW w:w="2258" w:type="dxa"/>
            <w:noWrap/>
          </w:tcPr>
          <w:p w14:paraId="079E3A7E" w14:textId="77777777" w:rsidR="000323A2" w:rsidRPr="000323A2" w:rsidRDefault="000323A2" w:rsidP="000323A2">
            <w:pPr>
              <w:spacing w:before="240"/>
              <w:jc w:val="center"/>
              <w:rPr>
                <w:rFonts w:cs="Calibri"/>
                <w:color w:val="000000"/>
              </w:rPr>
            </w:pPr>
            <w:r w:rsidRPr="000323A2">
              <w:t>64 Kbps</w:t>
            </w:r>
          </w:p>
        </w:tc>
        <w:tc>
          <w:tcPr>
            <w:tcW w:w="1855" w:type="dxa"/>
            <w:noWrap/>
          </w:tcPr>
          <w:p w14:paraId="5C36B269" w14:textId="77777777" w:rsidR="000323A2" w:rsidRPr="000323A2" w:rsidRDefault="000323A2" w:rsidP="000323A2">
            <w:pPr>
              <w:spacing w:before="240"/>
            </w:pPr>
            <w:r w:rsidRPr="000323A2">
              <w:t xml:space="preserve"> $1,546 </w:t>
            </w:r>
          </w:p>
        </w:tc>
        <w:tc>
          <w:tcPr>
            <w:tcW w:w="2642" w:type="dxa"/>
            <w:noWrap/>
          </w:tcPr>
          <w:p w14:paraId="396760A7" w14:textId="77777777" w:rsidR="000323A2" w:rsidRPr="000323A2" w:rsidRDefault="000323A2" w:rsidP="000323A2">
            <w:pPr>
              <w:spacing w:before="240"/>
              <w:jc w:val="center"/>
              <w:rPr>
                <w:rFonts w:cs="Calibri"/>
                <w:color w:val="000000"/>
              </w:rPr>
            </w:pPr>
            <w:r w:rsidRPr="000323A2">
              <w:t>Ethernet 2 Mbps</w:t>
            </w:r>
          </w:p>
        </w:tc>
        <w:tc>
          <w:tcPr>
            <w:tcW w:w="1871" w:type="dxa"/>
            <w:noWrap/>
          </w:tcPr>
          <w:p w14:paraId="4DF3BFD5" w14:textId="77777777" w:rsidR="000323A2" w:rsidRPr="000323A2" w:rsidRDefault="000323A2" w:rsidP="000323A2">
            <w:pPr>
              <w:spacing w:before="240"/>
            </w:pPr>
            <w:r w:rsidRPr="000323A2">
              <w:t xml:space="preserve"> $20,414 </w:t>
            </w:r>
          </w:p>
        </w:tc>
      </w:tr>
      <w:tr w:rsidR="000323A2" w:rsidRPr="000323A2" w14:paraId="1CDF734B" w14:textId="77777777" w:rsidTr="000323A2">
        <w:trPr>
          <w:trHeight w:val="285"/>
          <w:jc w:val="center"/>
        </w:trPr>
        <w:tc>
          <w:tcPr>
            <w:tcW w:w="2258" w:type="dxa"/>
            <w:noWrap/>
          </w:tcPr>
          <w:p w14:paraId="49DAF3EE" w14:textId="77777777" w:rsidR="000323A2" w:rsidRPr="000323A2" w:rsidRDefault="000323A2" w:rsidP="000323A2">
            <w:pPr>
              <w:spacing w:before="240"/>
              <w:jc w:val="center"/>
              <w:rPr>
                <w:rFonts w:cs="Calibri"/>
                <w:color w:val="000000"/>
              </w:rPr>
            </w:pPr>
            <w:r w:rsidRPr="000323A2">
              <w:t>128 Kbps</w:t>
            </w:r>
          </w:p>
        </w:tc>
        <w:tc>
          <w:tcPr>
            <w:tcW w:w="1855" w:type="dxa"/>
            <w:noWrap/>
          </w:tcPr>
          <w:p w14:paraId="6FCCBC50" w14:textId="77777777" w:rsidR="000323A2" w:rsidRPr="000323A2" w:rsidRDefault="000323A2" w:rsidP="000323A2">
            <w:pPr>
              <w:spacing w:before="240"/>
            </w:pPr>
            <w:r w:rsidRPr="000323A2">
              <w:t xml:space="preserve"> $2,320 </w:t>
            </w:r>
          </w:p>
        </w:tc>
        <w:tc>
          <w:tcPr>
            <w:tcW w:w="2642" w:type="dxa"/>
            <w:noWrap/>
          </w:tcPr>
          <w:p w14:paraId="1C613483" w14:textId="77777777" w:rsidR="000323A2" w:rsidRPr="000323A2" w:rsidRDefault="000323A2" w:rsidP="000323A2">
            <w:pPr>
              <w:spacing w:before="240"/>
              <w:jc w:val="center"/>
              <w:rPr>
                <w:rFonts w:cs="Calibri"/>
                <w:color w:val="000000"/>
              </w:rPr>
            </w:pPr>
            <w:r w:rsidRPr="000323A2">
              <w:t>Ethernet 4 Mbps</w:t>
            </w:r>
          </w:p>
        </w:tc>
        <w:tc>
          <w:tcPr>
            <w:tcW w:w="1871" w:type="dxa"/>
            <w:noWrap/>
          </w:tcPr>
          <w:p w14:paraId="58284B59" w14:textId="77777777" w:rsidR="000323A2" w:rsidRPr="000323A2" w:rsidRDefault="000323A2" w:rsidP="000323A2">
            <w:pPr>
              <w:spacing w:before="240"/>
            </w:pPr>
            <w:r w:rsidRPr="000323A2">
              <w:t xml:space="preserve"> $20,414 </w:t>
            </w:r>
          </w:p>
        </w:tc>
      </w:tr>
      <w:tr w:rsidR="000323A2" w:rsidRPr="000323A2" w14:paraId="77BD7076" w14:textId="77777777" w:rsidTr="000323A2">
        <w:trPr>
          <w:trHeight w:val="285"/>
          <w:jc w:val="center"/>
        </w:trPr>
        <w:tc>
          <w:tcPr>
            <w:tcW w:w="2258" w:type="dxa"/>
            <w:noWrap/>
          </w:tcPr>
          <w:p w14:paraId="4356D58B" w14:textId="77777777" w:rsidR="000323A2" w:rsidRPr="000323A2" w:rsidRDefault="000323A2" w:rsidP="000323A2">
            <w:pPr>
              <w:spacing w:before="240"/>
              <w:jc w:val="center"/>
              <w:rPr>
                <w:rFonts w:cs="Calibri"/>
                <w:color w:val="000000"/>
              </w:rPr>
            </w:pPr>
            <w:r w:rsidRPr="000323A2">
              <w:t>192 Kbps</w:t>
            </w:r>
          </w:p>
        </w:tc>
        <w:tc>
          <w:tcPr>
            <w:tcW w:w="1855" w:type="dxa"/>
            <w:noWrap/>
          </w:tcPr>
          <w:p w14:paraId="754B1267" w14:textId="77777777" w:rsidR="000323A2" w:rsidRPr="000323A2" w:rsidRDefault="000323A2" w:rsidP="000323A2">
            <w:pPr>
              <w:spacing w:before="240"/>
            </w:pPr>
            <w:r w:rsidRPr="000323A2">
              <w:t xml:space="preserve"> $3,093 </w:t>
            </w:r>
          </w:p>
        </w:tc>
        <w:tc>
          <w:tcPr>
            <w:tcW w:w="2642" w:type="dxa"/>
            <w:noWrap/>
          </w:tcPr>
          <w:p w14:paraId="5C0E029C" w14:textId="77777777" w:rsidR="000323A2" w:rsidRPr="000323A2" w:rsidRDefault="000323A2" w:rsidP="000323A2">
            <w:pPr>
              <w:spacing w:before="240"/>
              <w:jc w:val="center"/>
              <w:rPr>
                <w:rFonts w:cs="Calibri"/>
                <w:color w:val="000000"/>
              </w:rPr>
            </w:pPr>
            <w:r w:rsidRPr="000323A2">
              <w:t>Ethernet 6 Mbps</w:t>
            </w:r>
          </w:p>
        </w:tc>
        <w:tc>
          <w:tcPr>
            <w:tcW w:w="1871" w:type="dxa"/>
            <w:noWrap/>
          </w:tcPr>
          <w:p w14:paraId="20870AFE" w14:textId="77777777" w:rsidR="000323A2" w:rsidRPr="000323A2" w:rsidRDefault="000323A2" w:rsidP="000323A2">
            <w:pPr>
              <w:spacing w:before="240"/>
            </w:pPr>
            <w:r w:rsidRPr="000323A2">
              <w:t xml:space="preserve"> $20,414 </w:t>
            </w:r>
          </w:p>
        </w:tc>
      </w:tr>
      <w:tr w:rsidR="000323A2" w:rsidRPr="000323A2" w14:paraId="2B57D794" w14:textId="77777777" w:rsidTr="000323A2">
        <w:trPr>
          <w:trHeight w:val="285"/>
          <w:jc w:val="center"/>
        </w:trPr>
        <w:tc>
          <w:tcPr>
            <w:tcW w:w="2258" w:type="dxa"/>
            <w:noWrap/>
          </w:tcPr>
          <w:p w14:paraId="399055EE" w14:textId="77777777" w:rsidR="000323A2" w:rsidRPr="000323A2" w:rsidRDefault="000323A2" w:rsidP="000323A2">
            <w:pPr>
              <w:spacing w:before="240"/>
              <w:jc w:val="center"/>
              <w:rPr>
                <w:rFonts w:cs="Calibri"/>
                <w:color w:val="000000"/>
              </w:rPr>
            </w:pPr>
            <w:r w:rsidRPr="000323A2">
              <w:t>256 Kbps</w:t>
            </w:r>
          </w:p>
        </w:tc>
        <w:tc>
          <w:tcPr>
            <w:tcW w:w="1855" w:type="dxa"/>
            <w:noWrap/>
          </w:tcPr>
          <w:p w14:paraId="713D5710" w14:textId="77777777" w:rsidR="000323A2" w:rsidRPr="000323A2" w:rsidRDefault="000323A2" w:rsidP="000323A2">
            <w:pPr>
              <w:spacing w:before="240"/>
            </w:pPr>
            <w:r w:rsidRPr="000323A2">
              <w:t xml:space="preserve"> $3,866 </w:t>
            </w:r>
          </w:p>
        </w:tc>
        <w:tc>
          <w:tcPr>
            <w:tcW w:w="2642" w:type="dxa"/>
            <w:noWrap/>
          </w:tcPr>
          <w:p w14:paraId="5941E537" w14:textId="77777777" w:rsidR="000323A2" w:rsidRPr="000323A2" w:rsidRDefault="000323A2" w:rsidP="000323A2">
            <w:pPr>
              <w:spacing w:before="240"/>
              <w:jc w:val="center"/>
              <w:rPr>
                <w:rFonts w:cs="Calibri"/>
                <w:color w:val="000000"/>
              </w:rPr>
            </w:pPr>
            <w:r w:rsidRPr="000323A2">
              <w:t>Ethernet 8 Mbps</w:t>
            </w:r>
          </w:p>
        </w:tc>
        <w:tc>
          <w:tcPr>
            <w:tcW w:w="1871" w:type="dxa"/>
            <w:noWrap/>
          </w:tcPr>
          <w:p w14:paraId="5003581B" w14:textId="77777777" w:rsidR="000323A2" w:rsidRPr="000323A2" w:rsidRDefault="000323A2" w:rsidP="000323A2">
            <w:pPr>
              <w:spacing w:before="240"/>
            </w:pPr>
            <w:r w:rsidRPr="000323A2">
              <w:t xml:space="preserve"> $20,414 </w:t>
            </w:r>
          </w:p>
        </w:tc>
      </w:tr>
      <w:tr w:rsidR="000323A2" w:rsidRPr="000323A2" w14:paraId="68F5C422" w14:textId="77777777" w:rsidTr="000323A2">
        <w:trPr>
          <w:trHeight w:val="285"/>
          <w:jc w:val="center"/>
        </w:trPr>
        <w:tc>
          <w:tcPr>
            <w:tcW w:w="2258" w:type="dxa"/>
            <w:noWrap/>
          </w:tcPr>
          <w:p w14:paraId="63F62573" w14:textId="77777777" w:rsidR="000323A2" w:rsidRPr="000323A2" w:rsidRDefault="000323A2" w:rsidP="000323A2">
            <w:pPr>
              <w:spacing w:before="240"/>
              <w:jc w:val="center"/>
              <w:rPr>
                <w:rFonts w:cs="Calibri"/>
                <w:color w:val="000000"/>
              </w:rPr>
            </w:pPr>
            <w:r w:rsidRPr="000323A2">
              <w:t>384 Kbps</w:t>
            </w:r>
          </w:p>
        </w:tc>
        <w:tc>
          <w:tcPr>
            <w:tcW w:w="1855" w:type="dxa"/>
            <w:noWrap/>
          </w:tcPr>
          <w:p w14:paraId="7507A110" w14:textId="77777777" w:rsidR="000323A2" w:rsidRPr="000323A2" w:rsidRDefault="000323A2" w:rsidP="000323A2">
            <w:pPr>
              <w:spacing w:before="240"/>
            </w:pPr>
            <w:r w:rsidRPr="000323A2">
              <w:t xml:space="preserve"> $4,639 </w:t>
            </w:r>
          </w:p>
        </w:tc>
        <w:tc>
          <w:tcPr>
            <w:tcW w:w="2642" w:type="dxa"/>
            <w:noWrap/>
          </w:tcPr>
          <w:p w14:paraId="40BADF6B" w14:textId="77777777" w:rsidR="000323A2" w:rsidRPr="000323A2" w:rsidRDefault="000323A2" w:rsidP="000323A2">
            <w:pPr>
              <w:spacing w:before="240"/>
              <w:jc w:val="center"/>
              <w:rPr>
                <w:rFonts w:cs="Calibri"/>
                <w:color w:val="000000"/>
              </w:rPr>
            </w:pPr>
            <w:r w:rsidRPr="000323A2">
              <w:t>Ethernet 10 Mbps</w:t>
            </w:r>
          </w:p>
        </w:tc>
        <w:tc>
          <w:tcPr>
            <w:tcW w:w="1871" w:type="dxa"/>
            <w:noWrap/>
          </w:tcPr>
          <w:p w14:paraId="5C19E868" w14:textId="77777777" w:rsidR="000323A2" w:rsidRPr="000323A2" w:rsidRDefault="000323A2" w:rsidP="000323A2">
            <w:pPr>
              <w:spacing w:before="240"/>
            </w:pPr>
            <w:r w:rsidRPr="000323A2">
              <w:t xml:space="preserve"> $20,414 </w:t>
            </w:r>
          </w:p>
        </w:tc>
      </w:tr>
      <w:tr w:rsidR="000323A2" w:rsidRPr="000323A2" w14:paraId="63775C94" w14:textId="77777777" w:rsidTr="000323A2">
        <w:trPr>
          <w:trHeight w:val="285"/>
          <w:jc w:val="center"/>
        </w:trPr>
        <w:tc>
          <w:tcPr>
            <w:tcW w:w="2258" w:type="dxa"/>
            <w:noWrap/>
          </w:tcPr>
          <w:p w14:paraId="37722AD6" w14:textId="77777777" w:rsidR="000323A2" w:rsidRPr="000323A2" w:rsidRDefault="000323A2" w:rsidP="000323A2">
            <w:pPr>
              <w:spacing w:before="240"/>
              <w:jc w:val="center"/>
              <w:rPr>
                <w:rFonts w:cs="Calibri"/>
                <w:color w:val="000000"/>
              </w:rPr>
            </w:pPr>
            <w:r w:rsidRPr="000323A2">
              <w:t>512 Kbps</w:t>
            </w:r>
          </w:p>
        </w:tc>
        <w:tc>
          <w:tcPr>
            <w:tcW w:w="1855" w:type="dxa"/>
            <w:noWrap/>
          </w:tcPr>
          <w:p w14:paraId="31E22F75" w14:textId="77777777" w:rsidR="000323A2" w:rsidRPr="000323A2" w:rsidRDefault="000323A2" w:rsidP="000323A2">
            <w:pPr>
              <w:spacing w:before="240"/>
            </w:pPr>
            <w:r w:rsidRPr="000323A2">
              <w:t xml:space="preserve"> $5,412 </w:t>
            </w:r>
          </w:p>
        </w:tc>
        <w:tc>
          <w:tcPr>
            <w:tcW w:w="2642" w:type="dxa"/>
            <w:noWrap/>
          </w:tcPr>
          <w:p w14:paraId="4D435B91" w14:textId="77777777" w:rsidR="000323A2" w:rsidRPr="000323A2" w:rsidRDefault="000323A2" w:rsidP="000323A2">
            <w:pPr>
              <w:spacing w:before="240"/>
              <w:jc w:val="center"/>
              <w:rPr>
                <w:rFonts w:cs="Calibri"/>
                <w:color w:val="000000"/>
              </w:rPr>
            </w:pPr>
            <w:r w:rsidRPr="000323A2">
              <w:t>Ethernet 20 Mbps</w:t>
            </w:r>
          </w:p>
        </w:tc>
        <w:tc>
          <w:tcPr>
            <w:tcW w:w="1871" w:type="dxa"/>
            <w:noWrap/>
          </w:tcPr>
          <w:p w14:paraId="2C1CAF21" w14:textId="77777777" w:rsidR="000323A2" w:rsidRPr="000323A2" w:rsidRDefault="000323A2" w:rsidP="000323A2">
            <w:pPr>
              <w:spacing w:before="240"/>
            </w:pPr>
            <w:r w:rsidRPr="000323A2">
              <w:t xml:space="preserve"> $20,414 </w:t>
            </w:r>
          </w:p>
        </w:tc>
      </w:tr>
      <w:tr w:rsidR="000323A2" w:rsidRPr="000323A2" w14:paraId="56E501F7" w14:textId="77777777" w:rsidTr="000323A2">
        <w:trPr>
          <w:trHeight w:val="285"/>
          <w:jc w:val="center"/>
        </w:trPr>
        <w:tc>
          <w:tcPr>
            <w:tcW w:w="2258" w:type="dxa"/>
            <w:noWrap/>
          </w:tcPr>
          <w:p w14:paraId="75278090" w14:textId="77777777" w:rsidR="000323A2" w:rsidRPr="000323A2" w:rsidRDefault="000323A2" w:rsidP="000323A2">
            <w:pPr>
              <w:spacing w:before="240"/>
              <w:jc w:val="center"/>
              <w:rPr>
                <w:rFonts w:cs="Calibri"/>
                <w:color w:val="000000"/>
              </w:rPr>
            </w:pPr>
            <w:r w:rsidRPr="000323A2">
              <w:t>768 Kbps</w:t>
            </w:r>
          </w:p>
        </w:tc>
        <w:tc>
          <w:tcPr>
            <w:tcW w:w="1855" w:type="dxa"/>
            <w:noWrap/>
          </w:tcPr>
          <w:p w14:paraId="077C1C9C" w14:textId="77777777" w:rsidR="000323A2" w:rsidRPr="000323A2" w:rsidRDefault="000323A2" w:rsidP="000323A2">
            <w:pPr>
              <w:spacing w:before="240"/>
            </w:pPr>
            <w:r w:rsidRPr="000323A2">
              <w:t xml:space="preserve"> $6,186 </w:t>
            </w:r>
          </w:p>
        </w:tc>
        <w:tc>
          <w:tcPr>
            <w:tcW w:w="2642" w:type="dxa"/>
            <w:noWrap/>
          </w:tcPr>
          <w:p w14:paraId="3F624FBC" w14:textId="77777777" w:rsidR="000323A2" w:rsidRPr="000323A2" w:rsidRDefault="000323A2" w:rsidP="000323A2">
            <w:pPr>
              <w:spacing w:before="240"/>
              <w:jc w:val="center"/>
              <w:rPr>
                <w:rFonts w:cs="Calibri"/>
                <w:color w:val="000000"/>
              </w:rPr>
            </w:pPr>
            <w:r w:rsidRPr="000323A2">
              <w:t>Ethernet 30 Mbps</w:t>
            </w:r>
          </w:p>
        </w:tc>
        <w:tc>
          <w:tcPr>
            <w:tcW w:w="1871" w:type="dxa"/>
            <w:noWrap/>
          </w:tcPr>
          <w:p w14:paraId="3999A894" w14:textId="77777777" w:rsidR="000323A2" w:rsidRPr="000323A2" w:rsidRDefault="000323A2" w:rsidP="000323A2">
            <w:pPr>
              <w:spacing w:before="240"/>
            </w:pPr>
            <w:r w:rsidRPr="000323A2">
              <w:t xml:space="preserve"> $20,414 </w:t>
            </w:r>
          </w:p>
        </w:tc>
      </w:tr>
      <w:tr w:rsidR="000323A2" w:rsidRPr="000323A2" w14:paraId="048D6A46" w14:textId="77777777" w:rsidTr="000323A2">
        <w:trPr>
          <w:trHeight w:val="285"/>
          <w:jc w:val="center"/>
        </w:trPr>
        <w:tc>
          <w:tcPr>
            <w:tcW w:w="2258" w:type="dxa"/>
            <w:noWrap/>
          </w:tcPr>
          <w:p w14:paraId="2A895685" w14:textId="77777777" w:rsidR="000323A2" w:rsidRPr="000323A2" w:rsidRDefault="000323A2" w:rsidP="000323A2">
            <w:pPr>
              <w:spacing w:before="240"/>
              <w:jc w:val="center"/>
              <w:rPr>
                <w:rFonts w:cs="Calibri"/>
                <w:color w:val="000000"/>
              </w:rPr>
            </w:pPr>
            <w:r w:rsidRPr="000323A2">
              <w:t>1024 Kbps</w:t>
            </w:r>
          </w:p>
        </w:tc>
        <w:tc>
          <w:tcPr>
            <w:tcW w:w="1855" w:type="dxa"/>
            <w:noWrap/>
          </w:tcPr>
          <w:p w14:paraId="71C8F478" w14:textId="77777777" w:rsidR="000323A2" w:rsidRPr="000323A2" w:rsidRDefault="000323A2" w:rsidP="000323A2">
            <w:pPr>
              <w:spacing w:before="240"/>
            </w:pPr>
            <w:r w:rsidRPr="000323A2">
              <w:t xml:space="preserve"> $6,959 </w:t>
            </w:r>
          </w:p>
        </w:tc>
        <w:tc>
          <w:tcPr>
            <w:tcW w:w="2642" w:type="dxa"/>
            <w:noWrap/>
          </w:tcPr>
          <w:p w14:paraId="45579CB9" w14:textId="77777777" w:rsidR="000323A2" w:rsidRPr="000323A2" w:rsidRDefault="000323A2" w:rsidP="000323A2">
            <w:pPr>
              <w:spacing w:before="240"/>
              <w:jc w:val="center"/>
              <w:rPr>
                <w:rFonts w:cs="Calibri"/>
                <w:color w:val="000000"/>
              </w:rPr>
            </w:pPr>
            <w:r w:rsidRPr="000323A2">
              <w:t>Ethernet 40 Mbps</w:t>
            </w:r>
          </w:p>
        </w:tc>
        <w:tc>
          <w:tcPr>
            <w:tcW w:w="1871" w:type="dxa"/>
            <w:noWrap/>
          </w:tcPr>
          <w:p w14:paraId="4D244C3C" w14:textId="77777777" w:rsidR="000323A2" w:rsidRPr="000323A2" w:rsidRDefault="000323A2" w:rsidP="000323A2">
            <w:pPr>
              <w:spacing w:before="240"/>
            </w:pPr>
            <w:r w:rsidRPr="000323A2">
              <w:t xml:space="preserve"> $20,414 </w:t>
            </w:r>
          </w:p>
        </w:tc>
      </w:tr>
      <w:tr w:rsidR="000323A2" w:rsidRPr="000323A2" w14:paraId="1719EB7A" w14:textId="77777777" w:rsidTr="000323A2">
        <w:trPr>
          <w:trHeight w:val="285"/>
          <w:jc w:val="center"/>
        </w:trPr>
        <w:tc>
          <w:tcPr>
            <w:tcW w:w="2258" w:type="dxa"/>
            <w:noWrap/>
          </w:tcPr>
          <w:p w14:paraId="4032B60D" w14:textId="77777777" w:rsidR="000323A2" w:rsidRPr="000323A2" w:rsidRDefault="000323A2" w:rsidP="000323A2">
            <w:pPr>
              <w:spacing w:before="240"/>
              <w:jc w:val="center"/>
              <w:rPr>
                <w:rFonts w:cs="Calibri"/>
                <w:color w:val="000000"/>
              </w:rPr>
            </w:pPr>
            <w:r w:rsidRPr="000323A2">
              <w:t>E1 (2 Mbps)</w:t>
            </w:r>
          </w:p>
        </w:tc>
        <w:tc>
          <w:tcPr>
            <w:tcW w:w="1855" w:type="dxa"/>
            <w:noWrap/>
          </w:tcPr>
          <w:p w14:paraId="747EFA85" w14:textId="77777777" w:rsidR="000323A2" w:rsidRPr="000323A2" w:rsidRDefault="000323A2" w:rsidP="000323A2">
            <w:pPr>
              <w:spacing w:before="240"/>
            </w:pPr>
            <w:r w:rsidRPr="000323A2">
              <w:t xml:space="preserve"> $10,899 </w:t>
            </w:r>
          </w:p>
        </w:tc>
        <w:tc>
          <w:tcPr>
            <w:tcW w:w="2642" w:type="dxa"/>
            <w:noWrap/>
          </w:tcPr>
          <w:p w14:paraId="465DAC70" w14:textId="77777777" w:rsidR="000323A2" w:rsidRPr="000323A2" w:rsidRDefault="000323A2" w:rsidP="000323A2">
            <w:pPr>
              <w:spacing w:before="240"/>
              <w:jc w:val="center"/>
              <w:rPr>
                <w:rFonts w:cs="Calibri"/>
                <w:color w:val="000000"/>
              </w:rPr>
            </w:pPr>
            <w:r w:rsidRPr="000323A2">
              <w:t>Ethernet 50 Mbps</w:t>
            </w:r>
          </w:p>
        </w:tc>
        <w:tc>
          <w:tcPr>
            <w:tcW w:w="1871" w:type="dxa"/>
            <w:noWrap/>
          </w:tcPr>
          <w:p w14:paraId="12AD22BA" w14:textId="77777777" w:rsidR="000323A2" w:rsidRPr="000323A2" w:rsidRDefault="000323A2" w:rsidP="000323A2">
            <w:pPr>
              <w:spacing w:before="240"/>
            </w:pPr>
            <w:r w:rsidRPr="000323A2">
              <w:t xml:space="preserve"> $20,414 </w:t>
            </w:r>
          </w:p>
        </w:tc>
      </w:tr>
      <w:tr w:rsidR="000323A2" w:rsidRPr="000323A2" w14:paraId="0435BC15" w14:textId="77777777" w:rsidTr="000323A2">
        <w:trPr>
          <w:trHeight w:val="285"/>
          <w:jc w:val="center"/>
        </w:trPr>
        <w:tc>
          <w:tcPr>
            <w:tcW w:w="2258" w:type="dxa"/>
            <w:noWrap/>
          </w:tcPr>
          <w:p w14:paraId="586B59BF" w14:textId="77777777" w:rsidR="000323A2" w:rsidRPr="000323A2" w:rsidRDefault="000323A2" w:rsidP="000323A2">
            <w:pPr>
              <w:spacing w:before="240"/>
              <w:jc w:val="center"/>
              <w:rPr>
                <w:rFonts w:cs="Calibri"/>
                <w:color w:val="000000"/>
              </w:rPr>
            </w:pPr>
            <w:r w:rsidRPr="000323A2">
              <w:t>E2 (8 Mbps)</w:t>
            </w:r>
          </w:p>
        </w:tc>
        <w:tc>
          <w:tcPr>
            <w:tcW w:w="1855" w:type="dxa"/>
            <w:noWrap/>
          </w:tcPr>
          <w:p w14:paraId="295ED798" w14:textId="77777777" w:rsidR="000323A2" w:rsidRPr="000323A2" w:rsidRDefault="000323A2" w:rsidP="000323A2">
            <w:pPr>
              <w:spacing w:before="240"/>
            </w:pPr>
            <w:r w:rsidRPr="000323A2">
              <w:t xml:space="preserve"> $43,594 </w:t>
            </w:r>
          </w:p>
        </w:tc>
        <w:tc>
          <w:tcPr>
            <w:tcW w:w="2642" w:type="dxa"/>
            <w:noWrap/>
          </w:tcPr>
          <w:p w14:paraId="3681A894" w14:textId="77777777" w:rsidR="000323A2" w:rsidRPr="000323A2" w:rsidRDefault="000323A2" w:rsidP="000323A2">
            <w:pPr>
              <w:spacing w:before="240"/>
              <w:jc w:val="center"/>
              <w:rPr>
                <w:rFonts w:cs="Calibri"/>
                <w:color w:val="000000"/>
              </w:rPr>
            </w:pPr>
            <w:r w:rsidRPr="000323A2">
              <w:t>Ethernet 60 Mbps</w:t>
            </w:r>
          </w:p>
        </w:tc>
        <w:tc>
          <w:tcPr>
            <w:tcW w:w="1871" w:type="dxa"/>
            <w:noWrap/>
          </w:tcPr>
          <w:p w14:paraId="272CFEBF" w14:textId="77777777" w:rsidR="000323A2" w:rsidRPr="000323A2" w:rsidRDefault="000323A2" w:rsidP="000323A2">
            <w:pPr>
              <w:spacing w:before="240"/>
            </w:pPr>
            <w:r w:rsidRPr="000323A2">
              <w:t xml:space="preserve"> $20,414 </w:t>
            </w:r>
          </w:p>
        </w:tc>
      </w:tr>
      <w:tr w:rsidR="000323A2" w:rsidRPr="000323A2" w14:paraId="0E319BA2" w14:textId="77777777" w:rsidTr="000323A2">
        <w:trPr>
          <w:trHeight w:val="285"/>
          <w:jc w:val="center"/>
        </w:trPr>
        <w:tc>
          <w:tcPr>
            <w:tcW w:w="2258" w:type="dxa"/>
            <w:noWrap/>
          </w:tcPr>
          <w:p w14:paraId="1C7D2B2D" w14:textId="77777777" w:rsidR="000323A2" w:rsidRPr="000323A2" w:rsidRDefault="000323A2" w:rsidP="000323A2">
            <w:pPr>
              <w:spacing w:before="240"/>
              <w:jc w:val="center"/>
              <w:rPr>
                <w:rFonts w:cs="Calibri"/>
                <w:color w:val="000000"/>
              </w:rPr>
            </w:pPr>
            <w:r w:rsidRPr="000323A2">
              <w:t>E3 (34 Mbps)</w:t>
            </w:r>
          </w:p>
        </w:tc>
        <w:tc>
          <w:tcPr>
            <w:tcW w:w="1855" w:type="dxa"/>
            <w:noWrap/>
          </w:tcPr>
          <w:p w14:paraId="08EE2402" w14:textId="77777777" w:rsidR="000323A2" w:rsidRPr="000323A2" w:rsidRDefault="000323A2" w:rsidP="000323A2">
            <w:pPr>
              <w:spacing w:before="240"/>
            </w:pPr>
            <w:r w:rsidRPr="000323A2">
              <w:t xml:space="preserve"> $55,174 </w:t>
            </w:r>
          </w:p>
        </w:tc>
        <w:tc>
          <w:tcPr>
            <w:tcW w:w="2642" w:type="dxa"/>
            <w:noWrap/>
          </w:tcPr>
          <w:p w14:paraId="32E81F38" w14:textId="77777777" w:rsidR="000323A2" w:rsidRPr="000323A2" w:rsidRDefault="000323A2" w:rsidP="000323A2">
            <w:pPr>
              <w:spacing w:before="240"/>
              <w:jc w:val="center"/>
              <w:rPr>
                <w:rFonts w:cs="Calibri"/>
                <w:color w:val="000000"/>
              </w:rPr>
            </w:pPr>
            <w:r w:rsidRPr="000323A2">
              <w:t>Ethernet 70 Mbps</w:t>
            </w:r>
          </w:p>
        </w:tc>
        <w:tc>
          <w:tcPr>
            <w:tcW w:w="1871" w:type="dxa"/>
            <w:noWrap/>
          </w:tcPr>
          <w:p w14:paraId="0E026D8E" w14:textId="77777777" w:rsidR="000323A2" w:rsidRPr="000323A2" w:rsidRDefault="000323A2" w:rsidP="000323A2">
            <w:pPr>
              <w:spacing w:before="240"/>
            </w:pPr>
            <w:r w:rsidRPr="000323A2">
              <w:t xml:space="preserve"> $20,414 </w:t>
            </w:r>
          </w:p>
        </w:tc>
      </w:tr>
      <w:tr w:rsidR="000323A2" w:rsidRPr="000323A2" w14:paraId="2D362D5E" w14:textId="77777777" w:rsidTr="000323A2">
        <w:trPr>
          <w:trHeight w:val="285"/>
          <w:jc w:val="center"/>
        </w:trPr>
        <w:tc>
          <w:tcPr>
            <w:tcW w:w="2258" w:type="dxa"/>
            <w:noWrap/>
          </w:tcPr>
          <w:p w14:paraId="202C4E6D" w14:textId="77777777" w:rsidR="000323A2" w:rsidRPr="000323A2" w:rsidRDefault="000323A2" w:rsidP="000323A2">
            <w:pPr>
              <w:spacing w:before="240"/>
              <w:jc w:val="center"/>
              <w:rPr>
                <w:rFonts w:cs="Calibri"/>
                <w:color w:val="000000"/>
              </w:rPr>
            </w:pPr>
            <w:r w:rsidRPr="000323A2">
              <w:t xml:space="preserve">E4 (139 Mbps) </w:t>
            </w:r>
          </w:p>
        </w:tc>
        <w:tc>
          <w:tcPr>
            <w:tcW w:w="1855" w:type="dxa"/>
            <w:noWrap/>
          </w:tcPr>
          <w:p w14:paraId="5EC96464" w14:textId="77777777" w:rsidR="000323A2" w:rsidRPr="000323A2" w:rsidRDefault="000323A2" w:rsidP="000323A2">
            <w:pPr>
              <w:spacing w:before="240"/>
            </w:pPr>
            <w:r w:rsidRPr="000323A2">
              <w:t xml:space="preserve"> $122,202 </w:t>
            </w:r>
          </w:p>
        </w:tc>
        <w:tc>
          <w:tcPr>
            <w:tcW w:w="2642" w:type="dxa"/>
            <w:noWrap/>
          </w:tcPr>
          <w:p w14:paraId="6F1D4464" w14:textId="77777777" w:rsidR="000323A2" w:rsidRPr="000323A2" w:rsidRDefault="000323A2" w:rsidP="000323A2">
            <w:pPr>
              <w:spacing w:before="240"/>
              <w:jc w:val="center"/>
              <w:rPr>
                <w:rFonts w:cs="Calibri"/>
                <w:color w:val="000000"/>
              </w:rPr>
            </w:pPr>
            <w:r w:rsidRPr="000323A2">
              <w:t>Ethernet 80 Mbps</w:t>
            </w:r>
          </w:p>
        </w:tc>
        <w:tc>
          <w:tcPr>
            <w:tcW w:w="1871" w:type="dxa"/>
            <w:noWrap/>
          </w:tcPr>
          <w:p w14:paraId="50D59807" w14:textId="77777777" w:rsidR="000323A2" w:rsidRPr="000323A2" w:rsidRDefault="000323A2" w:rsidP="000323A2">
            <w:pPr>
              <w:spacing w:before="240"/>
            </w:pPr>
            <w:r w:rsidRPr="000323A2">
              <w:t xml:space="preserve"> $20,414 </w:t>
            </w:r>
          </w:p>
        </w:tc>
      </w:tr>
      <w:tr w:rsidR="000323A2" w:rsidRPr="000323A2" w14:paraId="0F465306" w14:textId="77777777" w:rsidTr="000323A2">
        <w:trPr>
          <w:trHeight w:val="285"/>
          <w:jc w:val="center"/>
        </w:trPr>
        <w:tc>
          <w:tcPr>
            <w:tcW w:w="2258" w:type="dxa"/>
            <w:noWrap/>
          </w:tcPr>
          <w:p w14:paraId="12774D69" w14:textId="77777777" w:rsidR="000323A2" w:rsidRPr="000323A2" w:rsidRDefault="000323A2" w:rsidP="000323A2">
            <w:pPr>
              <w:spacing w:before="240"/>
              <w:jc w:val="center"/>
              <w:rPr>
                <w:rFonts w:cs="Calibri"/>
                <w:color w:val="000000"/>
              </w:rPr>
            </w:pPr>
            <w:r w:rsidRPr="000323A2">
              <w:t xml:space="preserve">STM1 (155 Mbps) </w:t>
            </w:r>
          </w:p>
        </w:tc>
        <w:tc>
          <w:tcPr>
            <w:tcW w:w="1855" w:type="dxa"/>
            <w:noWrap/>
          </w:tcPr>
          <w:p w14:paraId="05E17BF5" w14:textId="77777777" w:rsidR="000323A2" w:rsidRPr="000323A2" w:rsidRDefault="000323A2" w:rsidP="000323A2">
            <w:pPr>
              <w:spacing w:before="240"/>
            </w:pPr>
            <w:r w:rsidRPr="000323A2">
              <w:t xml:space="preserve"> $122,202 </w:t>
            </w:r>
          </w:p>
        </w:tc>
        <w:tc>
          <w:tcPr>
            <w:tcW w:w="2642" w:type="dxa"/>
            <w:noWrap/>
          </w:tcPr>
          <w:p w14:paraId="365D0C12" w14:textId="77777777" w:rsidR="000323A2" w:rsidRPr="000323A2" w:rsidRDefault="000323A2" w:rsidP="000323A2">
            <w:pPr>
              <w:spacing w:before="240"/>
              <w:jc w:val="center"/>
              <w:rPr>
                <w:rFonts w:cs="Calibri"/>
                <w:color w:val="000000"/>
              </w:rPr>
            </w:pPr>
            <w:r w:rsidRPr="000323A2">
              <w:t>Ethernet 90 Mbps</w:t>
            </w:r>
          </w:p>
        </w:tc>
        <w:tc>
          <w:tcPr>
            <w:tcW w:w="1871" w:type="dxa"/>
            <w:noWrap/>
          </w:tcPr>
          <w:p w14:paraId="2AA4CC82" w14:textId="77777777" w:rsidR="000323A2" w:rsidRPr="000323A2" w:rsidRDefault="000323A2" w:rsidP="000323A2">
            <w:pPr>
              <w:spacing w:before="240"/>
            </w:pPr>
            <w:r w:rsidRPr="000323A2">
              <w:t xml:space="preserve"> $20,414 </w:t>
            </w:r>
          </w:p>
        </w:tc>
      </w:tr>
      <w:tr w:rsidR="000323A2" w:rsidRPr="000323A2" w14:paraId="7EFA5068" w14:textId="77777777" w:rsidTr="000323A2">
        <w:trPr>
          <w:trHeight w:val="285"/>
          <w:jc w:val="center"/>
        </w:trPr>
        <w:tc>
          <w:tcPr>
            <w:tcW w:w="2258" w:type="dxa"/>
            <w:noWrap/>
          </w:tcPr>
          <w:p w14:paraId="17EBBEB6" w14:textId="77777777" w:rsidR="000323A2" w:rsidRPr="000323A2" w:rsidRDefault="000323A2" w:rsidP="000323A2">
            <w:pPr>
              <w:spacing w:before="240"/>
              <w:jc w:val="center"/>
              <w:rPr>
                <w:rFonts w:cs="Calibri"/>
                <w:color w:val="000000"/>
              </w:rPr>
            </w:pPr>
            <w:r w:rsidRPr="000323A2">
              <w:t xml:space="preserve">STM4 (622 Mbps) </w:t>
            </w:r>
          </w:p>
        </w:tc>
        <w:tc>
          <w:tcPr>
            <w:tcW w:w="1855" w:type="dxa"/>
            <w:noWrap/>
          </w:tcPr>
          <w:p w14:paraId="4A000211" w14:textId="77777777" w:rsidR="000323A2" w:rsidRPr="000323A2" w:rsidRDefault="000323A2" w:rsidP="000323A2">
            <w:pPr>
              <w:spacing w:before="240"/>
            </w:pPr>
            <w:r w:rsidRPr="000323A2">
              <w:t xml:space="preserve"> $274,954 </w:t>
            </w:r>
          </w:p>
        </w:tc>
        <w:tc>
          <w:tcPr>
            <w:tcW w:w="2642" w:type="dxa"/>
            <w:noWrap/>
          </w:tcPr>
          <w:p w14:paraId="7D5C179F" w14:textId="77777777" w:rsidR="000323A2" w:rsidRPr="000323A2" w:rsidRDefault="000323A2" w:rsidP="000323A2">
            <w:pPr>
              <w:spacing w:before="240"/>
              <w:jc w:val="center"/>
              <w:rPr>
                <w:rFonts w:cs="Calibri"/>
                <w:color w:val="000000"/>
              </w:rPr>
            </w:pPr>
            <w:r w:rsidRPr="000323A2">
              <w:t>Ethernet 100 Mbps</w:t>
            </w:r>
          </w:p>
        </w:tc>
        <w:tc>
          <w:tcPr>
            <w:tcW w:w="1871" w:type="dxa"/>
            <w:noWrap/>
          </w:tcPr>
          <w:p w14:paraId="5103199C" w14:textId="77777777" w:rsidR="000323A2" w:rsidRPr="000323A2" w:rsidRDefault="000323A2" w:rsidP="000323A2">
            <w:pPr>
              <w:spacing w:before="240"/>
            </w:pPr>
            <w:r w:rsidRPr="000323A2">
              <w:t xml:space="preserve"> $40,828 </w:t>
            </w:r>
          </w:p>
        </w:tc>
      </w:tr>
      <w:tr w:rsidR="000323A2" w:rsidRPr="000323A2" w14:paraId="76E98890" w14:textId="77777777" w:rsidTr="000323A2">
        <w:trPr>
          <w:trHeight w:val="285"/>
          <w:jc w:val="center"/>
        </w:trPr>
        <w:tc>
          <w:tcPr>
            <w:tcW w:w="2258" w:type="dxa"/>
            <w:noWrap/>
          </w:tcPr>
          <w:p w14:paraId="63EBA4B5" w14:textId="77777777" w:rsidR="000323A2" w:rsidRPr="000323A2" w:rsidRDefault="000323A2" w:rsidP="000323A2">
            <w:pPr>
              <w:spacing w:before="240"/>
              <w:jc w:val="center"/>
              <w:rPr>
                <w:rFonts w:cs="Calibri"/>
                <w:color w:val="000000"/>
              </w:rPr>
            </w:pPr>
            <w:r w:rsidRPr="000323A2">
              <w:t xml:space="preserve">STM 16 (2.5 </w:t>
            </w:r>
            <w:proofErr w:type="spellStart"/>
            <w:r w:rsidRPr="000323A2">
              <w:t>Gbps</w:t>
            </w:r>
            <w:proofErr w:type="spellEnd"/>
            <w:r w:rsidRPr="000323A2">
              <w:t xml:space="preserve">) </w:t>
            </w:r>
          </w:p>
        </w:tc>
        <w:tc>
          <w:tcPr>
            <w:tcW w:w="1855" w:type="dxa"/>
            <w:noWrap/>
          </w:tcPr>
          <w:p w14:paraId="621AA891" w14:textId="77777777" w:rsidR="000323A2" w:rsidRPr="000323A2" w:rsidRDefault="000323A2" w:rsidP="000323A2">
            <w:pPr>
              <w:spacing w:before="240"/>
            </w:pPr>
            <w:r w:rsidRPr="000323A2">
              <w:t xml:space="preserve"> $687,385 </w:t>
            </w:r>
          </w:p>
        </w:tc>
        <w:tc>
          <w:tcPr>
            <w:tcW w:w="2642" w:type="dxa"/>
            <w:noWrap/>
          </w:tcPr>
          <w:p w14:paraId="33C1A356"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100 Mbps</w:t>
            </w:r>
          </w:p>
        </w:tc>
        <w:tc>
          <w:tcPr>
            <w:tcW w:w="1871" w:type="dxa"/>
            <w:noWrap/>
          </w:tcPr>
          <w:p w14:paraId="26A3D9DC" w14:textId="77777777" w:rsidR="000323A2" w:rsidRPr="000323A2" w:rsidRDefault="000323A2" w:rsidP="000323A2">
            <w:pPr>
              <w:spacing w:before="240"/>
            </w:pPr>
            <w:r w:rsidRPr="000323A2">
              <w:t xml:space="preserve"> $40,828 </w:t>
            </w:r>
          </w:p>
        </w:tc>
      </w:tr>
      <w:tr w:rsidR="000323A2" w:rsidRPr="000323A2" w14:paraId="5E43F254" w14:textId="77777777" w:rsidTr="000323A2">
        <w:trPr>
          <w:trHeight w:val="285"/>
          <w:jc w:val="center"/>
        </w:trPr>
        <w:tc>
          <w:tcPr>
            <w:tcW w:w="2258" w:type="dxa"/>
            <w:noWrap/>
          </w:tcPr>
          <w:p w14:paraId="7828ECA0" w14:textId="77777777" w:rsidR="000323A2" w:rsidRPr="000323A2" w:rsidRDefault="000323A2" w:rsidP="000323A2">
            <w:pPr>
              <w:spacing w:before="240"/>
              <w:jc w:val="center"/>
              <w:rPr>
                <w:rFonts w:cs="Calibri"/>
                <w:color w:val="000000"/>
              </w:rPr>
            </w:pPr>
            <w:r w:rsidRPr="000323A2">
              <w:t xml:space="preserve">STM 64 (10 </w:t>
            </w:r>
            <w:proofErr w:type="spellStart"/>
            <w:r w:rsidRPr="000323A2">
              <w:t>Gbps</w:t>
            </w:r>
            <w:proofErr w:type="spellEnd"/>
            <w:r w:rsidRPr="000323A2">
              <w:t>)</w:t>
            </w:r>
          </w:p>
        </w:tc>
        <w:tc>
          <w:tcPr>
            <w:tcW w:w="1855" w:type="dxa"/>
            <w:noWrap/>
          </w:tcPr>
          <w:p w14:paraId="550AC11E" w14:textId="77777777" w:rsidR="000323A2" w:rsidRPr="000323A2" w:rsidRDefault="000323A2" w:rsidP="000323A2">
            <w:pPr>
              <w:spacing w:before="240"/>
            </w:pPr>
            <w:r w:rsidRPr="000323A2">
              <w:t xml:space="preserve"> $1,099,815 </w:t>
            </w:r>
          </w:p>
        </w:tc>
        <w:tc>
          <w:tcPr>
            <w:tcW w:w="2642" w:type="dxa"/>
            <w:noWrap/>
          </w:tcPr>
          <w:p w14:paraId="189F73A4"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150 Mbps</w:t>
            </w:r>
          </w:p>
        </w:tc>
        <w:tc>
          <w:tcPr>
            <w:tcW w:w="1871" w:type="dxa"/>
            <w:noWrap/>
          </w:tcPr>
          <w:p w14:paraId="382428F4" w14:textId="77777777" w:rsidR="000323A2" w:rsidRPr="000323A2" w:rsidRDefault="000323A2" w:rsidP="000323A2">
            <w:pPr>
              <w:spacing w:before="240"/>
            </w:pPr>
            <w:r w:rsidRPr="000323A2">
              <w:t xml:space="preserve"> $40,828 </w:t>
            </w:r>
          </w:p>
        </w:tc>
      </w:tr>
      <w:tr w:rsidR="000323A2" w:rsidRPr="000323A2" w14:paraId="706C88D2" w14:textId="77777777" w:rsidTr="000323A2">
        <w:trPr>
          <w:trHeight w:val="285"/>
          <w:jc w:val="center"/>
        </w:trPr>
        <w:tc>
          <w:tcPr>
            <w:tcW w:w="2258" w:type="dxa"/>
            <w:noWrap/>
          </w:tcPr>
          <w:p w14:paraId="6FB46A9D" w14:textId="77777777" w:rsidR="000323A2" w:rsidRPr="000323A2" w:rsidRDefault="000323A2" w:rsidP="000323A2">
            <w:pPr>
              <w:spacing w:before="240"/>
              <w:jc w:val="center"/>
              <w:rPr>
                <w:rFonts w:cs="Calibri"/>
                <w:color w:val="000000"/>
              </w:rPr>
            </w:pPr>
            <w:r w:rsidRPr="000323A2">
              <w:t xml:space="preserve">STM-256 (40 Mbps) </w:t>
            </w:r>
          </w:p>
        </w:tc>
        <w:tc>
          <w:tcPr>
            <w:tcW w:w="1855" w:type="dxa"/>
            <w:noWrap/>
          </w:tcPr>
          <w:p w14:paraId="776AEAAA" w14:textId="77777777" w:rsidR="000323A2" w:rsidRPr="000323A2" w:rsidRDefault="000323A2" w:rsidP="000323A2">
            <w:pPr>
              <w:spacing w:before="240"/>
            </w:pPr>
            <w:r w:rsidRPr="000323A2">
              <w:t xml:space="preserve"> $4,399,261 </w:t>
            </w:r>
          </w:p>
        </w:tc>
        <w:tc>
          <w:tcPr>
            <w:tcW w:w="2642" w:type="dxa"/>
            <w:noWrap/>
          </w:tcPr>
          <w:p w14:paraId="5BB96FAC"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200 Mbps</w:t>
            </w:r>
          </w:p>
        </w:tc>
        <w:tc>
          <w:tcPr>
            <w:tcW w:w="1871" w:type="dxa"/>
            <w:noWrap/>
          </w:tcPr>
          <w:p w14:paraId="73FDF352" w14:textId="77777777" w:rsidR="000323A2" w:rsidRPr="000323A2" w:rsidRDefault="000323A2" w:rsidP="000323A2">
            <w:pPr>
              <w:spacing w:before="240"/>
            </w:pPr>
            <w:r w:rsidRPr="000323A2">
              <w:t xml:space="preserve"> $40,828 </w:t>
            </w:r>
          </w:p>
        </w:tc>
      </w:tr>
      <w:tr w:rsidR="000323A2" w:rsidRPr="000323A2" w14:paraId="7405FA08" w14:textId="77777777" w:rsidTr="000323A2">
        <w:trPr>
          <w:trHeight w:val="285"/>
          <w:jc w:val="center"/>
        </w:trPr>
        <w:tc>
          <w:tcPr>
            <w:tcW w:w="2258" w:type="dxa"/>
            <w:noWrap/>
          </w:tcPr>
          <w:p w14:paraId="0EC9E032" w14:textId="77777777" w:rsidR="000323A2" w:rsidRPr="000323A2" w:rsidRDefault="000323A2" w:rsidP="000323A2">
            <w:pPr>
              <w:spacing w:before="240"/>
              <w:jc w:val="center"/>
              <w:rPr>
                <w:rFonts w:cs="Calibri"/>
                <w:color w:val="000000"/>
              </w:rPr>
            </w:pPr>
            <w:r w:rsidRPr="000323A2">
              <w:t>2 Mbps PMP</w:t>
            </w:r>
          </w:p>
        </w:tc>
        <w:tc>
          <w:tcPr>
            <w:tcW w:w="1855" w:type="dxa"/>
            <w:noWrap/>
          </w:tcPr>
          <w:p w14:paraId="71AA9409" w14:textId="77777777" w:rsidR="000323A2" w:rsidRPr="000323A2" w:rsidRDefault="000323A2" w:rsidP="000323A2">
            <w:pPr>
              <w:spacing w:before="240"/>
            </w:pPr>
            <w:r w:rsidRPr="000323A2">
              <w:t xml:space="preserve"> $10,899 </w:t>
            </w:r>
          </w:p>
        </w:tc>
        <w:tc>
          <w:tcPr>
            <w:tcW w:w="2642" w:type="dxa"/>
            <w:noWrap/>
          </w:tcPr>
          <w:p w14:paraId="37FE0E1D"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250 Mbps</w:t>
            </w:r>
          </w:p>
        </w:tc>
        <w:tc>
          <w:tcPr>
            <w:tcW w:w="1871" w:type="dxa"/>
            <w:noWrap/>
          </w:tcPr>
          <w:p w14:paraId="2870374B" w14:textId="77777777" w:rsidR="000323A2" w:rsidRPr="000323A2" w:rsidRDefault="000323A2" w:rsidP="000323A2">
            <w:pPr>
              <w:spacing w:before="240"/>
            </w:pPr>
            <w:r w:rsidRPr="000323A2">
              <w:t xml:space="preserve"> $40,828 </w:t>
            </w:r>
          </w:p>
        </w:tc>
      </w:tr>
      <w:tr w:rsidR="000323A2" w:rsidRPr="000323A2" w14:paraId="5849469B" w14:textId="77777777" w:rsidTr="000323A2">
        <w:trPr>
          <w:trHeight w:val="285"/>
          <w:jc w:val="center"/>
        </w:trPr>
        <w:tc>
          <w:tcPr>
            <w:tcW w:w="2258" w:type="dxa"/>
            <w:noWrap/>
          </w:tcPr>
          <w:p w14:paraId="2455F12E" w14:textId="77777777" w:rsidR="000323A2" w:rsidRPr="000323A2" w:rsidRDefault="000323A2" w:rsidP="000323A2">
            <w:pPr>
              <w:spacing w:before="240"/>
              <w:jc w:val="center"/>
              <w:rPr>
                <w:rFonts w:cs="Calibri"/>
                <w:color w:val="000000"/>
              </w:rPr>
            </w:pPr>
            <w:r w:rsidRPr="000323A2">
              <w:t>34 Mbps PMP</w:t>
            </w:r>
          </w:p>
        </w:tc>
        <w:tc>
          <w:tcPr>
            <w:tcW w:w="1855" w:type="dxa"/>
            <w:noWrap/>
          </w:tcPr>
          <w:p w14:paraId="10123753" w14:textId="77777777" w:rsidR="000323A2" w:rsidRPr="000323A2" w:rsidRDefault="000323A2" w:rsidP="000323A2">
            <w:pPr>
              <w:spacing w:before="240"/>
            </w:pPr>
            <w:r w:rsidRPr="000323A2">
              <w:t xml:space="preserve"> $55,174 </w:t>
            </w:r>
          </w:p>
        </w:tc>
        <w:tc>
          <w:tcPr>
            <w:tcW w:w="2642" w:type="dxa"/>
            <w:noWrap/>
          </w:tcPr>
          <w:p w14:paraId="25E114D0"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300 Mbps</w:t>
            </w:r>
          </w:p>
        </w:tc>
        <w:tc>
          <w:tcPr>
            <w:tcW w:w="1871" w:type="dxa"/>
            <w:noWrap/>
          </w:tcPr>
          <w:p w14:paraId="46E8491A" w14:textId="77777777" w:rsidR="000323A2" w:rsidRPr="000323A2" w:rsidRDefault="000323A2" w:rsidP="000323A2">
            <w:pPr>
              <w:spacing w:before="240"/>
            </w:pPr>
            <w:r w:rsidRPr="000323A2">
              <w:t xml:space="preserve"> $40,828 </w:t>
            </w:r>
          </w:p>
        </w:tc>
      </w:tr>
      <w:tr w:rsidR="000323A2" w:rsidRPr="000323A2" w14:paraId="1E58C28F" w14:textId="77777777" w:rsidTr="000323A2">
        <w:trPr>
          <w:trHeight w:val="285"/>
          <w:jc w:val="center"/>
        </w:trPr>
        <w:tc>
          <w:tcPr>
            <w:tcW w:w="2258" w:type="dxa"/>
            <w:noWrap/>
          </w:tcPr>
          <w:p w14:paraId="0E269230" w14:textId="77777777" w:rsidR="000323A2" w:rsidRPr="000323A2" w:rsidRDefault="000323A2" w:rsidP="000323A2">
            <w:pPr>
              <w:spacing w:before="240"/>
              <w:jc w:val="center"/>
              <w:rPr>
                <w:rFonts w:cs="Calibri"/>
                <w:color w:val="000000"/>
              </w:rPr>
            </w:pPr>
            <w:r w:rsidRPr="000323A2">
              <w:lastRenderedPageBreak/>
              <w:t>155 Mbps PMP</w:t>
            </w:r>
          </w:p>
        </w:tc>
        <w:tc>
          <w:tcPr>
            <w:tcW w:w="1855" w:type="dxa"/>
            <w:noWrap/>
          </w:tcPr>
          <w:p w14:paraId="78C2E1CC" w14:textId="77777777" w:rsidR="000323A2" w:rsidRPr="000323A2" w:rsidRDefault="000323A2" w:rsidP="000323A2">
            <w:pPr>
              <w:spacing w:before="240"/>
            </w:pPr>
            <w:r w:rsidRPr="000323A2">
              <w:t xml:space="preserve"> $122,202 </w:t>
            </w:r>
          </w:p>
        </w:tc>
        <w:tc>
          <w:tcPr>
            <w:tcW w:w="2642" w:type="dxa"/>
            <w:noWrap/>
          </w:tcPr>
          <w:p w14:paraId="675D4F4F"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350 Mbps</w:t>
            </w:r>
          </w:p>
        </w:tc>
        <w:tc>
          <w:tcPr>
            <w:tcW w:w="1871" w:type="dxa"/>
            <w:noWrap/>
          </w:tcPr>
          <w:p w14:paraId="01B881D0" w14:textId="77777777" w:rsidR="000323A2" w:rsidRPr="000323A2" w:rsidRDefault="000323A2" w:rsidP="000323A2">
            <w:pPr>
              <w:spacing w:before="240"/>
            </w:pPr>
            <w:r w:rsidRPr="000323A2">
              <w:t xml:space="preserve"> $40,828 </w:t>
            </w:r>
          </w:p>
        </w:tc>
      </w:tr>
      <w:tr w:rsidR="000323A2" w:rsidRPr="000323A2" w14:paraId="07AA4D60" w14:textId="77777777" w:rsidTr="000323A2">
        <w:trPr>
          <w:trHeight w:val="285"/>
          <w:jc w:val="center"/>
        </w:trPr>
        <w:tc>
          <w:tcPr>
            <w:tcW w:w="2258" w:type="dxa"/>
            <w:noWrap/>
          </w:tcPr>
          <w:p w14:paraId="4E2CB20E" w14:textId="77777777" w:rsidR="000323A2" w:rsidRPr="000323A2" w:rsidRDefault="000323A2" w:rsidP="000323A2">
            <w:pPr>
              <w:spacing w:before="240"/>
              <w:jc w:val="center"/>
              <w:rPr>
                <w:rFonts w:cs="Calibri"/>
                <w:color w:val="000000"/>
              </w:rPr>
            </w:pPr>
            <w:r w:rsidRPr="000323A2">
              <w:t>622 Mbps PMP</w:t>
            </w:r>
          </w:p>
        </w:tc>
        <w:tc>
          <w:tcPr>
            <w:tcW w:w="1855" w:type="dxa"/>
            <w:noWrap/>
          </w:tcPr>
          <w:p w14:paraId="23B7A638" w14:textId="77777777" w:rsidR="000323A2" w:rsidRPr="000323A2" w:rsidRDefault="000323A2" w:rsidP="000323A2">
            <w:pPr>
              <w:spacing w:before="240"/>
            </w:pPr>
            <w:r w:rsidRPr="000323A2">
              <w:t xml:space="preserve"> $274,954 </w:t>
            </w:r>
          </w:p>
        </w:tc>
        <w:tc>
          <w:tcPr>
            <w:tcW w:w="2642" w:type="dxa"/>
            <w:noWrap/>
          </w:tcPr>
          <w:p w14:paraId="577071BB"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400 Mbps</w:t>
            </w:r>
          </w:p>
        </w:tc>
        <w:tc>
          <w:tcPr>
            <w:tcW w:w="1871" w:type="dxa"/>
            <w:noWrap/>
          </w:tcPr>
          <w:p w14:paraId="0FC80667" w14:textId="77777777" w:rsidR="000323A2" w:rsidRPr="000323A2" w:rsidRDefault="000323A2" w:rsidP="000323A2">
            <w:pPr>
              <w:spacing w:before="240"/>
            </w:pPr>
            <w:r w:rsidRPr="000323A2">
              <w:t xml:space="preserve"> $40,828 </w:t>
            </w:r>
          </w:p>
        </w:tc>
      </w:tr>
      <w:tr w:rsidR="000323A2" w:rsidRPr="000323A2" w14:paraId="5F50BC67" w14:textId="77777777" w:rsidTr="000323A2">
        <w:trPr>
          <w:trHeight w:val="285"/>
          <w:jc w:val="center"/>
        </w:trPr>
        <w:tc>
          <w:tcPr>
            <w:tcW w:w="2258" w:type="dxa"/>
            <w:noWrap/>
          </w:tcPr>
          <w:p w14:paraId="2B6718F1" w14:textId="77777777" w:rsidR="000323A2" w:rsidRPr="000323A2" w:rsidRDefault="000323A2" w:rsidP="000323A2">
            <w:pPr>
              <w:spacing w:before="240"/>
              <w:jc w:val="center"/>
              <w:rPr>
                <w:rFonts w:cs="Calibri"/>
                <w:color w:val="000000"/>
              </w:rPr>
            </w:pPr>
          </w:p>
        </w:tc>
        <w:tc>
          <w:tcPr>
            <w:tcW w:w="1855" w:type="dxa"/>
            <w:noWrap/>
          </w:tcPr>
          <w:p w14:paraId="2D34B0D1" w14:textId="77777777" w:rsidR="000323A2" w:rsidRPr="000323A2" w:rsidRDefault="000323A2" w:rsidP="000323A2">
            <w:pPr>
              <w:spacing w:before="240"/>
              <w:jc w:val="center"/>
              <w:rPr>
                <w:rFonts w:cs="Calibri"/>
                <w:color w:val="000000"/>
              </w:rPr>
            </w:pPr>
          </w:p>
        </w:tc>
        <w:tc>
          <w:tcPr>
            <w:tcW w:w="2642" w:type="dxa"/>
            <w:noWrap/>
          </w:tcPr>
          <w:p w14:paraId="596FFE8B"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450 Mbps</w:t>
            </w:r>
          </w:p>
        </w:tc>
        <w:tc>
          <w:tcPr>
            <w:tcW w:w="1871" w:type="dxa"/>
            <w:noWrap/>
          </w:tcPr>
          <w:p w14:paraId="3884F250" w14:textId="77777777" w:rsidR="000323A2" w:rsidRPr="000323A2" w:rsidRDefault="000323A2" w:rsidP="000323A2">
            <w:pPr>
              <w:spacing w:before="240"/>
            </w:pPr>
            <w:r w:rsidRPr="000323A2">
              <w:t xml:space="preserve"> $40,828 </w:t>
            </w:r>
          </w:p>
        </w:tc>
      </w:tr>
      <w:tr w:rsidR="000323A2" w:rsidRPr="000323A2" w14:paraId="34D2807A" w14:textId="77777777" w:rsidTr="000323A2">
        <w:trPr>
          <w:trHeight w:val="285"/>
          <w:jc w:val="center"/>
        </w:trPr>
        <w:tc>
          <w:tcPr>
            <w:tcW w:w="2258" w:type="dxa"/>
            <w:noWrap/>
          </w:tcPr>
          <w:p w14:paraId="3758B75A" w14:textId="77777777" w:rsidR="000323A2" w:rsidRPr="000323A2" w:rsidRDefault="000323A2" w:rsidP="000323A2">
            <w:pPr>
              <w:spacing w:before="240"/>
              <w:jc w:val="center"/>
              <w:rPr>
                <w:rFonts w:cs="Calibri"/>
                <w:color w:val="000000"/>
              </w:rPr>
            </w:pPr>
          </w:p>
        </w:tc>
        <w:tc>
          <w:tcPr>
            <w:tcW w:w="1855" w:type="dxa"/>
            <w:noWrap/>
          </w:tcPr>
          <w:p w14:paraId="617EBBCE" w14:textId="77777777" w:rsidR="000323A2" w:rsidRPr="000323A2" w:rsidRDefault="000323A2" w:rsidP="000323A2">
            <w:pPr>
              <w:spacing w:before="240"/>
              <w:jc w:val="center"/>
              <w:rPr>
                <w:rFonts w:cs="Calibri"/>
                <w:color w:val="000000"/>
              </w:rPr>
            </w:pPr>
          </w:p>
        </w:tc>
        <w:tc>
          <w:tcPr>
            <w:tcW w:w="2642" w:type="dxa"/>
            <w:noWrap/>
          </w:tcPr>
          <w:p w14:paraId="55F7ABF2"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500 Mbps</w:t>
            </w:r>
          </w:p>
        </w:tc>
        <w:tc>
          <w:tcPr>
            <w:tcW w:w="1871" w:type="dxa"/>
            <w:noWrap/>
          </w:tcPr>
          <w:p w14:paraId="198C4227" w14:textId="77777777" w:rsidR="000323A2" w:rsidRPr="000323A2" w:rsidRDefault="000323A2" w:rsidP="000323A2">
            <w:pPr>
              <w:spacing w:before="240"/>
            </w:pPr>
            <w:r w:rsidRPr="000323A2">
              <w:t xml:space="preserve"> $40,828 </w:t>
            </w:r>
          </w:p>
        </w:tc>
      </w:tr>
      <w:tr w:rsidR="000323A2" w:rsidRPr="000323A2" w14:paraId="15FFB216" w14:textId="77777777" w:rsidTr="000323A2">
        <w:trPr>
          <w:trHeight w:val="285"/>
          <w:jc w:val="center"/>
        </w:trPr>
        <w:tc>
          <w:tcPr>
            <w:tcW w:w="2258" w:type="dxa"/>
            <w:noWrap/>
          </w:tcPr>
          <w:p w14:paraId="0A97858A" w14:textId="77777777" w:rsidR="000323A2" w:rsidRPr="000323A2" w:rsidRDefault="000323A2" w:rsidP="000323A2">
            <w:pPr>
              <w:spacing w:before="240"/>
              <w:rPr>
                <w:rFonts w:cs="Calibri"/>
                <w:color w:val="000000"/>
              </w:rPr>
            </w:pPr>
            <w:r w:rsidRPr="000323A2">
              <w:rPr>
                <w:rFonts w:cs="Calibri"/>
                <w:color w:val="000000"/>
              </w:rPr>
              <w:t> </w:t>
            </w:r>
          </w:p>
        </w:tc>
        <w:tc>
          <w:tcPr>
            <w:tcW w:w="1855" w:type="dxa"/>
            <w:noWrap/>
          </w:tcPr>
          <w:p w14:paraId="71EAC1F7" w14:textId="77777777" w:rsidR="000323A2" w:rsidRPr="000323A2" w:rsidRDefault="000323A2" w:rsidP="000323A2">
            <w:pPr>
              <w:spacing w:before="240"/>
              <w:rPr>
                <w:rFonts w:cs="Calibri"/>
                <w:color w:val="000000"/>
              </w:rPr>
            </w:pPr>
            <w:r w:rsidRPr="000323A2">
              <w:rPr>
                <w:rFonts w:cs="Calibri"/>
                <w:color w:val="000000"/>
              </w:rPr>
              <w:t> </w:t>
            </w:r>
          </w:p>
        </w:tc>
        <w:tc>
          <w:tcPr>
            <w:tcW w:w="2642" w:type="dxa"/>
            <w:noWrap/>
          </w:tcPr>
          <w:p w14:paraId="562021D5"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550 Mbps</w:t>
            </w:r>
          </w:p>
        </w:tc>
        <w:tc>
          <w:tcPr>
            <w:tcW w:w="1871" w:type="dxa"/>
            <w:noWrap/>
          </w:tcPr>
          <w:p w14:paraId="29BEC105" w14:textId="77777777" w:rsidR="000323A2" w:rsidRPr="000323A2" w:rsidRDefault="000323A2" w:rsidP="000323A2">
            <w:pPr>
              <w:spacing w:before="240"/>
            </w:pPr>
            <w:r w:rsidRPr="000323A2">
              <w:t xml:space="preserve"> $40,828 </w:t>
            </w:r>
          </w:p>
        </w:tc>
      </w:tr>
      <w:tr w:rsidR="000323A2" w:rsidRPr="000323A2" w14:paraId="130D7D3F" w14:textId="77777777" w:rsidTr="000323A2">
        <w:trPr>
          <w:trHeight w:val="285"/>
          <w:jc w:val="center"/>
        </w:trPr>
        <w:tc>
          <w:tcPr>
            <w:tcW w:w="2258" w:type="dxa"/>
            <w:noWrap/>
          </w:tcPr>
          <w:p w14:paraId="0D5FC498" w14:textId="77777777" w:rsidR="000323A2" w:rsidRPr="000323A2" w:rsidRDefault="000323A2" w:rsidP="000323A2">
            <w:pPr>
              <w:spacing w:before="240"/>
              <w:rPr>
                <w:rFonts w:cs="Calibri"/>
                <w:color w:val="000000"/>
              </w:rPr>
            </w:pPr>
            <w:r w:rsidRPr="000323A2">
              <w:rPr>
                <w:rFonts w:cs="Calibri"/>
                <w:color w:val="000000"/>
              </w:rPr>
              <w:t> </w:t>
            </w:r>
          </w:p>
        </w:tc>
        <w:tc>
          <w:tcPr>
            <w:tcW w:w="1855" w:type="dxa"/>
            <w:noWrap/>
          </w:tcPr>
          <w:p w14:paraId="2E05C373" w14:textId="77777777" w:rsidR="000323A2" w:rsidRPr="000323A2" w:rsidRDefault="000323A2" w:rsidP="000323A2">
            <w:pPr>
              <w:spacing w:before="240"/>
              <w:rPr>
                <w:rFonts w:cs="Calibri"/>
                <w:color w:val="000000"/>
              </w:rPr>
            </w:pPr>
            <w:r w:rsidRPr="000323A2">
              <w:rPr>
                <w:rFonts w:cs="Calibri"/>
                <w:color w:val="000000"/>
              </w:rPr>
              <w:t> </w:t>
            </w:r>
          </w:p>
        </w:tc>
        <w:tc>
          <w:tcPr>
            <w:tcW w:w="2642" w:type="dxa"/>
            <w:noWrap/>
          </w:tcPr>
          <w:p w14:paraId="2E27F084"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600 Mbps</w:t>
            </w:r>
          </w:p>
        </w:tc>
        <w:tc>
          <w:tcPr>
            <w:tcW w:w="1871" w:type="dxa"/>
            <w:noWrap/>
          </w:tcPr>
          <w:p w14:paraId="4D42B458" w14:textId="77777777" w:rsidR="000323A2" w:rsidRPr="000323A2" w:rsidRDefault="000323A2" w:rsidP="000323A2">
            <w:pPr>
              <w:spacing w:before="240"/>
            </w:pPr>
            <w:r w:rsidRPr="000323A2">
              <w:t xml:space="preserve"> $40,828 </w:t>
            </w:r>
          </w:p>
        </w:tc>
      </w:tr>
      <w:tr w:rsidR="000323A2" w:rsidRPr="000323A2" w14:paraId="516A785E" w14:textId="77777777" w:rsidTr="000323A2">
        <w:trPr>
          <w:trHeight w:val="285"/>
          <w:jc w:val="center"/>
        </w:trPr>
        <w:tc>
          <w:tcPr>
            <w:tcW w:w="2258" w:type="dxa"/>
            <w:noWrap/>
          </w:tcPr>
          <w:p w14:paraId="078A953C" w14:textId="77777777" w:rsidR="000323A2" w:rsidRPr="000323A2" w:rsidRDefault="000323A2" w:rsidP="000323A2">
            <w:pPr>
              <w:spacing w:before="240"/>
              <w:rPr>
                <w:rFonts w:cs="Calibri"/>
                <w:color w:val="000000"/>
              </w:rPr>
            </w:pPr>
            <w:r w:rsidRPr="000323A2">
              <w:rPr>
                <w:rFonts w:cs="Calibri"/>
                <w:color w:val="000000"/>
              </w:rPr>
              <w:t> </w:t>
            </w:r>
          </w:p>
        </w:tc>
        <w:tc>
          <w:tcPr>
            <w:tcW w:w="1855" w:type="dxa"/>
            <w:noWrap/>
          </w:tcPr>
          <w:p w14:paraId="6A8BCCE0" w14:textId="77777777" w:rsidR="000323A2" w:rsidRPr="000323A2" w:rsidRDefault="000323A2" w:rsidP="000323A2">
            <w:pPr>
              <w:spacing w:before="240"/>
              <w:rPr>
                <w:rFonts w:cs="Calibri"/>
                <w:color w:val="000000"/>
              </w:rPr>
            </w:pPr>
            <w:r w:rsidRPr="000323A2">
              <w:rPr>
                <w:rFonts w:cs="Calibri"/>
                <w:color w:val="000000"/>
              </w:rPr>
              <w:t> </w:t>
            </w:r>
          </w:p>
        </w:tc>
        <w:tc>
          <w:tcPr>
            <w:tcW w:w="2642" w:type="dxa"/>
            <w:noWrap/>
          </w:tcPr>
          <w:p w14:paraId="103FA26B"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750 Mbps</w:t>
            </w:r>
          </w:p>
        </w:tc>
        <w:tc>
          <w:tcPr>
            <w:tcW w:w="1871" w:type="dxa"/>
            <w:noWrap/>
          </w:tcPr>
          <w:p w14:paraId="74468BB4" w14:textId="77777777" w:rsidR="000323A2" w:rsidRPr="000323A2" w:rsidRDefault="000323A2" w:rsidP="000323A2">
            <w:pPr>
              <w:spacing w:before="240"/>
            </w:pPr>
            <w:r w:rsidRPr="000323A2">
              <w:t xml:space="preserve"> $40,828 </w:t>
            </w:r>
          </w:p>
        </w:tc>
      </w:tr>
      <w:tr w:rsidR="000323A2" w:rsidRPr="000323A2" w14:paraId="002744CA" w14:textId="77777777" w:rsidTr="000323A2">
        <w:trPr>
          <w:trHeight w:val="285"/>
          <w:jc w:val="center"/>
        </w:trPr>
        <w:tc>
          <w:tcPr>
            <w:tcW w:w="2258" w:type="dxa"/>
            <w:noWrap/>
          </w:tcPr>
          <w:p w14:paraId="7C989146" w14:textId="77777777" w:rsidR="000323A2" w:rsidRPr="000323A2" w:rsidRDefault="000323A2" w:rsidP="000323A2">
            <w:pPr>
              <w:spacing w:before="240"/>
              <w:rPr>
                <w:rFonts w:cs="Calibri"/>
                <w:color w:val="000000"/>
              </w:rPr>
            </w:pPr>
            <w:r w:rsidRPr="000323A2">
              <w:rPr>
                <w:rFonts w:cs="Calibri"/>
                <w:color w:val="000000"/>
              </w:rPr>
              <w:t> </w:t>
            </w:r>
          </w:p>
        </w:tc>
        <w:tc>
          <w:tcPr>
            <w:tcW w:w="1855" w:type="dxa"/>
            <w:noWrap/>
          </w:tcPr>
          <w:p w14:paraId="040A368D" w14:textId="77777777" w:rsidR="000323A2" w:rsidRPr="000323A2" w:rsidRDefault="000323A2" w:rsidP="000323A2">
            <w:pPr>
              <w:spacing w:before="240"/>
              <w:rPr>
                <w:rFonts w:cs="Calibri"/>
                <w:color w:val="000000"/>
              </w:rPr>
            </w:pPr>
            <w:r w:rsidRPr="000323A2">
              <w:rPr>
                <w:rFonts w:cs="Calibri"/>
                <w:color w:val="000000"/>
              </w:rPr>
              <w:t> </w:t>
            </w:r>
          </w:p>
        </w:tc>
        <w:tc>
          <w:tcPr>
            <w:tcW w:w="2642" w:type="dxa"/>
            <w:noWrap/>
          </w:tcPr>
          <w:p w14:paraId="16DB661D"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1 </w:t>
            </w:r>
            <w:proofErr w:type="spellStart"/>
            <w:r w:rsidRPr="000323A2">
              <w:t>Gbps</w:t>
            </w:r>
            <w:proofErr w:type="spellEnd"/>
          </w:p>
        </w:tc>
        <w:tc>
          <w:tcPr>
            <w:tcW w:w="1871" w:type="dxa"/>
            <w:noWrap/>
          </w:tcPr>
          <w:p w14:paraId="79E9246C" w14:textId="77777777" w:rsidR="000323A2" w:rsidRPr="000323A2" w:rsidRDefault="000323A2" w:rsidP="000323A2">
            <w:pPr>
              <w:spacing w:before="240"/>
            </w:pPr>
            <w:r w:rsidRPr="000323A2">
              <w:t xml:space="preserve"> $40,828 </w:t>
            </w:r>
          </w:p>
        </w:tc>
      </w:tr>
      <w:tr w:rsidR="000323A2" w:rsidRPr="000323A2" w14:paraId="6FFC9A62" w14:textId="77777777" w:rsidTr="000323A2">
        <w:trPr>
          <w:trHeight w:val="285"/>
          <w:jc w:val="center"/>
        </w:trPr>
        <w:tc>
          <w:tcPr>
            <w:tcW w:w="2258" w:type="dxa"/>
            <w:noWrap/>
          </w:tcPr>
          <w:p w14:paraId="7D86AF1A" w14:textId="77777777" w:rsidR="000323A2" w:rsidRPr="000323A2" w:rsidRDefault="000323A2" w:rsidP="000323A2">
            <w:pPr>
              <w:spacing w:before="240"/>
              <w:rPr>
                <w:rFonts w:cs="Calibri"/>
                <w:color w:val="000000"/>
              </w:rPr>
            </w:pPr>
            <w:r w:rsidRPr="000323A2">
              <w:rPr>
                <w:rFonts w:cs="Calibri"/>
                <w:color w:val="000000"/>
              </w:rPr>
              <w:t> </w:t>
            </w:r>
          </w:p>
        </w:tc>
        <w:tc>
          <w:tcPr>
            <w:tcW w:w="1855" w:type="dxa"/>
            <w:noWrap/>
          </w:tcPr>
          <w:p w14:paraId="32F881B7" w14:textId="77777777" w:rsidR="000323A2" w:rsidRPr="000323A2" w:rsidRDefault="000323A2" w:rsidP="000323A2">
            <w:pPr>
              <w:spacing w:before="240"/>
              <w:rPr>
                <w:rFonts w:cs="Calibri"/>
                <w:color w:val="000000"/>
              </w:rPr>
            </w:pPr>
            <w:r w:rsidRPr="000323A2">
              <w:rPr>
                <w:rFonts w:cs="Calibri"/>
                <w:color w:val="000000"/>
              </w:rPr>
              <w:t> </w:t>
            </w:r>
          </w:p>
        </w:tc>
        <w:tc>
          <w:tcPr>
            <w:tcW w:w="2642" w:type="dxa"/>
            <w:noWrap/>
          </w:tcPr>
          <w:p w14:paraId="029528B8"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2 </w:t>
            </w:r>
            <w:proofErr w:type="spellStart"/>
            <w:r w:rsidRPr="000323A2">
              <w:t>Gbps</w:t>
            </w:r>
            <w:proofErr w:type="spellEnd"/>
          </w:p>
        </w:tc>
        <w:tc>
          <w:tcPr>
            <w:tcW w:w="1871" w:type="dxa"/>
            <w:noWrap/>
          </w:tcPr>
          <w:p w14:paraId="2F47C927" w14:textId="77777777" w:rsidR="000323A2" w:rsidRPr="000323A2" w:rsidRDefault="000323A2" w:rsidP="000323A2">
            <w:pPr>
              <w:spacing w:before="240"/>
            </w:pPr>
            <w:r w:rsidRPr="000323A2">
              <w:t xml:space="preserve"> $163,311 </w:t>
            </w:r>
          </w:p>
        </w:tc>
      </w:tr>
      <w:tr w:rsidR="000323A2" w:rsidRPr="000323A2" w14:paraId="73A99A14" w14:textId="77777777" w:rsidTr="000323A2">
        <w:trPr>
          <w:trHeight w:val="285"/>
          <w:jc w:val="center"/>
        </w:trPr>
        <w:tc>
          <w:tcPr>
            <w:tcW w:w="2258" w:type="dxa"/>
            <w:noWrap/>
          </w:tcPr>
          <w:p w14:paraId="48BBA1CE" w14:textId="77777777" w:rsidR="000323A2" w:rsidRPr="000323A2" w:rsidRDefault="000323A2" w:rsidP="000323A2">
            <w:pPr>
              <w:spacing w:before="240"/>
              <w:rPr>
                <w:rFonts w:cs="Calibri"/>
                <w:color w:val="000000"/>
              </w:rPr>
            </w:pPr>
          </w:p>
        </w:tc>
        <w:tc>
          <w:tcPr>
            <w:tcW w:w="1855" w:type="dxa"/>
            <w:noWrap/>
          </w:tcPr>
          <w:p w14:paraId="613B2D95" w14:textId="77777777" w:rsidR="000323A2" w:rsidRPr="000323A2" w:rsidRDefault="000323A2" w:rsidP="000323A2">
            <w:pPr>
              <w:spacing w:before="240"/>
              <w:rPr>
                <w:rFonts w:cs="Calibri"/>
                <w:color w:val="000000"/>
              </w:rPr>
            </w:pPr>
          </w:p>
        </w:tc>
        <w:tc>
          <w:tcPr>
            <w:tcW w:w="2642" w:type="dxa"/>
            <w:noWrap/>
          </w:tcPr>
          <w:p w14:paraId="36508D7D"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4 </w:t>
            </w:r>
            <w:proofErr w:type="spellStart"/>
            <w:r w:rsidRPr="000323A2">
              <w:t>Gbps</w:t>
            </w:r>
            <w:proofErr w:type="spellEnd"/>
          </w:p>
        </w:tc>
        <w:tc>
          <w:tcPr>
            <w:tcW w:w="1871" w:type="dxa"/>
            <w:noWrap/>
          </w:tcPr>
          <w:p w14:paraId="4B50BE84" w14:textId="77777777" w:rsidR="000323A2" w:rsidRPr="000323A2" w:rsidRDefault="000323A2" w:rsidP="000323A2">
            <w:pPr>
              <w:spacing w:before="240"/>
            </w:pPr>
            <w:r w:rsidRPr="000323A2">
              <w:t xml:space="preserve"> $163,311 </w:t>
            </w:r>
          </w:p>
        </w:tc>
      </w:tr>
      <w:tr w:rsidR="000323A2" w:rsidRPr="000323A2" w14:paraId="61D1DC43" w14:textId="77777777" w:rsidTr="000323A2">
        <w:trPr>
          <w:trHeight w:val="285"/>
          <w:jc w:val="center"/>
        </w:trPr>
        <w:tc>
          <w:tcPr>
            <w:tcW w:w="2258" w:type="dxa"/>
            <w:noWrap/>
          </w:tcPr>
          <w:p w14:paraId="4C88E016" w14:textId="77777777" w:rsidR="000323A2" w:rsidRPr="000323A2" w:rsidRDefault="000323A2" w:rsidP="000323A2">
            <w:pPr>
              <w:spacing w:before="240"/>
              <w:rPr>
                <w:rFonts w:cs="Calibri"/>
                <w:color w:val="000000"/>
              </w:rPr>
            </w:pPr>
          </w:p>
        </w:tc>
        <w:tc>
          <w:tcPr>
            <w:tcW w:w="1855" w:type="dxa"/>
            <w:noWrap/>
          </w:tcPr>
          <w:p w14:paraId="3A097858" w14:textId="77777777" w:rsidR="000323A2" w:rsidRPr="000323A2" w:rsidRDefault="000323A2" w:rsidP="000323A2">
            <w:pPr>
              <w:spacing w:before="240"/>
              <w:rPr>
                <w:rFonts w:cs="Calibri"/>
                <w:color w:val="000000"/>
              </w:rPr>
            </w:pPr>
          </w:p>
        </w:tc>
        <w:tc>
          <w:tcPr>
            <w:tcW w:w="2642" w:type="dxa"/>
            <w:noWrap/>
          </w:tcPr>
          <w:p w14:paraId="185AA555"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6 </w:t>
            </w:r>
            <w:proofErr w:type="spellStart"/>
            <w:r w:rsidRPr="000323A2">
              <w:t>Gbps</w:t>
            </w:r>
            <w:proofErr w:type="spellEnd"/>
          </w:p>
        </w:tc>
        <w:tc>
          <w:tcPr>
            <w:tcW w:w="1871" w:type="dxa"/>
            <w:noWrap/>
          </w:tcPr>
          <w:p w14:paraId="68856DCA" w14:textId="77777777" w:rsidR="000323A2" w:rsidRPr="000323A2" w:rsidRDefault="000323A2" w:rsidP="000323A2">
            <w:pPr>
              <w:spacing w:before="240"/>
            </w:pPr>
            <w:r w:rsidRPr="000323A2">
              <w:t xml:space="preserve"> $163,311 </w:t>
            </w:r>
          </w:p>
        </w:tc>
      </w:tr>
      <w:tr w:rsidR="000323A2" w:rsidRPr="000323A2" w14:paraId="27AF13C6" w14:textId="77777777" w:rsidTr="000323A2">
        <w:trPr>
          <w:trHeight w:val="285"/>
          <w:jc w:val="center"/>
        </w:trPr>
        <w:tc>
          <w:tcPr>
            <w:tcW w:w="2258" w:type="dxa"/>
            <w:noWrap/>
          </w:tcPr>
          <w:p w14:paraId="4AFBD62C" w14:textId="77777777" w:rsidR="000323A2" w:rsidRPr="000323A2" w:rsidRDefault="000323A2" w:rsidP="000323A2">
            <w:pPr>
              <w:spacing w:before="240"/>
              <w:rPr>
                <w:rFonts w:cs="Calibri"/>
                <w:color w:val="000000"/>
              </w:rPr>
            </w:pPr>
          </w:p>
        </w:tc>
        <w:tc>
          <w:tcPr>
            <w:tcW w:w="1855" w:type="dxa"/>
            <w:noWrap/>
          </w:tcPr>
          <w:p w14:paraId="3A543C0A" w14:textId="77777777" w:rsidR="000323A2" w:rsidRPr="000323A2" w:rsidRDefault="000323A2" w:rsidP="000323A2">
            <w:pPr>
              <w:spacing w:before="240"/>
              <w:rPr>
                <w:rFonts w:cs="Calibri"/>
                <w:color w:val="000000"/>
              </w:rPr>
            </w:pPr>
          </w:p>
        </w:tc>
        <w:tc>
          <w:tcPr>
            <w:tcW w:w="2642" w:type="dxa"/>
            <w:noWrap/>
          </w:tcPr>
          <w:p w14:paraId="4C900E3E"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8 </w:t>
            </w:r>
            <w:proofErr w:type="spellStart"/>
            <w:r w:rsidRPr="000323A2">
              <w:t>Gbps</w:t>
            </w:r>
            <w:proofErr w:type="spellEnd"/>
          </w:p>
        </w:tc>
        <w:tc>
          <w:tcPr>
            <w:tcW w:w="1871" w:type="dxa"/>
            <w:noWrap/>
          </w:tcPr>
          <w:p w14:paraId="4D7F4CB8" w14:textId="77777777" w:rsidR="000323A2" w:rsidRPr="000323A2" w:rsidRDefault="000323A2" w:rsidP="000323A2">
            <w:pPr>
              <w:spacing w:before="240"/>
            </w:pPr>
            <w:r w:rsidRPr="000323A2">
              <w:t xml:space="preserve"> $163,311 </w:t>
            </w:r>
          </w:p>
        </w:tc>
      </w:tr>
      <w:tr w:rsidR="000323A2" w:rsidRPr="000323A2" w14:paraId="594AA977" w14:textId="77777777" w:rsidTr="000323A2">
        <w:trPr>
          <w:trHeight w:val="285"/>
          <w:jc w:val="center"/>
        </w:trPr>
        <w:tc>
          <w:tcPr>
            <w:tcW w:w="2258" w:type="dxa"/>
            <w:noWrap/>
          </w:tcPr>
          <w:p w14:paraId="0296601C" w14:textId="77777777" w:rsidR="000323A2" w:rsidRPr="000323A2" w:rsidRDefault="000323A2" w:rsidP="000323A2">
            <w:pPr>
              <w:spacing w:before="240"/>
              <w:rPr>
                <w:rFonts w:cs="Calibri"/>
                <w:color w:val="000000"/>
              </w:rPr>
            </w:pPr>
          </w:p>
        </w:tc>
        <w:tc>
          <w:tcPr>
            <w:tcW w:w="1855" w:type="dxa"/>
            <w:noWrap/>
          </w:tcPr>
          <w:p w14:paraId="5DF1C918" w14:textId="77777777" w:rsidR="000323A2" w:rsidRPr="000323A2" w:rsidRDefault="000323A2" w:rsidP="000323A2">
            <w:pPr>
              <w:spacing w:before="240"/>
              <w:rPr>
                <w:rFonts w:cs="Calibri"/>
                <w:color w:val="000000"/>
              </w:rPr>
            </w:pPr>
          </w:p>
        </w:tc>
        <w:tc>
          <w:tcPr>
            <w:tcW w:w="2642" w:type="dxa"/>
            <w:noWrap/>
          </w:tcPr>
          <w:p w14:paraId="1FBC7D08"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10 </w:t>
            </w:r>
            <w:proofErr w:type="spellStart"/>
            <w:r w:rsidRPr="000323A2">
              <w:t>Gbps</w:t>
            </w:r>
            <w:proofErr w:type="spellEnd"/>
          </w:p>
        </w:tc>
        <w:tc>
          <w:tcPr>
            <w:tcW w:w="1871" w:type="dxa"/>
            <w:noWrap/>
          </w:tcPr>
          <w:p w14:paraId="1D156830" w14:textId="77777777" w:rsidR="000323A2" w:rsidRPr="000323A2" w:rsidRDefault="000323A2" w:rsidP="000323A2">
            <w:pPr>
              <w:spacing w:before="240"/>
            </w:pPr>
            <w:r w:rsidRPr="000323A2">
              <w:t xml:space="preserve"> $163,311 </w:t>
            </w:r>
          </w:p>
        </w:tc>
      </w:tr>
      <w:tr w:rsidR="000323A2" w:rsidRPr="000323A2" w14:paraId="4D25DBF1" w14:textId="77777777" w:rsidTr="000323A2">
        <w:trPr>
          <w:trHeight w:val="285"/>
          <w:jc w:val="center"/>
        </w:trPr>
        <w:tc>
          <w:tcPr>
            <w:tcW w:w="2258" w:type="dxa"/>
            <w:noWrap/>
          </w:tcPr>
          <w:p w14:paraId="205424A2" w14:textId="77777777" w:rsidR="000323A2" w:rsidRPr="000323A2" w:rsidRDefault="000323A2" w:rsidP="000323A2">
            <w:pPr>
              <w:spacing w:before="240"/>
              <w:rPr>
                <w:rFonts w:cs="Calibri"/>
                <w:color w:val="000000"/>
              </w:rPr>
            </w:pPr>
          </w:p>
        </w:tc>
        <w:tc>
          <w:tcPr>
            <w:tcW w:w="1855" w:type="dxa"/>
            <w:noWrap/>
          </w:tcPr>
          <w:p w14:paraId="570E0BA1" w14:textId="77777777" w:rsidR="000323A2" w:rsidRPr="000323A2" w:rsidRDefault="000323A2" w:rsidP="000323A2">
            <w:pPr>
              <w:spacing w:before="240"/>
              <w:rPr>
                <w:rFonts w:cs="Calibri"/>
                <w:color w:val="000000"/>
              </w:rPr>
            </w:pPr>
          </w:p>
        </w:tc>
        <w:tc>
          <w:tcPr>
            <w:tcW w:w="2642" w:type="dxa"/>
            <w:noWrap/>
          </w:tcPr>
          <w:p w14:paraId="50E102D8" w14:textId="77777777" w:rsidR="000323A2" w:rsidRPr="000323A2" w:rsidRDefault="000323A2" w:rsidP="000323A2">
            <w:pPr>
              <w:spacing w:before="240"/>
              <w:jc w:val="center"/>
              <w:rPr>
                <w:rFonts w:cs="Calibri"/>
                <w:color w:val="000000"/>
              </w:rPr>
            </w:pPr>
            <w:proofErr w:type="spellStart"/>
            <w:r w:rsidRPr="000323A2">
              <w:t>GigaEthernet</w:t>
            </w:r>
            <w:proofErr w:type="spellEnd"/>
            <w:r w:rsidRPr="000323A2">
              <w:t xml:space="preserve"> 100 </w:t>
            </w:r>
            <w:proofErr w:type="spellStart"/>
            <w:r w:rsidRPr="000323A2">
              <w:t>Gbps</w:t>
            </w:r>
            <w:proofErr w:type="spellEnd"/>
          </w:p>
        </w:tc>
        <w:tc>
          <w:tcPr>
            <w:tcW w:w="1871" w:type="dxa"/>
            <w:noWrap/>
          </w:tcPr>
          <w:p w14:paraId="6336ECC3" w14:textId="77777777" w:rsidR="000323A2" w:rsidRPr="000323A2" w:rsidRDefault="000323A2" w:rsidP="000323A2">
            <w:pPr>
              <w:spacing w:before="240"/>
            </w:pPr>
            <w:r w:rsidRPr="000323A2">
              <w:t xml:space="preserve"> $163,311 </w:t>
            </w:r>
          </w:p>
        </w:tc>
      </w:tr>
      <w:tr w:rsidR="000323A2" w:rsidRPr="000323A2" w14:paraId="441C5688" w14:textId="77777777" w:rsidTr="000323A2">
        <w:trPr>
          <w:trHeight w:val="285"/>
          <w:jc w:val="center"/>
        </w:trPr>
        <w:tc>
          <w:tcPr>
            <w:tcW w:w="2258" w:type="dxa"/>
            <w:noWrap/>
          </w:tcPr>
          <w:p w14:paraId="407383FE" w14:textId="77777777" w:rsidR="000323A2" w:rsidRPr="000323A2" w:rsidRDefault="000323A2" w:rsidP="000323A2">
            <w:pPr>
              <w:spacing w:before="240"/>
              <w:rPr>
                <w:rFonts w:cs="Calibri"/>
                <w:color w:val="000000"/>
              </w:rPr>
            </w:pPr>
          </w:p>
        </w:tc>
        <w:tc>
          <w:tcPr>
            <w:tcW w:w="1855" w:type="dxa"/>
            <w:noWrap/>
          </w:tcPr>
          <w:p w14:paraId="2A9B8024" w14:textId="77777777" w:rsidR="000323A2" w:rsidRPr="000323A2" w:rsidRDefault="000323A2" w:rsidP="000323A2">
            <w:pPr>
              <w:spacing w:before="240"/>
              <w:rPr>
                <w:rFonts w:cs="Calibri"/>
                <w:color w:val="000000"/>
              </w:rPr>
            </w:pPr>
          </w:p>
        </w:tc>
        <w:tc>
          <w:tcPr>
            <w:tcW w:w="2642" w:type="dxa"/>
            <w:noWrap/>
          </w:tcPr>
          <w:p w14:paraId="2A8FA8E4" w14:textId="77777777" w:rsidR="000323A2" w:rsidRPr="000323A2" w:rsidRDefault="000323A2" w:rsidP="000323A2">
            <w:pPr>
              <w:spacing w:before="240"/>
              <w:jc w:val="center"/>
              <w:rPr>
                <w:rFonts w:cs="Calibri"/>
                <w:color w:val="000000"/>
              </w:rPr>
            </w:pPr>
            <w:proofErr w:type="spellStart"/>
            <w:r w:rsidRPr="000323A2">
              <w:t>Hub</w:t>
            </w:r>
            <w:proofErr w:type="spellEnd"/>
            <w:r w:rsidRPr="000323A2">
              <w:t xml:space="preserve"> 1 </w:t>
            </w:r>
            <w:proofErr w:type="spellStart"/>
            <w:r w:rsidRPr="000323A2">
              <w:t>Gbps</w:t>
            </w:r>
            <w:proofErr w:type="spellEnd"/>
          </w:p>
        </w:tc>
        <w:tc>
          <w:tcPr>
            <w:tcW w:w="1871" w:type="dxa"/>
            <w:noWrap/>
          </w:tcPr>
          <w:p w14:paraId="644EF510" w14:textId="77777777" w:rsidR="000323A2" w:rsidRPr="000323A2" w:rsidRDefault="000323A2" w:rsidP="000323A2">
            <w:pPr>
              <w:spacing w:before="240"/>
            </w:pPr>
            <w:r w:rsidRPr="000323A2">
              <w:t xml:space="preserve"> $40,828 </w:t>
            </w:r>
          </w:p>
        </w:tc>
      </w:tr>
      <w:tr w:rsidR="000323A2" w:rsidRPr="000323A2" w14:paraId="1824C44B" w14:textId="77777777" w:rsidTr="000323A2">
        <w:trPr>
          <w:trHeight w:val="285"/>
          <w:jc w:val="center"/>
        </w:trPr>
        <w:tc>
          <w:tcPr>
            <w:tcW w:w="2258" w:type="dxa"/>
            <w:noWrap/>
          </w:tcPr>
          <w:p w14:paraId="0E307294" w14:textId="77777777" w:rsidR="000323A2" w:rsidRPr="000323A2" w:rsidRDefault="000323A2" w:rsidP="000323A2">
            <w:pPr>
              <w:spacing w:before="240"/>
              <w:rPr>
                <w:rFonts w:cs="Calibri"/>
                <w:color w:val="000000"/>
              </w:rPr>
            </w:pPr>
          </w:p>
        </w:tc>
        <w:tc>
          <w:tcPr>
            <w:tcW w:w="1855" w:type="dxa"/>
            <w:noWrap/>
          </w:tcPr>
          <w:p w14:paraId="73A86311" w14:textId="77777777" w:rsidR="000323A2" w:rsidRPr="000323A2" w:rsidRDefault="000323A2" w:rsidP="000323A2">
            <w:pPr>
              <w:spacing w:before="240"/>
              <w:rPr>
                <w:rFonts w:cs="Calibri"/>
                <w:color w:val="000000"/>
              </w:rPr>
            </w:pPr>
          </w:p>
        </w:tc>
        <w:tc>
          <w:tcPr>
            <w:tcW w:w="2642" w:type="dxa"/>
            <w:noWrap/>
          </w:tcPr>
          <w:p w14:paraId="1DED7212" w14:textId="77777777" w:rsidR="000323A2" w:rsidRPr="000323A2" w:rsidRDefault="000323A2" w:rsidP="000323A2">
            <w:pPr>
              <w:spacing w:before="240"/>
              <w:jc w:val="center"/>
              <w:rPr>
                <w:rFonts w:cs="Calibri"/>
                <w:color w:val="000000"/>
              </w:rPr>
            </w:pPr>
            <w:proofErr w:type="spellStart"/>
            <w:r w:rsidRPr="000323A2">
              <w:t>Hub</w:t>
            </w:r>
            <w:proofErr w:type="spellEnd"/>
            <w:r w:rsidRPr="000323A2">
              <w:t xml:space="preserve"> 10 </w:t>
            </w:r>
            <w:proofErr w:type="spellStart"/>
            <w:r w:rsidRPr="000323A2">
              <w:t>Gbps</w:t>
            </w:r>
            <w:proofErr w:type="spellEnd"/>
          </w:p>
        </w:tc>
        <w:tc>
          <w:tcPr>
            <w:tcW w:w="1871" w:type="dxa"/>
            <w:noWrap/>
          </w:tcPr>
          <w:p w14:paraId="393DEFC9" w14:textId="77777777" w:rsidR="000323A2" w:rsidRPr="000323A2" w:rsidRDefault="000323A2" w:rsidP="000323A2">
            <w:pPr>
              <w:spacing w:before="240"/>
            </w:pPr>
            <w:r w:rsidRPr="000323A2">
              <w:t xml:space="preserve"> $163,311 </w:t>
            </w:r>
          </w:p>
        </w:tc>
      </w:tr>
    </w:tbl>
    <w:p w14:paraId="558B35A8" w14:textId="77777777" w:rsidR="000323A2" w:rsidRPr="000323A2" w:rsidRDefault="000323A2" w:rsidP="000323A2">
      <w:pPr>
        <w:spacing w:before="240" w:after="0" w:line="240" w:lineRule="auto"/>
        <w:jc w:val="center"/>
        <w:rPr>
          <w:rFonts w:ascii="Calibri" w:eastAsia="Calibri" w:hAnsi="Calibri" w:cs="Calibri"/>
          <w:b/>
          <w:bCs/>
          <w:color w:val="000000"/>
          <w:szCs w:val="20"/>
        </w:rPr>
      </w:pPr>
      <w:r w:rsidRPr="000323A2">
        <w:rPr>
          <w:rFonts w:ascii="Calibri" w:eastAsia="Calibri" w:hAnsi="Calibri" w:cs="Calibri"/>
          <w:b/>
          <w:bCs/>
          <w:color w:val="000000"/>
          <w:szCs w:val="20"/>
        </w:rPr>
        <w:t>Tabla 2. Tarifas de Gastos de Instalación para Tramos Entre Localidades</w:t>
      </w:r>
    </w:p>
    <w:tbl>
      <w:tblPr>
        <w:tblStyle w:val="Cuadrculadetablaclara1"/>
        <w:tblW w:w="9252" w:type="dxa"/>
        <w:jc w:val="center"/>
        <w:tblLook w:val="00A0" w:firstRow="1" w:lastRow="0" w:firstColumn="1" w:lastColumn="0" w:noHBand="0" w:noVBand="0"/>
        <w:tblCaption w:val="Tabla"/>
        <w:tblDescription w:val="Tabla 2. Tarifas de Gastos de Instalación para Tramos Entre Localidades"/>
      </w:tblPr>
      <w:tblGrid>
        <w:gridCol w:w="2146"/>
        <w:gridCol w:w="2243"/>
        <w:gridCol w:w="2594"/>
        <w:gridCol w:w="2269"/>
      </w:tblGrid>
      <w:tr w:rsidR="000323A2" w:rsidRPr="000323A2" w14:paraId="1729E122" w14:textId="77777777" w:rsidTr="000323A2">
        <w:trPr>
          <w:trHeight w:val="780"/>
          <w:tblHeader/>
          <w:jc w:val="center"/>
        </w:trPr>
        <w:tc>
          <w:tcPr>
            <w:tcW w:w="2146" w:type="dxa"/>
            <w:shd w:val="clear" w:color="auto" w:fill="D9D9D9"/>
          </w:tcPr>
          <w:p w14:paraId="589641A6"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Velocidad</w:t>
            </w:r>
          </w:p>
        </w:tc>
        <w:tc>
          <w:tcPr>
            <w:tcW w:w="2243" w:type="dxa"/>
            <w:shd w:val="clear" w:color="auto" w:fill="D9D9D9"/>
          </w:tcPr>
          <w:p w14:paraId="1761726C"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Gasto de Instalación por Tramo Entre Localidades</w:t>
            </w:r>
          </w:p>
        </w:tc>
        <w:tc>
          <w:tcPr>
            <w:tcW w:w="2594" w:type="dxa"/>
            <w:shd w:val="clear" w:color="auto" w:fill="D9D9D9"/>
          </w:tcPr>
          <w:p w14:paraId="106F490B"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Velocidad</w:t>
            </w:r>
          </w:p>
        </w:tc>
        <w:tc>
          <w:tcPr>
            <w:tcW w:w="2269" w:type="dxa"/>
            <w:shd w:val="clear" w:color="auto" w:fill="D9D9D9"/>
          </w:tcPr>
          <w:p w14:paraId="1851DA21"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Gasto de Instalación por Tramo Entre Localidades</w:t>
            </w:r>
          </w:p>
        </w:tc>
      </w:tr>
      <w:tr w:rsidR="000323A2" w:rsidRPr="000323A2" w14:paraId="2EBD891B" w14:textId="77777777" w:rsidTr="000323A2">
        <w:trPr>
          <w:trHeight w:val="285"/>
          <w:jc w:val="center"/>
        </w:trPr>
        <w:tc>
          <w:tcPr>
            <w:tcW w:w="2146" w:type="dxa"/>
            <w:noWrap/>
          </w:tcPr>
          <w:p w14:paraId="3CAE9138" w14:textId="77777777" w:rsidR="000323A2" w:rsidRPr="000323A2" w:rsidRDefault="000323A2" w:rsidP="000323A2">
            <w:pPr>
              <w:spacing w:before="240"/>
              <w:jc w:val="center"/>
              <w:rPr>
                <w:rFonts w:cs="Calibri"/>
                <w:color w:val="000000"/>
              </w:rPr>
            </w:pPr>
            <w:r w:rsidRPr="000323A2">
              <w:rPr>
                <w:rFonts w:cs="Calibri"/>
                <w:color w:val="000000"/>
              </w:rPr>
              <w:t>64 Kbps</w:t>
            </w:r>
          </w:p>
        </w:tc>
        <w:tc>
          <w:tcPr>
            <w:tcW w:w="2243" w:type="dxa"/>
            <w:noWrap/>
          </w:tcPr>
          <w:p w14:paraId="1005F035" w14:textId="77777777" w:rsidR="000323A2" w:rsidRPr="000323A2" w:rsidRDefault="000323A2" w:rsidP="000323A2">
            <w:pPr>
              <w:spacing w:before="240"/>
              <w:jc w:val="center"/>
              <w:rPr>
                <w:rFonts w:cs="Calibri"/>
                <w:color w:val="000000"/>
              </w:rPr>
            </w:pPr>
            <w:r w:rsidRPr="000323A2">
              <w:t xml:space="preserve"> $967 </w:t>
            </w:r>
          </w:p>
        </w:tc>
        <w:tc>
          <w:tcPr>
            <w:tcW w:w="2594" w:type="dxa"/>
            <w:noWrap/>
          </w:tcPr>
          <w:p w14:paraId="4EDCD315" w14:textId="77777777" w:rsidR="000323A2" w:rsidRPr="000323A2" w:rsidRDefault="000323A2" w:rsidP="000323A2">
            <w:pPr>
              <w:spacing w:before="240"/>
              <w:jc w:val="center"/>
              <w:rPr>
                <w:rFonts w:cs="Calibri"/>
                <w:color w:val="000000"/>
              </w:rPr>
            </w:pPr>
            <w:r w:rsidRPr="000323A2">
              <w:rPr>
                <w:rFonts w:cs="Calibri"/>
                <w:color w:val="000000"/>
              </w:rPr>
              <w:t>Ethernet 2 Mbps</w:t>
            </w:r>
          </w:p>
        </w:tc>
        <w:tc>
          <w:tcPr>
            <w:tcW w:w="2269" w:type="dxa"/>
            <w:noWrap/>
          </w:tcPr>
          <w:p w14:paraId="089A9E74"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54DA7970" w14:textId="77777777" w:rsidTr="000323A2">
        <w:trPr>
          <w:trHeight w:val="285"/>
          <w:jc w:val="center"/>
        </w:trPr>
        <w:tc>
          <w:tcPr>
            <w:tcW w:w="2146" w:type="dxa"/>
            <w:noWrap/>
          </w:tcPr>
          <w:p w14:paraId="384196CB" w14:textId="77777777" w:rsidR="000323A2" w:rsidRPr="000323A2" w:rsidRDefault="000323A2" w:rsidP="000323A2">
            <w:pPr>
              <w:spacing w:before="240"/>
              <w:jc w:val="center"/>
              <w:rPr>
                <w:rFonts w:cs="Calibri"/>
                <w:color w:val="000000"/>
              </w:rPr>
            </w:pPr>
            <w:r w:rsidRPr="000323A2">
              <w:rPr>
                <w:rFonts w:cs="Calibri"/>
                <w:color w:val="000000"/>
              </w:rPr>
              <w:t>128 Kbps</w:t>
            </w:r>
          </w:p>
        </w:tc>
        <w:tc>
          <w:tcPr>
            <w:tcW w:w="2243" w:type="dxa"/>
            <w:noWrap/>
          </w:tcPr>
          <w:p w14:paraId="4742B63F" w14:textId="77777777" w:rsidR="000323A2" w:rsidRPr="000323A2" w:rsidRDefault="000323A2" w:rsidP="000323A2">
            <w:pPr>
              <w:spacing w:before="240"/>
              <w:jc w:val="center"/>
              <w:rPr>
                <w:rFonts w:cs="Calibri"/>
                <w:color w:val="000000"/>
              </w:rPr>
            </w:pPr>
            <w:r w:rsidRPr="000323A2">
              <w:t xml:space="preserve"> $1,127 </w:t>
            </w:r>
          </w:p>
        </w:tc>
        <w:tc>
          <w:tcPr>
            <w:tcW w:w="2594" w:type="dxa"/>
            <w:noWrap/>
          </w:tcPr>
          <w:p w14:paraId="65567A2F" w14:textId="77777777" w:rsidR="000323A2" w:rsidRPr="000323A2" w:rsidRDefault="000323A2" w:rsidP="000323A2">
            <w:pPr>
              <w:spacing w:before="240"/>
              <w:jc w:val="center"/>
              <w:rPr>
                <w:rFonts w:cs="Calibri"/>
                <w:color w:val="000000"/>
              </w:rPr>
            </w:pPr>
            <w:r w:rsidRPr="000323A2">
              <w:rPr>
                <w:rFonts w:cs="Calibri"/>
                <w:color w:val="000000"/>
              </w:rPr>
              <w:t>Ethernet 4 Mbps</w:t>
            </w:r>
          </w:p>
        </w:tc>
        <w:tc>
          <w:tcPr>
            <w:tcW w:w="2269" w:type="dxa"/>
            <w:noWrap/>
          </w:tcPr>
          <w:p w14:paraId="419A3B1C"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4C9C8DE5" w14:textId="77777777" w:rsidTr="000323A2">
        <w:trPr>
          <w:trHeight w:val="285"/>
          <w:jc w:val="center"/>
        </w:trPr>
        <w:tc>
          <w:tcPr>
            <w:tcW w:w="2146" w:type="dxa"/>
            <w:noWrap/>
          </w:tcPr>
          <w:p w14:paraId="5C71967A" w14:textId="77777777" w:rsidR="000323A2" w:rsidRPr="000323A2" w:rsidRDefault="000323A2" w:rsidP="000323A2">
            <w:pPr>
              <w:spacing w:before="240"/>
              <w:jc w:val="center"/>
              <w:rPr>
                <w:rFonts w:cs="Calibri"/>
                <w:color w:val="000000"/>
              </w:rPr>
            </w:pPr>
            <w:r w:rsidRPr="000323A2">
              <w:rPr>
                <w:rFonts w:cs="Calibri"/>
                <w:color w:val="000000"/>
              </w:rPr>
              <w:t>192 Kbps</w:t>
            </w:r>
          </w:p>
        </w:tc>
        <w:tc>
          <w:tcPr>
            <w:tcW w:w="2243" w:type="dxa"/>
            <w:noWrap/>
          </w:tcPr>
          <w:p w14:paraId="0CA6A987" w14:textId="77777777" w:rsidR="000323A2" w:rsidRPr="000323A2" w:rsidRDefault="000323A2" w:rsidP="000323A2">
            <w:pPr>
              <w:spacing w:before="240"/>
              <w:jc w:val="center"/>
              <w:rPr>
                <w:rFonts w:cs="Calibri"/>
                <w:color w:val="000000"/>
              </w:rPr>
            </w:pPr>
            <w:r w:rsidRPr="000323A2">
              <w:t xml:space="preserve"> $1,269 </w:t>
            </w:r>
          </w:p>
        </w:tc>
        <w:tc>
          <w:tcPr>
            <w:tcW w:w="2594" w:type="dxa"/>
            <w:noWrap/>
          </w:tcPr>
          <w:p w14:paraId="70C26666" w14:textId="77777777" w:rsidR="000323A2" w:rsidRPr="000323A2" w:rsidRDefault="000323A2" w:rsidP="000323A2">
            <w:pPr>
              <w:spacing w:before="240"/>
              <w:jc w:val="center"/>
              <w:rPr>
                <w:rFonts w:cs="Calibri"/>
                <w:color w:val="000000"/>
              </w:rPr>
            </w:pPr>
            <w:r w:rsidRPr="000323A2">
              <w:rPr>
                <w:rFonts w:cs="Calibri"/>
                <w:color w:val="000000"/>
              </w:rPr>
              <w:t>Ethernet 6 Mbps</w:t>
            </w:r>
          </w:p>
        </w:tc>
        <w:tc>
          <w:tcPr>
            <w:tcW w:w="2269" w:type="dxa"/>
            <w:noWrap/>
          </w:tcPr>
          <w:p w14:paraId="6CDF4665"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1C0587FE" w14:textId="77777777" w:rsidTr="000323A2">
        <w:trPr>
          <w:trHeight w:val="285"/>
          <w:jc w:val="center"/>
        </w:trPr>
        <w:tc>
          <w:tcPr>
            <w:tcW w:w="2146" w:type="dxa"/>
            <w:noWrap/>
          </w:tcPr>
          <w:p w14:paraId="2CFC781D" w14:textId="77777777" w:rsidR="000323A2" w:rsidRPr="000323A2" w:rsidRDefault="000323A2" w:rsidP="000323A2">
            <w:pPr>
              <w:spacing w:before="240"/>
              <w:jc w:val="center"/>
              <w:rPr>
                <w:rFonts w:cs="Calibri"/>
                <w:color w:val="000000"/>
              </w:rPr>
            </w:pPr>
            <w:r w:rsidRPr="000323A2">
              <w:rPr>
                <w:rFonts w:cs="Calibri"/>
                <w:color w:val="000000"/>
              </w:rPr>
              <w:lastRenderedPageBreak/>
              <w:t>256 Kbps</w:t>
            </w:r>
          </w:p>
        </w:tc>
        <w:tc>
          <w:tcPr>
            <w:tcW w:w="2243" w:type="dxa"/>
            <w:noWrap/>
          </w:tcPr>
          <w:p w14:paraId="6C98B5EB" w14:textId="77777777" w:rsidR="000323A2" w:rsidRPr="000323A2" w:rsidRDefault="000323A2" w:rsidP="000323A2">
            <w:pPr>
              <w:spacing w:before="240"/>
              <w:jc w:val="center"/>
              <w:rPr>
                <w:rFonts w:cs="Calibri"/>
                <w:color w:val="000000"/>
              </w:rPr>
            </w:pPr>
            <w:r w:rsidRPr="000323A2">
              <w:t xml:space="preserve"> $1,409 </w:t>
            </w:r>
          </w:p>
        </w:tc>
        <w:tc>
          <w:tcPr>
            <w:tcW w:w="2594" w:type="dxa"/>
            <w:noWrap/>
          </w:tcPr>
          <w:p w14:paraId="3987D9DB" w14:textId="77777777" w:rsidR="000323A2" w:rsidRPr="000323A2" w:rsidRDefault="000323A2" w:rsidP="000323A2">
            <w:pPr>
              <w:spacing w:before="240"/>
              <w:jc w:val="center"/>
              <w:rPr>
                <w:rFonts w:cs="Calibri"/>
                <w:color w:val="000000"/>
              </w:rPr>
            </w:pPr>
            <w:r w:rsidRPr="000323A2">
              <w:rPr>
                <w:rFonts w:cs="Calibri"/>
                <w:color w:val="000000"/>
              </w:rPr>
              <w:t>Ethernet 8 Mbps</w:t>
            </w:r>
          </w:p>
        </w:tc>
        <w:tc>
          <w:tcPr>
            <w:tcW w:w="2269" w:type="dxa"/>
            <w:noWrap/>
          </w:tcPr>
          <w:p w14:paraId="2BBD662D"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2046BC26" w14:textId="77777777" w:rsidTr="000323A2">
        <w:trPr>
          <w:trHeight w:val="285"/>
          <w:jc w:val="center"/>
        </w:trPr>
        <w:tc>
          <w:tcPr>
            <w:tcW w:w="2146" w:type="dxa"/>
            <w:noWrap/>
          </w:tcPr>
          <w:p w14:paraId="1B3EE53B" w14:textId="77777777" w:rsidR="000323A2" w:rsidRPr="000323A2" w:rsidRDefault="000323A2" w:rsidP="000323A2">
            <w:pPr>
              <w:spacing w:before="240"/>
              <w:jc w:val="center"/>
              <w:rPr>
                <w:rFonts w:cs="Calibri"/>
                <w:color w:val="000000"/>
              </w:rPr>
            </w:pPr>
            <w:r w:rsidRPr="000323A2">
              <w:rPr>
                <w:rFonts w:cs="Calibri"/>
                <w:color w:val="000000"/>
              </w:rPr>
              <w:t>384 Kbps</w:t>
            </w:r>
          </w:p>
        </w:tc>
        <w:tc>
          <w:tcPr>
            <w:tcW w:w="2243" w:type="dxa"/>
            <w:noWrap/>
          </w:tcPr>
          <w:p w14:paraId="56ECC69F" w14:textId="77777777" w:rsidR="000323A2" w:rsidRPr="000323A2" w:rsidRDefault="000323A2" w:rsidP="000323A2">
            <w:pPr>
              <w:spacing w:before="240"/>
              <w:jc w:val="center"/>
              <w:rPr>
                <w:rFonts w:cs="Calibri"/>
                <w:color w:val="000000"/>
              </w:rPr>
            </w:pPr>
            <w:r w:rsidRPr="000323A2">
              <w:t xml:space="preserve"> $1,550 </w:t>
            </w:r>
          </w:p>
        </w:tc>
        <w:tc>
          <w:tcPr>
            <w:tcW w:w="2594" w:type="dxa"/>
            <w:noWrap/>
          </w:tcPr>
          <w:p w14:paraId="548CB8D2" w14:textId="77777777" w:rsidR="000323A2" w:rsidRPr="000323A2" w:rsidRDefault="000323A2" w:rsidP="000323A2">
            <w:pPr>
              <w:spacing w:before="240"/>
              <w:jc w:val="center"/>
              <w:rPr>
                <w:rFonts w:cs="Calibri"/>
                <w:color w:val="000000"/>
              </w:rPr>
            </w:pPr>
            <w:r w:rsidRPr="000323A2">
              <w:rPr>
                <w:rFonts w:cs="Calibri"/>
                <w:color w:val="000000"/>
              </w:rPr>
              <w:t>Ethernet 10 Mbps</w:t>
            </w:r>
          </w:p>
        </w:tc>
        <w:tc>
          <w:tcPr>
            <w:tcW w:w="2269" w:type="dxa"/>
            <w:noWrap/>
          </w:tcPr>
          <w:p w14:paraId="359B422E"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7E5EFE0C" w14:textId="77777777" w:rsidTr="000323A2">
        <w:trPr>
          <w:trHeight w:val="285"/>
          <w:jc w:val="center"/>
        </w:trPr>
        <w:tc>
          <w:tcPr>
            <w:tcW w:w="2146" w:type="dxa"/>
            <w:noWrap/>
          </w:tcPr>
          <w:p w14:paraId="54ACC4B0" w14:textId="77777777" w:rsidR="000323A2" w:rsidRPr="000323A2" w:rsidRDefault="000323A2" w:rsidP="000323A2">
            <w:pPr>
              <w:spacing w:before="240"/>
              <w:jc w:val="center"/>
              <w:rPr>
                <w:rFonts w:cs="Calibri"/>
                <w:color w:val="000000"/>
              </w:rPr>
            </w:pPr>
            <w:r w:rsidRPr="000323A2">
              <w:rPr>
                <w:rFonts w:cs="Calibri"/>
                <w:color w:val="000000"/>
              </w:rPr>
              <w:t>512 Kbps</w:t>
            </w:r>
          </w:p>
        </w:tc>
        <w:tc>
          <w:tcPr>
            <w:tcW w:w="2243" w:type="dxa"/>
            <w:noWrap/>
          </w:tcPr>
          <w:p w14:paraId="03026756" w14:textId="77777777" w:rsidR="000323A2" w:rsidRPr="000323A2" w:rsidRDefault="000323A2" w:rsidP="000323A2">
            <w:pPr>
              <w:spacing w:before="240"/>
              <w:jc w:val="center"/>
              <w:rPr>
                <w:rFonts w:cs="Calibri"/>
                <w:color w:val="000000"/>
              </w:rPr>
            </w:pPr>
            <w:r w:rsidRPr="000323A2">
              <w:t xml:space="preserve"> $1,691 </w:t>
            </w:r>
          </w:p>
        </w:tc>
        <w:tc>
          <w:tcPr>
            <w:tcW w:w="2594" w:type="dxa"/>
            <w:noWrap/>
          </w:tcPr>
          <w:p w14:paraId="0E430817" w14:textId="77777777" w:rsidR="000323A2" w:rsidRPr="000323A2" w:rsidRDefault="000323A2" w:rsidP="000323A2">
            <w:pPr>
              <w:spacing w:before="240"/>
              <w:jc w:val="center"/>
              <w:rPr>
                <w:rFonts w:cs="Calibri"/>
                <w:color w:val="000000"/>
              </w:rPr>
            </w:pPr>
            <w:r w:rsidRPr="000323A2">
              <w:rPr>
                <w:rFonts w:cs="Calibri"/>
                <w:color w:val="000000"/>
              </w:rPr>
              <w:t>Ethernet 20 Mbps</w:t>
            </w:r>
          </w:p>
        </w:tc>
        <w:tc>
          <w:tcPr>
            <w:tcW w:w="2269" w:type="dxa"/>
            <w:noWrap/>
          </w:tcPr>
          <w:p w14:paraId="3C9A1687"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45D37FFB" w14:textId="77777777" w:rsidTr="000323A2">
        <w:trPr>
          <w:trHeight w:val="285"/>
          <w:jc w:val="center"/>
        </w:trPr>
        <w:tc>
          <w:tcPr>
            <w:tcW w:w="2146" w:type="dxa"/>
            <w:noWrap/>
          </w:tcPr>
          <w:p w14:paraId="1D451DBA" w14:textId="77777777" w:rsidR="000323A2" w:rsidRPr="000323A2" w:rsidRDefault="000323A2" w:rsidP="000323A2">
            <w:pPr>
              <w:spacing w:before="240"/>
              <w:jc w:val="center"/>
              <w:rPr>
                <w:rFonts w:cs="Calibri"/>
                <w:color w:val="000000"/>
              </w:rPr>
            </w:pPr>
            <w:r w:rsidRPr="000323A2">
              <w:rPr>
                <w:rFonts w:cs="Calibri"/>
                <w:color w:val="000000"/>
              </w:rPr>
              <w:t>768 Kbps</w:t>
            </w:r>
          </w:p>
        </w:tc>
        <w:tc>
          <w:tcPr>
            <w:tcW w:w="2243" w:type="dxa"/>
            <w:noWrap/>
          </w:tcPr>
          <w:p w14:paraId="7F923CB6" w14:textId="77777777" w:rsidR="000323A2" w:rsidRPr="000323A2" w:rsidRDefault="000323A2" w:rsidP="000323A2">
            <w:pPr>
              <w:spacing w:before="240"/>
              <w:jc w:val="center"/>
              <w:rPr>
                <w:rFonts w:cs="Calibri"/>
                <w:color w:val="000000"/>
              </w:rPr>
            </w:pPr>
            <w:r w:rsidRPr="000323A2">
              <w:t xml:space="preserve"> $1,832 </w:t>
            </w:r>
          </w:p>
        </w:tc>
        <w:tc>
          <w:tcPr>
            <w:tcW w:w="2594" w:type="dxa"/>
            <w:noWrap/>
          </w:tcPr>
          <w:p w14:paraId="283011A6" w14:textId="77777777" w:rsidR="000323A2" w:rsidRPr="000323A2" w:rsidRDefault="000323A2" w:rsidP="000323A2">
            <w:pPr>
              <w:spacing w:before="240"/>
              <w:jc w:val="center"/>
              <w:rPr>
                <w:rFonts w:cs="Calibri"/>
                <w:color w:val="000000"/>
              </w:rPr>
            </w:pPr>
            <w:r w:rsidRPr="000323A2">
              <w:rPr>
                <w:rFonts w:cs="Calibri"/>
                <w:color w:val="000000"/>
              </w:rPr>
              <w:t>Ethernet 30 Mbps</w:t>
            </w:r>
          </w:p>
        </w:tc>
        <w:tc>
          <w:tcPr>
            <w:tcW w:w="2269" w:type="dxa"/>
            <w:noWrap/>
          </w:tcPr>
          <w:p w14:paraId="5721C6C6"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19256823" w14:textId="77777777" w:rsidTr="000323A2">
        <w:trPr>
          <w:trHeight w:val="285"/>
          <w:jc w:val="center"/>
        </w:trPr>
        <w:tc>
          <w:tcPr>
            <w:tcW w:w="2146" w:type="dxa"/>
            <w:noWrap/>
          </w:tcPr>
          <w:p w14:paraId="5DE1A928" w14:textId="77777777" w:rsidR="000323A2" w:rsidRPr="000323A2" w:rsidRDefault="000323A2" w:rsidP="000323A2">
            <w:pPr>
              <w:spacing w:before="240"/>
              <w:jc w:val="center"/>
              <w:rPr>
                <w:rFonts w:cs="Calibri"/>
                <w:color w:val="000000"/>
              </w:rPr>
            </w:pPr>
            <w:r w:rsidRPr="000323A2">
              <w:rPr>
                <w:rFonts w:cs="Calibri"/>
                <w:color w:val="000000"/>
              </w:rPr>
              <w:t>1024 Kbps</w:t>
            </w:r>
          </w:p>
        </w:tc>
        <w:tc>
          <w:tcPr>
            <w:tcW w:w="2243" w:type="dxa"/>
            <w:noWrap/>
          </w:tcPr>
          <w:p w14:paraId="35234FBB" w14:textId="77777777" w:rsidR="000323A2" w:rsidRPr="000323A2" w:rsidRDefault="000323A2" w:rsidP="000323A2">
            <w:pPr>
              <w:spacing w:before="240"/>
              <w:jc w:val="center"/>
              <w:rPr>
                <w:rFonts w:cs="Calibri"/>
                <w:color w:val="000000"/>
              </w:rPr>
            </w:pPr>
            <w:r w:rsidRPr="000323A2">
              <w:t xml:space="preserve"> $1,973 </w:t>
            </w:r>
          </w:p>
        </w:tc>
        <w:tc>
          <w:tcPr>
            <w:tcW w:w="2594" w:type="dxa"/>
            <w:noWrap/>
          </w:tcPr>
          <w:p w14:paraId="26B67780" w14:textId="77777777" w:rsidR="000323A2" w:rsidRPr="000323A2" w:rsidRDefault="000323A2" w:rsidP="000323A2">
            <w:pPr>
              <w:spacing w:before="240"/>
              <w:jc w:val="center"/>
              <w:rPr>
                <w:rFonts w:cs="Calibri"/>
                <w:color w:val="000000"/>
              </w:rPr>
            </w:pPr>
            <w:r w:rsidRPr="000323A2">
              <w:rPr>
                <w:rFonts w:cs="Calibri"/>
                <w:color w:val="000000"/>
              </w:rPr>
              <w:t>Ethernet 40 Mbps</w:t>
            </w:r>
          </w:p>
        </w:tc>
        <w:tc>
          <w:tcPr>
            <w:tcW w:w="2269" w:type="dxa"/>
            <w:noWrap/>
          </w:tcPr>
          <w:p w14:paraId="411336AD"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3CEB71A4" w14:textId="77777777" w:rsidTr="000323A2">
        <w:trPr>
          <w:trHeight w:val="285"/>
          <w:jc w:val="center"/>
        </w:trPr>
        <w:tc>
          <w:tcPr>
            <w:tcW w:w="2146" w:type="dxa"/>
            <w:noWrap/>
          </w:tcPr>
          <w:p w14:paraId="4B18BFA9" w14:textId="77777777" w:rsidR="000323A2" w:rsidRPr="000323A2" w:rsidRDefault="000323A2" w:rsidP="000323A2">
            <w:pPr>
              <w:spacing w:before="240"/>
              <w:jc w:val="center"/>
              <w:rPr>
                <w:rFonts w:cs="Calibri"/>
                <w:color w:val="000000"/>
              </w:rPr>
            </w:pPr>
            <w:r w:rsidRPr="000323A2">
              <w:rPr>
                <w:rFonts w:cs="Calibri"/>
                <w:color w:val="000000"/>
              </w:rPr>
              <w:t>E1 (2 Mbps)</w:t>
            </w:r>
          </w:p>
        </w:tc>
        <w:tc>
          <w:tcPr>
            <w:tcW w:w="2243" w:type="dxa"/>
            <w:noWrap/>
          </w:tcPr>
          <w:p w14:paraId="0F7D9209" w14:textId="77777777" w:rsidR="000323A2" w:rsidRPr="000323A2" w:rsidRDefault="000323A2" w:rsidP="000323A2">
            <w:pPr>
              <w:spacing w:before="240"/>
              <w:jc w:val="center"/>
              <w:rPr>
                <w:rFonts w:cs="Calibri"/>
                <w:color w:val="000000"/>
              </w:rPr>
            </w:pPr>
            <w:r w:rsidRPr="000323A2">
              <w:t xml:space="preserve"> $3,225 </w:t>
            </w:r>
          </w:p>
        </w:tc>
        <w:tc>
          <w:tcPr>
            <w:tcW w:w="2594" w:type="dxa"/>
            <w:noWrap/>
          </w:tcPr>
          <w:p w14:paraId="5F581C5D" w14:textId="77777777" w:rsidR="000323A2" w:rsidRPr="000323A2" w:rsidRDefault="000323A2" w:rsidP="000323A2">
            <w:pPr>
              <w:spacing w:before="240"/>
              <w:jc w:val="center"/>
              <w:rPr>
                <w:rFonts w:cs="Calibri"/>
                <w:color w:val="000000"/>
              </w:rPr>
            </w:pPr>
            <w:r w:rsidRPr="000323A2">
              <w:rPr>
                <w:rFonts w:cs="Calibri"/>
                <w:color w:val="000000"/>
              </w:rPr>
              <w:t>Ethernet 50 Mbps</w:t>
            </w:r>
          </w:p>
        </w:tc>
        <w:tc>
          <w:tcPr>
            <w:tcW w:w="2269" w:type="dxa"/>
            <w:noWrap/>
          </w:tcPr>
          <w:p w14:paraId="5245055C"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4F498540" w14:textId="77777777" w:rsidTr="000323A2">
        <w:trPr>
          <w:trHeight w:val="285"/>
          <w:jc w:val="center"/>
        </w:trPr>
        <w:tc>
          <w:tcPr>
            <w:tcW w:w="2146" w:type="dxa"/>
            <w:noWrap/>
          </w:tcPr>
          <w:p w14:paraId="2F73648A" w14:textId="77777777" w:rsidR="000323A2" w:rsidRPr="000323A2" w:rsidRDefault="000323A2" w:rsidP="000323A2">
            <w:pPr>
              <w:spacing w:before="240"/>
              <w:jc w:val="center"/>
              <w:rPr>
                <w:rFonts w:cs="Calibri"/>
                <w:color w:val="000000"/>
              </w:rPr>
            </w:pPr>
            <w:r w:rsidRPr="000323A2">
              <w:rPr>
                <w:rFonts w:cs="Calibri"/>
                <w:color w:val="000000"/>
              </w:rPr>
              <w:t>E2 (8 Mbps)</w:t>
            </w:r>
          </w:p>
        </w:tc>
        <w:tc>
          <w:tcPr>
            <w:tcW w:w="2243" w:type="dxa"/>
            <w:noWrap/>
          </w:tcPr>
          <w:p w14:paraId="78E4D24E" w14:textId="77777777" w:rsidR="000323A2" w:rsidRPr="000323A2" w:rsidRDefault="000323A2" w:rsidP="000323A2">
            <w:pPr>
              <w:spacing w:before="240"/>
              <w:jc w:val="center"/>
              <w:rPr>
                <w:rFonts w:cs="Calibri"/>
                <w:color w:val="000000"/>
              </w:rPr>
            </w:pPr>
            <w:r w:rsidRPr="000323A2">
              <w:t xml:space="preserve"> $12,899 </w:t>
            </w:r>
          </w:p>
        </w:tc>
        <w:tc>
          <w:tcPr>
            <w:tcW w:w="2594" w:type="dxa"/>
            <w:noWrap/>
          </w:tcPr>
          <w:p w14:paraId="7D64E1CF" w14:textId="77777777" w:rsidR="000323A2" w:rsidRPr="000323A2" w:rsidRDefault="000323A2" w:rsidP="000323A2">
            <w:pPr>
              <w:spacing w:before="240"/>
              <w:jc w:val="center"/>
              <w:rPr>
                <w:rFonts w:cs="Calibri"/>
                <w:color w:val="000000"/>
              </w:rPr>
            </w:pPr>
            <w:r w:rsidRPr="000323A2">
              <w:rPr>
                <w:rFonts w:cs="Calibri"/>
                <w:color w:val="000000"/>
              </w:rPr>
              <w:t>Ethernet 60 Mbps</w:t>
            </w:r>
          </w:p>
        </w:tc>
        <w:tc>
          <w:tcPr>
            <w:tcW w:w="2269" w:type="dxa"/>
            <w:noWrap/>
          </w:tcPr>
          <w:p w14:paraId="2237BC8F"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2CCF6B2A" w14:textId="77777777" w:rsidTr="000323A2">
        <w:trPr>
          <w:trHeight w:val="285"/>
          <w:jc w:val="center"/>
        </w:trPr>
        <w:tc>
          <w:tcPr>
            <w:tcW w:w="2146" w:type="dxa"/>
            <w:noWrap/>
          </w:tcPr>
          <w:p w14:paraId="5289D725" w14:textId="77777777" w:rsidR="000323A2" w:rsidRPr="000323A2" w:rsidRDefault="000323A2" w:rsidP="000323A2">
            <w:pPr>
              <w:spacing w:before="240"/>
              <w:jc w:val="center"/>
              <w:rPr>
                <w:rFonts w:cs="Calibri"/>
                <w:color w:val="000000"/>
              </w:rPr>
            </w:pPr>
            <w:r w:rsidRPr="000323A2">
              <w:rPr>
                <w:rFonts w:cs="Calibri"/>
                <w:color w:val="000000"/>
              </w:rPr>
              <w:t>E3 (34 Mbps)</w:t>
            </w:r>
          </w:p>
        </w:tc>
        <w:tc>
          <w:tcPr>
            <w:tcW w:w="2243" w:type="dxa"/>
            <w:noWrap/>
          </w:tcPr>
          <w:p w14:paraId="0D0F79B1" w14:textId="77777777" w:rsidR="000323A2" w:rsidRPr="000323A2" w:rsidRDefault="000323A2" w:rsidP="000323A2">
            <w:pPr>
              <w:spacing w:before="240"/>
              <w:jc w:val="center"/>
              <w:rPr>
                <w:rFonts w:cs="Calibri"/>
                <w:color w:val="000000"/>
              </w:rPr>
            </w:pPr>
            <w:r w:rsidRPr="000323A2">
              <w:t xml:space="preserve"> $33,852 </w:t>
            </w:r>
          </w:p>
        </w:tc>
        <w:tc>
          <w:tcPr>
            <w:tcW w:w="2594" w:type="dxa"/>
            <w:noWrap/>
          </w:tcPr>
          <w:p w14:paraId="25BC2736" w14:textId="77777777" w:rsidR="000323A2" w:rsidRPr="000323A2" w:rsidRDefault="000323A2" w:rsidP="000323A2">
            <w:pPr>
              <w:spacing w:before="240"/>
              <w:jc w:val="center"/>
              <w:rPr>
                <w:rFonts w:cs="Calibri"/>
                <w:color w:val="000000"/>
              </w:rPr>
            </w:pPr>
            <w:r w:rsidRPr="000323A2">
              <w:rPr>
                <w:rFonts w:cs="Calibri"/>
                <w:color w:val="000000"/>
              </w:rPr>
              <w:t>Ethernet 70 Mbps</w:t>
            </w:r>
          </w:p>
        </w:tc>
        <w:tc>
          <w:tcPr>
            <w:tcW w:w="2269" w:type="dxa"/>
            <w:noWrap/>
          </w:tcPr>
          <w:p w14:paraId="3E390707"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2A23135E" w14:textId="77777777" w:rsidTr="000323A2">
        <w:trPr>
          <w:trHeight w:val="285"/>
          <w:jc w:val="center"/>
        </w:trPr>
        <w:tc>
          <w:tcPr>
            <w:tcW w:w="2146" w:type="dxa"/>
            <w:noWrap/>
          </w:tcPr>
          <w:p w14:paraId="2C4EF902" w14:textId="77777777" w:rsidR="000323A2" w:rsidRPr="000323A2" w:rsidRDefault="000323A2" w:rsidP="000323A2">
            <w:pPr>
              <w:spacing w:before="240"/>
              <w:jc w:val="center"/>
              <w:rPr>
                <w:rFonts w:cs="Calibri"/>
                <w:color w:val="000000"/>
              </w:rPr>
            </w:pPr>
            <w:r w:rsidRPr="000323A2">
              <w:rPr>
                <w:rFonts w:cs="Calibri"/>
                <w:color w:val="000000"/>
              </w:rPr>
              <w:t xml:space="preserve">E4 (139 Mbps) </w:t>
            </w:r>
          </w:p>
        </w:tc>
        <w:tc>
          <w:tcPr>
            <w:tcW w:w="2243" w:type="dxa"/>
            <w:noWrap/>
          </w:tcPr>
          <w:p w14:paraId="6CB397E4" w14:textId="77777777" w:rsidR="000323A2" w:rsidRPr="000323A2" w:rsidRDefault="000323A2" w:rsidP="000323A2">
            <w:pPr>
              <w:spacing w:before="240"/>
              <w:jc w:val="center"/>
              <w:rPr>
                <w:rFonts w:cs="Calibri"/>
                <w:color w:val="000000"/>
              </w:rPr>
            </w:pPr>
            <w:r w:rsidRPr="000323A2">
              <w:t xml:space="preserve"> $107,968 </w:t>
            </w:r>
          </w:p>
        </w:tc>
        <w:tc>
          <w:tcPr>
            <w:tcW w:w="2594" w:type="dxa"/>
            <w:noWrap/>
          </w:tcPr>
          <w:p w14:paraId="40D701AF" w14:textId="77777777" w:rsidR="000323A2" w:rsidRPr="000323A2" w:rsidRDefault="000323A2" w:rsidP="000323A2">
            <w:pPr>
              <w:spacing w:before="240"/>
              <w:jc w:val="center"/>
              <w:rPr>
                <w:rFonts w:cs="Calibri"/>
                <w:color w:val="000000"/>
              </w:rPr>
            </w:pPr>
            <w:r w:rsidRPr="000323A2">
              <w:rPr>
                <w:rFonts w:cs="Calibri"/>
                <w:color w:val="000000"/>
              </w:rPr>
              <w:t>Ethernet 80 Mbps</w:t>
            </w:r>
          </w:p>
        </w:tc>
        <w:tc>
          <w:tcPr>
            <w:tcW w:w="2269" w:type="dxa"/>
            <w:noWrap/>
          </w:tcPr>
          <w:p w14:paraId="13687A28"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4BF7B6AD" w14:textId="77777777" w:rsidTr="000323A2">
        <w:trPr>
          <w:trHeight w:val="285"/>
          <w:jc w:val="center"/>
        </w:trPr>
        <w:tc>
          <w:tcPr>
            <w:tcW w:w="2146" w:type="dxa"/>
            <w:noWrap/>
          </w:tcPr>
          <w:p w14:paraId="1EAAD7E4" w14:textId="77777777" w:rsidR="000323A2" w:rsidRPr="000323A2" w:rsidRDefault="000323A2" w:rsidP="000323A2">
            <w:pPr>
              <w:spacing w:before="240"/>
              <w:jc w:val="center"/>
              <w:rPr>
                <w:rFonts w:cs="Calibri"/>
                <w:color w:val="000000"/>
              </w:rPr>
            </w:pPr>
            <w:r w:rsidRPr="000323A2">
              <w:rPr>
                <w:rFonts w:cs="Calibri"/>
                <w:color w:val="000000"/>
              </w:rPr>
              <w:t xml:space="preserve">STM1 (155 Mbps) </w:t>
            </w:r>
          </w:p>
        </w:tc>
        <w:tc>
          <w:tcPr>
            <w:tcW w:w="2243" w:type="dxa"/>
            <w:noWrap/>
          </w:tcPr>
          <w:p w14:paraId="1B28F808" w14:textId="77777777" w:rsidR="000323A2" w:rsidRPr="000323A2" w:rsidRDefault="000323A2" w:rsidP="000323A2">
            <w:pPr>
              <w:spacing w:before="240"/>
              <w:jc w:val="center"/>
              <w:rPr>
                <w:rFonts w:cs="Calibri"/>
                <w:color w:val="000000"/>
              </w:rPr>
            </w:pPr>
            <w:r w:rsidRPr="000323A2">
              <w:t xml:space="preserve"> $107,968 </w:t>
            </w:r>
          </w:p>
        </w:tc>
        <w:tc>
          <w:tcPr>
            <w:tcW w:w="2594" w:type="dxa"/>
            <w:noWrap/>
          </w:tcPr>
          <w:p w14:paraId="0DC01936" w14:textId="77777777" w:rsidR="000323A2" w:rsidRPr="000323A2" w:rsidRDefault="000323A2" w:rsidP="000323A2">
            <w:pPr>
              <w:spacing w:before="240"/>
              <w:jc w:val="center"/>
              <w:rPr>
                <w:rFonts w:cs="Calibri"/>
                <w:color w:val="000000"/>
              </w:rPr>
            </w:pPr>
            <w:r w:rsidRPr="000323A2">
              <w:rPr>
                <w:rFonts w:cs="Calibri"/>
                <w:color w:val="000000"/>
              </w:rPr>
              <w:t>Ethernet 90 Mbps</w:t>
            </w:r>
          </w:p>
        </w:tc>
        <w:tc>
          <w:tcPr>
            <w:tcW w:w="2269" w:type="dxa"/>
            <w:noWrap/>
          </w:tcPr>
          <w:p w14:paraId="1D93D8FA"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036285D0" w14:textId="77777777" w:rsidTr="000323A2">
        <w:trPr>
          <w:trHeight w:val="285"/>
          <w:jc w:val="center"/>
        </w:trPr>
        <w:tc>
          <w:tcPr>
            <w:tcW w:w="2146" w:type="dxa"/>
            <w:noWrap/>
          </w:tcPr>
          <w:p w14:paraId="7927EC1A" w14:textId="77777777" w:rsidR="000323A2" w:rsidRPr="000323A2" w:rsidRDefault="000323A2" w:rsidP="000323A2">
            <w:pPr>
              <w:spacing w:before="240"/>
              <w:jc w:val="center"/>
              <w:rPr>
                <w:rFonts w:cs="Calibri"/>
                <w:color w:val="000000"/>
              </w:rPr>
            </w:pPr>
            <w:r w:rsidRPr="000323A2">
              <w:rPr>
                <w:rFonts w:cs="Calibri"/>
                <w:color w:val="000000"/>
              </w:rPr>
              <w:t xml:space="preserve">STM4 (622 Mbps) </w:t>
            </w:r>
          </w:p>
        </w:tc>
        <w:tc>
          <w:tcPr>
            <w:tcW w:w="2243" w:type="dxa"/>
            <w:noWrap/>
          </w:tcPr>
          <w:p w14:paraId="0B9998CF" w14:textId="77777777" w:rsidR="000323A2" w:rsidRPr="000323A2" w:rsidRDefault="000323A2" w:rsidP="000323A2">
            <w:pPr>
              <w:spacing w:before="240"/>
              <w:jc w:val="center"/>
              <w:rPr>
                <w:rFonts w:cs="Calibri"/>
                <w:color w:val="000000"/>
              </w:rPr>
            </w:pPr>
            <w:r w:rsidRPr="000323A2">
              <w:t xml:space="preserve"> $349,816 </w:t>
            </w:r>
          </w:p>
        </w:tc>
        <w:tc>
          <w:tcPr>
            <w:tcW w:w="2594" w:type="dxa"/>
            <w:noWrap/>
          </w:tcPr>
          <w:p w14:paraId="1E87FE50" w14:textId="77777777" w:rsidR="000323A2" w:rsidRPr="000323A2" w:rsidRDefault="000323A2" w:rsidP="000323A2">
            <w:pPr>
              <w:spacing w:before="240"/>
              <w:jc w:val="center"/>
              <w:rPr>
                <w:rFonts w:cs="Calibri"/>
                <w:color w:val="000000"/>
              </w:rPr>
            </w:pPr>
            <w:r w:rsidRPr="000323A2">
              <w:rPr>
                <w:rFonts w:cs="Calibri"/>
                <w:color w:val="000000"/>
              </w:rPr>
              <w:t>Ethernet 100 Mbps</w:t>
            </w:r>
          </w:p>
        </w:tc>
        <w:tc>
          <w:tcPr>
            <w:tcW w:w="2269" w:type="dxa"/>
            <w:noWrap/>
          </w:tcPr>
          <w:p w14:paraId="623416FB"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2547A87F" w14:textId="77777777" w:rsidTr="000323A2">
        <w:trPr>
          <w:trHeight w:val="285"/>
          <w:jc w:val="center"/>
        </w:trPr>
        <w:tc>
          <w:tcPr>
            <w:tcW w:w="2146" w:type="dxa"/>
            <w:noWrap/>
          </w:tcPr>
          <w:p w14:paraId="75B41BE1" w14:textId="77777777" w:rsidR="000323A2" w:rsidRPr="000323A2" w:rsidRDefault="000323A2" w:rsidP="000323A2">
            <w:pPr>
              <w:spacing w:before="240"/>
              <w:jc w:val="center"/>
              <w:rPr>
                <w:rFonts w:cs="Calibri"/>
                <w:color w:val="000000"/>
              </w:rPr>
            </w:pPr>
            <w:r w:rsidRPr="000323A2">
              <w:rPr>
                <w:rFonts w:cs="Calibri"/>
                <w:color w:val="000000"/>
              </w:rPr>
              <w:t xml:space="preserve">STM 16 (2.5 </w:t>
            </w:r>
            <w:proofErr w:type="spellStart"/>
            <w:r w:rsidRPr="000323A2">
              <w:rPr>
                <w:rFonts w:cs="Calibri"/>
                <w:color w:val="000000"/>
              </w:rPr>
              <w:t>Gbps</w:t>
            </w:r>
            <w:proofErr w:type="spellEnd"/>
            <w:r w:rsidRPr="000323A2">
              <w:rPr>
                <w:rFonts w:cs="Calibri"/>
                <w:color w:val="000000"/>
              </w:rPr>
              <w:t xml:space="preserve">) </w:t>
            </w:r>
          </w:p>
        </w:tc>
        <w:tc>
          <w:tcPr>
            <w:tcW w:w="2243" w:type="dxa"/>
            <w:noWrap/>
          </w:tcPr>
          <w:p w14:paraId="199E8419" w14:textId="77777777" w:rsidR="000323A2" w:rsidRPr="000323A2" w:rsidRDefault="000323A2" w:rsidP="000323A2">
            <w:pPr>
              <w:spacing w:before="240"/>
              <w:jc w:val="center"/>
              <w:rPr>
                <w:rFonts w:cs="Calibri"/>
                <w:color w:val="000000"/>
              </w:rPr>
            </w:pPr>
            <w:r w:rsidRPr="000323A2">
              <w:t xml:space="preserve"> $874,541 </w:t>
            </w:r>
          </w:p>
        </w:tc>
        <w:tc>
          <w:tcPr>
            <w:tcW w:w="2594" w:type="dxa"/>
            <w:noWrap/>
          </w:tcPr>
          <w:p w14:paraId="713E6236"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100 Mbps</w:t>
            </w:r>
          </w:p>
        </w:tc>
        <w:tc>
          <w:tcPr>
            <w:tcW w:w="2269" w:type="dxa"/>
            <w:noWrap/>
          </w:tcPr>
          <w:p w14:paraId="014A9520"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040CD6AC" w14:textId="77777777" w:rsidTr="000323A2">
        <w:trPr>
          <w:trHeight w:val="285"/>
          <w:jc w:val="center"/>
        </w:trPr>
        <w:tc>
          <w:tcPr>
            <w:tcW w:w="2146" w:type="dxa"/>
            <w:noWrap/>
          </w:tcPr>
          <w:p w14:paraId="4917C8A2" w14:textId="77777777" w:rsidR="000323A2" w:rsidRPr="000323A2" w:rsidRDefault="000323A2" w:rsidP="000323A2">
            <w:pPr>
              <w:spacing w:before="240"/>
              <w:jc w:val="center"/>
              <w:rPr>
                <w:rFonts w:cs="Calibri"/>
                <w:color w:val="000000"/>
              </w:rPr>
            </w:pPr>
            <w:r w:rsidRPr="000323A2">
              <w:rPr>
                <w:rFonts w:cs="Calibri"/>
                <w:color w:val="000000"/>
              </w:rPr>
              <w:t xml:space="preserve">STM 64 (10 </w:t>
            </w:r>
            <w:proofErr w:type="spellStart"/>
            <w:r w:rsidRPr="000323A2">
              <w:rPr>
                <w:rFonts w:cs="Calibri"/>
                <w:color w:val="000000"/>
              </w:rPr>
              <w:t>Gbps</w:t>
            </w:r>
            <w:proofErr w:type="spellEnd"/>
            <w:r w:rsidRPr="000323A2">
              <w:rPr>
                <w:rFonts w:cs="Calibri"/>
                <w:color w:val="000000"/>
              </w:rPr>
              <w:t>)</w:t>
            </w:r>
          </w:p>
        </w:tc>
        <w:tc>
          <w:tcPr>
            <w:tcW w:w="2243" w:type="dxa"/>
            <w:noWrap/>
          </w:tcPr>
          <w:p w14:paraId="3078D28C" w14:textId="77777777" w:rsidR="000323A2" w:rsidRPr="000323A2" w:rsidRDefault="000323A2" w:rsidP="000323A2">
            <w:pPr>
              <w:spacing w:before="240"/>
              <w:jc w:val="center"/>
              <w:rPr>
                <w:rFonts w:cs="Calibri"/>
                <w:color w:val="000000"/>
              </w:rPr>
            </w:pPr>
            <w:r w:rsidRPr="000323A2">
              <w:t xml:space="preserve"> $1,399,266 </w:t>
            </w:r>
          </w:p>
        </w:tc>
        <w:tc>
          <w:tcPr>
            <w:tcW w:w="2594" w:type="dxa"/>
            <w:noWrap/>
          </w:tcPr>
          <w:p w14:paraId="2631FF01"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150 Mbps</w:t>
            </w:r>
          </w:p>
        </w:tc>
        <w:tc>
          <w:tcPr>
            <w:tcW w:w="2269" w:type="dxa"/>
            <w:noWrap/>
          </w:tcPr>
          <w:p w14:paraId="6710A167"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7122147C" w14:textId="77777777" w:rsidTr="000323A2">
        <w:trPr>
          <w:trHeight w:val="285"/>
          <w:jc w:val="center"/>
        </w:trPr>
        <w:tc>
          <w:tcPr>
            <w:tcW w:w="2146" w:type="dxa"/>
            <w:noWrap/>
          </w:tcPr>
          <w:p w14:paraId="7B942753" w14:textId="77777777" w:rsidR="000323A2" w:rsidRPr="000323A2" w:rsidRDefault="000323A2" w:rsidP="000323A2">
            <w:pPr>
              <w:spacing w:before="240"/>
              <w:jc w:val="center"/>
              <w:rPr>
                <w:rFonts w:cs="Calibri"/>
                <w:color w:val="000000"/>
              </w:rPr>
            </w:pPr>
            <w:r w:rsidRPr="000323A2">
              <w:rPr>
                <w:rFonts w:cs="Calibri"/>
                <w:color w:val="000000"/>
              </w:rPr>
              <w:t xml:space="preserve">STM-256 (40 </w:t>
            </w:r>
            <w:proofErr w:type="spellStart"/>
            <w:r w:rsidRPr="000323A2">
              <w:rPr>
                <w:rFonts w:cs="Calibri"/>
                <w:color w:val="000000"/>
              </w:rPr>
              <w:t>Gbps</w:t>
            </w:r>
            <w:proofErr w:type="spellEnd"/>
            <w:r w:rsidRPr="000323A2">
              <w:rPr>
                <w:rFonts w:cs="Calibri"/>
                <w:color w:val="000000"/>
              </w:rPr>
              <w:t xml:space="preserve">) </w:t>
            </w:r>
          </w:p>
        </w:tc>
        <w:tc>
          <w:tcPr>
            <w:tcW w:w="2243" w:type="dxa"/>
            <w:noWrap/>
          </w:tcPr>
          <w:p w14:paraId="7DB586BF" w14:textId="77777777" w:rsidR="000323A2" w:rsidRPr="000323A2" w:rsidRDefault="000323A2" w:rsidP="000323A2">
            <w:pPr>
              <w:spacing w:before="240"/>
              <w:jc w:val="center"/>
              <w:rPr>
                <w:rFonts w:cs="Calibri"/>
                <w:color w:val="000000"/>
              </w:rPr>
            </w:pPr>
            <w:r w:rsidRPr="000323A2">
              <w:t xml:space="preserve"> $5,597,063 </w:t>
            </w:r>
          </w:p>
        </w:tc>
        <w:tc>
          <w:tcPr>
            <w:tcW w:w="2594" w:type="dxa"/>
            <w:noWrap/>
          </w:tcPr>
          <w:p w14:paraId="37FF474C"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200 Mbps</w:t>
            </w:r>
          </w:p>
        </w:tc>
        <w:tc>
          <w:tcPr>
            <w:tcW w:w="2269" w:type="dxa"/>
            <w:noWrap/>
          </w:tcPr>
          <w:p w14:paraId="575EF677"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128F769D" w14:textId="77777777" w:rsidTr="000323A2">
        <w:trPr>
          <w:trHeight w:val="285"/>
          <w:jc w:val="center"/>
        </w:trPr>
        <w:tc>
          <w:tcPr>
            <w:tcW w:w="2146" w:type="dxa"/>
            <w:noWrap/>
          </w:tcPr>
          <w:p w14:paraId="4378D068"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0CE00D43"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0A6970E6"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250 Mbps</w:t>
            </w:r>
          </w:p>
        </w:tc>
        <w:tc>
          <w:tcPr>
            <w:tcW w:w="2269" w:type="dxa"/>
            <w:noWrap/>
          </w:tcPr>
          <w:p w14:paraId="0A1CEBD1"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77EB0EC6" w14:textId="77777777" w:rsidTr="000323A2">
        <w:trPr>
          <w:trHeight w:val="285"/>
          <w:jc w:val="center"/>
        </w:trPr>
        <w:tc>
          <w:tcPr>
            <w:tcW w:w="2146" w:type="dxa"/>
            <w:noWrap/>
          </w:tcPr>
          <w:p w14:paraId="24C615AA"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5E39F02D"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6FBFCAE2"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300 Mbps</w:t>
            </w:r>
          </w:p>
        </w:tc>
        <w:tc>
          <w:tcPr>
            <w:tcW w:w="2269" w:type="dxa"/>
            <w:noWrap/>
          </w:tcPr>
          <w:p w14:paraId="2BD72675"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2111A089" w14:textId="77777777" w:rsidTr="000323A2">
        <w:trPr>
          <w:trHeight w:val="285"/>
          <w:jc w:val="center"/>
        </w:trPr>
        <w:tc>
          <w:tcPr>
            <w:tcW w:w="2146" w:type="dxa"/>
            <w:noWrap/>
          </w:tcPr>
          <w:p w14:paraId="0FA2AB95"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6E9D2B19"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1E8B5239"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350 Mbps</w:t>
            </w:r>
          </w:p>
        </w:tc>
        <w:tc>
          <w:tcPr>
            <w:tcW w:w="2269" w:type="dxa"/>
            <w:noWrap/>
          </w:tcPr>
          <w:p w14:paraId="61DE1D29"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74453015" w14:textId="77777777" w:rsidTr="000323A2">
        <w:trPr>
          <w:trHeight w:val="285"/>
          <w:jc w:val="center"/>
        </w:trPr>
        <w:tc>
          <w:tcPr>
            <w:tcW w:w="2146" w:type="dxa"/>
            <w:noWrap/>
          </w:tcPr>
          <w:p w14:paraId="3C487E2A"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441CD54B"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212F7564"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400 Mbps</w:t>
            </w:r>
          </w:p>
        </w:tc>
        <w:tc>
          <w:tcPr>
            <w:tcW w:w="2269" w:type="dxa"/>
            <w:noWrap/>
          </w:tcPr>
          <w:p w14:paraId="34B73A52"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3BAF8B98" w14:textId="77777777" w:rsidTr="000323A2">
        <w:trPr>
          <w:trHeight w:val="285"/>
          <w:jc w:val="center"/>
        </w:trPr>
        <w:tc>
          <w:tcPr>
            <w:tcW w:w="2146" w:type="dxa"/>
            <w:noWrap/>
          </w:tcPr>
          <w:p w14:paraId="1D527CBC"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0087E961"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7910E0BD"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450 Mbps</w:t>
            </w:r>
          </w:p>
        </w:tc>
        <w:tc>
          <w:tcPr>
            <w:tcW w:w="2269" w:type="dxa"/>
            <w:noWrap/>
          </w:tcPr>
          <w:p w14:paraId="178A9CD6"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2E98E4EB" w14:textId="77777777" w:rsidTr="000323A2">
        <w:trPr>
          <w:trHeight w:val="285"/>
          <w:jc w:val="center"/>
        </w:trPr>
        <w:tc>
          <w:tcPr>
            <w:tcW w:w="2146" w:type="dxa"/>
            <w:noWrap/>
          </w:tcPr>
          <w:p w14:paraId="588B157E"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6AC4635B"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0B247912"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500 Mbps</w:t>
            </w:r>
          </w:p>
        </w:tc>
        <w:tc>
          <w:tcPr>
            <w:tcW w:w="2269" w:type="dxa"/>
            <w:noWrap/>
          </w:tcPr>
          <w:p w14:paraId="1145674E"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07EB44F9" w14:textId="77777777" w:rsidTr="000323A2">
        <w:trPr>
          <w:trHeight w:val="285"/>
          <w:jc w:val="center"/>
        </w:trPr>
        <w:tc>
          <w:tcPr>
            <w:tcW w:w="2146" w:type="dxa"/>
            <w:noWrap/>
          </w:tcPr>
          <w:p w14:paraId="3A92CD15"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2CD283EF"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231C317B"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550 Mbps</w:t>
            </w:r>
          </w:p>
        </w:tc>
        <w:tc>
          <w:tcPr>
            <w:tcW w:w="2269" w:type="dxa"/>
            <w:noWrap/>
          </w:tcPr>
          <w:p w14:paraId="0BA3045E"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2D4B1EF6" w14:textId="77777777" w:rsidTr="000323A2">
        <w:trPr>
          <w:trHeight w:val="285"/>
          <w:jc w:val="center"/>
        </w:trPr>
        <w:tc>
          <w:tcPr>
            <w:tcW w:w="2146" w:type="dxa"/>
            <w:noWrap/>
          </w:tcPr>
          <w:p w14:paraId="67C1A81F"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0B5B98CA"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54012398"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600 Mbps</w:t>
            </w:r>
          </w:p>
        </w:tc>
        <w:tc>
          <w:tcPr>
            <w:tcW w:w="2269" w:type="dxa"/>
            <w:noWrap/>
          </w:tcPr>
          <w:p w14:paraId="4ABF707C"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60468410" w14:textId="77777777" w:rsidTr="000323A2">
        <w:trPr>
          <w:trHeight w:val="285"/>
          <w:jc w:val="center"/>
        </w:trPr>
        <w:tc>
          <w:tcPr>
            <w:tcW w:w="2146" w:type="dxa"/>
            <w:noWrap/>
          </w:tcPr>
          <w:p w14:paraId="35EF9C02" w14:textId="77777777" w:rsidR="000323A2" w:rsidRPr="000323A2" w:rsidRDefault="000323A2" w:rsidP="000323A2">
            <w:pPr>
              <w:spacing w:before="240"/>
              <w:rPr>
                <w:rFonts w:cs="Calibri"/>
                <w:color w:val="000000"/>
              </w:rPr>
            </w:pPr>
            <w:r w:rsidRPr="000323A2">
              <w:rPr>
                <w:rFonts w:cs="Calibri"/>
                <w:color w:val="000000"/>
              </w:rPr>
              <w:lastRenderedPageBreak/>
              <w:t> </w:t>
            </w:r>
          </w:p>
        </w:tc>
        <w:tc>
          <w:tcPr>
            <w:tcW w:w="2243" w:type="dxa"/>
            <w:noWrap/>
          </w:tcPr>
          <w:p w14:paraId="4440CDFF"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052B7E3E"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750 Mbps</w:t>
            </w:r>
          </w:p>
        </w:tc>
        <w:tc>
          <w:tcPr>
            <w:tcW w:w="2269" w:type="dxa"/>
            <w:noWrap/>
          </w:tcPr>
          <w:p w14:paraId="7096B263"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08609F52" w14:textId="77777777" w:rsidTr="000323A2">
        <w:trPr>
          <w:trHeight w:val="285"/>
          <w:jc w:val="center"/>
        </w:trPr>
        <w:tc>
          <w:tcPr>
            <w:tcW w:w="2146" w:type="dxa"/>
            <w:noWrap/>
          </w:tcPr>
          <w:p w14:paraId="0C453CA5"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57344FD2"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0CE708E1"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 </w:t>
            </w:r>
            <w:proofErr w:type="spellStart"/>
            <w:r w:rsidRPr="000323A2">
              <w:rPr>
                <w:rFonts w:cs="Calibri"/>
                <w:color w:val="000000"/>
              </w:rPr>
              <w:t>Gbps</w:t>
            </w:r>
            <w:proofErr w:type="spellEnd"/>
          </w:p>
        </w:tc>
        <w:tc>
          <w:tcPr>
            <w:tcW w:w="2269" w:type="dxa"/>
            <w:noWrap/>
          </w:tcPr>
          <w:p w14:paraId="164C4E32"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244EF829" w14:textId="77777777" w:rsidTr="000323A2">
        <w:trPr>
          <w:trHeight w:val="285"/>
          <w:jc w:val="center"/>
        </w:trPr>
        <w:tc>
          <w:tcPr>
            <w:tcW w:w="2146" w:type="dxa"/>
            <w:noWrap/>
          </w:tcPr>
          <w:p w14:paraId="7DCCC761" w14:textId="77777777" w:rsidR="000323A2" w:rsidRPr="000323A2" w:rsidRDefault="000323A2" w:rsidP="000323A2">
            <w:pPr>
              <w:spacing w:before="240"/>
              <w:rPr>
                <w:rFonts w:cs="Calibri"/>
                <w:color w:val="000000"/>
              </w:rPr>
            </w:pPr>
            <w:r w:rsidRPr="000323A2">
              <w:rPr>
                <w:rFonts w:cs="Calibri"/>
                <w:color w:val="000000"/>
              </w:rPr>
              <w:t> </w:t>
            </w:r>
          </w:p>
        </w:tc>
        <w:tc>
          <w:tcPr>
            <w:tcW w:w="2243" w:type="dxa"/>
            <w:noWrap/>
          </w:tcPr>
          <w:p w14:paraId="3409D617" w14:textId="77777777" w:rsidR="000323A2" w:rsidRPr="000323A2" w:rsidRDefault="000323A2" w:rsidP="000323A2">
            <w:pPr>
              <w:spacing w:before="240"/>
              <w:rPr>
                <w:rFonts w:cs="Calibri"/>
                <w:color w:val="000000"/>
              </w:rPr>
            </w:pPr>
            <w:r w:rsidRPr="000323A2">
              <w:rPr>
                <w:rFonts w:cs="Calibri"/>
                <w:color w:val="000000"/>
              </w:rPr>
              <w:t> </w:t>
            </w:r>
          </w:p>
        </w:tc>
        <w:tc>
          <w:tcPr>
            <w:tcW w:w="2594" w:type="dxa"/>
            <w:noWrap/>
          </w:tcPr>
          <w:p w14:paraId="786701F3"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2 </w:t>
            </w:r>
            <w:proofErr w:type="spellStart"/>
            <w:r w:rsidRPr="000323A2">
              <w:rPr>
                <w:rFonts w:cs="Calibri"/>
                <w:color w:val="000000"/>
              </w:rPr>
              <w:t>Gbps</w:t>
            </w:r>
            <w:proofErr w:type="spellEnd"/>
          </w:p>
        </w:tc>
        <w:tc>
          <w:tcPr>
            <w:tcW w:w="2269" w:type="dxa"/>
            <w:noWrap/>
          </w:tcPr>
          <w:p w14:paraId="22C2C010"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60CD23F7" w14:textId="77777777" w:rsidTr="000323A2">
        <w:trPr>
          <w:trHeight w:val="285"/>
          <w:jc w:val="center"/>
        </w:trPr>
        <w:tc>
          <w:tcPr>
            <w:tcW w:w="2146" w:type="dxa"/>
            <w:noWrap/>
          </w:tcPr>
          <w:p w14:paraId="04930847" w14:textId="77777777" w:rsidR="000323A2" w:rsidRPr="000323A2" w:rsidRDefault="000323A2" w:rsidP="000323A2">
            <w:pPr>
              <w:spacing w:before="240"/>
              <w:rPr>
                <w:rFonts w:cs="Calibri"/>
                <w:color w:val="000000"/>
              </w:rPr>
            </w:pPr>
          </w:p>
        </w:tc>
        <w:tc>
          <w:tcPr>
            <w:tcW w:w="2243" w:type="dxa"/>
            <w:noWrap/>
          </w:tcPr>
          <w:p w14:paraId="17B134EE" w14:textId="77777777" w:rsidR="000323A2" w:rsidRPr="000323A2" w:rsidRDefault="000323A2" w:rsidP="000323A2">
            <w:pPr>
              <w:spacing w:before="240"/>
              <w:rPr>
                <w:rFonts w:cs="Calibri"/>
                <w:color w:val="000000"/>
              </w:rPr>
            </w:pPr>
          </w:p>
        </w:tc>
        <w:tc>
          <w:tcPr>
            <w:tcW w:w="2594" w:type="dxa"/>
            <w:noWrap/>
          </w:tcPr>
          <w:p w14:paraId="04485D97"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4 </w:t>
            </w:r>
            <w:proofErr w:type="spellStart"/>
            <w:r w:rsidRPr="000323A2">
              <w:rPr>
                <w:rFonts w:cs="Calibri"/>
                <w:color w:val="000000"/>
              </w:rPr>
              <w:t>Gbps</w:t>
            </w:r>
            <w:proofErr w:type="spellEnd"/>
          </w:p>
        </w:tc>
        <w:tc>
          <w:tcPr>
            <w:tcW w:w="2269" w:type="dxa"/>
            <w:noWrap/>
          </w:tcPr>
          <w:p w14:paraId="673B1623"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19D1C698" w14:textId="77777777" w:rsidTr="000323A2">
        <w:trPr>
          <w:trHeight w:val="285"/>
          <w:jc w:val="center"/>
        </w:trPr>
        <w:tc>
          <w:tcPr>
            <w:tcW w:w="2146" w:type="dxa"/>
            <w:noWrap/>
          </w:tcPr>
          <w:p w14:paraId="38E9A01C" w14:textId="77777777" w:rsidR="000323A2" w:rsidRPr="000323A2" w:rsidRDefault="000323A2" w:rsidP="000323A2">
            <w:pPr>
              <w:spacing w:before="240"/>
              <w:rPr>
                <w:rFonts w:cs="Calibri"/>
                <w:color w:val="000000"/>
              </w:rPr>
            </w:pPr>
          </w:p>
        </w:tc>
        <w:tc>
          <w:tcPr>
            <w:tcW w:w="2243" w:type="dxa"/>
            <w:noWrap/>
          </w:tcPr>
          <w:p w14:paraId="75B022CB" w14:textId="77777777" w:rsidR="000323A2" w:rsidRPr="000323A2" w:rsidRDefault="000323A2" w:rsidP="000323A2">
            <w:pPr>
              <w:spacing w:before="240"/>
              <w:rPr>
                <w:rFonts w:cs="Calibri"/>
                <w:color w:val="000000"/>
              </w:rPr>
            </w:pPr>
          </w:p>
        </w:tc>
        <w:tc>
          <w:tcPr>
            <w:tcW w:w="2594" w:type="dxa"/>
            <w:noWrap/>
          </w:tcPr>
          <w:p w14:paraId="0133B0AC"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6 </w:t>
            </w:r>
            <w:proofErr w:type="spellStart"/>
            <w:r w:rsidRPr="000323A2">
              <w:rPr>
                <w:rFonts w:cs="Calibri"/>
                <w:color w:val="000000"/>
              </w:rPr>
              <w:t>Gbps</w:t>
            </w:r>
            <w:proofErr w:type="spellEnd"/>
          </w:p>
        </w:tc>
        <w:tc>
          <w:tcPr>
            <w:tcW w:w="2269" w:type="dxa"/>
            <w:noWrap/>
          </w:tcPr>
          <w:p w14:paraId="370D71C1"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7D9708C9" w14:textId="77777777" w:rsidTr="000323A2">
        <w:trPr>
          <w:trHeight w:val="285"/>
          <w:jc w:val="center"/>
        </w:trPr>
        <w:tc>
          <w:tcPr>
            <w:tcW w:w="2146" w:type="dxa"/>
            <w:noWrap/>
          </w:tcPr>
          <w:p w14:paraId="1FBC6D1E" w14:textId="77777777" w:rsidR="000323A2" w:rsidRPr="000323A2" w:rsidRDefault="000323A2" w:rsidP="000323A2">
            <w:pPr>
              <w:spacing w:before="240"/>
              <w:rPr>
                <w:rFonts w:cs="Calibri"/>
                <w:color w:val="000000"/>
              </w:rPr>
            </w:pPr>
          </w:p>
        </w:tc>
        <w:tc>
          <w:tcPr>
            <w:tcW w:w="2243" w:type="dxa"/>
            <w:noWrap/>
          </w:tcPr>
          <w:p w14:paraId="1AB2DEB5" w14:textId="77777777" w:rsidR="000323A2" w:rsidRPr="000323A2" w:rsidRDefault="000323A2" w:rsidP="000323A2">
            <w:pPr>
              <w:spacing w:before="240"/>
              <w:rPr>
                <w:rFonts w:cs="Calibri"/>
                <w:color w:val="000000"/>
              </w:rPr>
            </w:pPr>
          </w:p>
        </w:tc>
        <w:tc>
          <w:tcPr>
            <w:tcW w:w="2594" w:type="dxa"/>
            <w:noWrap/>
          </w:tcPr>
          <w:p w14:paraId="5B16922E"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8 </w:t>
            </w:r>
            <w:proofErr w:type="spellStart"/>
            <w:r w:rsidRPr="000323A2">
              <w:rPr>
                <w:rFonts w:cs="Calibri"/>
                <w:color w:val="000000"/>
              </w:rPr>
              <w:t>Gbps</w:t>
            </w:r>
            <w:proofErr w:type="spellEnd"/>
          </w:p>
        </w:tc>
        <w:tc>
          <w:tcPr>
            <w:tcW w:w="2269" w:type="dxa"/>
            <w:noWrap/>
          </w:tcPr>
          <w:p w14:paraId="0BF2D30B"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796193D7" w14:textId="77777777" w:rsidTr="000323A2">
        <w:trPr>
          <w:trHeight w:val="285"/>
          <w:jc w:val="center"/>
        </w:trPr>
        <w:tc>
          <w:tcPr>
            <w:tcW w:w="2146" w:type="dxa"/>
            <w:noWrap/>
          </w:tcPr>
          <w:p w14:paraId="26390547" w14:textId="77777777" w:rsidR="000323A2" w:rsidRPr="000323A2" w:rsidRDefault="000323A2" w:rsidP="000323A2">
            <w:pPr>
              <w:spacing w:before="240"/>
              <w:rPr>
                <w:rFonts w:cs="Calibri"/>
                <w:color w:val="000000"/>
              </w:rPr>
            </w:pPr>
          </w:p>
        </w:tc>
        <w:tc>
          <w:tcPr>
            <w:tcW w:w="2243" w:type="dxa"/>
            <w:noWrap/>
          </w:tcPr>
          <w:p w14:paraId="748C2AD0" w14:textId="77777777" w:rsidR="000323A2" w:rsidRPr="000323A2" w:rsidRDefault="000323A2" w:rsidP="000323A2">
            <w:pPr>
              <w:spacing w:before="240"/>
              <w:rPr>
                <w:rFonts w:cs="Calibri"/>
                <w:color w:val="000000"/>
              </w:rPr>
            </w:pPr>
          </w:p>
        </w:tc>
        <w:tc>
          <w:tcPr>
            <w:tcW w:w="2594" w:type="dxa"/>
            <w:noWrap/>
          </w:tcPr>
          <w:p w14:paraId="40536C57"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10 </w:t>
            </w:r>
            <w:proofErr w:type="spellStart"/>
            <w:r w:rsidRPr="000323A2">
              <w:rPr>
                <w:rFonts w:cs="Calibri"/>
                <w:color w:val="000000"/>
              </w:rPr>
              <w:t>Gbps</w:t>
            </w:r>
            <w:proofErr w:type="spellEnd"/>
          </w:p>
        </w:tc>
        <w:tc>
          <w:tcPr>
            <w:tcW w:w="2269" w:type="dxa"/>
            <w:noWrap/>
          </w:tcPr>
          <w:p w14:paraId="5B702C55"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16CA2527" w14:textId="77777777" w:rsidTr="000323A2">
        <w:trPr>
          <w:trHeight w:val="285"/>
          <w:jc w:val="center"/>
        </w:trPr>
        <w:tc>
          <w:tcPr>
            <w:tcW w:w="2146" w:type="dxa"/>
            <w:noWrap/>
          </w:tcPr>
          <w:p w14:paraId="2F718C94" w14:textId="77777777" w:rsidR="000323A2" w:rsidRPr="000323A2" w:rsidRDefault="000323A2" w:rsidP="000323A2">
            <w:pPr>
              <w:spacing w:before="240"/>
              <w:rPr>
                <w:rFonts w:cs="Calibri"/>
                <w:color w:val="000000"/>
              </w:rPr>
            </w:pPr>
          </w:p>
        </w:tc>
        <w:tc>
          <w:tcPr>
            <w:tcW w:w="2243" w:type="dxa"/>
            <w:noWrap/>
          </w:tcPr>
          <w:p w14:paraId="322ACBC7" w14:textId="77777777" w:rsidR="000323A2" w:rsidRPr="000323A2" w:rsidRDefault="000323A2" w:rsidP="000323A2">
            <w:pPr>
              <w:spacing w:before="240"/>
              <w:rPr>
                <w:rFonts w:cs="Calibri"/>
                <w:color w:val="000000"/>
              </w:rPr>
            </w:pPr>
          </w:p>
        </w:tc>
        <w:tc>
          <w:tcPr>
            <w:tcW w:w="2594" w:type="dxa"/>
            <w:noWrap/>
          </w:tcPr>
          <w:p w14:paraId="2ED86C1C"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100 </w:t>
            </w:r>
            <w:proofErr w:type="spellStart"/>
            <w:r w:rsidRPr="000323A2">
              <w:rPr>
                <w:rFonts w:cs="Calibri"/>
                <w:color w:val="000000"/>
              </w:rPr>
              <w:t>Gbps</w:t>
            </w:r>
            <w:proofErr w:type="spellEnd"/>
          </w:p>
        </w:tc>
        <w:tc>
          <w:tcPr>
            <w:tcW w:w="2269" w:type="dxa"/>
            <w:noWrap/>
          </w:tcPr>
          <w:p w14:paraId="3FB82758" w14:textId="77777777" w:rsidR="000323A2" w:rsidRPr="000323A2" w:rsidRDefault="000323A2" w:rsidP="000323A2">
            <w:pPr>
              <w:spacing w:before="240"/>
              <w:jc w:val="center"/>
              <w:rPr>
                <w:rFonts w:cs="Calibri"/>
                <w:color w:val="000000"/>
              </w:rPr>
            </w:pPr>
            <w:r w:rsidRPr="000323A2">
              <w:t xml:space="preserve"> $5,241 </w:t>
            </w:r>
          </w:p>
        </w:tc>
      </w:tr>
    </w:tbl>
    <w:p w14:paraId="63FFF5E6" w14:textId="77777777" w:rsidR="000323A2" w:rsidRPr="000323A2" w:rsidRDefault="000323A2" w:rsidP="000323A2">
      <w:pPr>
        <w:spacing w:before="240" w:line="240" w:lineRule="auto"/>
        <w:jc w:val="center"/>
        <w:rPr>
          <w:rFonts w:ascii="Arial" w:eastAsia="Calibri" w:hAnsi="Arial" w:cs="Times New Roman"/>
          <w:sz w:val="20"/>
          <w:szCs w:val="20"/>
        </w:rPr>
      </w:pPr>
      <w:r w:rsidRPr="000323A2">
        <w:rPr>
          <w:rFonts w:ascii="Calibri" w:eastAsia="Calibri" w:hAnsi="Calibri" w:cs="Calibri"/>
          <w:b/>
          <w:bCs/>
          <w:color w:val="000000"/>
        </w:rPr>
        <w:t>Tabla 3. Tarifas de Gastos de Instalación para Tramos de L.D. Internacionales</w:t>
      </w:r>
    </w:p>
    <w:tbl>
      <w:tblPr>
        <w:tblStyle w:val="Cuadrculadetablaclara1"/>
        <w:tblW w:w="9113" w:type="dxa"/>
        <w:jc w:val="center"/>
        <w:tblLook w:val="00A0" w:firstRow="1" w:lastRow="0" w:firstColumn="1" w:lastColumn="0" w:noHBand="0" w:noVBand="0"/>
        <w:tblCaption w:val="Tabla"/>
        <w:tblDescription w:val="Tabla 3. Tarifas de Gastos de Instalación para Tramos de L.D. Internacionales"/>
      </w:tblPr>
      <w:tblGrid>
        <w:gridCol w:w="1997"/>
        <w:gridCol w:w="2343"/>
        <w:gridCol w:w="2437"/>
        <w:gridCol w:w="2336"/>
      </w:tblGrid>
      <w:tr w:rsidR="000323A2" w:rsidRPr="000323A2" w14:paraId="6F84DE3A" w14:textId="77777777" w:rsidTr="000323A2">
        <w:trPr>
          <w:trHeight w:val="915"/>
          <w:tblHeader/>
          <w:jc w:val="center"/>
        </w:trPr>
        <w:tc>
          <w:tcPr>
            <w:tcW w:w="1997" w:type="dxa"/>
            <w:shd w:val="clear" w:color="auto" w:fill="D9D9D9"/>
          </w:tcPr>
          <w:p w14:paraId="6D896340"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Velocidad</w:t>
            </w:r>
          </w:p>
        </w:tc>
        <w:tc>
          <w:tcPr>
            <w:tcW w:w="2343" w:type="dxa"/>
            <w:shd w:val="clear" w:color="auto" w:fill="D9D9D9"/>
          </w:tcPr>
          <w:p w14:paraId="4AB18144"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Gasto de Instalación por</w:t>
            </w:r>
          </w:p>
          <w:p w14:paraId="16B8E0A7"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Tramo L.D. Internacional</w:t>
            </w:r>
          </w:p>
        </w:tc>
        <w:tc>
          <w:tcPr>
            <w:tcW w:w="2437" w:type="dxa"/>
            <w:shd w:val="clear" w:color="auto" w:fill="D9D9D9"/>
          </w:tcPr>
          <w:p w14:paraId="4D8F1D11"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Velocidad</w:t>
            </w:r>
          </w:p>
        </w:tc>
        <w:tc>
          <w:tcPr>
            <w:tcW w:w="2336" w:type="dxa"/>
            <w:shd w:val="clear" w:color="auto" w:fill="D9D9D9"/>
          </w:tcPr>
          <w:p w14:paraId="065AEA13" w14:textId="77777777" w:rsidR="000323A2" w:rsidRPr="000323A2" w:rsidRDefault="000323A2" w:rsidP="000323A2">
            <w:pPr>
              <w:spacing w:before="240"/>
              <w:jc w:val="center"/>
              <w:rPr>
                <w:rFonts w:cs="Calibri"/>
                <w:b/>
                <w:bCs/>
                <w:color w:val="000000"/>
                <w:sz w:val="20"/>
                <w:szCs w:val="20"/>
              </w:rPr>
            </w:pPr>
            <w:r w:rsidRPr="000323A2">
              <w:rPr>
                <w:rFonts w:cs="Calibri"/>
                <w:b/>
                <w:bCs/>
                <w:color w:val="000000"/>
                <w:sz w:val="20"/>
                <w:szCs w:val="20"/>
              </w:rPr>
              <w:t xml:space="preserve">Gasto de Instalación por </w:t>
            </w:r>
          </w:p>
          <w:p w14:paraId="68D286A9" w14:textId="77777777" w:rsidR="000323A2" w:rsidRPr="000323A2" w:rsidRDefault="000323A2" w:rsidP="000323A2">
            <w:pPr>
              <w:spacing w:before="240"/>
              <w:rPr>
                <w:rFonts w:cs="Calibri"/>
                <w:b/>
                <w:bCs/>
                <w:color w:val="000000"/>
                <w:sz w:val="20"/>
                <w:szCs w:val="20"/>
              </w:rPr>
            </w:pPr>
            <w:r w:rsidRPr="000323A2">
              <w:rPr>
                <w:rFonts w:cs="Calibri"/>
                <w:b/>
                <w:bCs/>
                <w:color w:val="000000"/>
                <w:sz w:val="20"/>
                <w:szCs w:val="20"/>
              </w:rPr>
              <w:t>Tramo L.D.  Internacional</w:t>
            </w:r>
          </w:p>
        </w:tc>
      </w:tr>
      <w:tr w:rsidR="000323A2" w:rsidRPr="000323A2" w14:paraId="41BBCFF5" w14:textId="77777777" w:rsidTr="000323A2">
        <w:trPr>
          <w:trHeight w:val="285"/>
          <w:jc w:val="center"/>
        </w:trPr>
        <w:tc>
          <w:tcPr>
            <w:tcW w:w="1997" w:type="dxa"/>
            <w:noWrap/>
          </w:tcPr>
          <w:p w14:paraId="574E594B" w14:textId="77777777" w:rsidR="000323A2" w:rsidRPr="000323A2" w:rsidRDefault="000323A2" w:rsidP="000323A2">
            <w:pPr>
              <w:spacing w:before="240"/>
              <w:jc w:val="center"/>
              <w:rPr>
                <w:rFonts w:cs="Calibri"/>
                <w:color w:val="000000"/>
              </w:rPr>
            </w:pPr>
            <w:r w:rsidRPr="000323A2">
              <w:rPr>
                <w:rFonts w:cs="Calibri"/>
                <w:color w:val="000000"/>
              </w:rPr>
              <w:t>64 Kbps</w:t>
            </w:r>
          </w:p>
        </w:tc>
        <w:tc>
          <w:tcPr>
            <w:tcW w:w="2343" w:type="dxa"/>
            <w:noWrap/>
          </w:tcPr>
          <w:p w14:paraId="73C486C2" w14:textId="77777777" w:rsidR="000323A2" w:rsidRPr="000323A2" w:rsidRDefault="000323A2" w:rsidP="000323A2">
            <w:pPr>
              <w:spacing w:before="240"/>
              <w:jc w:val="center"/>
              <w:rPr>
                <w:rFonts w:cs="Calibri"/>
                <w:color w:val="000000"/>
              </w:rPr>
            </w:pPr>
            <w:r w:rsidRPr="000323A2">
              <w:t xml:space="preserve"> $1,027 </w:t>
            </w:r>
          </w:p>
        </w:tc>
        <w:tc>
          <w:tcPr>
            <w:tcW w:w="2437" w:type="dxa"/>
            <w:noWrap/>
          </w:tcPr>
          <w:p w14:paraId="5572ABA0" w14:textId="77777777" w:rsidR="000323A2" w:rsidRPr="000323A2" w:rsidRDefault="000323A2" w:rsidP="000323A2">
            <w:pPr>
              <w:spacing w:before="240"/>
              <w:jc w:val="center"/>
              <w:rPr>
                <w:rFonts w:cs="Calibri"/>
                <w:color w:val="000000"/>
              </w:rPr>
            </w:pPr>
            <w:r w:rsidRPr="000323A2">
              <w:rPr>
                <w:rFonts w:cs="Calibri"/>
                <w:color w:val="000000"/>
              </w:rPr>
              <w:t>Ethernet 2 Mbps</w:t>
            </w:r>
          </w:p>
        </w:tc>
        <w:tc>
          <w:tcPr>
            <w:tcW w:w="2336" w:type="dxa"/>
            <w:noWrap/>
          </w:tcPr>
          <w:p w14:paraId="2B2EE960"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0CC45EC0" w14:textId="77777777" w:rsidTr="000323A2">
        <w:trPr>
          <w:trHeight w:val="285"/>
          <w:jc w:val="center"/>
        </w:trPr>
        <w:tc>
          <w:tcPr>
            <w:tcW w:w="1997" w:type="dxa"/>
            <w:noWrap/>
          </w:tcPr>
          <w:p w14:paraId="5D25B9CD" w14:textId="77777777" w:rsidR="000323A2" w:rsidRPr="000323A2" w:rsidRDefault="000323A2" w:rsidP="000323A2">
            <w:pPr>
              <w:spacing w:before="240"/>
              <w:jc w:val="center"/>
              <w:rPr>
                <w:rFonts w:cs="Calibri"/>
                <w:color w:val="000000"/>
              </w:rPr>
            </w:pPr>
            <w:r w:rsidRPr="000323A2">
              <w:rPr>
                <w:rFonts w:cs="Calibri"/>
                <w:color w:val="000000"/>
              </w:rPr>
              <w:t>128 Kbps</w:t>
            </w:r>
          </w:p>
        </w:tc>
        <w:tc>
          <w:tcPr>
            <w:tcW w:w="2343" w:type="dxa"/>
            <w:noWrap/>
          </w:tcPr>
          <w:p w14:paraId="0B55D879" w14:textId="77777777" w:rsidR="000323A2" w:rsidRPr="000323A2" w:rsidRDefault="000323A2" w:rsidP="000323A2">
            <w:pPr>
              <w:spacing w:before="240"/>
              <w:jc w:val="center"/>
              <w:rPr>
                <w:rFonts w:cs="Calibri"/>
                <w:color w:val="000000"/>
              </w:rPr>
            </w:pPr>
            <w:r w:rsidRPr="000323A2">
              <w:t xml:space="preserve"> $1,218 </w:t>
            </w:r>
          </w:p>
        </w:tc>
        <w:tc>
          <w:tcPr>
            <w:tcW w:w="2437" w:type="dxa"/>
            <w:noWrap/>
          </w:tcPr>
          <w:p w14:paraId="775E5C1E" w14:textId="77777777" w:rsidR="000323A2" w:rsidRPr="000323A2" w:rsidRDefault="000323A2" w:rsidP="000323A2">
            <w:pPr>
              <w:spacing w:before="240"/>
              <w:jc w:val="center"/>
              <w:rPr>
                <w:rFonts w:cs="Calibri"/>
                <w:color w:val="000000"/>
              </w:rPr>
            </w:pPr>
            <w:r w:rsidRPr="000323A2">
              <w:rPr>
                <w:rFonts w:cs="Calibri"/>
                <w:color w:val="000000"/>
              </w:rPr>
              <w:t>Ethernet 4 Mbps</w:t>
            </w:r>
          </w:p>
        </w:tc>
        <w:tc>
          <w:tcPr>
            <w:tcW w:w="2336" w:type="dxa"/>
            <w:noWrap/>
          </w:tcPr>
          <w:p w14:paraId="7A00D3A5"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4C7F8A9F" w14:textId="77777777" w:rsidTr="000323A2">
        <w:trPr>
          <w:trHeight w:val="285"/>
          <w:jc w:val="center"/>
        </w:trPr>
        <w:tc>
          <w:tcPr>
            <w:tcW w:w="1997" w:type="dxa"/>
            <w:noWrap/>
          </w:tcPr>
          <w:p w14:paraId="64739E53" w14:textId="77777777" w:rsidR="000323A2" w:rsidRPr="000323A2" w:rsidRDefault="000323A2" w:rsidP="000323A2">
            <w:pPr>
              <w:spacing w:before="240"/>
              <w:jc w:val="center"/>
              <w:rPr>
                <w:rFonts w:cs="Calibri"/>
                <w:color w:val="000000"/>
              </w:rPr>
            </w:pPr>
            <w:r w:rsidRPr="000323A2">
              <w:rPr>
                <w:rFonts w:cs="Calibri"/>
                <w:color w:val="000000"/>
              </w:rPr>
              <w:t>192 Kbps</w:t>
            </w:r>
          </w:p>
        </w:tc>
        <w:tc>
          <w:tcPr>
            <w:tcW w:w="2343" w:type="dxa"/>
            <w:noWrap/>
          </w:tcPr>
          <w:p w14:paraId="428DC74B" w14:textId="77777777" w:rsidR="000323A2" w:rsidRPr="000323A2" w:rsidRDefault="000323A2" w:rsidP="000323A2">
            <w:pPr>
              <w:spacing w:before="240"/>
              <w:jc w:val="center"/>
              <w:rPr>
                <w:rFonts w:cs="Calibri"/>
                <w:color w:val="000000"/>
              </w:rPr>
            </w:pPr>
            <w:r w:rsidRPr="000323A2">
              <w:t xml:space="preserve"> $1,351 </w:t>
            </w:r>
          </w:p>
        </w:tc>
        <w:tc>
          <w:tcPr>
            <w:tcW w:w="2437" w:type="dxa"/>
            <w:noWrap/>
          </w:tcPr>
          <w:p w14:paraId="54236CB9" w14:textId="77777777" w:rsidR="000323A2" w:rsidRPr="000323A2" w:rsidRDefault="000323A2" w:rsidP="000323A2">
            <w:pPr>
              <w:spacing w:before="240"/>
              <w:jc w:val="center"/>
              <w:rPr>
                <w:rFonts w:cs="Calibri"/>
                <w:color w:val="000000"/>
              </w:rPr>
            </w:pPr>
            <w:r w:rsidRPr="000323A2">
              <w:rPr>
                <w:rFonts w:cs="Calibri"/>
                <w:color w:val="000000"/>
              </w:rPr>
              <w:t>Ethernet 6 Mbps</w:t>
            </w:r>
          </w:p>
        </w:tc>
        <w:tc>
          <w:tcPr>
            <w:tcW w:w="2336" w:type="dxa"/>
            <w:noWrap/>
          </w:tcPr>
          <w:p w14:paraId="6E0EE54C"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666EC5A8" w14:textId="77777777" w:rsidTr="000323A2">
        <w:trPr>
          <w:trHeight w:val="285"/>
          <w:jc w:val="center"/>
        </w:trPr>
        <w:tc>
          <w:tcPr>
            <w:tcW w:w="1997" w:type="dxa"/>
            <w:noWrap/>
          </w:tcPr>
          <w:p w14:paraId="53F5D2E6" w14:textId="77777777" w:rsidR="000323A2" w:rsidRPr="000323A2" w:rsidRDefault="000323A2" w:rsidP="000323A2">
            <w:pPr>
              <w:spacing w:before="240"/>
              <w:jc w:val="center"/>
              <w:rPr>
                <w:rFonts w:cs="Calibri"/>
                <w:color w:val="000000"/>
              </w:rPr>
            </w:pPr>
            <w:r w:rsidRPr="000323A2">
              <w:rPr>
                <w:rFonts w:cs="Calibri"/>
                <w:color w:val="000000"/>
              </w:rPr>
              <w:t>256 Kbps</w:t>
            </w:r>
          </w:p>
        </w:tc>
        <w:tc>
          <w:tcPr>
            <w:tcW w:w="2343" w:type="dxa"/>
            <w:noWrap/>
          </w:tcPr>
          <w:p w14:paraId="18A892EE" w14:textId="77777777" w:rsidR="000323A2" w:rsidRPr="000323A2" w:rsidRDefault="000323A2" w:rsidP="000323A2">
            <w:pPr>
              <w:spacing w:before="240"/>
              <w:jc w:val="center"/>
              <w:rPr>
                <w:rFonts w:cs="Calibri"/>
                <w:color w:val="000000"/>
              </w:rPr>
            </w:pPr>
            <w:r w:rsidRPr="000323A2">
              <w:t xml:space="preserve"> $1,519 </w:t>
            </w:r>
          </w:p>
        </w:tc>
        <w:tc>
          <w:tcPr>
            <w:tcW w:w="2437" w:type="dxa"/>
            <w:noWrap/>
          </w:tcPr>
          <w:p w14:paraId="161971FB" w14:textId="77777777" w:rsidR="000323A2" w:rsidRPr="000323A2" w:rsidRDefault="000323A2" w:rsidP="000323A2">
            <w:pPr>
              <w:spacing w:before="240"/>
              <w:jc w:val="center"/>
              <w:rPr>
                <w:rFonts w:cs="Calibri"/>
                <w:color w:val="000000"/>
              </w:rPr>
            </w:pPr>
            <w:r w:rsidRPr="000323A2">
              <w:rPr>
                <w:rFonts w:cs="Calibri"/>
                <w:color w:val="000000"/>
              </w:rPr>
              <w:t>Ethernet 8 Mbps</w:t>
            </w:r>
          </w:p>
        </w:tc>
        <w:tc>
          <w:tcPr>
            <w:tcW w:w="2336" w:type="dxa"/>
            <w:noWrap/>
          </w:tcPr>
          <w:p w14:paraId="69366287"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334D47DD" w14:textId="77777777" w:rsidTr="000323A2">
        <w:trPr>
          <w:trHeight w:val="285"/>
          <w:jc w:val="center"/>
        </w:trPr>
        <w:tc>
          <w:tcPr>
            <w:tcW w:w="1997" w:type="dxa"/>
            <w:noWrap/>
          </w:tcPr>
          <w:p w14:paraId="42A1BE75" w14:textId="77777777" w:rsidR="000323A2" w:rsidRPr="000323A2" w:rsidRDefault="000323A2" w:rsidP="000323A2">
            <w:pPr>
              <w:spacing w:before="240"/>
              <w:jc w:val="center"/>
              <w:rPr>
                <w:rFonts w:cs="Calibri"/>
                <w:color w:val="000000"/>
              </w:rPr>
            </w:pPr>
            <w:r w:rsidRPr="000323A2">
              <w:rPr>
                <w:rFonts w:cs="Calibri"/>
                <w:color w:val="000000"/>
              </w:rPr>
              <w:t>384 Kbps</w:t>
            </w:r>
          </w:p>
        </w:tc>
        <w:tc>
          <w:tcPr>
            <w:tcW w:w="2343" w:type="dxa"/>
            <w:noWrap/>
          </w:tcPr>
          <w:p w14:paraId="52147514" w14:textId="77777777" w:rsidR="000323A2" w:rsidRPr="000323A2" w:rsidRDefault="000323A2" w:rsidP="000323A2">
            <w:pPr>
              <w:spacing w:before="240"/>
              <w:jc w:val="center"/>
              <w:rPr>
                <w:rFonts w:cs="Calibri"/>
                <w:color w:val="000000"/>
              </w:rPr>
            </w:pPr>
            <w:r w:rsidRPr="000323A2">
              <w:t xml:space="preserve"> $1,687 </w:t>
            </w:r>
          </w:p>
        </w:tc>
        <w:tc>
          <w:tcPr>
            <w:tcW w:w="2437" w:type="dxa"/>
            <w:noWrap/>
          </w:tcPr>
          <w:p w14:paraId="75DC73A7" w14:textId="77777777" w:rsidR="000323A2" w:rsidRPr="000323A2" w:rsidRDefault="000323A2" w:rsidP="000323A2">
            <w:pPr>
              <w:spacing w:before="240"/>
              <w:jc w:val="center"/>
              <w:rPr>
                <w:rFonts w:cs="Calibri"/>
                <w:color w:val="000000"/>
              </w:rPr>
            </w:pPr>
            <w:r w:rsidRPr="000323A2">
              <w:rPr>
                <w:rFonts w:cs="Calibri"/>
                <w:color w:val="000000"/>
              </w:rPr>
              <w:t>Ethernet 10 Mbps</w:t>
            </w:r>
          </w:p>
        </w:tc>
        <w:tc>
          <w:tcPr>
            <w:tcW w:w="2336" w:type="dxa"/>
            <w:noWrap/>
          </w:tcPr>
          <w:p w14:paraId="254DC362"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2999804F" w14:textId="77777777" w:rsidTr="000323A2">
        <w:trPr>
          <w:trHeight w:val="285"/>
          <w:jc w:val="center"/>
        </w:trPr>
        <w:tc>
          <w:tcPr>
            <w:tcW w:w="1997" w:type="dxa"/>
            <w:noWrap/>
          </w:tcPr>
          <w:p w14:paraId="36CACB24" w14:textId="77777777" w:rsidR="000323A2" w:rsidRPr="000323A2" w:rsidRDefault="000323A2" w:rsidP="000323A2">
            <w:pPr>
              <w:spacing w:before="240"/>
              <w:jc w:val="center"/>
              <w:rPr>
                <w:rFonts w:cs="Calibri"/>
                <w:color w:val="000000"/>
              </w:rPr>
            </w:pPr>
            <w:r w:rsidRPr="000323A2">
              <w:rPr>
                <w:rFonts w:cs="Calibri"/>
                <w:color w:val="000000"/>
              </w:rPr>
              <w:t>512 Kbps</w:t>
            </w:r>
          </w:p>
        </w:tc>
        <w:tc>
          <w:tcPr>
            <w:tcW w:w="2343" w:type="dxa"/>
            <w:noWrap/>
          </w:tcPr>
          <w:p w14:paraId="1CE00676" w14:textId="77777777" w:rsidR="000323A2" w:rsidRPr="000323A2" w:rsidRDefault="000323A2" w:rsidP="000323A2">
            <w:pPr>
              <w:spacing w:before="240"/>
              <w:jc w:val="center"/>
              <w:rPr>
                <w:rFonts w:cs="Calibri"/>
                <w:color w:val="000000"/>
              </w:rPr>
            </w:pPr>
            <w:r w:rsidRPr="000323A2">
              <w:t xml:space="preserve"> $1,855 </w:t>
            </w:r>
          </w:p>
        </w:tc>
        <w:tc>
          <w:tcPr>
            <w:tcW w:w="2437" w:type="dxa"/>
            <w:noWrap/>
          </w:tcPr>
          <w:p w14:paraId="5964A34C" w14:textId="77777777" w:rsidR="000323A2" w:rsidRPr="000323A2" w:rsidRDefault="000323A2" w:rsidP="000323A2">
            <w:pPr>
              <w:spacing w:before="240"/>
              <w:jc w:val="center"/>
              <w:rPr>
                <w:rFonts w:cs="Calibri"/>
                <w:color w:val="000000"/>
              </w:rPr>
            </w:pPr>
            <w:r w:rsidRPr="000323A2">
              <w:rPr>
                <w:rFonts w:cs="Calibri"/>
                <w:color w:val="000000"/>
              </w:rPr>
              <w:t>Ethernet 20 Mbps</w:t>
            </w:r>
          </w:p>
        </w:tc>
        <w:tc>
          <w:tcPr>
            <w:tcW w:w="2336" w:type="dxa"/>
            <w:noWrap/>
          </w:tcPr>
          <w:p w14:paraId="04D990ED"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2BF24E5B" w14:textId="77777777" w:rsidTr="000323A2">
        <w:trPr>
          <w:trHeight w:val="285"/>
          <w:jc w:val="center"/>
        </w:trPr>
        <w:tc>
          <w:tcPr>
            <w:tcW w:w="1997" w:type="dxa"/>
            <w:noWrap/>
          </w:tcPr>
          <w:p w14:paraId="00DC109F" w14:textId="77777777" w:rsidR="000323A2" w:rsidRPr="000323A2" w:rsidRDefault="000323A2" w:rsidP="000323A2">
            <w:pPr>
              <w:spacing w:before="240"/>
              <w:jc w:val="center"/>
              <w:rPr>
                <w:rFonts w:cs="Calibri"/>
                <w:color w:val="000000"/>
              </w:rPr>
            </w:pPr>
            <w:r w:rsidRPr="000323A2">
              <w:rPr>
                <w:rFonts w:cs="Calibri"/>
                <w:color w:val="000000"/>
              </w:rPr>
              <w:t>768 Kbps</w:t>
            </w:r>
          </w:p>
        </w:tc>
        <w:tc>
          <w:tcPr>
            <w:tcW w:w="2343" w:type="dxa"/>
            <w:noWrap/>
          </w:tcPr>
          <w:p w14:paraId="157666E7" w14:textId="77777777" w:rsidR="000323A2" w:rsidRPr="000323A2" w:rsidRDefault="000323A2" w:rsidP="000323A2">
            <w:pPr>
              <w:spacing w:before="240"/>
              <w:jc w:val="center"/>
              <w:rPr>
                <w:rFonts w:cs="Calibri"/>
                <w:color w:val="000000"/>
              </w:rPr>
            </w:pPr>
            <w:r w:rsidRPr="000323A2">
              <w:t xml:space="preserve"> $2,024 </w:t>
            </w:r>
          </w:p>
        </w:tc>
        <w:tc>
          <w:tcPr>
            <w:tcW w:w="2437" w:type="dxa"/>
            <w:noWrap/>
          </w:tcPr>
          <w:p w14:paraId="7A5655CD" w14:textId="77777777" w:rsidR="000323A2" w:rsidRPr="000323A2" w:rsidRDefault="000323A2" w:rsidP="000323A2">
            <w:pPr>
              <w:spacing w:before="240"/>
              <w:jc w:val="center"/>
              <w:rPr>
                <w:rFonts w:cs="Calibri"/>
                <w:color w:val="000000"/>
              </w:rPr>
            </w:pPr>
            <w:r w:rsidRPr="000323A2">
              <w:rPr>
                <w:rFonts w:cs="Calibri"/>
                <w:color w:val="000000"/>
              </w:rPr>
              <w:t>Ethernet 30 Mbps</w:t>
            </w:r>
          </w:p>
        </w:tc>
        <w:tc>
          <w:tcPr>
            <w:tcW w:w="2336" w:type="dxa"/>
            <w:noWrap/>
          </w:tcPr>
          <w:p w14:paraId="5D26936B"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5349CE70" w14:textId="77777777" w:rsidTr="000323A2">
        <w:trPr>
          <w:trHeight w:val="285"/>
          <w:jc w:val="center"/>
        </w:trPr>
        <w:tc>
          <w:tcPr>
            <w:tcW w:w="1997" w:type="dxa"/>
            <w:noWrap/>
          </w:tcPr>
          <w:p w14:paraId="09B4D4C6" w14:textId="77777777" w:rsidR="000323A2" w:rsidRPr="000323A2" w:rsidRDefault="000323A2" w:rsidP="000323A2">
            <w:pPr>
              <w:spacing w:before="240"/>
              <w:jc w:val="center"/>
              <w:rPr>
                <w:rFonts w:cs="Calibri"/>
                <w:color w:val="000000"/>
              </w:rPr>
            </w:pPr>
            <w:r w:rsidRPr="000323A2">
              <w:rPr>
                <w:rFonts w:cs="Calibri"/>
                <w:color w:val="000000"/>
              </w:rPr>
              <w:t>1024 Kbps</w:t>
            </w:r>
          </w:p>
        </w:tc>
        <w:tc>
          <w:tcPr>
            <w:tcW w:w="2343" w:type="dxa"/>
            <w:noWrap/>
          </w:tcPr>
          <w:p w14:paraId="79536FFD" w14:textId="77777777" w:rsidR="000323A2" w:rsidRPr="000323A2" w:rsidRDefault="000323A2" w:rsidP="000323A2">
            <w:pPr>
              <w:spacing w:before="240"/>
              <w:jc w:val="center"/>
              <w:rPr>
                <w:rFonts w:cs="Calibri"/>
                <w:color w:val="000000"/>
              </w:rPr>
            </w:pPr>
            <w:r w:rsidRPr="000323A2">
              <w:t xml:space="preserve"> $2,192 </w:t>
            </w:r>
          </w:p>
        </w:tc>
        <w:tc>
          <w:tcPr>
            <w:tcW w:w="2437" w:type="dxa"/>
            <w:noWrap/>
          </w:tcPr>
          <w:p w14:paraId="10FC48BB" w14:textId="77777777" w:rsidR="000323A2" w:rsidRPr="000323A2" w:rsidRDefault="000323A2" w:rsidP="000323A2">
            <w:pPr>
              <w:spacing w:before="240"/>
              <w:jc w:val="center"/>
              <w:rPr>
                <w:rFonts w:cs="Calibri"/>
                <w:color w:val="000000"/>
              </w:rPr>
            </w:pPr>
            <w:r w:rsidRPr="000323A2">
              <w:rPr>
                <w:rFonts w:cs="Calibri"/>
                <w:color w:val="000000"/>
              </w:rPr>
              <w:t>Ethernet 40 Mbps</w:t>
            </w:r>
          </w:p>
        </w:tc>
        <w:tc>
          <w:tcPr>
            <w:tcW w:w="2336" w:type="dxa"/>
            <w:noWrap/>
          </w:tcPr>
          <w:p w14:paraId="397EDF50"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31A7370C" w14:textId="77777777" w:rsidTr="000323A2">
        <w:trPr>
          <w:trHeight w:val="285"/>
          <w:jc w:val="center"/>
        </w:trPr>
        <w:tc>
          <w:tcPr>
            <w:tcW w:w="1997" w:type="dxa"/>
            <w:noWrap/>
          </w:tcPr>
          <w:p w14:paraId="51817860" w14:textId="77777777" w:rsidR="000323A2" w:rsidRPr="000323A2" w:rsidRDefault="000323A2" w:rsidP="000323A2">
            <w:pPr>
              <w:spacing w:before="240"/>
              <w:jc w:val="center"/>
              <w:rPr>
                <w:rFonts w:cs="Calibri"/>
                <w:color w:val="000000"/>
              </w:rPr>
            </w:pPr>
            <w:r w:rsidRPr="000323A2">
              <w:rPr>
                <w:rFonts w:cs="Calibri"/>
                <w:color w:val="000000"/>
              </w:rPr>
              <w:t>E1 (2 Mbps)</w:t>
            </w:r>
          </w:p>
        </w:tc>
        <w:tc>
          <w:tcPr>
            <w:tcW w:w="2343" w:type="dxa"/>
            <w:noWrap/>
          </w:tcPr>
          <w:p w14:paraId="6EF3E4F9" w14:textId="77777777" w:rsidR="000323A2" w:rsidRPr="000323A2" w:rsidRDefault="000323A2" w:rsidP="000323A2">
            <w:pPr>
              <w:spacing w:before="240"/>
              <w:jc w:val="center"/>
              <w:rPr>
                <w:rFonts w:cs="Calibri"/>
                <w:color w:val="000000"/>
              </w:rPr>
            </w:pPr>
            <w:r w:rsidRPr="000323A2">
              <w:t xml:space="preserve"> $3,538 </w:t>
            </w:r>
          </w:p>
        </w:tc>
        <w:tc>
          <w:tcPr>
            <w:tcW w:w="2437" w:type="dxa"/>
            <w:noWrap/>
          </w:tcPr>
          <w:p w14:paraId="1DA40617" w14:textId="77777777" w:rsidR="000323A2" w:rsidRPr="000323A2" w:rsidRDefault="000323A2" w:rsidP="000323A2">
            <w:pPr>
              <w:spacing w:before="240"/>
              <w:jc w:val="center"/>
              <w:rPr>
                <w:rFonts w:cs="Calibri"/>
                <w:color w:val="000000"/>
              </w:rPr>
            </w:pPr>
            <w:r w:rsidRPr="000323A2">
              <w:rPr>
                <w:rFonts w:cs="Calibri"/>
                <w:color w:val="000000"/>
              </w:rPr>
              <w:t>Ethernet 50 Mbps</w:t>
            </w:r>
          </w:p>
        </w:tc>
        <w:tc>
          <w:tcPr>
            <w:tcW w:w="2336" w:type="dxa"/>
            <w:noWrap/>
          </w:tcPr>
          <w:p w14:paraId="388A6DE8"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2F507DCC" w14:textId="77777777" w:rsidTr="000323A2">
        <w:trPr>
          <w:trHeight w:val="285"/>
          <w:jc w:val="center"/>
        </w:trPr>
        <w:tc>
          <w:tcPr>
            <w:tcW w:w="1997" w:type="dxa"/>
            <w:noWrap/>
          </w:tcPr>
          <w:p w14:paraId="76F7920F" w14:textId="77777777" w:rsidR="000323A2" w:rsidRPr="000323A2" w:rsidRDefault="000323A2" w:rsidP="000323A2">
            <w:pPr>
              <w:spacing w:before="240"/>
              <w:jc w:val="center"/>
              <w:rPr>
                <w:rFonts w:cs="Calibri"/>
                <w:color w:val="000000"/>
              </w:rPr>
            </w:pPr>
            <w:r w:rsidRPr="000323A2">
              <w:rPr>
                <w:rFonts w:cs="Calibri"/>
                <w:color w:val="000000"/>
              </w:rPr>
              <w:t>E2 (8 Mbps)</w:t>
            </w:r>
          </w:p>
        </w:tc>
        <w:tc>
          <w:tcPr>
            <w:tcW w:w="2343" w:type="dxa"/>
            <w:noWrap/>
          </w:tcPr>
          <w:p w14:paraId="12AB4D53" w14:textId="77777777" w:rsidR="000323A2" w:rsidRPr="000323A2" w:rsidRDefault="000323A2" w:rsidP="000323A2">
            <w:pPr>
              <w:spacing w:before="240"/>
              <w:jc w:val="center"/>
              <w:rPr>
                <w:rFonts w:cs="Calibri"/>
                <w:color w:val="000000"/>
              </w:rPr>
            </w:pPr>
            <w:r w:rsidRPr="000323A2">
              <w:t xml:space="preserve"> $14,150 </w:t>
            </w:r>
          </w:p>
        </w:tc>
        <w:tc>
          <w:tcPr>
            <w:tcW w:w="2437" w:type="dxa"/>
            <w:noWrap/>
          </w:tcPr>
          <w:p w14:paraId="50C23701" w14:textId="77777777" w:rsidR="000323A2" w:rsidRPr="000323A2" w:rsidRDefault="000323A2" w:rsidP="000323A2">
            <w:pPr>
              <w:spacing w:before="240"/>
              <w:jc w:val="center"/>
              <w:rPr>
                <w:rFonts w:cs="Calibri"/>
                <w:color w:val="000000"/>
              </w:rPr>
            </w:pPr>
            <w:r w:rsidRPr="000323A2">
              <w:rPr>
                <w:rFonts w:cs="Calibri"/>
                <w:color w:val="000000"/>
              </w:rPr>
              <w:t>Ethernet 60 Mbps</w:t>
            </w:r>
          </w:p>
        </w:tc>
        <w:tc>
          <w:tcPr>
            <w:tcW w:w="2336" w:type="dxa"/>
            <w:noWrap/>
          </w:tcPr>
          <w:p w14:paraId="45C4F0A3"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2FBFFA8C" w14:textId="77777777" w:rsidTr="000323A2">
        <w:trPr>
          <w:trHeight w:val="285"/>
          <w:jc w:val="center"/>
        </w:trPr>
        <w:tc>
          <w:tcPr>
            <w:tcW w:w="1997" w:type="dxa"/>
            <w:noWrap/>
          </w:tcPr>
          <w:p w14:paraId="3DF6DA1E" w14:textId="77777777" w:rsidR="000323A2" w:rsidRPr="000323A2" w:rsidRDefault="000323A2" w:rsidP="000323A2">
            <w:pPr>
              <w:spacing w:before="240"/>
              <w:jc w:val="center"/>
              <w:rPr>
                <w:rFonts w:cs="Calibri"/>
                <w:color w:val="000000"/>
              </w:rPr>
            </w:pPr>
            <w:r w:rsidRPr="000323A2">
              <w:rPr>
                <w:rFonts w:cs="Calibri"/>
                <w:color w:val="000000"/>
              </w:rPr>
              <w:lastRenderedPageBreak/>
              <w:t>E3 (34 Mbps)</w:t>
            </w:r>
          </w:p>
        </w:tc>
        <w:tc>
          <w:tcPr>
            <w:tcW w:w="2343" w:type="dxa"/>
            <w:noWrap/>
          </w:tcPr>
          <w:p w14:paraId="421A9707" w14:textId="77777777" w:rsidR="000323A2" w:rsidRPr="000323A2" w:rsidRDefault="000323A2" w:rsidP="000323A2">
            <w:pPr>
              <w:spacing w:before="240"/>
              <w:jc w:val="center"/>
              <w:rPr>
                <w:rFonts w:cs="Calibri"/>
                <w:color w:val="000000"/>
              </w:rPr>
            </w:pPr>
            <w:r w:rsidRPr="000323A2">
              <w:t xml:space="preserve"> $33,852 </w:t>
            </w:r>
          </w:p>
        </w:tc>
        <w:tc>
          <w:tcPr>
            <w:tcW w:w="2437" w:type="dxa"/>
            <w:noWrap/>
          </w:tcPr>
          <w:p w14:paraId="1120B120" w14:textId="77777777" w:rsidR="000323A2" w:rsidRPr="000323A2" w:rsidRDefault="000323A2" w:rsidP="000323A2">
            <w:pPr>
              <w:spacing w:before="240"/>
              <w:jc w:val="center"/>
              <w:rPr>
                <w:rFonts w:cs="Calibri"/>
                <w:color w:val="000000"/>
              </w:rPr>
            </w:pPr>
            <w:r w:rsidRPr="000323A2">
              <w:rPr>
                <w:rFonts w:cs="Calibri"/>
                <w:color w:val="000000"/>
              </w:rPr>
              <w:t>Ethernet 70 Mbps</w:t>
            </w:r>
          </w:p>
        </w:tc>
        <w:tc>
          <w:tcPr>
            <w:tcW w:w="2336" w:type="dxa"/>
            <w:noWrap/>
          </w:tcPr>
          <w:p w14:paraId="2E37DA57"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7C9087E9" w14:textId="77777777" w:rsidTr="000323A2">
        <w:trPr>
          <w:trHeight w:val="285"/>
          <w:jc w:val="center"/>
        </w:trPr>
        <w:tc>
          <w:tcPr>
            <w:tcW w:w="1997" w:type="dxa"/>
            <w:noWrap/>
          </w:tcPr>
          <w:p w14:paraId="72FB9683" w14:textId="77777777" w:rsidR="000323A2" w:rsidRPr="000323A2" w:rsidRDefault="000323A2" w:rsidP="000323A2">
            <w:pPr>
              <w:spacing w:before="240"/>
              <w:jc w:val="center"/>
              <w:rPr>
                <w:rFonts w:cs="Calibri"/>
                <w:color w:val="000000"/>
              </w:rPr>
            </w:pPr>
            <w:r w:rsidRPr="000323A2">
              <w:rPr>
                <w:rFonts w:cs="Calibri"/>
                <w:color w:val="000000"/>
              </w:rPr>
              <w:t xml:space="preserve">E4 (139 Mbps) </w:t>
            </w:r>
          </w:p>
        </w:tc>
        <w:tc>
          <w:tcPr>
            <w:tcW w:w="2343" w:type="dxa"/>
            <w:noWrap/>
          </w:tcPr>
          <w:p w14:paraId="38CA0EA2" w14:textId="77777777" w:rsidR="000323A2" w:rsidRPr="000323A2" w:rsidRDefault="000323A2" w:rsidP="000323A2">
            <w:pPr>
              <w:spacing w:before="240"/>
              <w:jc w:val="center"/>
              <w:rPr>
                <w:rFonts w:cs="Calibri"/>
                <w:color w:val="000000"/>
              </w:rPr>
            </w:pPr>
            <w:r w:rsidRPr="000323A2">
              <w:t xml:space="preserve"> $107,968 </w:t>
            </w:r>
          </w:p>
        </w:tc>
        <w:tc>
          <w:tcPr>
            <w:tcW w:w="2437" w:type="dxa"/>
            <w:noWrap/>
          </w:tcPr>
          <w:p w14:paraId="3AA03E2F" w14:textId="77777777" w:rsidR="000323A2" w:rsidRPr="000323A2" w:rsidRDefault="000323A2" w:rsidP="000323A2">
            <w:pPr>
              <w:spacing w:before="240"/>
              <w:jc w:val="center"/>
              <w:rPr>
                <w:rFonts w:cs="Calibri"/>
                <w:color w:val="000000"/>
              </w:rPr>
            </w:pPr>
            <w:r w:rsidRPr="000323A2">
              <w:rPr>
                <w:rFonts w:cs="Calibri"/>
                <w:color w:val="000000"/>
              </w:rPr>
              <w:t>Ethernet 80 Mbps</w:t>
            </w:r>
          </w:p>
        </w:tc>
        <w:tc>
          <w:tcPr>
            <w:tcW w:w="2336" w:type="dxa"/>
            <w:noWrap/>
          </w:tcPr>
          <w:p w14:paraId="307E690B"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1D94D53D" w14:textId="77777777" w:rsidTr="000323A2">
        <w:trPr>
          <w:trHeight w:val="285"/>
          <w:jc w:val="center"/>
        </w:trPr>
        <w:tc>
          <w:tcPr>
            <w:tcW w:w="1997" w:type="dxa"/>
            <w:noWrap/>
          </w:tcPr>
          <w:p w14:paraId="4FBAE955" w14:textId="77777777" w:rsidR="000323A2" w:rsidRPr="000323A2" w:rsidRDefault="000323A2" w:rsidP="000323A2">
            <w:pPr>
              <w:spacing w:before="240"/>
              <w:jc w:val="center"/>
              <w:rPr>
                <w:rFonts w:cs="Calibri"/>
                <w:color w:val="000000"/>
              </w:rPr>
            </w:pPr>
            <w:r w:rsidRPr="000323A2">
              <w:rPr>
                <w:rFonts w:cs="Calibri"/>
                <w:color w:val="000000"/>
              </w:rPr>
              <w:t xml:space="preserve">STM1 (155 Mbps) </w:t>
            </w:r>
          </w:p>
        </w:tc>
        <w:tc>
          <w:tcPr>
            <w:tcW w:w="2343" w:type="dxa"/>
            <w:noWrap/>
          </w:tcPr>
          <w:p w14:paraId="50964D1A" w14:textId="77777777" w:rsidR="000323A2" w:rsidRPr="000323A2" w:rsidRDefault="000323A2" w:rsidP="000323A2">
            <w:pPr>
              <w:spacing w:before="240"/>
              <w:jc w:val="center"/>
              <w:rPr>
                <w:rFonts w:cs="Calibri"/>
                <w:color w:val="000000"/>
              </w:rPr>
            </w:pPr>
            <w:r w:rsidRPr="000323A2">
              <w:t xml:space="preserve"> $107,968 </w:t>
            </w:r>
          </w:p>
        </w:tc>
        <w:tc>
          <w:tcPr>
            <w:tcW w:w="2437" w:type="dxa"/>
            <w:noWrap/>
          </w:tcPr>
          <w:p w14:paraId="3118B583" w14:textId="77777777" w:rsidR="000323A2" w:rsidRPr="000323A2" w:rsidRDefault="000323A2" w:rsidP="000323A2">
            <w:pPr>
              <w:spacing w:before="240"/>
              <w:jc w:val="center"/>
              <w:rPr>
                <w:rFonts w:cs="Calibri"/>
                <w:color w:val="000000"/>
              </w:rPr>
            </w:pPr>
            <w:r w:rsidRPr="000323A2">
              <w:rPr>
                <w:rFonts w:cs="Calibri"/>
                <w:color w:val="000000"/>
              </w:rPr>
              <w:t>Ethernet 90 Mbps</w:t>
            </w:r>
          </w:p>
        </w:tc>
        <w:tc>
          <w:tcPr>
            <w:tcW w:w="2336" w:type="dxa"/>
            <w:noWrap/>
          </w:tcPr>
          <w:p w14:paraId="1BF83EFB" w14:textId="77777777" w:rsidR="000323A2" w:rsidRPr="000323A2" w:rsidRDefault="000323A2" w:rsidP="000323A2">
            <w:pPr>
              <w:spacing w:before="240"/>
              <w:jc w:val="center"/>
              <w:rPr>
                <w:rFonts w:cs="Calibri"/>
                <w:color w:val="000000"/>
              </w:rPr>
            </w:pPr>
            <w:r w:rsidRPr="000323A2">
              <w:t xml:space="preserve"> $2,621 </w:t>
            </w:r>
          </w:p>
        </w:tc>
      </w:tr>
      <w:tr w:rsidR="000323A2" w:rsidRPr="000323A2" w14:paraId="5A9EA805" w14:textId="77777777" w:rsidTr="000323A2">
        <w:trPr>
          <w:trHeight w:val="285"/>
          <w:jc w:val="center"/>
        </w:trPr>
        <w:tc>
          <w:tcPr>
            <w:tcW w:w="1997" w:type="dxa"/>
            <w:noWrap/>
          </w:tcPr>
          <w:p w14:paraId="71C54585" w14:textId="77777777" w:rsidR="000323A2" w:rsidRPr="000323A2" w:rsidRDefault="000323A2" w:rsidP="000323A2">
            <w:pPr>
              <w:spacing w:before="240"/>
              <w:jc w:val="center"/>
              <w:rPr>
                <w:rFonts w:cs="Calibri"/>
                <w:color w:val="000000"/>
              </w:rPr>
            </w:pPr>
            <w:r w:rsidRPr="000323A2">
              <w:rPr>
                <w:rFonts w:cs="Calibri"/>
                <w:color w:val="000000"/>
              </w:rPr>
              <w:t xml:space="preserve">STM4 (622 Mbps) </w:t>
            </w:r>
          </w:p>
        </w:tc>
        <w:tc>
          <w:tcPr>
            <w:tcW w:w="2343" w:type="dxa"/>
            <w:noWrap/>
          </w:tcPr>
          <w:p w14:paraId="380900A5" w14:textId="77777777" w:rsidR="000323A2" w:rsidRPr="000323A2" w:rsidRDefault="000323A2" w:rsidP="000323A2">
            <w:pPr>
              <w:spacing w:before="240"/>
              <w:jc w:val="center"/>
              <w:rPr>
                <w:rFonts w:cs="Calibri"/>
                <w:color w:val="000000"/>
              </w:rPr>
            </w:pPr>
            <w:r w:rsidRPr="000323A2">
              <w:t xml:space="preserve"> $349,816 </w:t>
            </w:r>
          </w:p>
        </w:tc>
        <w:tc>
          <w:tcPr>
            <w:tcW w:w="2437" w:type="dxa"/>
            <w:noWrap/>
          </w:tcPr>
          <w:p w14:paraId="4C6A8133" w14:textId="77777777" w:rsidR="000323A2" w:rsidRPr="000323A2" w:rsidRDefault="000323A2" w:rsidP="000323A2">
            <w:pPr>
              <w:spacing w:before="240"/>
              <w:jc w:val="center"/>
              <w:rPr>
                <w:rFonts w:cs="Calibri"/>
                <w:color w:val="000000"/>
              </w:rPr>
            </w:pPr>
            <w:r w:rsidRPr="000323A2">
              <w:rPr>
                <w:rFonts w:cs="Calibri"/>
                <w:color w:val="000000"/>
              </w:rPr>
              <w:t>Ethernet 100 Mbps</w:t>
            </w:r>
          </w:p>
        </w:tc>
        <w:tc>
          <w:tcPr>
            <w:tcW w:w="2336" w:type="dxa"/>
            <w:noWrap/>
          </w:tcPr>
          <w:p w14:paraId="2CEB5167"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37197FF5" w14:textId="77777777" w:rsidTr="000323A2">
        <w:trPr>
          <w:trHeight w:val="285"/>
          <w:jc w:val="center"/>
        </w:trPr>
        <w:tc>
          <w:tcPr>
            <w:tcW w:w="1997" w:type="dxa"/>
            <w:noWrap/>
          </w:tcPr>
          <w:p w14:paraId="13A0AC39" w14:textId="77777777" w:rsidR="000323A2" w:rsidRPr="000323A2" w:rsidRDefault="000323A2" w:rsidP="000323A2">
            <w:pPr>
              <w:spacing w:before="240"/>
              <w:jc w:val="center"/>
              <w:rPr>
                <w:rFonts w:cs="Calibri"/>
                <w:color w:val="000000"/>
              </w:rPr>
            </w:pPr>
            <w:r w:rsidRPr="000323A2">
              <w:rPr>
                <w:rFonts w:cs="Calibri"/>
                <w:color w:val="000000"/>
              </w:rPr>
              <w:t xml:space="preserve">STM 16 (2.5 </w:t>
            </w:r>
            <w:proofErr w:type="spellStart"/>
            <w:r w:rsidRPr="000323A2">
              <w:rPr>
                <w:rFonts w:cs="Calibri"/>
                <w:color w:val="000000"/>
              </w:rPr>
              <w:t>Gbps</w:t>
            </w:r>
            <w:proofErr w:type="spellEnd"/>
            <w:r w:rsidRPr="000323A2">
              <w:rPr>
                <w:rFonts w:cs="Calibri"/>
                <w:color w:val="000000"/>
              </w:rPr>
              <w:t xml:space="preserve">) </w:t>
            </w:r>
          </w:p>
        </w:tc>
        <w:tc>
          <w:tcPr>
            <w:tcW w:w="2343" w:type="dxa"/>
            <w:noWrap/>
          </w:tcPr>
          <w:p w14:paraId="15FBC979" w14:textId="77777777" w:rsidR="000323A2" w:rsidRPr="000323A2" w:rsidRDefault="000323A2" w:rsidP="000323A2">
            <w:pPr>
              <w:spacing w:before="240"/>
              <w:jc w:val="center"/>
              <w:rPr>
                <w:rFonts w:cs="Calibri"/>
                <w:color w:val="000000"/>
              </w:rPr>
            </w:pPr>
            <w:r w:rsidRPr="000323A2">
              <w:t xml:space="preserve"> $874,541 </w:t>
            </w:r>
          </w:p>
        </w:tc>
        <w:tc>
          <w:tcPr>
            <w:tcW w:w="2437" w:type="dxa"/>
            <w:noWrap/>
          </w:tcPr>
          <w:p w14:paraId="776CD45C"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100 Mbps</w:t>
            </w:r>
          </w:p>
        </w:tc>
        <w:tc>
          <w:tcPr>
            <w:tcW w:w="2336" w:type="dxa"/>
            <w:noWrap/>
          </w:tcPr>
          <w:p w14:paraId="251BD079"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4436E5A5" w14:textId="77777777" w:rsidTr="000323A2">
        <w:trPr>
          <w:trHeight w:val="285"/>
          <w:jc w:val="center"/>
        </w:trPr>
        <w:tc>
          <w:tcPr>
            <w:tcW w:w="1997" w:type="dxa"/>
            <w:noWrap/>
          </w:tcPr>
          <w:p w14:paraId="684EB736" w14:textId="77777777" w:rsidR="000323A2" w:rsidRPr="000323A2" w:rsidRDefault="000323A2" w:rsidP="000323A2">
            <w:pPr>
              <w:spacing w:before="240"/>
              <w:jc w:val="center"/>
              <w:rPr>
                <w:rFonts w:cs="Calibri"/>
                <w:color w:val="000000"/>
              </w:rPr>
            </w:pPr>
            <w:r w:rsidRPr="000323A2">
              <w:rPr>
                <w:rFonts w:cs="Calibri"/>
                <w:color w:val="000000"/>
              </w:rPr>
              <w:t xml:space="preserve">STM 64 (10 </w:t>
            </w:r>
            <w:proofErr w:type="spellStart"/>
            <w:r w:rsidRPr="000323A2">
              <w:rPr>
                <w:rFonts w:cs="Calibri"/>
                <w:color w:val="000000"/>
              </w:rPr>
              <w:t>Gbps</w:t>
            </w:r>
            <w:proofErr w:type="spellEnd"/>
            <w:r w:rsidRPr="000323A2">
              <w:rPr>
                <w:rFonts w:cs="Calibri"/>
                <w:color w:val="000000"/>
              </w:rPr>
              <w:t>)</w:t>
            </w:r>
          </w:p>
        </w:tc>
        <w:tc>
          <w:tcPr>
            <w:tcW w:w="2343" w:type="dxa"/>
            <w:noWrap/>
          </w:tcPr>
          <w:p w14:paraId="2ED79153" w14:textId="77777777" w:rsidR="000323A2" w:rsidRPr="000323A2" w:rsidRDefault="000323A2" w:rsidP="000323A2">
            <w:pPr>
              <w:spacing w:before="240"/>
              <w:jc w:val="center"/>
              <w:rPr>
                <w:rFonts w:cs="Calibri"/>
                <w:color w:val="000000"/>
              </w:rPr>
            </w:pPr>
            <w:r w:rsidRPr="000323A2">
              <w:t xml:space="preserve"> $1,399,266 </w:t>
            </w:r>
          </w:p>
        </w:tc>
        <w:tc>
          <w:tcPr>
            <w:tcW w:w="2437" w:type="dxa"/>
            <w:noWrap/>
          </w:tcPr>
          <w:p w14:paraId="1EEED68D"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150 Mbps</w:t>
            </w:r>
          </w:p>
        </w:tc>
        <w:tc>
          <w:tcPr>
            <w:tcW w:w="2336" w:type="dxa"/>
            <w:noWrap/>
          </w:tcPr>
          <w:p w14:paraId="4BA997F1"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59423668" w14:textId="77777777" w:rsidTr="000323A2">
        <w:trPr>
          <w:trHeight w:val="285"/>
          <w:jc w:val="center"/>
        </w:trPr>
        <w:tc>
          <w:tcPr>
            <w:tcW w:w="1997" w:type="dxa"/>
            <w:noWrap/>
          </w:tcPr>
          <w:p w14:paraId="0914D6C4" w14:textId="77777777" w:rsidR="000323A2" w:rsidRPr="000323A2" w:rsidRDefault="000323A2" w:rsidP="000323A2">
            <w:pPr>
              <w:spacing w:before="240"/>
              <w:jc w:val="center"/>
              <w:rPr>
                <w:rFonts w:cs="Calibri"/>
                <w:color w:val="000000"/>
              </w:rPr>
            </w:pPr>
            <w:r w:rsidRPr="000323A2">
              <w:rPr>
                <w:rFonts w:cs="Calibri"/>
                <w:color w:val="000000"/>
              </w:rPr>
              <w:t xml:space="preserve">STM-256 (40 </w:t>
            </w:r>
            <w:proofErr w:type="spellStart"/>
            <w:r w:rsidRPr="000323A2">
              <w:rPr>
                <w:rFonts w:cs="Calibri"/>
                <w:color w:val="000000"/>
              </w:rPr>
              <w:t>Gbps</w:t>
            </w:r>
            <w:proofErr w:type="spellEnd"/>
            <w:r w:rsidRPr="000323A2">
              <w:rPr>
                <w:rFonts w:cs="Calibri"/>
                <w:color w:val="000000"/>
              </w:rPr>
              <w:t xml:space="preserve">) </w:t>
            </w:r>
          </w:p>
        </w:tc>
        <w:tc>
          <w:tcPr>
            <w:tcW w:w="2343" w:type="dxa"/>
            <w:noWrap/>
          </w:tcPr>
          <w:p w14:paraId="7F7FDF49" w14:textId="77777777" w:rsidR="000323A2" w:rsidRPr="000323A2" w:rsidRDefault="000323A2" w:rsidP="000323A2">
            <w:pPr>
              <w:spacing w:before="240"/>
              <w:jc w:val="center"/>
              <w:rPr>
                <w:rFonts w:cs="Calibri"/>
                <w:color w:val="000000"/>
              </w:rPr>
            </w:pPr>
            <w:r w:rsidRPr="000323A2">
              <w:t xml:space="preserve"> $5,597,063 </w:t>
            </w:r>
          </w:p>
        </w:tc>
        <w:tc>
          <w:tcPr>
            <w:tcW w:w="2437" w:type="dxa"/>
            <w:noWrap/>
          </w:tcPr>
          <w:p w14:paraId="67A5FBAA"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200 Mbps</w:t>
            </w:r>
          </w:p>
        </w:tc>
        <w:tc>
          <w:tcPr>
            <w:tcW w:w="2336" w:type="dxa"/>
            <w:noWrap/>
          </w:tcPr>
          <w:p w14:paraId="65B4843E"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1DD87C75" w14:textId="77777777" w:rsidTr="000323A2">
        <w:trPr>
          <w:trHeight w:val="285"/>
          <w:jc w:val="center"/>
        </w:trPr>
        <w:tc>
          <w:tcPr>
            <w:tcW w:w="1997" w:type="dxa"/>
            <w:noWrap/>
          </w:tcPr>
          <w:p w14:paraId="5C2E2599"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7165350C"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52B0FEBA"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250 Mbps</w:t>
            </w:r>
          </w:p>
        </w:tc>
        <w:tc>
          <w:tcPr>
            <w:tcW w:w="2336" w:type="dxa"/>
            <w:noWrap/>
          </w:tcPr>
          <w:p w14:paraId="6B28F8AA"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0A9ABB9A" w14:textId="77777777" w:rsidTr="000323A2">
        <w:trPr>
          <w:trHeight w:val="285"/>
          <w:jc w:val="center"/>
        </w:trPr>
        <w:tc>
          <w:tcPr>
            <w:tcW w:w="1997" w:type="dxa"/>
            <w:noWrap/>
          </w:tcPr>
          <w:p w14:paraId="152B6129"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3C3B0E67"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40A45B36"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300 Mbps</w:t>
            </w:r>
          </w:p>
        </w:tc>
        <w:tc>
          <w:tcPr>
            <w:tcW w:w="2336" w:type="dxa"/>
            <w:noWrap/>
          </w:tcPr>
          <w:p w14:paraId="7C4BFFA1"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21B08D20" w14:textId="77777777" w:rsidTr="000323A2">
        <w:trPr>
          <w:trHeight w:val="285"/>
          <w:jc w:val="center"/>
        </w:trPr>
        <w:tc>
          <w:tcPr>
            <w:tcW w:w="1997" w:type="dxa"/>
            <w:noWrap/>
          </w:tcPr>
          <w:p w14:paraId="6D1BBD03"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5C2F1386"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150CEA34"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350 Mbps</w:t>
            </w:r>
          </w:p>
        </w:tc>
        <w:tc>
          <w:tcPr>
            <w:tcW w:w="2336" w:type="dxa"/>
            <w:noWrap/>
          </w:tcPr>
          <w:p w14:paraId="2B817D4C"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06482B19" w14:textId="77777777" w:rsidTr="000323A2">
        <w:trPr>
          <w:trHeight w:val="285"/>
          <w:jc w:val="center"/>
        </w:trPr>
        <w:tc>
          <w:tcPr>
            <w:tcW w:w="1997" w:type="dxa"/>
            <w:noWrap/>
          </w:tcPr>
          <w:p w14:paraId="0D22C72A"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0A3F5520"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3AB16F50"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400 Mbps</w:t>
            </w:r>
          </w:p>
        </w:tc>
        <w:tc>
          <w:tcPr>
            <w:tcW w:w="2336" w:type="dxa"/>
            <w:noWrap/>
          </w:tcPr>
          <w:p w14:paraId="44081CDD"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239334EE" w14:textId="77777777" w:rsidTr="000323A2">
        <w:trPr>
          <w:trHeight w:val="285"/>
          <w:jc w:val="center"/>
        </w:trPr>
        <w:tc>
          <w:tcPr>
            <w:tcW w:w="1997" w:type="dxa"/>
            <w:noWrap/>
          </w:tcPr>
          <w:p w14:paraId="19AA0546"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2A9901D5"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4AE81315"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450 Mbps</w:t>
            </w:r>
          </w:p>
        </w:tc>
        <w:tc>
          <w:tcPr>
            <w:tcW w:w="2336" w:type="dxa"/>
            <w:noWrap/>
          </w:tcPr>
          <w:p w14:paraId="4430EA24"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7B2BD188" w14:textId="77777777" w:rsidTr="000323A2">
        <w:trPr>
          <w:trHeight w:val="285"/>
          <w:jc w:val="center"/>
        </w:trPr>
        <w:tc>
          <w:tcPr>
            <w:tcW w:w="1997" w:type="dxa"/>
            <w:noWrap/>
          </w:tcPr>
          <w:p w14:paraId="61625DBC"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15B2D5E2"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08C3F7C0"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500 Mbps</w:t>
            </w:r>
          </w:p>
        </w:tc>
        <w:tc>
          <w:tcPr>
            <w:tcW w:w="2336" w:type="dxa"/>
            <w:noWrap/>
          </w:tcPr>
          <w:p w14:paraId="61044083"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4664AB71" w14:textId="77777777" w:rsidTr="000323A2">
        <w:trPr>
          <w:trHeight w:val="285"/>
          <w:jc w:val="center"/>
        </w:trPr>
        <w:tc>
          <w:tcPr>
            <w:tcW w:w="1997" w:type="dxa"/>
            <w:noWrap/>
          </w:tcPr>
          <w:p w14:paraId="5B12367B"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64C0F20F"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5913206F"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550 Mbps</w:t>
            </w:r>
          </w:p>
        </w:tc>
        <w:tc>
          <w:tcPr>
            <w:tcW w:w="2336" w:type="dxa"/>
            <w:noWrap/>
          </w:tcPr>
          <w:p w14:paraId="4DD02D3F"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14550B91" w14:textId="77777777" w:rsidTr="000323A2">
        <w:trPr>
          <w:trHeight w:val="285"/>
          <w:jc w:val="center"/>
        </w:trPr>
        <w:tc>
          <w:tcPr>
            <w:tcW w:w="1997" w:type="dxa"/>
            <w:noWrap/>
          </w:tcPr>
          <w:p w14:paraId="1F11FAED"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0FD406A8"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5410031E"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600 Mbps</w:t>
            </w:r>
          </w:p>
        </w:tc>
        <w:tc>
          <w:tcPr>
            <w:tcW w:w="2336" w:type="dxa"/>
            <w:noWrap/>
          </w:tcPr>
          <w:p w14:paraId="0554768F"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356CCFC2" w14:textId="77777777" w:rsidTr="000323A2">
        <w:trPr>
          <w:trHeight w:val="285"/>
          <w:jc w:val="center"/>
        </w:trPr>
        <w:tc>
          <w:tcPr>
            <w:tcW w:w="1997" w:type="dxa"/>
            <w:noWrap/>
          </w:tcPr>
          <w:p w14:paraId="1DA97552"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090694BF"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5C852193"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750 Mbps</w:t>
            </w:r>
          </w:p>
        </w:tc>
        <w:tc>
          <w:tcPr>
            <w:tcW w:w="2336" w:type="dxa"/>
            <w:noWrap/>
          </w:tcPr>
          <w:p w14:paraId="7A65FB76"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442DB869" w14:textId="77777777" w:rsidTr="000323A2">
        <w:trPr>
          <w:trHeight w:val="285"/>
          <w:jc w:val="center"/>
        </w:trPr>
        <w:tc>
          <w:tcPr>
            <w:tcW w:w="1997" w:type="dxa"/>
            <w:noWrap/>
          </w:tcPr>
          <w:p w14:paraId="2A6B22EA"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6B2731E3"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59B1CB39"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 </w:t>
            </w:r>
            <w:proofErr w:type="spellStart"/>
            <w:r w:rsidRPr="000323A2">
              <w:rPr>
                <w:rFonts w:cs="Calibri"/>
                <w:color w:val="000000"/>
              </w:rPr>
              <w:t>Gbps</w:t>
            </w:r>
            <w:proofErr w:type="spellEnd"/>
          </w:p>
        </w:tc>
        <w:tc>
          <w:tcPr>
            <w:tcW w:w="2336" w:type="dxa"/>
            <w:noWrap/>
          </w:tcPr>
          <w:p w14:paraId="14CE29FE"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118ACE34" w14:textId="77777777" w:rsidTr="000323A2">
        <w:trPr>
          <w:trHeight w:val="285"/>
          <w:jc w:val="center"/>
        </w:trPr>
        <w:tc>
          <w:tcPr>
            <w:tcW w:w="1997" w:type="dxa"/>
            <w:noWrap/>
          </w:tcPr>
          <w:p w14:paraId="29086465" w14:textId="77777777" w:rsidR="000323A2" w:rsidRPr="000323A2" w:rsidRDefault="000323A2" w:rsidP="000323A2">
            <w:pPr>
              <w:spacing w:before="240"/>
              <w:rPr>
                <w:rFonts w:cs="Calibri"/>
                <w:color w:val="000000"/>
              </w:rPr>
            </w:pPr>
            <w:r w:rsidRPr="000323A2">
              <w:rPr>
                <w:rFonts w:cs="Calibri"/>
                <w:color w:val="000000"/>
              </w:rPr>
              <w:t> </w:t>
            </w:r>
          </w:p>
        </w:tc>
        <w:tc>
          <w:tcPr>
            <w:tcW w:w="2343" w:type="dxa"/>
            <w:noWrap/>
          </w:tcPr>
          <w:p w14:paraId="42003EC6" w14:textId="77777777" w:rsidR="000323A2" w:rsidRPr="000323A2" w:rsidRDefault="000323A2" w:rsidP="000323A2">
            <w:pPr>
              <w:spacing w:before="240"/>
              <w:rPr>
                <w:rFonts w:cs="Calibri"/>
                <w:color w:val="000000"/>
              </w:rPr>
            </w:pPr>
            <w:r w:rsidRPr="000323A2">
              <w:rPr>
                <w:rFonts w:cs="Calibri"/>
                <w:color w:val="000000"/>
              </w:rPr>
              <w:t> </w:t>
            </w:r>
          </w:p>
        </w:tc>
        <w:tc>
          <w:tcPr>
            <w:tcW w:w="2437" w:type="dxa"/>
            <w:noWrap/>
          </w:tcPr>
          <w:p w14:paraId="1E7501BB"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2 </w:t>
            </w:r>
            <w:proofErr w:type="spellStart"/>
            <w:r w:rsidRPr="000323A2">
              <w:rPr>
                <w:rFonts w:cs="Calibri"/>
                <w:color w:val="000000"/>
              </w:rPr>
              <w:t>Gbps</w:t>
            </w:r>
            <w:proofErr w:type="spellEnd"/>
          </w:p>
        </w:tc>
        <w:tc>
          <w:tcPr>
            <w:tcW w:w="2336" w:type="dxa"/>
            <w:noWrap/>
          </w:tcPr>
          <w:p w14:paraId="09D02792"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1D776BDF" w14:textId="77777777" w:rsidTr="000323A2">
        <w:trPr>
          <w:trHeight w:val="285"/>
          <w:jc w:val="center"/>
        </w:trPr>
        <w:tc>
          <w:tcPr>
            <w:tcW w:w="1997" w:type="dxa"/>
            <w:noWrap/>
          </w:tcPr>
          <w:p w14:paraId="15156348" w14:textId="77777777" w:rsidR="000323A2" w:rsidRPr="000323A2" w:rsidRDefault="000323A2" w:rsidP="000323A2">
            <w:pPr>
              <w:spacing w:before="240"/>
              <w:rPr>
                <w:rFonts w:cs="Calibri"/>
                <w:color w:val="000000"/>
              </w:rPr>
            </w:pPr>
          </w:p>
        </w:tc>
        <w:tc>
          <w:tcPr>
            <w:tcW w:w="2343" w:type="dxa"/>
            <w:noWrap/>
          </w:tcPr>
          <w:p w14:paraId="708E7215" w14:textId="77777777" w:rsidR="000323A2" w:rsidRPr="000323A2" w:rsidRDefault="000323A2" w:rsidP="000323A2">
            <w:pPr>
              <w:spacing w:before="240"/>
              <w:rPr>
                <w:rFonts w:cs="Calibri"/>
                <w:color w:val="000000"/>
              </w:rPr>
            </w:pPr>
          </w:p>
        </w:tc>
        <w:tc>
          <w:tcPr>
            <w:tcW w:w="2437" w:type="dxa"/>
            <w:noWrap/>
          </w:tcPr>
          <w:p w14:paraId="23BB80EC"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4 </w:t>
            </w:r>
            <w:proofErr w:type="spellStart"/>
            <w:r w:rsidRPr="000323A2">
              <w:rPr>
                <w:rFonts w:cs="Calibri"/>
                <w:color w:val="000000"/>
              </w:rPr>
              <w:t>Gbps</w:t>
            </w:r>
            <w:proofErr w:type="spellEnd"/>
          </w:p>
        </w:tc>
        <w:tc>
          <w:tcPr>
            <w:tcW w:w="2336" w:type="dxa"/>
            <w:noWrap/>
          </w:tcPr>
          <w:p w14:paraId="6B4DA9C9"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654AD7CA" w14:textId="77777777" w:rsidTr="000323A2">
        <w:trPr>
          <w:trHeight w:val="285"/>
          <w:jc w:val="center"/>
        </w:trPr>
        <w:tc>
          <w:tcPr>
            <w:tcW w:w="1997" w:type="dxa"/>
            <w:noWrap/>
          </w:tcPr>
          <w:p w14:paraId="09721A90" w14:textId="77777777" w:rsidR="000323A2" w:rsidRPr="000323A2" w:rsidRDefault="000323A2" w:rsidP="000323A2">
            <w:pPr>
              <w:spacing w:before="240"/>
              <w:rPr>
                <w:rFonts w:cs="Calibri"/>
                <w:color w:val="000000"/>
              </w:rPr>
            </w:pPr>
          </w:p>
        </w:tc>
        <w:tc>
          <w:tcPr>
            <w:tcW w:w="2343" w:type="dxa"/>
            <w:noWrap/>
          </w:tcPr>
          <w:p w14:paraId="7971C3E6" w14:textId="77777777" w:rsidR="000323A2" w:rsidRPr="000323A2" w:rsidRDefault="000323A2" w:rsidP="000323A2">
            <w:pPr>
              <w:spacing w:before="240"/>
              <w:rPr>
                <w:rFonts w:cs="Calibri"/>
                <w:color w:val="000000"/>
              </w:rPr>
            </w:pPr>
          </w:p>
        </w:tc>
        <w:tc>
          <w:tcPr>
            <w:tcW w:w="2437" w:type="dxa"/>
            <w:noWrap/>
          </w:tcPr>
          <w:p w14:paraId="1C755A99"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6 </w:t>
            </w:r>
            <w:proofErr w:type="spellStart"/>
            <w:r w:rsidRPr="000323A2">
              <w:rPr>
                <w:rFonts w:cs="Calibri"/>
                <w:color w:val="000000"/>
              </w:rPr>
              <w:t>Gbps</w:t>
            </w:r>
            <w:proofErr w:type="spellEnd"/>
          </w:p>
        </w:tc>
        <w:tc>
          <w:tcPr>
            <w:tcW w:w="2336" w:type="dxa"/>
            <w:noWrap/>
          </w:tcPr>
          <w:p w14:paraId="5D2165CA"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281173A0" w14:textId="77777777" w:rsidTr="000323A2">
        <w:trPr>
          <w:trHeight w:val="285"/>
          <w:jc w:val="center"/>
        </w:trPr>
        <w:tc>
          <w:tcPr>
            <w:tcW w:w="1997" w:type="dxa"/>
            <w:noWrap/>
          </w:tcPr>
          <w:p w14:paraId="03453F52" w14:textId="77777777" w:rsidR="000323A2" w:rsidRPr="000323A2" w:rsidRDefault="000323A2" w:rsidP="000323A2">
            <w:pPr>
              <w:spacing w:before="240"/>
              <w:rPr>
                <w:rFonts w:cs="Calibri"/>
                <w:color w:val="000000"/>
              </w:rPr>
            </w:pPr>
          </w:p>
        </w:tc>
        <w:tc>
          <w:tcPr>
            <w:tcW w:w="2343" w:type="dxa"/>
            <w:noWrap/>
          </w:tcPr>
          <w:p w14:paraId="129AE596" w14:textId="77777777" w:rsidR="000323A2" w:rsidRPr="000323A2" w:rsidRDefault="000323A2" w:rsidP="000323A2">
            <w:pPr>
              <w:spacing w:before="240"/>
              <w:rPr>
                <w:rFonts w:cs="Calibri"/>
                <w:color w:val="000000"/>
              </w:rPr>
            </w:pPr>
          </w:p>
        </w:tc>
        <w:tc>
          <w:tcPr>
            <w:tcW w:w="2437" w:type="dxa"/>
            <w:noWrap/>
          </w:tcPr>
          <w:p w14:paraId="5B667932"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8 </w:t>
            </w:r>
            <w:proofErr w:type="spellStart"/>
            <w:r w:rsidRPr="000323A2">
              <w:rPr>
                <w:rFonts w:cs="Calibri"/>
                <w:color w:val="000000"/>
              </w:rPr>
              <w:t>Gbps</w:t>
            </w:r>
            <w:proofErr w:type="spellEnd"/>
          </w:p>
        </w:tc>
        <w:tc>
          <w:tcPr>
            <w:tcW w:w="2336" w:type="dxa"/>
            <w:noWrap/>
          </w:tcPr>
          <w:p w14:paraId="05444B82"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5DF55A41" w14:textId="77777777" w:rsidTr="000323A2">
        <w:trPr>
          <w:trHeight w:val="285"/>
          <w:jc w:val="center"/>
        </w:trPr>
        <w:tc>
          <w:tcPr>
            <w:tcW w:w="1997" w:type="dxa"/>
            <w:noWrap/>
          </w:tcPr>
          <w:p w14:paraId="408D79D9" w14:textId="77777777" w:rsidR="000323A2" w:rsidRPr="000323A2" w:rsidRDefault="000323A2" w:rsidP="000323A2">
            <w:pPr>
              <w:spacing w:before="240"/>
              <w:rPr>
                <w:rFonts w:cs="Calibri"/>
                <w:color w:val="000000"/>
              </w:rPr>
            </w:pPr>
          </w:p>
        </w:tc>
        <w:tc>
          <w:tcPr>
            <w:tcW w:w="2343" w:type="dxa"/>
            <w:noWrap/>
          </w:tcPr>
          <w:p w14:paraId="0E884091" w14:textId="77777777" w:rsidR="000323A2" w:rsidRPr="000323A2" w:rsidRDefault="000323A2" w:rsidP="000323A2">
            <w:pPr>
              <w:spacing w:before="240"/>
              <w:rPr>
                <w:rFonts w:cs="Calibri"/>
                <w:color w:val="000000"/>
              </w:rPr>
            </w:pPr>
          </w:p>
        </w:tc>
        <w:tc>
          <w:tcPr>
            <w:tcW w:w="2437" w:type="dxa"/>
            <w:noWrap/>
          </w:tcPr>
          <w:p w14:paraId="1C21C023"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10 </w:t>
            </w:r>
            <w:proofErr w:type="spellStart"/>
            <w:r w:rsidRPr="000323A2">
              <w:rPr>
                <w:rFonts w:cs="Calibri"/>
                <w:color w:val="000000"/>
              </w:rPr>
              <w:t>Gbps</w:t>
            </w:r>
            <w:proofErr w:type="spellEnd"/>
          </w:p>
        </w:tc>
        <w:tc>
          <w:tcPr>
            <w:tcW w:w="2336" w:type="dxa"/>
            <w:noWrap/>
          </w:tcPr>
          <w:p w14:paraId="55D4C0CD" w14:textId="77777777" w:rsidR="000323A2" w:rsidRPr="000323A2" w:rsidRDefault="000323A2" w:rsidP="000323A2">
            <w:pPr>
              <w:spacing w:before="240"/>
              <w:jc w:val="center"/>
              <w:rPr>
                <w:rFonts w:cs="Calibri"/>
                <w:color w:val="000000"/>
              </w:rPr>
            </w:pPr>
            <w:r w:rsidRPr="000323A2">
              <w:t xml:space="preserve"> $5,241 </w:t>
            </w:r>
          </w:p>
        </w:tc>
      </w:tr>
      <w:tr w:rsidR="000323A2" w:rsidRPr="000323A2" w14:paraId="3EA39D26" w14:textId="77777777" w:rsidTr="000323A2">
        <w:trPr>
          <w:trHeight w:val="285"/>
          <w:jc w:val="center"/>
        </w:trPr>
        <w:tc>
          <w:tcPr>
            <w:tcW w:w="1997" w:type="dxa"/>
            <w:noWrap/>
          </w:tcPr>
          <w:p w14:paraId="28944B07" w14:textId="77777777" w:rsidR="000323A2" w:rsidRPr="000323A2" w:rsidRDefault="000323A2" w:rsidP="000323A2">
            <w:pPr>
              <w:spacing w:before="240"/>
              <w:rPr>
                <w:rFonts w:cs="Calibri"/>
                <w:color w:val="000000"/>
              </w:rPr>
            </w:pPr>
          </w:p>
        </w:tc>
        <w:tc>
          <w:tcPr>
            <w:tcW w:w="2343" w:type="dxa"/>
            <w:noWrap/>
          </w:tcPr>
          <w:p w14:paraId="5C0F1618" w14:textId="77777777" w:rsidR="000323A2" w:rsidRPr="000323A2" w:rsidRDefault="000323A2" w:rsidP="000323A2">
            <w:pPr>
              <w:spacing w:before="240"/>
              <w:rPr>
                <w:rFonts w:cs="Calibri"/>
                <w:color w:val="000000"/>
              </w:rPr>
            </w:pPr>
          </w:p>
        </w:tc>
        <w:tc>
          <w:tcPr>
            <w:tcW w:w="2437" w:type="dxa"/>
            <w:noWrap/>
          </w:tcPr>
          <w:p w14:paraId="49CF8CA8" w14:textId="77777777" w:rsidR="000323A2" w:rsidRPr="000323A2" w:rsidRDefault="000323A2" w:rsidP="000323A2">
            <w:pPr>
              <w:spacing w:before="240"/>
              <w:jc w:val="center"/>
              <w:rPr>
                <w:rFonts w:cs="Calibri"/>
                <w:color w:val="000000"/>
              </w:rPr>
            </w:pPr>
            <w:proofErr w:type="spellStart"/>
            <w:r w:rsidRPr="000323A2">
              <w:rPr>
                <w:rFonts w:cs="Calibri"/>
                <w:color w:val="000000"/>
              </w:rPr>
              <w:t>GigaEthernet</w:t>
            </w:r>
            <w:proofErr w:type="spellEnd"/>
            <w:r w:rsidRPr="000323A2">
              <w:rPr>
                <w:rFonts w:cs="Calibri"/>
                <w:color w:val="000000"/>
              </w:rPr>
              <w:t xml:space="preserve"> 100 </w:t>
            </w:r>
            <w:proofErr w:type="spellStart"/>
            <w:r w:rsidRPr="000323A2">
              <w:rPr>
                <w:rFonts w:cs="Calibri"/>
                <w:color w:val="000000"/>
              </w:rPr>
              <w:t>Gbps</w:t>
            </w:r>
            <w:proofErr w:type="spellEnd"/>
          </w:p>
        </w:tc>
        <w:tc>
          <w:tcPr>
            <w:tcW w:w="2336" w:type="dxa"/>
            <w:noWrap/>
          </w:tcPr>
          <w:p w14:paraId="3A53DF20" w14:textId="77777777" w:rsidR="000323A2" w:rsidRPr="000323A2" w:rsidRDefault="000323A2" w:rsidP="000323A2">
            <w:pPr>
              <w:spacing w:before="240"/>
              <w:jc w:val="center"/>
              <w:rPr>
                <w:rFonts w:cs="Calibri"/>
                <w:color w:val="000000"/>
              </w:rPr>
            </w:pPr>
            <w:r w:rsidRPr="000323A2">
              <w:t xml:space="preserve"> $5,241 </w:t>
            </w:r>
          </w:p>
        </w:tc>
      </w:tr>
    </w:tbl>
    <w:p w14:paraId="25D0A26F" w14:textId="77777777" w:rsidR="000323A2" w:rsidRPr="000323A2" w:rsidRDefault="000323A2" w:rsidP="00B04B36">
      <w:pPr>
        <w:numPr>
          <w:ilvl w:val="0"/>
          <w:numId w:val="75"/>
        </w:numPr>
        <w:spacing w:before="240" w:after="0" w:line="240" w:lineRule="auto"/>
        <w:ind w:left="1080"/>
        <w:jc w:val="both"/>
        <w:rPr>
          <w:rFonts w:ascii="Arial" w:eastAsia="Calibri" w:hAnsi="Arial" w:cs="Times New Roman"/>
          <w:b/>
        </w:rPr>
      </w:pPr>
      <w:r w:rsidRPr="000323A2">
        <w:rPr>
          <w:rFonts w:ascii="Arial" w:eastAsia="Calibri" w:hAnsi="Arial" w:cs="Times New Roman"/>
          <w:b/>
        </w:rPr>
        <w:t>Renta Mensual</w:t>
      </w:r>
    </w:p>
    <w:p w14:paraId="4FF437D1" w14:textId="77777777" w:rsidR="000323A2" w:rsidRPr="000323A2" w:rsidRDefault="000323A2" w:rsidP="000323A2">
      <w:pPr>
        <w:spacing w:before="240" w:after="0" w:line="240" w:lineRule="auto"/>
        <w:ind w:left="1080"/>
        <w:jc w:val="both"/>
        <w:rPr>
          <w:rFonts w:ascii="Arial" w:eastAsia="Calibri" w:hAnsi="Arial" w:cs="Times New Roman"/>
          <w:snapToGrid w:val="0"/>
        </w:rPr>
      </w:pPr>
      <w:r w:rsidRPr="000323A2">
        <w:rPr>
          <w:rFonts w:ascii="Arial" w:eastAsia="Calibri" w:hAnsi="Arial" w:cs="Times New Roman"/>
          <w:snapToGrid w:val="0"/>
        </w:rPr>
        <w:t>El CONCESIONARIO SOLICITANTE pagará a TELMEX por concepto de Renta Mensual para cada uno de los SERVICIOS contratados al amparo del Convenio, las cantidades que se describen a continuación:</w:t>
      </w:r>
    </w:p>
    <w:p w14:paraId="670E2F4E" w14:textId="77777777" w:rsidR="000323A2" w:rsidRPr="000323A2" w:rsidRDefault="000323A2" w:rsidP="000323A2">
      <w:pPr>
        <w:spacing w:before="240" w:after="0" w:line="240" w:lineRule="auto"/>
        <w:ind w:firstLine="720"/>
        <w:jc w:val="both"/>
        <w:rPr>
          <w:rFonts w:ascii="Arial" w:eastAsia="Calibri" w:hAnsi="Arial" w:cs="Times New Roman"/>
          <w:b/>
        </w:rPr>
      </w:pPr>
      <w:r w:rsidRPr="000323A2">
        <w:rPr>
          <w:rFonts w:ascii="Arial" w:eastAsia="Calibri" w:hAnsi="Arial" w:cs="Times New Roman"/>
          <w:b/>
        </w:rPr>
        <w:t>2.1 Renta Mensual Enlace Dedicado Local</w:t>
      </w:r>
    </w:p>
    <w:p w14:paraId="2639B022" w14:textId="77777777" w:rsidR="000323A2" w:rsidRPr="000323A2" w:rsidRDefault="000323A2" w:rsidP="00B04B36">
      <w:pPr>
        <w:numPr>
          <w:ilvl w:val="1"/>
          <w:numId w:val="76"/>
        </w:numPr>
        <w:tabs>
          <w:tab w:val="num" w:pos="1418"/>
        </w:tabs>
        <w:spacing w:before="240" w:after="0" w:line="240" w:lineRule="auto"/>
        <w:ind w:left="1418" w:hanging="284"/>
        <w:jc w:val="both"/>
        <w:rPr>
          <w:rFonts w:ascii="Arial" w:eastAsia="Calibri" w:hAnsi="Arial" w:cs="Times New Roman"/>
        </w:rPr>
      </w:pPr>
      <w:r w:rsidRPr="000323A2">
        <w:rPr>
          <w:rFonts w:ascii="Arial" w:eastAsia="Calibri" w:hAnsi="Arial" w:cs="Times New Roman"/>
        </w:rPr>
        <w:t xml:space="preserve">Enlace Punto a Punto. El cargo por Renta Mensual comprende dos tramos locales, uno en cada punta. </w:t>
      </w:r>
    </w:p>
    <w:p w14:paraId="0E26D84E" w14:textId="77777777" w:rsidR="000323A2" w:rsidRPr="000323A2" w:rsidRDefault="000323A2" w:rsidP="00B04B36">
      <w:pPr>
        <w:numPr>
          <w:ilvl w:val="1"/>
          <w:numId w:val="76"/>
        </w:numPr>
        <w:tabs>
          <w:tab w:val="num" w:pos="1418"/>
        </w:tabs>
        <w:spacing w:before="240" w:after="0" w:line="240" w:lineRule="auto"/>
        <w:ind w:left="1418" w:hanging="284"/>
        <w:jc w:val="both"/>
        <w:rPr>
          <w:rFonts w:ascii="Arial" w:eastAsia="Calibri" w:hAnsi="Arial" w:cs="Times New Roman"/>
        </w:rPr>
      </w:pPr>
      <w:r w:rsidRPr="000323A2">
        <w:rPr>
          <w:rFonts w:ascii="Arial" w:eastAsia="Calibri" w:hAnsi="Arial" w:cs="Times New Roman"/>
        </w:rPr>
        <w:t>Enlace Punto a Punto Multipunto. El cargo por Renta Mensual comprende un tamo local en una punta, más el tramo local del Punto Multipunto en la otra punta.</w:t>
      </w:r>
    </w:p>
    <w:p w14:paraId="0344D48C" w14:textId="77777777" w:rsidR="000323A2" w:rsidRPr="000323A2" w:rsidRDefault="000323A2" w:rsidP="00B04B36">
      <w:pPr>
        <w:numPr>
          <w:ilvl w:val="1"/>
          <w:numId w:val="76"/>
        </w:numPr>
        <w:tabs>
          <w:tab w:val="num" w:pos="1418"/>
        </w:tabs>
        <w:spacing w:before="240" w:after="0" w:line="240" w:lineRule="auto"/>
        <w:ind w:left="1418" w:hanging="284"/>
        <w:jc w:val="both"/>
        <w:rPr>
          <w:rFonts w:ascii="Arial" w:eastAsia="Calibri" w:hAnsi="Arial" w:cs="Times New Roman"/>
        </w:rPr>
      </w:pPr>
      <w:r w:rsidRPr="000323A2">
        <w:rPr>
          <w:rFonts w:ascii="Arial" w:eastAsia="Calibri" w:hAnsi="Arial" w:cs="Times New Roman"/>
        </w:rPr>
        <w:t xml:space="preserve">Enlace Punto Multipunto. El cargo por Renta Mensual comprende el tramo local del PMP o HUB. </w:t>
      </w:r>
    </w:p>
    <w:p w14:paraId="029AB8C8" w14:textId="77777777" w:rsidR="000323A2" w:rsidRPr="000323A2" w:rsidRDefault="000323A2" w:rsidP="000323A2">
      <w:pPr>
        <w:spacing w:before="240" w:after="0" w:line="240" w:lineRule="auto"/>
        <w:ind w:left="720"/>
        <w:jc w:val="both"/>
        <w:rPr>
          <w:rFonts w:ascii="Arial" w:eastAsia="Calibri" w:hAnsi="Arial" w:cs="Times New Roman"/>
          <w:b/>
        </w:rPr>
      </w:pPr>
      <w:r w:rsidRPr="000323A2">
        <w:rPr>
          <w:rFonts w:ascii="Arial" w:eastAsia="Calibri" w:hAnsi="Arial" w:cs="Times New Roman"/>
          <w:b/>
        </w:rPr>
        <w:t>2.2 Renta Mensual Enlace Dedicado Entre Localidades</w:t>
      </w:r>
    </w:p>
    <w:p w14:paraId="04AF93CC" w14:textId="77777777" w:rsidR="000323A2" w:rsidRPr="000323A2" w:rsidRDefault="000323A2" w:rsidP="00B04B36">
      <w:pPr>
        <w:numPr>
          <w:ilvl w:val="0"/>
          <w:numId w:val="79"/>
        </w:numPr>
        <w:spacing w:before="240" w:after="0" w:line="240" w:lineRule="auto"/>
        <w:ind w:left="1418" w:hanging="284"/>
        <w:jc w:val="both"/>
        <w:rPr>
          <w:rFonts w:ascii="Arial" w:eastAsia="Calibri" w:hAnsi="Arial" w:cs="Times New Roman"/>
        </w:rPr>
      </w:pPr>
      <w:r w:rsidRPr="000323A2">
        <w:rPr>
          <w:rFonts w:ascii="Arial" w:eastAsia="Calibri" w:hAnsi="Arial" w:cs="Times New Roman"/>
        </w:rPr>
        <w:t>Enlace Punto a Punto. El cargo por Renta Mensual comprende dos tramos locales, uno en cada punta, más el tramo entre localidades.</w:t>
      </w:r>
    </w:p>
    <w:p w14:paraId="5EC5B9FE" w14:textId="77777777" w:rsidR="000323A2" w:rsidRPr="000323A2" w:rsidRDefault="000323A2" w:rsidP="00B04B36">
      <w:pPr>
        <w:numPr>
          <w:ilvl w:val="0"/>
          <w:numId w:val="79"/>
        </w:numPr>
        <w:spacing w:before="240" w:after="0" w:line="240" w:lineRule="auto"/>
        <w:ind w:left="1418" w:hanging="284"/>
        <w:jc w:val="both"/>
        <w:rPr>
          <w:rFonts w:ascii="Arial" w:eastAsia="Calibri" w:hAnsi="Arial" w:cs="Times New Roman"/>
        </w:rPr>
      </w:pPr>
      <w:r w:rsidRPr="000323A2">
        <w:rPr>
          <w:rFonts w:ascii="Arial" w:eastAsia="Calibri" w:hAnsi="Arial" w:cs="Times New Roman"/>
        </w:rPr>
        <w:t>Enlace Punto a Punto Multipunto. El cargo por Renta Mensual comprende un tramo local en una punta, más el tramo de larga distancia, más el tramo local del Punto Multipunto en la otra punta.</w:t>
      </w:r>
    </w:p>
    <w:p w14:paraId="627D2305" w14:textId="77777777" w:rsidR="000323A2" w:rsidRPr="000323A2" w:rsidRDefault="000323A2" w:rsidP="000323A2">
      <w:pPr>
        <w:spacing w:before="240" w:after="0" w:line="240" w:lineRule="auto"/>
        <w:ind w:left="1276" w:hanging="556"/>
        <w:jc w:val="both"/>
        <w:rPr>
          <w:rFonts w:ascii="Arial" w:eastAsia="Calibri" w:hAnsi="Arial" w:cs="Times New Roman"/>
          <w:b/>
        </w:rPr>
      </w:pPr>
      <w:r w:rsidRPr="000323A2">
        <w:rPr>
          <w:rFonts w:ascii="Arial" w:eastAsia="Calibri" w:hAnsi="Arial" w:cs="Times New Roman"/>
          <w:b/>
        </w:rPr>
        <w:t>2.3 Renta Mensual Enlace Dedicado de Larga Distancia Internacional</w:t>
      </w:r>
    </w:p>
    <w:p w14:paraId="75B5706C" w14:textId="77777777" w:rsidR="000323A2" w:rsidRPr="000323A2" w:rsidRDefault="000323A2" w:rsidP="00B04B36">
      <w:pPr>
        <w:numPr>
          <w:ilvl w:val="0"/>
          <w:numId w:val="80"/>
        </w:numPr>
        <w:tabs>
          <w:tab w:val="num" w:pos="1418"/>
        </w:tabs>
        <w:spacing w:before="240" w:after="0" w:line="240" w:lineRule="auto"/>
        <w:ind w:left="1418" w:hanging="284"/>
        <w:jc w:val="both"/>
        <w:rPr>
          <w:rFonts w:ascii="Arial" w:eastAsia="Calibri" w:hAnsi="Arial" w:cs="Times New Roman"/>
        </w:rPr>
      </w:pPr>
      <w:r w:rsidRPr="000323A2">
        <w:rPr>
          <w:rFonts w:ascii="Arial" w:eastAsia="Calibri" w:hAnsi="Arial" w:cs="Times New Roman"/>
        </w:rPr>
        <w:t>Enlace Punto a Punto. El cargo por Renta Mensual comprende un tramo local, más el tramo de larga distancia, más la parte internacional.</w:t>
      </w:r>
    </w:p>
    <w:p w14:paraId="4CA6D7DE" w14:textId="77777777" w:rsidR="000323A2" w:rsidRPr="000323A2" w:rsidRDefault="000323A2" w:rsidP="00B04B36">
      <w:pPr>
        <w:numPr>
          <w:ilvl w:val="0"/>
          <w:numId w:val="80"/>
        </w:numPr>
        <w:tabs>
          <w:tab w:val="num" w:pos="1418"/>
        </w:tabs>
        <w:spacing w:before="240" w:after="0" w:line="240" w:lineRule="auto"/>
        <w:ind w:left="1418" w:hanging="284"/>
        <w:jc w:val="both"/>
        <w:rPr>
          <w:rFonts w:ascii="Arial" w:eastAsia="Calibri" w:hAnsi="Arial" w:cs="Times New Roman"/>
          <w:snapToGrid w:val="0"/>
        </w:rPr>
      </w:pPr>
      <w:r w:rsidRPr="000323A2">
        <w:rPr>
          <w:rFonts w:ascii="Arial" w:eastAsia="Calibri" w:hAnsi="Arial" w:cs="Times New Roman"/>
        </w:rPr>
        <w:t xml:space="preserve">Enlace Punto a Punto Multipunto. El cargo por Renta Mensual comprende el tramo local del Punto Multipunto, más el tramo de larga distancia, más la parte internacional. </w:t>
      </w:r>
    </w:p>
    <w:p w14:paraId="37B44A92" w14:textId="77777777" w:rsidR="000323A2" w:rsidRPr="000323A2" w:rsidRDefault="000323A2" w:rsidP="000323A2">
      <w:pPr>
        <w:spacing w:before="240" w:after="0" w:line="240" w:lineRule="auto"/>
        <w:ind w:left="709"/>
        <w:jc w:val="both"/>
        <w:rPr>
          <w:rFonts w:ascii="Arial" w:eastAsia="Calibri" w:hAnsi="Arial" w:cs="Times New Roman"/>
          <w:snapToGrid w:val="0"/>
        </w:rPr>
      </w:pPr>
      <w:r w:rsidRPr="000323A2">
        <w:rPr>
          <w:rFonts w:ascii="Arial" w:eastAsia="Calibri" w:hAnsi="Arial" w:cs="Times New Roman"/>
          <w:b/>
          <w:snapToGrid w:val="0"/>
        </w:rPr>
        <w:t>2.4 Contraprestaciones por concepto de Renta Mensual por tramo local</w:t>
      </w:r>
      <w:r w:rsidRPr="000323A2">
        <w:rPr>
          <w:rFonts w:ascii="Arial" w:eastAsia="Calibri" w:hAnsi="Arial" w:cs="Times New Roman"/>
          <w:snapToGrid w:val="0"/>
        </w:rPr>
        <w:t xml:space="preserve">: </w:t>
      </w:r>
    </w:p>
    <w:p w14:paraId="1A9DA499" w14:textId="77777777" w:rsidR="000323A2" w:rsidRPr="000323A2" w:rsidRDefault="000323A2" w:rsidP="000323A2">
      <w:pPr>
        <w:spacing w:before="240" w:after="0" w:line="240" w:lineRule="auto"/>
        <w:ind w:left="709"/>
        <w:jc w:val="both"/>
        <w:rPr>
          <w:rFonts w:ascii="Arial" w:eastAsia="Calibri" w:hAnsi="Arial" w:cs="Times New Roman"/>
          <w:snapToGrid w:val="0"/>
        </w:rPr>
      </w:pPr>
      <w:r w:rsidRPr="000323A2">
        <w:rPr>
          <w:rFonts w:ascii="Arial" w:eastAsia="Calibri" w:hAnsi="Arial" w:cs="Times New Roman"/>
          <w:snapToGrid w:val="0"/>
        </w:rPr>
        <w:t>El CONCESIONARIO SOLICITANTE pagará a TELMEX la Renta Mensual por tramo local de los Enlaces Dedicados Locales, Enlaces Dedicados Locales habilitados como Punto Multipunto (PMP), Enlaces Dedicados Entre Localidades y Enlaces Dedicados de Larga Distancia Internacional de conformidad con la Tabla 4 siguiente:</w:t>
      </w:r>
    </w:p>
    <w:p w14:paraId="2CC04817" w14:textId="77777777" w:rsidR="000323A2" w:rsidRPr="000323A2" w:rsidRDefault="000323A2" w:rsidP="000323A2">
      <w:pPr>
        <w:spacing w:before="240" w:after="0" w:line="240" w:lineRule="auto"/>
        <w:jc w:val="center"/>
        <w:rPr>
          <w:rFonts w:ascii="Calibri" w:eastAsia="Calibri" w:hAnsi="Calibri" w:cs="Calibri"/>
          <w:b/>
          <w:bCs/>
          <w:color w:val="000000"/>
        </w:rPr>
      </w:pPr>
      <w:r w:rsidRPr="000323A2">
        <w:rPr>
          <w:rFonts w:ascii="Calibri" w:eastAsia="Calibri" w:hAnsi="Calibri" w:cs="Calibri"/>
          <w:b/>
          <w:bCs/>
          <w:color w:val="000000"/>
        </w:rPr>
        <w:lastRenderedPageBreak/>
        <w:t>Tabla 4. Renta mensual por Tramo Local</w:t>
      </w:r>
    </w:p>
    <w:tbl>
      <w:tblPr>
        <w:tblStyle w:val="Cuadrculadetablaclara1"/>
        <w:tblW w:w="7514" w:type="dxa"/>
        <w:jc w:val="center"/>
        <w:tblLook w:val="00A0" w:firstRow="1" w:lastRow="0" w:firstColumn="1" w:lastColumn="0" w:noHBand="0" w:noVBand="0"/>
        <w:tblCaption w:val="Tabla"/>
        <w:tblDescription w:val="Tabla 4. Renta mensual por Tramo Local"/>
      </w:tblPr>
      <w:tblGrid>
        <w:gridCol w:w="2023"/>
        <w:gridCol w:w="1617"/>
        <w:gridCol w:w="2384"/>
        <w:gridCol w:w="1490"/>
      </w:tblGrid>
      <w:tr w:rsidR="000323A2" w:rsidRPr="000323A2" w14:paraId="26EC7A21" w14:textId="77777777" w:rsidTr="000323A2">
        <w:trPr>
          <w:trHeight w:val="319"/>
          <w:tblHeader/>
          <w:jc w:val="center"/>
        </w:trPr>
        <w:tc>
          <w:tcPr>
            <w:tcW w:w="2023" w:type="dxa"/>
            <w:shd w:val="clear" w:color="auto" w:fill="D9D9D9"/>
          </w:tcPr>
          <w:p w14:paraId="679A7145" w14:textId="77777777" w:rsidR="000323A2" w:rsidRPr="000323A2" w:rsidRDefault="000323A2" w:rsidP="000323A2">
            <w:pPr>
              <w:spacing w:before="240"/>
              <w:jc w:val="center"/>
              <w:rPr>
                <w:rFonts w:cs="Calibri"/>
                <w:b/>
                <w:bCs/>
                <w:color w:val="000000"/>
              </w:rPr>
            </w:pPr>
            <w:r w:rsidRPr="000323A2">
              <w:rPr>
                <w:rFonts w:cs="Calibri"/>
                <w:b/>
                <w:bCs/>
                <w:color w:val="000000"/>
              </w:rPr>
              <w:t>Velocidad</w:t>
            </w:r>
          </w:p>
        </w:tc>
        <w:tc>
          <w:tcPr>
            <w:tcW w:w="1617" w:type="dxa"/>
            <w:shd w:val="clear" w:color="auto" w:fill="D9D9D9"/>
          </w:tcPr>
          <w:p w14:paraId="2AF858E2" w14:textId="77777777" w:rsidR="000323A2" w:rsidRPr="000323A2" w:rsidRDefault="000323A2" w:rsidP="000323A2">
            <w:pPr>
              <w:spacing w:before="240"/>
              <w:jc w:val="center"/>
              <w:rPr>
                <w:rFonts w:cs="Calibri"/>
                <w:b/>
                <w:bCs/>
                <w:color w:val="000000"/>
              </w:rPr>
            </w:pPr>
            <w:r w:rsidRPr="000323A2">
              <w:rPr>
                <w:rFonts w:cs="Calibri"/>
                <w:b/>
                <w:bCs/>
                <w:color w:val="000000"/>
              </w:rPr>
              <w:t>Renta Mensual</w:t>
            </w:r>
          </w:p>
        </w:tc>
        <w:tc>
          <w:tcPr>
            <w:tcW w:w="2384" w:type="dxa"/>
            <w:shd w:val="clear" w:color="auto" w:fill="D9D9D9"/>
          </w:tcPr>
          <w:p w14:paraId="14769066" w14:textId="77777777" w:rsidR="000323A2" w:rsidRPr="000323A2" w:rsidRDefault="000323A2" w:rsidP="000323A2">
            <w:pPr>
              <w:spacing w:before="240"/>
              <w:jc w:val="center"/>
              <w:rPr>
                <w:rFonts w:cs="Calibri"/>
                <w:b/>
                <w:bCs/>
                <w:color w:val="000000"/>
              </w:rPr>
            </w:pPr>
            <w:r w:rsidRPr="000323A2">
              <w:rPr>
                <w:rFonts w:cs="Calibri"/>
                <w:b/>
                <w:bCs/>
                <w:color w:val="000000"/>
              </w:rPr>
              <w:t>Velocidad</w:t>
            </w:r>
          </w:p>
        </w:tc>
        <w:tc>
          <w:tcPr>
            <w:tcW w:w="1490" w:type="dxa"/>
            <w:shd w:val="clear" w:color="auto" w:fill="D9D9D9"/>
          </w:tcPr>
          <w:p w14:paraId="238E58AC" w14:textId="77777777" w:rsidR="000323A2" w:rsidRPr="000323A2" w:rsidRDefault="000323A2" w:rsidP="000323A2">
            <w:pPr>
              <w:spacing w:before="240"/>
              <w:jc w:val="center"/>
              <w:rPr>
                <w:rFonts w:cs="Calibri"/>
                <w:b/>
                <w:bCs/>
                <w:color w:val="000000"/>
              </w:rPr>
            </w:pPr>
            <w:r w:rsidRPr="000323A2">
              <w:rPr>
                <w:rFonts w:cs="Calibri"/>
                <w:b/>
                <w:bCs/>
                <w:color w:val="000000"/>
              </w:rPr>
              <w:t>Renta Mensual</w:t>
            </w:r>
          </w:p>
        </w:tc>
      </w:tr>
      <w:tr w:rsidR="000323A2" w:rsidRPr="000323A2" w14:paraId="48B09A8C" w14:textId="77777777" w:rsidTr="000323A2">
        <w:trPr>
          <w:trHeight w:val="319"/>
          <w:jc w:val="center"/>
        </w:trPr>
        <w:tc>
          <w:tcPr>
            <w:tcW w:w="2023" w:type="dxa"/>
          </w:tcPr>
          <w:p w14:paraId="59160DF1"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64 Kbps</w:t>
            </w:r>
          </w:p>
        </w:tc>
        <w:tc>
          <w:tcPr>
            <w:tcW w:w="1617" w:type="dxa"/>
          </w:tcPr>
          <w:p w14:paraId="3E21BB1B" w14:textId="77777777" w:rsidR="000323A2" w:rsidRPr="000323A2" w:rsidRDefault="000323A2" w:rsidP="000323A2">
            <w:pPr>
              <w:spacing w:before="240"/>
              <w:jc w:val="center"/>
              <w:rPr>
                <w:rFonts w:cs="Calibri"/>
                <w:color w:val="000000"/>
                <w:sz w:val="20"/>
                <w:szCs w:val="20"/>
              </w:rPr>
            </w:pPr>
            <w:r w:rsidRPr="000323A2">
              <w:t xml:space="preserve"> $183 </w:t>
            </w:r>
          </w:p>
        </w:tc>
        <w:tc>
          <w:tcPr>
            <w:tcW w:w="2384" w:type="dxa"/>
          </w:tcPr>
          <w:p w14:paraId="2F13CB82" w14:textId="77777777" w:rsidR="000323A2" w:rsidRPr="000323A2" w:rsidRDefault="000323A2" w:rsidP="000323A2">
            <w:pPr>
              <w:spacing w:before="240"/>
              <w:jc w:val="center"/>
              <w:rPr>
                <w:rFonts w:cs="Calibri"/>
                <w:color w:val="000000"/>
                <w:sz w:val="20"/>
                <w:szCs w:val="20"/>
              </w:rPr>
            </w:pPr>
            <w:r w:rsidRPr="000323A2">
              <w:t>Ethernet 2 Mbps</w:t>
            </w:r>
          </w:p>
        </w:tc>
        <w:tc>
          <w:tcPr>
            <w:tcW w:w="1490" w:type="dxa"/>
          </w:tcPr>
          <w:p w14:paraId="257305C2" w14:textId="77777777" w:rsidR="000323A2" w:rsidRPr="000323A2" w:rsidRDefault="000323A2" w:rsidP="000323A2">
            <w:pPr>
              <w:spacing w:before="240"/>
              <w:jc w:val="center"/>
              <w:rPr>
                <w:rFonts w:cs="Calibri"/>
                <w:color w:val="000000"/>
                <w:sz w:val="20"/>
                <w:szCs w:val="20"/>
              </w:rPr>
            </w:pPr>
            <w:r w:rsidRPr="000323A2">
              <w:t xml:space="preserve"> $1,488 </w:t>
            </w:r>
          </w:p>
        </w:tc>
      </w:tr>
      <w:tr w:rsidR="000323A2" w:rsidRPr="000323A2" w14:paraId="78B77067" w14:textId="77777777" w:rsidTr="000323A2">
        <w:trPr>
          <w:trHeight w:val="319"/>
          <w:jc w:val="center"/>
        </w:trPr>
        <w:tc>
          <w:tcPr>
            <w:tcW w:w="2023" w:type="dxa"/>
          </w:tcPr>
          <w:p w14:paraId="3A25DA1B"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128 Kbps</w:t>
            </w:r>
          </w:p>
        </w:tc>
        <w:tc>
          <w:tcPr>
            <w:tcW w:w="1617" w:type="dxa"/>
          </w:tcPr>
          <w:p w14:paraId="592D1134" w14:textId="77777777" w:rsidR="000323A2" w:rsidRPr="000323A2" w:rsidRDefault="000323A2" w:rsidP="000323A2">
            <w:pPr>
              <w:spacing w:before="240"/>
              <w:jc w:val="center"/>
              <w:rPr>
                <w:rFonts w:cs="Calibri"/>
                <w:color w:val="000000"/>
                <w:sz w:val="20"/>
                <w:szCs w:val="20"/>
              </w:rPr>
            </w:pPr>
            <w:r w:rsidRPr="000323A2">
              <w:t xml:space="preserve"> $278 </w:t>
            </w:r>
          </w:p>
        </w:tc>
        <w:tc>
          <w:tcPr>
            <w:tcW w:w="2384" w:type="dxa"/>
          </w:tcPr>
          <w:p w14:paraId="30F9D81A" w14:textId="77777777" w:rsidR="000323A2" w:rsidRPr="000323A2" w:rsidRDefault="000323A2" w:rsidP="000323A2">
            <w:pPr>
              <w:spacing w:before="240"/>
              <w:jc w:val="center"/>
              <w:rPr>
                <w:rFonts w:cs="Calibri"/>
                <w:color w:val="000000"/>
                <w:sz w:val="20"/>
                <w:szCs w:val="20"/>
              </w:rPr>
            </w:pPr>
            <w:r w:rsidRPr="000323A2">
              <w:t>Ethernet 4 Mbps</w:t>
            </w:r>
          </w:p>
        </w:tc>
        <w:tc>
          <w:tcPr>
            <w:tcW w:w="1490" w:type="dxa"/>
          </w:tcPr>
          <w:p w14:paraId="7BE4199C" w14:textId="77777777" w:rsidR="000323A2" w:rsidRPr="000323A2" w:rsidRDefault="000323A2" w:rsidP="000323A2">
            <w:pPr>
              <w:spacing w:before="240"/>
              <w:jc w:val="center"/>
              <w:rPr>
                <w:rFonts w:cs="Calibri"/>
                <w:color w:val="000000"/>
                <w:sz w:val="20"/>
                <w:szCs w:val="20"/>
              </w:rPr>
            </w:pPr>
            <w:r w:rsidRPr="000323A2">
              <w:t xml:space="preserve"> $2,149 </w:t>
            </w:r>
          </w:p>
        </w:tc>
      </w:tr>
      <w:tr w:rsidR="000323A2" w:rsidRPr="000323A2" w14:paraId="436F3FE4" w14:textId="77777777" w:rsidTr="000323A2">
        <w:trPr>
          <w:trHeight w:val="319"/>
          <w:jc w:val="center"/>
        </w:trPr>
        <w:tc>
          <w:tcPr>
            <w:tcW w:w="2023" w:type="dxa"/>
          </w:tcPr>
          <w:p w14:paraId="30600DA4"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192 Kbps</w:t>
            </w:r>
          </w:p>
        </w:tc>
        <w:tc>
          <w:tcPr>
            <w:tcW w:w="1617" w:type="dxa"/>
          </w:tcPr>
          <w:p w14:paraId="6FF8078B" w14:textId="77777777" w:rsidR="000323A2" w:rsidRPr="000323A2" w:rsidRDefault="000323A2" w:rsidP="000323A2">
            <w:pPr>
              <w:spacing w:before="240"/>
              <w:jc w:val="center"/>
              <w:rPr>
                <w:rFonts w:cs="Calibri"/>
                <w:color w:val="000000"/>
                <w:sz w:val="20"/>
                <w:szCs w:val="20"/>
              </w:rPr>
            </w:pPr>
            <w:r w:rsidRPr="000323A2">
              <w:t xml:space="preserve"> $355 </w:t>
            </w:r>
          </w:p>
        </w:tc>
        <w:tc>
          <w:tcPr>
            <w:tcW w:w="2384" w:type="dxa"/>
          </w:tcPr>
          <w:p w14:paraId="19465DD4" w14:textId="77777777" w:rsidR="000323A2" w:rsidRPr="000323A2" w:rsidRDefault="000323A2" w:rsidP="000323A2">
            <w:pPr>
              <w:spacing w:before="240"/>
              <w:jc w:val="center"/>
              <w:rPr>
                <w:rFonts w:cs="Calibri"/>
                <w:color w:val="000000"/>
                <w:sz w:val="20"/>
                <w:szCs w:val="20"/>
              </w:rPr>
            </w:pPr>
            <w:r w:rsidRPr="000323A2">
              <w:t>Ethernet 6 Mbps</w:t>
            </w:r>
          </w:p>
        </w:tc>
        <w:tc>
          <w:tcPr>
            <w:tcW w:w="1490" w:type="dxa"/>
          </w:tcPr>
          <w:p w14:paraId="3B8A4B15" w14:textId="77777777" w:rsidR="000323A2" w:rsidRPr="000323A2" w:rsidRDefault="000323A2" w:rsidP="000323A2">
            <w:pPr>
              <w:spacing w:before="240"/>
              <w:jc w:val="center"/>
              <w:rPr>
                <w:rFonts w:cs="Calibri"/>
                <w:color w:val="000000"/>
                <w:sz w:val="20"/>
                <w:szCs w:val="20"/>
              </w:rPr>
            </w:pPr>
            <w:r w:rsidRPr="000323A2">
              <w:t xml:space="preserve"> $2,664 </w:t>
            </w:r>
          </w:p>
        </w:tc>
      </w:tr>
      <w:tr w:rsidR="000323A2" w:rsidRPr="000323A2" w14:paraId="4A5FE178" w14:textId="77777777" w:rsidTr="000323A2">
        <w:trPr>
          <w:trHeight w:val="319"/>
          <w:jc w:val="center"/>
        </w:trPr>
        <w:tc>
          <w:tcPr>
            <w:tcW w:w="2023" w:type="dxa"/>
          </w:tcPr>
          <w:p w14:paraId="1DF2F0D0"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256 Kbps</w:t>
            </w:r>
          </w:p>
        </w:tc>
        <w:tc>
          <w:tcPr>
            <w:tcW w:w="1617" w:type="dxa"/>
          </w:tcPr>
          <w:p w14:paraId="0C0D0D05" w14:textId="77777777" w:rsidR="000323A2" w:rsidRPr="000323A2" w:rsidRDefault="000323A2" w:rsidP="000323A2">
            <w:pPr>
              <w:spacing w:before="240"/>
              <w:jc w:val="center"/>
              <w:rPr>
                <w:rFonts w:cs="Calibri"/>
                <w:color w:val="000000"/>
                <w:sz w:val="20"/>
                <w:szCs w:val="20"/>
              </w:rPr>
            </w:pPr>
            <w:r w:rsidRPr="000323A2">
              <w:t xml:space="preserve"> $421 </w:t>
            </w:r>
          </w:p>
        </w:tc>
        <w:tc>
          <w:tcPr>
            <w:tcW w:w="2384" w:type="dxa"/>
          </w:tcPr>
          <w:p w14:paraId="6BB927CB" w14:textId="77777777" w:rsidR="000323A2" w:rsidRPr="000323A2" w:rsidRDefault="000323A2" w:rsidP="000323A2">
            <w:pPr>
              <w:spacing w:before="240"/>
              <w:jc w:val="center"/>
              <w:rPr>
                <w:rFonts w:cs="Calibri"/>
                <w:color w:val="000000"/>
                <w:sz w:val="20"/>
                <w:szCs w:val="20"/>
              </w:rPr>
            </w:pPr>
            <w:r w:rsidRPr="000323A2">
              <w:t>Ethernet 8 Mbps</w:t>
            </w:r>
          </w:p>
        </w:tc>
        <w:tc>
          <w:tcPr>
            <w:tcW w:w="1490" w:type="dxa"/>
          </w:tcPr>
          <w:p w14:paraId="393892AE" w14:textId="77777777" w:rsidR="000323A2" w:rsidRPr="000323A2" w:rsidRDefault="000323A2" w:rsidP="000323A2">
            <w:pPr>
              <w:spacing w:before="240"/>
              <w:jc w:val="center"/>
              <w:rPr>
                <w:rFonts w:cs="Calibri"/>
                <w:color w:val="000000"/>
                <w:sz w:val="20"/>
                <w:szCs w:val="20"/>
              </w:rPr>
            </w:pPr>
            <w:r w:rsidRPr="000323A2">
              <w:t xml:space="preserve"> $3,103 </w:t>
            </w:r>
          </w:p>
        </w:tc>
      </w:tr>
      <w:tr w:rsidR="000323A2" w:rsidRPr="000323A2" w14:paraId="766BF2FB" w14:textId="77777777" w:rsidTr="000323A2">
        <w:trPr>
          <w:trHeight w:val="319"/>
          <w:jc w:val="center"/>
        </w:trPr>
        <w:tc>
          <w:tcPr>
            <w:tcW w:w="2023" w:type="dxa"/>
          </w:tcPr>
          <w:p w14:paraId="5B59A4A4"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384 Kbps</w:t>
            </w:r>
          </w:p>
        </w:tc>
        <w:tc>
          <w:tcPr>
            <w:tcW w:w="1617" w:type="dxa"/>
          </w:tcPr>
          <w:p w14:paraId="190DFE93" w14:textId="77777777" w:rsidR="000323A2" w:rsidRPr="000323A2" w:rsidRDefault="000323A2" w:rsidP="000323A2">
            <w:pPr>
              <w:spacing w:before="240"/>
              <w:jc w:val="center"/>
              <w:rPr>
                <w:rFonts w:cs="Calibri"/>
                <w:color w:val="000000"/>
                <w:sz w:val="20"/>
                <w:szCs w:val="20"/>
              </w:rPr>
            </w:pPr>
            <w:r w:rsidRPr="000323A2">
              <w:t xml:space="preserve"> $537 </w:t>
            </w:r>
          </w:p>
        </w:tc>
        <w:tc>
          <w:tcPr>
            <w:tcW w:w="2384" w:type="dxa"/>
          </w:tcPr>
          <w:p w14:paraId="48EBFC75" w14:textId="77777777" w:rsidR="000323A2" w:rsidRPr="000323A2" w:rsidRDefault="000323A2" w:rsidP="000323A2">
            <w:pPr>
              <w:spacing w:before="240"/>
              <w:jc w:val="center"/>
              <w:rPr>
                <w:rFonts w:cs="Calibri"/>
                <w:color w:val="000000"/>
                <w:sz w:val="20"/>
                <w:szCs w:val="20"/>
              </w:rPr>
            </w:pPr>
            <w:r w:rsidRPr="000323A2">
              <w:t>Ethernet 10 Mbps</w:t>
            </w:r>
          </w:p>
        </w:tc>
        <w:tc>
          <w:tcPr>
            <w:tcW w:w="1490" w:type="dxa"/>
          </w:tcPr>
          <w:p w14:paraId="2040F10B" w14:textId="77777777" w:rsidR="000323A2" w:rsidRPr="000323A2" w:rsidRDefault="000323A2" w:rsidP="000323A2">
            <w:pPr>
              <w:spacing w:before="240"/>
              <w:jc w:val="center"/>
              <w:rPr>
                <w:rFonts w:cs="Calibri"/>
                <w:color w:val="000000"/>
                <w:sz w:val="20"/>
                <w:szCs w:val="20"/>
              </w:rPr>
            </w:pPr>
            <w:r w:rsidRPr="000323A2">
              <w:t xml:space="preserve"> $3,492 </w:t>
            </w:r>
          </w:p>
        </w:tc>
      </w:tr>
      <w:tr w:rsidR="000323A2" w:rsidRPr="000323A2" w14:paraId="59C1249A" w14:textId="77777777" w:rsidTr="000323A2">
        <w:trPr>
          <w:trHeight w:val="319"/>
          <w:jc w:val="center"/>
        </w:trPr>
        <w:tc>
          <w:tcPr>
            <w:tcW w:w="2023" w:type="dxa"/>
          </w:tcPr>
          <w:p w14:paraId="26558C09"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512 Kbps</w:t>
            </w:r>
          </w:p>
        </w:tc>
        <w:tc>
          <w:tcPr>
            <w:tcW w:w="1617" w:type="dxa"/>
          </w:tcPr>
          <w:p w14:paraId="3AE9EAB2" w14:textId="77777777" w:rsidR="000323A2" w:rsidRPr="000323A2" w:rsidRDefault="000323A2" w:rsidP="000323A2">
            <w:pPr>
              <w:spacing w:before="240"/>
              <w:jc w:val="center"/>
              <w:rPr>
                <w:rFonts w:cs="Calibri"/>
                <w:color w:val="000000"/>
                <w:sz w:val="20"/>
                <w:szCs w:val="20"/>
              </w:rPr>
            </w:pPr>
            <w:r w:rsidRPr="000323A2">
              <w:t xml:space="preserve"> $639 </w:t>
            </w:r>
          </w:p>
        </w:tc>
        <w:tc>
          <w:tcPr>
            <w:tcW w:w="2384" w:type="dxa"/>
          </w:tcPr>
          <w:p w14:paraId="3ADD75B2" w14:textId="77777777" w:rsidR="000323A2" w:rsidRPr="000323A2" w:rsidRDefault="000323A2" w:rsidP="000323A2">
            <w:pPr>
              <w:spacing w:before="240"/>
              <w:jc w:val="center"/>
              <w:rPr>
                <w:rFonts w:cs="Calibri"/>
                <w:color w:val="000000"/>
                <w:sz w:val="20"/>
                <w:szCs w:val="20"/>
              </w:rPr>
            </w:pPr>
            <w:r w:rsidRPr="000323A2">
              <w:t>Ethernet 20 Mbps</w:t>
            </w:r>
          </w:p>
        </w:tc>
        <w:tc>
          <w:tcPr>
            <w:tcW w:w="1490" w:type="dxa"/>
          </w:tcPr>
          <w:p w14:paraId="5CF90EFF" w14:textId="77777777" w:rsidR="000323A2" w:rsidRPr="000323A2" w:rsidRDefault="000323A2" w:rsidP="000323A2">
            <w:pPr>
              <w:spacing w:before="240"/>
              <w:jc w:val="center"/>
              <w:rPr>
                <w:rFonts w:cs="Calibri"/>
                <w:color w:val="000000"/>
                <w:sz w:val="20"/>
                <w:szCs w:val="20"/>
              </w:rPr>
            </w:pPr>
            <w:r w:rsidRPr="000323A2">
              <w:t xml:space="preserve"> $5,042 </w:t>
            </w:r>
          </w:p>
        </w:tc>
      </w:tr>
      <w:tr w:rsidR="000323A2" w:rsidRPr="000323A2" w14:paraId="5C5DA34A" w14:textId="77777777" w:rsidTr="000323A2">
        <w:trPr>
          <w:trHeight w:val="319"/>
          <w:jc w:val="center"/>
        </w:trPr>
        <w:tc>
          <w:tcPr>
            <w:tcW w:w="2023" w:type="dxa"/>
          </w:tcPr>
          <w:p w14:paraId="61A60B39"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768 Kbps</w:t>
            </w:r>
          </w:p>
        </w:tc>
        <w:tc>
          <w:tcPr>
            <w:tcW w:w="1617" w:type="dxa"/>
          </w:tcPr>
          <w:p w14:paraId="3A097D66" w14:textId="77777777" w:rsidR="000323A2" w:rsidRPr="000323A2" w:rsidRDefault="000323A2" w:rsidP="000323A2">
            <w:pPr>
              <w:spacing w:before="240"/>
              <w:jc w:val="center"/>
              <w:rPr>
                <w:rFonts w:cs="Calibri"/>
                <w:color w:val="000000"/>
                <w:sz w:val="20"/>
                <w:szCs w:val="20"/>
              </w:rPr>
            </w:pPr>
            <w:r w:rsidRPr="000323A2">
              <w:t xml:space="preserve"> $814 </w:t>
            </w:r>
          </w:p>
        </w:tc>
        <w:tc>
          <w:tcPr>
            <w:tcW w:w="2384" w:type="dxa"/>
          </w:tcPr>
          <w:p w14:paraId="191C76EB" w14:textId="77777777" w:rsidR="000323A2" w:rsidRPr="000323A2" w:rsidRDefault="000323A2" w:rsidP="000323A2">
            <w:pPr>
              <w:spacing w:before="240"/>
              <w:jc w:val="center"/>
              <w:rPr>
                <w:rFonts w:cs="Calibri"/>
                <w:color w:val="000000"/>
                <w:sz w:val="20"/>
                <w:szCs w:val="20"/>
              </w:rPr>
            </w:pPr>
            <w:r w:rsidRPr="000323A2">
              <w:t>Ethernet 30 Mbps</w:t>
            </w:r>
          </w:p>
        </w:tc>
        <w:tc>
          <w:tcPr>
            <w:tcW w:w="1490" w:type="dxa"/>
          </w:tcPr>
          <w:p w14:paraId="740AC612" w14:textId="77777777" w:rsidR="000323A2" w:rsidRPr="000323A2" w:rsidRDefault="000323A2" w:rsidP="000323A2">
            <w:pPr>
              <w:spacing w:before="240"/>
              <w:jc w:val="center"/>
              <w:rPr>
                <w:rFonts w:cs="Calibri"/>
                <w:color w:val="000000"/>
                <w:sz w:val="20"/>
                <w:szCs w:val="20"/>
              </w:rPr>
            </w:pPr>
            <w:r w:rsidRPr="000323A2">
              <w:t xml:space="preserve"> $6,251 </w:t>
            </w:r>
          </w:p>
        </w:tc>
      </w:tr>
      <w:tr w:rsidR="000323A2" w:rsidRPr="000323A2" w14:paraId="456F0717" w14:textId="77777777" w:rsidTr="000323A2">
        <w:trPr>
          <w:trHeight w:val="319"/>
          <w:jc w:val="center"/>
        </w:trPr>
        <w:tc>
          <w:tcPr>
            <w:tcW w:w="2023" w:type="dxa"/>
          </w:tcPr>
          <w:p w14:paraId="0F4E2660"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1024 Kbps</w:t>
            </w:r>
          </w:p>
        </w:tc>
        <w:tc>
          <w:tcPr>
            <w:tcW w:w="1617" w:type="dxa"/>
          </w:tcPr>
          <w:p w14:paraId="4422F835" w14:textId="77777777" w:rsidR="000323A2" w:rsidRPr="000323A2" w:rsidRDefault="000323A2" w:rsidP="000323A2">
            <w:pPr>
              <w:spacing w:before="240"/>
              <w:jc w:val="center"/>
              <w:rPr>
                <w:rFonts w:cs="Calibri"/>
                <w:color w:val="000000"/>
                <w:sz w:val="20"/>
                <w:szCs w:val="20"/>
              </w:rPr>
            </w:pPr>
            <w:r w:rsidRPr="000323A2">
              <w:t xml:space="preserve"> $968 </w:t>
            </w:r>
          </w:p>
        </w:tc>
        <w:tc>
          <w:tcPr>
            <w:tcW w:w="2384" w:type="dxa"/>
          </w:tcPr>
          <w:p w14:paraId="0C98E019" w14:textId="77777777" w:rsidR="000323A2" w:rsidRPr="000323A2" w:rsidRDefault="000323A2" w:rsidP="000323A2">
            <w:pPr>
              <w:spacing w:before="240"/>
              <w:jc w:val="center"/>
              <w:rPr>
                <w:rFonts w:cs="Calibri"/>
                <w:color w:val="000000"/>
                <w:sz w:val="20"/>
                <w:szCs w:val="20"/>
              </w:rPr>
            </w:pPr>
            <w:r w:rsidRPr="000323A2">
              <w:t>Ethernet 40 Mbps</w:t>
            </w:r>
          </w:p>
        </w:tc>
        <w:tc>
          <w:tcPr>
            <w:tcW w:w="1490" w:type="dxa"/>
          </w:tcPr>
          <w:p w14:paraId="5FD9E690" w14:textId="77777777" w:rsidR="000323A2" w:rsidRPr="000323A2" w:rsidRDefault="000323A2" w:rsidP="000323A2">
            <w:pPr>
              <w:spacing w:before="240"/>
              <w:jc w:val="center"/>
              <w:rPr>
                <w:rFonts w:cs="Calibri"/>
                <w:color w:val="000000"/>
                <w:sz w:val="20"/>
                <w:szCs w:val="20"/>
              </w:rPr>
            </w:pPr>
            <w:r w:rsidRPr="000323A2">
              <w:t xml:space="preserve"> $7,281 </w:t>
            </w:r>
          </w:p>
        </w:tc>
      </w:tr>
      <w:tr w:rsidR="000323A2" w:rsidRPr="000323A2" w14:paraId="3A1C3187" w14:textId="77777777" w:rsidTr="000323A2">
        <w:trPr>
          <w:trHeight w:val="319"/>
          <w:jc w:val="center"/>
        </w:trPr>
        <w:tc>
          <w:tcPr>
            <w:tcW w:w="2023" w:type="dxa"/>
          </w:tcPr>
          <w:p w14:paraId="4F6FE2F5"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E1 (2 Mbps)</w:t>
            </w:r>
          </w:p>
        </w:tc>
        <w:tc>
          <w:tcPr>
            <w:tcW w:w="1617" w:type="dxa"/>
          </w:tcPr>
          <w:p w14:paraId="1262B689" w14:textId="77777777" w:rsidR="000323A2" w:rsidRPr="000323A2" w:rsidRDefault="000323A2" w:rsidP="000323A2">
            <w:pPr>
              <w:spacing w:before="240"/>
              <w:jc w:val="center"/>
              <w:rPr>
                <w:rFonts w:cs="Calibri"/>
                <w:color w:val="000000"/>
                <w:sz w:val="20"/>
                <w:szCs w:val="20"/>
              </w:rPr>
            </w:pPr>
            <w:r w:rsidRPr="000323A2">
              <w:t xml:space="preserve"> $1,488 </w:t>
            </w:r>
          </w:p>
        </w:tc>
        <w:tc>
          <w:tcPr>
            <w:tcW w:w="2384" w:type="dxa"/>
          </w:tcPr>
          <w:p w14:paraId="70015DF7" w14:textId="77777777" w:rsidR="000323A2" w:rsidRPr="000323A2" w:rsidRDefault="000323A2" w:rsidP="000323A2">
            <w:pPr>
              <w:spacing w:before="240"/>
              <w:jc w:val="center"/>
              <w:rPr>
                <w:rFonts w:cs="Calibri"/>
                <w:color w:val="000000"/>
                <w:sz w:val="20"/>
                <w:szCs w:val="20"/>
              </w:rPr>
            </w:pPr>
            <w:r w:rsidRPr="000323A2">
              <w:t>Ethernet 50 Mbps</w:t>
            </w:r>
          </w:p>
        </w:tc>
        <w:tc>
          <w:tcPr>
            <w:tcW w:w="1490" w:type="dxa"/>
          </w:tcPr>
          <w:p w14:paraId="7F7EAF68" w14:textId="77777777" w:rsidR="000323A2" w:rsidRPr="000323A2" w:rsidRDefault="000323A2" w:rsidP="000323A2">
            <w:pPr>
              <w:spacing w:before="240"/>
              <w:jc w:val="center"/>
              <w:rPr>
                <w:rFonts w:cs="Calibri"/>
                <w:color w:val="000000"/>
                <w:sz w:val="20"/>
                <w:szCs w:val="20"/>
              </w:rPr>
            </w:pPr>
            <w:r w:rsidRPr="000323A2">
              <w:t xml:space="preserve"> $8,195 </w:t>
            </w:r>
          </w:p>
        </w:tc>
      </w:tr>
      <w:tr w:rsidR="000323A2" w:rsidRPr="000323A2" w14:paraId="72F99927" w14:textId="77777777" w:rsidTr="000323A2">
        <w:trPr>
          <w:trHeight w:val="319"/>
          <w:jc w:val="center"/>
        </w:trPr>
        <w:tc>
          <w:tcPr>
            <w:tcW w:w="2023" w:type="dxa"/>
          </w:tcPr>
          <w:p w14:paraId="66A4CE8C"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E2 (8 Mbps)</w:t>
            </w:r>
          </w:p>
        </w:tc>
        <w:tc>
          <w:tcPr>
            <w:tcW w:w="1617" w:type="dxa"/>
          </w:tcPr>
          <w:p w14:paraId="5B94CE23" w14:textId="77777777" w:rsidR="000323A2" w:rsidRPr="000323A2" w:rsidRDefault="000323A2" w:rsidP="000323A2">
            <w:pPr>
              <w:spacing w:before="240"/>
              <w:jc w:val="center"/>
              <w:rPr>
                <w:rFonts w:cs="Calibri"/>
                <w:color w:val="000000"/>
                <w:sz w:val="20"/>
                <w:szCs w:val="20"/>
              </w:rPr>
            </w:pPr>
            <w:r w:rsidRPr="000323A2">
              <w:t xml:space="preserve"> $5,952 </w:t>
            </w:r>
          </w:p>
        </w:tc>
        <w:tc>
          <w:tcPr>
            <w:tcW w:w="2384" w:type="dxa"/>
          </w:tcPr>
          <w:p w14:paraId="76B50986" w14:textId="77777777" w:rsidR="000323A2" w:rsidRPr="000323A2" w:rsidRDefault="000323A2" w:rsidP="000323A2">
            <w:pPr>
              <w:spacing w:before="240"/>
              <w:jc w:val="center"/>
              <w:rPr>
                <w:rFonts w:cs="Calibri"/>
                <w:color w:val="000000"/>
                <w:sz w:val="20"/>
                <w:szCs w:val="20"/>
              </w:rPr>
            </w:pPr>
            <w:r w:rsidRPr="000323A2">
              <w:t>Ethernet 60 Mbps</w:t>
            </w:r>
          </w:p>
        </w:tc>
        <w:tc>
          <w:tcPr>
            <w:tcW w:w="1490" w:type="dxa"/>
          </w:tcPr>
          <w:p w14:paraId="1A3B60B4" w14:textId="77777777" w:rsidR="000323A2" w:rsidRPr="000323A2" w:rsidRDefault="000323A2" w:rsidP="000323A2">
            <w:pPr>
              <w:spacing w:before="240"/>
              <w:jc w:val="center"/>
              <w:rPr>
                <w:rFonts w:cs="Calibri"/>
                <w:color w:val="000000"/>
                <w:sz w:val="20"/>
                <w:szCs w:val="20"/>
              </w:rPr>
            </w:pPr>
            <w:r w:rsidRPr="000323A2">
              <w:t xml:space="preserve"> $9,026 </w:t>
            </w:r>
          </w:p>
        </w:tc>
      </w:tr>
      <w:tr w:rsidR="000323A2" w:rsidRPr="000323A2" w14:paraId="051F2D5B" w14:textId="77777777" w:rsidTr="000323A2">
        <w:trPr>
          <w:trHeight w:val="319"/>
          <w:jc w:val="center"/>
        </w:trPr>
        <w:tc>
          <w:tcPr>
            <w:tcW w:w="2023" w:type="dxa"/>
          </w:tcPr>
          <w:p w14:paraId="6C755D1C"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E3 (34 Mbps)</w:t>
            </w:r>
          </w:p>
        </w:tc>
        <w:tc>
          <w:tcPr>
            <w:tcW w:w="1617" w:type="dxa"/>
          </w:tcPr>
          <w:p w14:paraId="6D81E365" w14:textId="77777777" w:rsidR="000323A2" w:rsidRPr="000323A2" w:rsidRDefault="000323A2" w:rsidP="000323A2">
            <w:pPr>
              <w:spacing w:before="240"/>
              <w:jc w:val="center"/>
              <w:rPr>
                <w:rFonts w:cs="Calibri"/>
                <w:color w:val="000000"/>
                <w:sz w:val="20"/>
                <w:szCs w:val="20"/>
              </w:rPr>
            </w:pPr>
            <w:r w:rsidRPr="000323A2">
              <w:t xml:space="preserve"> $8,082 </w:t>
            </w:r>
          </w:p>
        </w:tc>
        <w:tc>
          <w:tcPr>
            <w:tcW w:w="2384" w:type="dxa"/>
          </w:tcPr>
          <w:p w14:paraId="2AFD8D02" w14:textId="77777777" w:rsidR="000323A2" w:rsidRPr="000323A2" w:rsidRDefault="000323A2" w:rsidP="000323A2">
            <w:pPr>
              <w:spacing w:before="240"/>
              <w:jc w:val="center"/>
              <w:rPr>
                <w:rFonts w:cs="Calibri"/>
                <w:color w:val="000000"/>
                <w:sz w:val="20"/>
                <w:szCs w:val="20"/>
              </w:rPr>
            </w:pPr>
            <w:r w:rsidRPr="000323A2">
              <w:t>Ethernet 70 Mbps</w:t>
            </w:r>
          </w:p>
        </w:tc>
        <w:tc>
          <w:tcPr>
            <w:tcW w:w="1490" w:type="dxa"/>
          </w:tcPr>
          <w:p w14:paraId="5C174E2E" w14:textId="77777777" w:rsidR="000323A2" w:rsidRPr="000323A2" w:rsidRDefault="000323A2" w:rsidP="000323A2">
            <w:pPr>
              <w:spacing w:before="240"/>
              <w:jc w:val="center"/>
              <w:rPr>
                <w:rFonts w:cs="Calibri"/>
                <w:color w:val="000000"/>
                <w:sz w:val="20"/>
                <w:szCs w:val="20"/>
              </w:rPr>
            </w:pPr>
            <w:r w:rsidRPr="000323A2">
              <w:t xml:space="preserve"> $9,795 </w:t>
            </w:r>
          </w:p>
        </w:tc>
      </w:tr>
      <w:tr w:rsidR="000323A2" w:rsidRPr="000323A2" w14:paraId="4F4AE971" w14:textId="77777777" w:rsidTr="000323A2">
        <w:trPr>
          <w:trHeight w:val="319"/>
          <w:jc w:val="center"/>
        </w:trPr>
        <w:tc>
          <w:tcPr>
            <w:tcW w:w="2023" w:type="dxa"/>
          </w:tcPr>
          <w:p w14:paraId="181BAC17"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 xml:space="preserve">E4 (139 Mbps) </w:t>
            </w:r>
          </w:p>
        </w:tc>
        <w:tc>
          <w:tcPr>
            <w:tcW w:w="1617" w:type="dxa"/>
          </w:tcPr>
          <w:p w14:paraId="78A5B263" w14:textId="77777777" w:rsidR="000323A2" w:rsidRPr="000323A2" w:rsidRDefault="000323A2" w:rsidP="000323A2">
            <w:pPr>
              <w:spacing w:before="240"/>
              <w:jc w:val="center"/>
              <w:rPr>
                <w:rFonts w:cs="Calibri"/>
                <w:color w:val="000000"/>
                <w:sz w:val="20"/>
                <w:szCs w:val="20"/>
              </w:rPr>
            </w:pPr>
            <w:r w:rsidRPr="000323A2">
              <w:t xml:space="preserve"> $19,994 </w:t>
            </w:r>
          </w:p>
        </w:tc>
        <w:tc>
          <w:tcPr>
            <w:tcW w:w="2384" w:type="dxa"/>
          </w:tcPr>
          <w:p w14:paraId="07B97D79" w14:textId="77777777" w:rsidR="000323A2" w:rsidRPr="000323A2" w:rsidRDefault="000323A2" w:rsidP="000323A2">
            <w:pPr>
              <w:spacing w:before="240"/>
              <w:jc w:val="center"/>
              <w:rPr>
                <w:rFonts w:cs="Calibri"/>
                <w:color w:val="000000"/>
                <w:sz w:val="20"/>
                <w:szCs w:val="20"/>
              </w:rPr>
            </w:pPr>
            <w:r w:rsidRPr="000323A2">
              <w:t>Ethernet 80 Mbps</w:t>
            </w:r>
          </w:p>
        </w:tc>
        <w:tc>
          <w:tcPr>
            <w:tcW w:w="1490" w:type="dxa"/>
          </w:tcPr>
          <w:p w14:paraId="720F4805" w14:textId="77777777" w:rsidR="000323A2" w:rsidRPr="000323A2" w:rsidRDefault="000323A2" w:rsidP="000323A2">
            <w:pPr>
              <w:spacing w:before="240"/>
              <w:jc w:val="center"/>
              <w:rPr>
                <w:rFonts w:cs="Calibri"/>
                <w:color w:val="000000"/>
                <w:sz w:val="20"/>
                <w:szCs w:val="20"/>
              </w:rPr>
            </w:pPr>
            <w:r w:rsidRPr="000323A2">
              <w:t xml:space="preserve"> $10,513 </w:t>
            </w:r>
          </w:p>
        </w:tc>
      </w:tr>
      <w:tr w:rsidR="000323A2" w:rsidRPr="000323A2" w14:paraId="2D571398" w14:textId="77777777" w:rsidTr="000323A2">
        <w:trPr>
          <w:trHeight w:val="319"/>
          <w:jc w:val="center"/>
        </w:trPr>
        <w:tc>
          <w:tcPr>
            <w:tcW w:w="2023" w:type="dxa"/>
          </w:tcPr>
          <w:p w14:paraId="07EA772F"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 xml:space="preserve">STM1 (155 Mbps) </w:t>
            </w:r>
          </w:p>
        </w:tc>
        <w:tc>
          <w:tcPr>
            <w:tcW w:w="1617" w:type="dxa"/>
          </w:tcPr>
          <w:p w14:paraId="48EB0577" w14:textId="77777777" w:rsidR="000323A2" w:rsidRPr="000323A2" w:rsidRDefault="000323A2" w:rsidP="000323A2">
            <w:pPr>
              <w:spacing w:before="240"/>
              <w:jc w:val="center"/>
              <w:rPr>
                <w:rFonts w:cs="Calibri"/>
                <w:color w:val="000000"/>
                <w:sz w:val="20"/>
                <w:szCs w:val="20"/>
              </w:rPr>
            </w:pPr>
            <w:r w:rsidRPr="000323A2">
              <w:t xml:space="preserve"> $19,994 </w:t>
            </w:r>
          </w:p>
        </w:tc>
        <w:tc>
          <w:tcPr>
            <w:tcW w:w="2384" w:type="dxa"/>
          </w:tcPr>
          <w:p w14:paraId="7B3D7354" w14:textId="77777777" w:rsidR="000323A2" w:rsidRPr="000323A2" w:rsidRDefault="000323A2" w:rsidP="000323A2">
            <w:pPr>
              <w:spacing w:before="240"/>
              <w:jc w:val="center"/>
              <w:rPr>
                <w:rFonts w:cs="Calibri"/>
                <w:color w:val="000000"/>
                <w:sz w:val="20"/>
                <w:szCs w:val="20"/>
              </w:rPr>
            </w:pPr>
            <w:r w:rsidRPr="000323A2">
              <w:t>Ethernet 90 Mbps</w:t>
            </w:r>
          </w:p>
        </w:tc>
        <w:tc>
          <w:tcPr>
            <w:tcW w:w="1490" w:type="dxa"/>
          </w:tcPr>
          <w:p w14:paraId="7F7E5A31" w14:textId="77777777" w:rsidR="000323A2" w:rsidRPr="000323A2" w:rsidRDefault="000323A2" w:rsidP="000323A2">
            <w:pPr>
              <w:spacing w:before="240"/>
              <w:jc w:val="center"/>
              <w:rPr>
                <w:rFonts w:cs="Calibri"/>
                <w:color w:val="000000"/>
                <w:sz w:val="20"/>
                <w:szCs w:val="20"/>
              </w:rPr>
            </w:pPr>
            <w:r w:rsidRPr="000323A2">
              <w:t xml:space="preserve"> $11,190 </w:t>
            </w:r>
          </w:p>
        </w:tc>
      </w:tr>
      <w:tr w:rsidR="000323A2" w:rsidRPr="000323A2" w14:paraId="0B710B8A" w14:textId="77777777" w:rsidTr="000323A2">
        <w:trPr>
          <w:trHeight w:val="319"/>
          <w:jc w:val="center"/>
        </w:trPr>
        <w:tc>
          <w:tcPr>
            <w:tcW w:w="2023" w:type="dxa"/>
          </w:tcPr>
          <w:p w14:paraId="0097898F"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 xml:space="preserve">STM4 (622 Mbps) </w:t>
            </w:r>
          </w:p>
        </w:tc>
        <w:tc>
          <w:tcPr>
            <w:tcW w:w="1617" w:type="dxa"/>
          </w:tcPr>
          <w:p w14:paraId="5084F689" w14:textId="77777777" w:rsidR="000323A2" w:rsidRPr="000323A2" w:rsidRDefault="000323A2" w:rsidP="000323A2">
            <w:pPr>
              <w:spacing w:before="240"/>
              <w:jc w:val="center"/>
              <w:rPr>
                <w:rFonts w:cs="Calibri"/>
                <w:color w:val="000000"/>
                <w:sz w:val="20"/>
                <w:szCs w:val="20"/>
              </w:rPr>
            </w:pPr>
            <w:r w:rsidRPr="000323A2">
              <w:t xml:space="preserve"> $45,934 </w:t>
            </w:r>
          </w:p>
        </w:tc>
        <w:tc>
          <w:tcPr>
            <w:tcW w:w="2384" w:type="dxa"/>
          </w:tcPr>
          <w:p w14:paraId="17F2B978" w14:textId="77777777" w:rsidR="000323A2" w:rsidRPr="000323A2" w:rsidRDefault="000323A2" w:rsidP="000323A2">
            <w:pPr>
              <w:spacing w:before="240"/>
              <w:jc w:val="center"/>
              <w:rPr>
                <w:rFonts w:cs="Calibri"/>
                <w:color w:val="000000"/>
                <w:sz w:val="20"/>
                <w:szCs w:val="20"/>
              </w:rPr>
            </w:pPr>
            <w:r w:rsidRPr="000323A2">
              <w:t>Ethernet 100 Mbps</w:t>
            </w:r>
          </w:p>
        </w:tc>
        <w:tc>
          <w:tcPr>
            <w:tcW w:w="1490" w:type="dxa"/>
          </w:tcPr>
          <w:p w14:paraId="55C1EB69" w14:textId="77777777" w:rsidR="000323A2" w:rsidRPr="000323A2" w:rsidRDefault="000323A2" w:rsidP="000323A2">
            <w:pPr>
              <w:spacing w:before="240"/>
              <w:jc w:val="center"/>
              <w:rPr>
                <w:rFonts w:cs="Calibri"/>
                <w:color w:val="000000"/>
                <w:sz w:val="20"/>
                <w:szCs w:val="20"/>
              </w:rPr>
            </w:pPr>
            <w:r w:rsidRPr="000323A2">
              <w:t xml:space="preserve"> $11,833 </w:t>
            </w:r>
          </w:p>
        </w:tc>
      </w:tr>
      <w:tr w:rsidR="000323A2" w:rsidRPr="000323A2" w14:paraId="085C7D25" w14:textId="77777777" w:rsidTr="000323A2">
        <w:trPr>
          <w:trHeight w:val="319"/>
          <w:jc w:val="center"/>
        </w:trPr>
        <w:tc>
          <w:tcPr>
            <w:tcW w:w="2023" w:type="dxa"/>
          </w:tcPr>
          <w:p w14:paraId="0AD4724C"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 xml:space="preserve">STM 16 (2.5 </w:t>
            </w:r>
            <w:proofErr w:type="spellStart"/>
            <w:r w:rsidRPr="000323A2">
              <w:rPr>
                <w:rFonts w:cs="Calibri"/>
                <w:color w:val="000000"/>
                <w:sz w:val="20"/>
                <w:szCs w:val="20"/>
              </w:rPr>
              <w:t>Gbps</w:t>
            </w:r>
            <w:proofErr w:type="spellEnd"/>
            <w:r w:rsidRPr="000323A2">
              <w:rPr>
                <w:rFonts w:cs="Calibri"/>
                <w:color w:val="000000"/>
                <w:sz w:val="20"/>
                <w:szCs w:val="20"/>
              </w:rPr>
              <w:t xml:space="preserve">) </w:t>
            </w:r>
          </w:p>
        </w:tc>
        <w:tc>
          <w:tcPr>
            <w:tcW w:w="1617" w:type="dxa"/>
          </w:tcPr>
          <w:p w14:paraId="133173D3" w14:textId="77777777" w:rsidR="000323A2" w:rsidRPr="000323A2" w:rsidRDefault="000323A2" w:rsidP="000323A2">
            <w:pPr>
              <w:spacing w:before="240"/>
              <w:jc w:val="center"/>
              <w:rPr>
                <w:rFonts w:cs="Calibri"/>
                <w:color w:val="000000"/>
                <w:sz w:val="20"/>
                <w:szCs w:val="20"/>
              </w:rPr>
            </w:pPr>
            <w:r w:rsidRPr="000323A2">
              <w:t xml:space="preserve"> $105,529 </w:t>
            </w:r>
          </w:p>
        </w:tc>
        <w:tc>
          <w:tcPr>
            <w:tcW w:w="2384" w:type="dxa"/>
          </w:tcPr>
          <w:p w14:paraId="6B35318D"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100 Mbps</w:t>
            </w:r>
          </w:p>
        </w:tc>
        <w:tc>
          <w:tcPr>
            <w:tcW w:w="1490" w:type="dxa"/>
          </w:tcPr>
          <w:p w14:paraId="72BAEE7F" w14:textId="77777777" w:rsidR="000323A2" w:rsidRPr="000323A2" w:rsidRDefault="000323A2" w:rsidP="000323A2">
            <w:pPr>
              <w:spacing w:before="240"/>
              <w:jc w:val="center"/>
              <w:rPr>
                <w:rFonts w:cs="Calibri"/>
                <w:color w:val="000000"/>
                <w:sz w:val="20"/>
                <w:szCs w:val="20"/>
              </w:rPr>
            </w:pPr>
            <w:r w:rsidRPr="000323A2">
              <w:t xml:space="preserve"> $11,833 </w:t>
            </w:r>
          </w:p>
        </w:tc>
      </w:tr>
      <w:tr w:rsidR="000323A2" w:rsidRPr="000323A2" w14:paraId="7E237869" w14:textId="77777777" w:rsidTr="000323A2">
        <w:trPr>
          <w:trHeight w:val="319"/>
          <w:jc w:val="center"/>
        </w:trPr>
        <w:tc>
          <w:tcPr>
            <w:tcW w:w="2023" w:type="dxa"/>
          </w:tcPr>
          <w:p w14:paraId="5F39A36B"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 xml:space="preserve">STM 64 (10 </w:t>
            </w:r>
            <w:proofErr w:type="spellStart"/>
            <w:r w:rsidRPr="000323A2">
              <w:rPr>
                <w:rFonts w:cs="Calibri"/>
                <w:color w:val="000000"/>
                <w:sz w:val="20"/>
                <w:szCs w:val="20"/>
              </w:rPr>
              <w:t>Gbps</w:t>
            </w:r>
            <w:proofErr w:type="spellEnd"/>
            <w:r w:rsidRPr="000323A2">
              <w:rPr>
                <w:rFonts w:cs="Calibri"/>
                <w:color w:val="000000"/>
                <w:sz w:val="20"/>
                <w:szCs w:val="20"/>
              </w:rPr>
              <w:t>)</w:t>
            </w:r>
          </w:p>
        </w:tc>
        <w:tc>
          <w:tcPr>
            <w:tcW w:w="1617" w:type="dxa"/>
          </w:tcPr>
          <w:p w14:paraId="413F3BCE" w14:textId="77777777" w:rsidR="000323A2" w:rsidRPr="000323A2" w:rsidRDefault="000323A2" w:rsidP="000323A2">
            <w:pPr>
              <w:spacing w:before="240"/>
              <w:jc w:val="center"/>
              <w:rPr>
                <w:rFonts w:cs="Calibri"/>
                <w:color w:val="000000"/>
                <w:sz w:val="20"/>
                <w:szCs w:val="20"/>
              </w:rPr>
            </w:pPr>
            <w:r w:rsidRPr="000323A2">
              <w:t xml:space="preserve"> $242,443 </w:t>
            </w:r>
          </w:p>
        </w:tc>
        <w:tc>
          <w:tcPr>
            <w:tcW w:w="2384" w:type="dxa"/>
          </w:tcPr>
          <w:p w14:paraId="31E611F2"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150 Mbps</w:t>
            </w:r>
          </w:p>
        </w:tc>
        <w:tc>
          <w:tcPr>
            <w:tcW w:w="1490" w:type="dxa"/>
          </w:tcPr>
          <w:p w14:paraId="624B4F06" w14:textId="77777777" w:rsidR="000323A2" w:rsidRPr="000323A2" w:rsidRDefault="000323A2" w:rsidP="000323A2">
            <w:pPr>
              <w:spacing w:before="240"/>
              <w:jc w:val="center"/>
              <w:rPr>
                <w:rFonts w:cs="Calibri"/>
                <w:color w:val="000000"/>
                <w:sz w:val="20"/>
                <w:szCs w:val="20"/>
              </w:rPr>
            </w:pPr>
            <w:r w:rsidRPr="000323A2">
              <w:t xml:space="preserve"> $14,669 </w:t>
            </w:r>
          </w:p>
        </w:tc>
      </w:tr>
      <w:tr w:rsidR="000323A2" w:rsidRPr="000323A2" w14:paraId="026C4E20" w14:textId="77777777" w:rsidTr="000323A2">
        <w:trPr>
          <w:trHeight w:val="319"/>
          <w:jc w:val="center"/>
        </w:trPr>
        <w:tc>
          <w:tcPr>
            <w:tcW w:w="2023" w:type="dxa"/>
          </w:tcPr>
          <w:p w14:paraId="31CF4F2E"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 xml:space="preserve">STM-256 (40 </w:t>
            </w:r>
            <w:proofErr w:type="spellStart"/>
            <w:r w:rsidRPr="000323A2">
              <w:rPr>
                <w:rFonts w:cs="Calibri"/>
                <w:color w:val="000000"/>
                <w:sz w:val="20"/>
                <w:szCs w:val="20"/>
              </w:rPr>
              <w:t>Gbps</w:t>
            </w:r>
            <w:proofErr w:type="spellEnd"/>
            <w:r w:rsidRPr="000323A2">
              <w:rPr>
                <w:rFonts w:cs="Calibri"/>
                <w:color w:val="000000"/>
                <w:sz w:val="20"/>
                <w:szCs w:val="20"/>
              </w:rPr>
              <w:t xml:space="preserve">) </w:t>
            </w:r>
          </w:p>
        </w:tc>
        <w:tc>
          <w:tcPr>
            <w:tcW w:w="1617" w:type="dxa"/>
          </w:tcPr>
          <w:p w14:paraId="791D5513" w14:textId="77777777" w:rsidR="000323A2" w:rsidRPr="000323A2" w:rsidRDefault="000323A2" w:rsidP="000323A2">
            <w:pPr>
              <w:spacing w:before="240"/>
              <w:jc w:val="center"/>
              <w:rPr>
                <w:rFonts w:cs="Calibri"/>
                <w:color w:val="000000"/>
                <w:sz w:val="20"/>
                <w:szCs w:val="20"/>
              </w:rPr>
            </w:pPr>
            <w:r w:rsidRPr="000323A2">
              <w:t xml:space="preserve"> $556,987 </w:t>
            </w:r>
          </w:p>
        </w:tc>
        <w:tc>
          <w:tcPr>
            <w:tcW w:w="2384" w:type="dxa"/>
          </w:tcPr>
          <w:p w14:paraId="7555B109"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200 Mbps</w:t>
            </w:r>
          </w:p>
        </w:tc>
        <w:tc>
          <w:tcPr>
            <w:tcW w:w="1490" w:type="dxa"/>
          </w:tcPr>
          <w:p w14:paraId="73759F47" w14:textId="77777777" w:rsidR="000323A2" w:rsidRPr="000323A2" w:rsidRDefault="000323A2" w:rsidP="000323A2">
            <w:pPr>
              <w:spacing w:before="240"/>
              <w:jc w:val="center"/>
              <w:rPr>
                <w:rFonts w:cs="Calibri"/>
                <w:color w:val="000000"/>
                <w:sz w:val="20"/>
                <w:szCs w:val="20"/>
              </w:rPr>
            </w:pPr>
            <w:r w:rsidRPr="000323A2">
              <w:t xml:space="preserve"> $17,085 </w:t>
            </w:r>
          </w:p>
        </w:tc>
      </w:tr>
      <w:tr w:rsidR="000323A2" w:rsidRPr="000323A2" w14:paraId="581FA1F1" w14:textId="77777777" w:rsidTr="000323A2">
        <w:trPr>
          <w:trHeight w:val="319"/>
          <w:jc w:val="center"/>
        </w:trPr>
        <w:tc>
          <w:tcPr>
            <w:tcW w:w="2023" w:type="dxa"/>
          </w:tcPr>
          <w:p w14:paraId="0FFDC153"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2 Mbps PMP</w:t>
            </w:r>
          </w:p>
        </w:tc>
        <w:tc>
          <w:tcPr>
            <w:tcW w:w="1617" w:type="dxa"/>
          </w:tcPr>
          <w:p w14:paraId="14EE3A44" w14:textId="77777777" w:rsidR="000323A2" w:rsidRPr="000323A2" w:rsidRDefault="000323A2" w:rsidP="000323A2">
            <w:pPr>
              <w:spacing w:before="240"/>
              <w:jc w:val="center"/>
              <w:rPr>
                <w:rFonts w:cs="Calibri"/>
                <w:color w:val="000000"/>
                <w:sz w:val="20"/>
                <w:szCs w:val="20"/>
              </w:rPr>
            </w:pPr>
            <w:r w:rsidRPr="000323A2">
              <w:t xml:space="preserve"> $8,107 </w:t>
            </w:r>
          </w:p>
        </w:tc>
        <w:tc>
          <w:tcPr>
            <w:tcW w:w="2384" w:type="dxa"/>
          </w:tcPr>
          <w:p w14:paraId="123DF429"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250 Mbps</w:t>
            </w:r>
          </w:p>
        </w:tc>
        <w:tc>
          <w:tcPr>
            <w:tcW w:w="1490" w:type="dxa"/>
          </w:tcPr>
          <w:p w14:paraId="6DCC77DF" w14:textId="77777777" w:rsidR="000323A2" w:rsidRPr="000323A2" w:rsidRDefault="000323A2" w:rsidP="000323A2">
            <w:pPr>
              <w:spacing w:before="240"/>
              <w:jc w:val="center"/>
              <w:rPr>
                <w:rFonts w:cs="Calibri"/>
                <w:color w:val="000000"/>
                <w:sz w:val="20"/>
                <w:szCs w:val="20"/>
              </w:rPr>
            </w:pPr>
            <w:r w:rsidRPr="000323A2">
              <w:t xml:space="preserve"> $19,230 </w:t>
            </w:r>
          </w:p>
        </w:tc>
      </w:tr>
      <w:tr w:rsidR="000323A2" w:rsidRPr="000323A2" w14:paraId="0F9AE2F1" w14:textId="77777777" w:rsidTr="000323A2">
        <w:trPr>
          <w:trHeight w:val="319"/>
          <w:jc w:val="center"/>
        </w:trPr>
        <w:tc>
          <w:tcPr>
            <w:tcW w:w="2023" w:type="dxa"/>
          </w:tcPr>
          <w:p w14:paraId="5094852C"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34 Mbps PMP</w:t>
            </w:r>
          </w:p>
        </w:tc>
        <w:tc>
          <w:tcPr>
            <w:tcW w:w="1617" w:type="dxa"/>
          </w:tcPr>
          <w:p w14:paraId="6CC5D507" w14:textId="77777777" w:rsidR="000323A2" w:rsidRPr="000323A2" w:rsidRDefault="000323A2" w:rsidP="000323A2">
            <w:pPr>
              <w:spacing w:before="240"/>
              <w:jc w:val="center"/>
              <w:rPr>
                <w:rFonts w:cs="Calibri"/>
                <w:color w:val="000000"/>
                <w:sz w:val="20"/>
                <w:szCs w:val="20"/>
              </w:rPr>
            </w:pPr>
            <w:r w:rsidRPr="000323A2">
              <w:t xml:space="preserve"> $21,320 </w:t>
            </w:r>
          </w:p>
        </w:tc>
        <w:tc>
          <w:tcPr>
            <w:tcW w:w="2384" w:type="dxa"/>
          </w:tcPr>
          <w:p w14:paraId="7C8A6AE5"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300 Mbps</w:t>
            </w:r>
          </w:p>
        </w:tc>
        <w:tc>
          <w:tcPr>
            <w:tcW w:w="1490" w:type="dxa"/>
          </w:tcPr>
          <w:p w14:paraId="6533CF0C" w14:textId="77777777" w:rsidR="000323A2" w:rsidRPr="000323A2" w:rsidRDefault="000323A2" w:rsidP="000323A2">
            <w:pPr>
              <w:spacing w:before="240"/>
              <w:jc w:val="center"/>
              <w:rPr>
                <w:rFonts w:cs="Calibri"/>
                <w:color w:val="000000"/>
                <w:sz w:val="20"/>
                <w:szCs w:val="20"/>
              </w:rPr>
            </w:pPr>
            <w:r w:rsidRPr="000323A2">
              <w:t xml:space="preserve"> $21,181 </w:t>
            </w:r>
          </w:p>
        </w:tc>
      </w:tr>
      <w:tr w:rsidR="000323A2" w:rsidRPr="000323A2" w14:paraId="5ED636CC" w14:textId="77777777" w:rsidTr="000323A2">
        <w:trPr>
          <w:trHeight w:val="319"/>
          <w:jc w:val="center"/>
        </w:trPr>
        <w:tc>
          <w:tcPr>
            <w:tcW w:w="2023" w:type="dxa"/>
          </w:tcPr>
          <w:p w14:paraId="4400FA63"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155 Mbps PMP</w:t>
            </w:r>
          </w:p>
        </w:tc>
        <w:tc>
          <w:tcPr>
            <w:tcW w:w="1617" w:type="dxa"/>
          </w:tcPr>
          <w:p w14:paraId="749282B3" w14:textId="77777777" w:rsidR="000323A2" w:rsidRPr="000323A2" w:rsidRDefault="000323A2" w:rsidP="000323A2">
            <w:pPr>
              <w:spacing w:before="240"/>
              <w:jc w:val="center"/>
              <w:rPr>
                <w:rFonts w:cs="Calibri"/>
                <w:color w:val="000000"/>
                <w:sz w:val="20"/>
                <w:szCs w:val="20"/>
              </w:rPr>
            </w:pPr>
            <w:r w:rsidRPr="000323A2">
              <w:t xml:space="preserve"> $46,471 </w:t>
            </w:r>
          </w:p>
        </w:tc>
        <w:tc>
          <w:tcPr>
            <w:tcW w:w="2384" w:type="dxa"/>
          </w:tcPr>
          <w:p w14:paraId="33AD0BF5"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350 Mbps</w:t>
            </w:r>
          </w:p>
        </w:tc>
        <w:tc>
          <w:tcPr>
            <w:tcW w:w="1490" w:type="dxa"/>
          </w:tcPr>
          <w:p w14:paraId="10B08475" w14:textId="77777777" w:rsidR="000323A2" w:rsidRPr="000323A2" w:rsidRDefault="000323A2" w:rsidP="000323A2">
            <w:pPr>
              <w:spacing w:before="240"/>
              <w:jc w:val="center"/>
              <w:rPr>
                <w:rFonts w:cs="Calibri"/>
                <w:color w:val="000000"/>
                <w:sz w:val="20"/>
                <w:szCs w:val="20"/>
              </w:rPr>
            </w:pPr>
            <w:r w:rsidRPr="000323A2">
              <w:t xml:space="preserve"> $22,985 </w:t>
            </w:r>
          </w:p>
        </w:tc>
      </w:tr>
      <w:tr w:rsidR="000323A2" w:rsidRPr="000323A2" w14:paraId="08D67CDE" w14:textId="77777777" w:rsidTr="000323A2">
        <w:trPr>
          <w:trHeight w:val="319"/>
          <w:jc w:val="center"/>
        </w:trPr>
        <w:tc>
          <w:tcPr>
            <w:tcW w:w="2023" w:type="dxa"/>
          </w:tcPr>
          <w:p w14:paraId="5B011616"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622 Mbps PMP</w:t>
            </w:r>
          </w:p>
        </w:tc>
        <w:tc>
          <w:tcPr>
            <w:tcW w:w="1617" w:type="dxa"/>
          </w:tcPr>
          <w:p w14:paraId="53B92BFF" w14:textId="77777777" w:rsidR="000323A2" w:rsidRPr="000323A2" w:rsidRDefault="000323A2" w:rsidP="000323A2">
            <w:pPr>
              <w:spacing w:before="240"/>
              <w:jc w:val="center"/>
              <w:rPr>
                <w:rFonts w:cs="Calibri"/>
                <w:color w:val="000000"/>
                <w:sz w:val="20"/>
                <w:szCs w:val="20"/>
              </w:rPr>
            </w:pPr>
            <w:r w:rsidRPr="000323A2">
              <w:t xml:space="preserve"> $112,126 </w:t>
            </w:r>
          </w:p>
        </w:tc>
        <w:tc>
          <w:tcPr>
            <w:tcW w:w="2384" w:type="dxa"/>
          </w:tcPr>
          <w:p w14:paraId="01D9C5F5"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400 Mbps</w:t>
            </w:r>
          </w:p>
        </w:tc>
        <w:tc>
          <w:tcPr>
            <w:tcW w:w="1490" w:type="dxa"/>
          </w:tcPr>
          <w:p w14:paraId="1A8C0632" w14:textId="77777777" w:rsidR="000323A2" w:rsidRPr="000323A2" w:rsidRDefault="000323A2" w:rsidP="000323A2">
            <w:pPr>
              <w:spacing w:before="240"/>
              <w:jc w:val="center"/>
              <w:rPr>
                <w:rFonts w:cs="Calibri"/>
                <w:color w:val="000000"/>
                <w:sz w:val="20"/>
                <w:szCs w:val="20"/>
              </w:rPr>
            </w:pPr>
            <w:r w:rsidRPr="000323A2">
              <w:t xml:space="preserve"> $24,670 </w:t>
            </w:r>
          </w:p>
        </w:tc>
      </w:tr>
      <w:tr w:rsidR="000323A2" w:rsidRPr="000323A2" w14:paraId="5E3323A0" w14:textId="77777777" w:rsidTr="000323A2">
        <w:trPr>
          <w:trHeight w:val="300"/>
          <w:jc w:val="center"/>
        </w:trPr>
        <w:tc>
          <w:tcPr>
            <w:tcW w:w="2023" w:type="dxa"/>
            <w:noWrap/>
          </w:tcPr>
          <w:p w14:paraId="27810CD1" w14:textId="77777777" w:rsidR="000323A2" w:rsidRPr="000323A2" w:rsidRDefault="000323A2" w:rsidP="000323A2">
            <w:pPr>
              <w:spacing w:before="240"/>
              <w:jc w:val="center"/>
              <w:rPr>
                <w:rFonts w:cs="Calibri"/>
                <w:color w:val="000000"/>
              </w:rPr>
            </w:pPr>
          </w:p>
        </w:tc>
        <w:tc>
          <w:tcPr>
            <w:tcW w:w="1617" w:type="dxa"/>
            <w:noWrap/>
          </w:tcPr>
          <w:p w14:paraId="1CD5824C" w14:textId="77777777" w:rsidR="000323A2" w:rsidRPr="000323A2" w:rsidRDefault="000323A2" w:rsidP="000323A2">
            <w:pPr>
              <w:spacing w:before="240"/>
              <w:jc w:val="center"/>
              <w:rPr>
                <w:rFonts w:cs="Calibri"/>
                <w:color w:val="000000"/>
              </w:rPr>
            </w:pPr>
          </w:p>
        </w:tc>
        <w:tc>
          <w:tcPr>
            <w:tcW w:w="2384" w:type="dxa"/>
          </w:tcPr>
          <w:p w14:paraId="45F46551"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450 Mbps</w:t>
            </w:r>
          </w:p>
        </w:tc>
        <w:tc>
          <w:tcPr>
            <w:tcW w:w="1490" w:type="dxa"/>
          </w:tcPr>
          <w:p w14:paraId="4BDFA7BF" w14:textId="77777777" w:rsidR="000323A2" w:rsidRPr="000323A2" w:rsidRDefault="000323A2" w:rsidP="000323A2">
            <w:pPr>
              <w:spacing w:before="240"/>
              <w:jc w:val="center"/>
              <w:rPr>
                <w:rFonts w:cs="Calibri"/>
                <w:color w:val="000000"/>
                <w:sz w:val="20"/>
                <w:szCs w:val="20"/>
              </w:rPr>
            </w:pPr>
            <w:r w:rsidRPr="000323A2">
              <w:t xml:space="preserve"> $26,259 </w:t>
            </w:r>
          </w:p>
        </w:tc>
      </w:tr>
      <w:tr w:rsidR="000323A2" w:rsidRPr="000323A2" w14:paraId="25CF6957" w14:textId="77777777" w:rsidTr="000323A2">
        <w:trPr>
          <w:trHeight w:val="300"/>
          <w:jc w:val="center"/>
        </w:trPr>
        <w:tc>
          <w:tcPr>
            <w:tcW w:w="2023" w:type="dxa"/>
            <w:noWrap/>
          </w:tcPr>
          <w:p w14:paraId="6AEA97C6" w14:textId="77777777" w:rsidR="000323A2" w:rsidRPr="000323A2" w:rsidRDefault="000323A2" w:rsidP="000323A2">
            <w:pPr>
              <w:spacing w:before="240"/>
              <w:jc w:val="center"/>
              <w:rPr>
                <w:rFonts w:cs="Calibri"/>
                <w:color w:val="000000"/>
              </w:rPr>
            </w:pPr>
          </w:p>
        </w:tc>
        <w:tc>
          <w:tcPr>
            <w:tcW w:w="1617" w:type="dxa"/>
            <w:noWrap/>
          </w:tcPr>
          <w:p w14:paraId="44CD814A" w14:textId="77777777" w:rsidR="000323A2" w:rsidRPr="000323A2" w:rsidRDefault="000323A2" w:rsidP="000323A2">
            <w:pPr>
              <w:spacing w:before="240"/>
              <w:jc w:val="center"/>
              <w:rPr>
                <w:rFonts w:cs="Calibri"/>
                <w:color w:val="000000"/>
              </w:rPr>
            </w:pPr>
          </w:p>
        </w:tc>
        <w:tc>
          <w:tcPr>
            <w:tcW w:w="2384" w:type="dxa"/>
          </w:tcPr>
          <w:p w14:paraId="1AE5BF30"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500 Mbps</w:t>
            </w:r>
          </w:p>
        </w:tc>
        <w:tc>
          <w:tcPr>
            <w:tcW w:w="1490" w:type="dxa"/>
          </w:tcPr>
          <w:p w14:paraId="7AE45CF7" w14:textId="77777777" w:rsidR="000323A2" w:rsidRPr="000323A2" w:rsidRDefault="000323A2" w:rsidP="000323A2">
            <w:pPr>
              <w:spacing w:before="240"/>
              <w:jc w:val="center"/>
              <w:rPr>
                <w:rFonts w:cs="Calibri"/>
                <w:color w:val="000000"/>
                <w:sz w:val="20"/>
                <w:szCs w:val="20"/>
              </w:rPr>
            </w:pPr>
            <w:r w:rsidRPr="000323A2">
              <w:t xml:space="preserve"> $27,767 </w:t>
            </w:r>
          </w:p>
        </w:tc>
      </w:tr>
      <w:tr w:rsidR="000323A2" w:rsidRPr="000323A2" w14:paraId="1B88D0BE" w14:textId="77777777" w:rsidTr="000323A2">
        <w:trPr>
          <w:trHeight w:val="300"/>
          <w:jc w:val="center"/>
        </w:trPr>
        <w:tc>
          <w:tcPr>
            <w:tcW w:w="2023" w:type="dxa"/>
            <w:noWrap/>
          </w:tcPr>
          <w:p w14:paraId="210900F4" w14:textId="77777777" w:rsidR="000323A2" w:rsidRPr="000323A2" w:rsidRDefault="000323A2" w:rsidP="000323A2">
            <w:pPr>
              <w:spacing w:before="240"/>
              <w:rPr>
                <w:rFonts w:cs="Calibri"/>
                <w:color w:val="000000"/>
              </w:rPr>
            </w:pPr>
            <w:r w:rsidRPr="000323A2">
              <w:rPr>
                <w:rFonts w:cs="Calibri"/>
                <w:color w:val="000000"/>
              </w:rPr>
              <w:t> </w:t>
            </w:r>
          </w:p>
        </w:tc>
        <w:tc>
          <w:tcPr>
            <w:tcW w:w="1617" w:type="dxa"/>
            <w:noWrap/>
          </w:tcPr>
          <w:p w14:paraId="71765C04" w14:textId="77777777" w:rsidR="000323A2" w:rsidRPr="000323A2" w:rsidRDefault="000323A2" w:rsidP="000323A2">
            <w:pPr>
              <w:spacing w:before="240"/>
              <w:rPr>
                <w:rFonts w:cs="Calibri"/>
                <w:color w:val="000000"/>
              </w:rPr>
            </w:pPr>
            <w:r w:rsidRPr="000323A2">
              <w:rPr>
                <w:rFonts w:cs="Calibri"/>
                <w:color w:val="000000"/>
              </w:rPr>
              <w:t> </w:t>
            </w:r>
          </w:p>
        </w:tc>
        <w:tc>
          <w:tcPr>
            <w:tcW w:w="2384" w:type="dxa"/>
          </w:tcPr>
          <w:p w14:paraId="64B4FB50"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550 Mbps</w:t>
            </w:r>
          </w:p>
        </w:tc>
        <w:tc>
          <w:tcPr>
            <w:tcW w:w="1490" w:type="dxa"/>
          </w:tcPr>
          <w:p w14:paraId="0E1A21A1" w14:textId="77777777" w:rsidR="000323A2" w:rsidRPr="000323A2" w:rsidRDefault="000323A2" w:rsidP="000323A2">
            <w:pPr>
              <w:spacing w:before="240"/>
              <w:jc w:val="center"/>
              <w:rPr>
                <w:rFonts w:cs="Calibri"/>
                <w:color w:val="000000"/>
                <w:sz w:val="20"/>
                <w:szCs w:val="20"/>
              </w:rPr>
            </w:pPr>
            <w:r w:rsidRPr="000323A2">
              <w:t xml:space="preserve"> $29,206 </w:t>
            </w:r>
          </w:p>
        </w:tc>
      </w:tr>
      <w:tr w:rsidR="000323A2" w:rsidRPr="000323A2" w14:paraId="3A2A04F4" w14:textId="77777777" w:rsidTr="000323A2">
        <w:trPr>
          <w:trHeight w:val="300"/>
          <w:jc w:val="center"/>
        </w:trPr>
        <w:tc>
          <w:tcPr>
            <w:tcW w:w="2023" w:type="dxa"/>
            <w:noWrap/>
          </w:tcPr>
          <w:p w14:paraId="6ABCC5CA" w14:textId="77777777" w:rsidR="000323A2" w:rsidRPr="000323A2" w:rsidRDefault="000323A2" w:rsidP="000323A2">
            <w:pPr>
              <w:spacing w:before="240"/>
              <w:rPr>
                <w:rFonts w:cs="Calibri"/>
                <w:color w:val="000000"/>
              </w:rPr>
            </w:pPr>
            <w:r w:rsidRPr="000323A2">
              <w:rPr>
                <w:rFonts w:cs="Calibri"/>
                <w:color w:val="000000"/>
              </w:rPr>
              <w:t> </w:t>
            </w:r>
          </w:p>
        </w:tc>
        <w:tc>
          <w:tcPr>
            <w:tcW w:w="1617" w:type="dxa"/>
            <w:noWrap/>
          </w:tcPr>
          <w:p w14:paraId="66FCBC22" w14:textId="77777777" w:rsidR="000323A2" w:rsidRPr="000323A2" w:rsidRDefault="000323A2" w:rsidP="000323A2">
            <w:pPr>
              <w:spacing w:before="240"/>
              <w:rPr>
                <w:rFonts w:cs="Calibri"/>
                <w:color w:val="000000"/>
              </w:rPr>
            </w:pPr>
            <w:r w:rsidRPr="000323A2">
              <w:rPr>
                <w:rFonts w:cs="Calibri"/>
                <w:color w:val="000000"/>
              </w:rPr>
              <w:t> </w:t>
            </w:r>
          </w:p>
        </w:tc>
        <w:tc>
          <w:tcPr>
            <w:tcW w:w="2384" w:type="dxa"/>
          </w:tcPr>
          <w:p w14:paraId="08CA57D2"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600 Mbps</w:t>
            </w:r>
          </w:p>
        </w:tc>
        <w:tc>
          <w:tcPr>
            <w:tcW w:w="1490" w:type="dxa"/>
          </w:tcPr>
          <w:p w14:paraId="5597C33E" w14:textId="77777777" w:rsidR="000323A2" w:rsidRPr="000323A2" w:rsidRDefault="000323A2" w:rsidP="000323A2">
            <w:pPr>
              <w:spacing w:before="240"/>
              <w:jc w:val="center"/>
              <w:rPr>
                <w:rFonts w:cs="Calibri"/>
                <w:color w:val="000000"/>
                <w:sz w:val="20"/>
                <w:szCs w:val="20"/>
              </w:rPr>
            </w:pPr>
            <w:r w:rsidRPr="000323A2">
              <w:t xml:space="preserve"> $30,585 </w:t>
            </w:r>
          </w:p>
        </w:tc>
      </w:tr>
      <w:tr w:rsidR="000323A2" w:rsidRPr="000323A2" w14:paraId="2272B3F7" w14:textId="77777777" w:rsidTr="000323A2">
        <w:trPr>
          <w:trHeight w:val="300"/>
          <w:jc w:val="center"/>
        </w:trPr>
        <w:tc>
          <w:tcPr>
            <w:tcW w:w="2023" w:type="dxa"/>
            <w:noWrap/>
          </w:tcPr>
          <w:p w14:paraId="790CDFE6" w14:textId="77777777" w:rsidR="000323A2" w:rsidRPr="000323A2" w:rsidRDefault="000323A2" w:rsidP="000323A2">
            <w:pPr>
              <w:spacing w:before="240"/>
              <w:rPr>
                <w:rFonts w:cs="Calibri"/>
                <w:color w:val="000000"/>
              </w:rPr>
            </w:pPr>
            <w:r w:rsidRPr="000323A2">
              <w:rPr>
                <w:rFonts w:cs="Calibri"/>
                <w:color w:val="000000"/>
              </w:rPr>
              <w:t> </w:t>
            </w:r>
          </w:p>
        </w:tc>
        <w:tc>
          <w:tcPr>
            <w:tcW w:w="1617" w:type="dxa"/>
            <w:noWrap/>
          </w:tcPr>
          <w:p w14:paraId="7DF683E5" w14:textId="77777777" w:rsidR="000323A2" w:rsidRPr="000323A2" w:rsidRDefault="000323A2" w:rsidP="000323A2">
            <w:pPr>
              <w:spacing w:before="240"/>
              <w:rPr>
                <w:rFonts w:cs="Calibri"/>
                <w:color w:val="000000"/>
              </w:rPr>
            </w:pPr>
            <w:r w:rsidRPr="000323A2">
              <w:rPr>
                <w:rFonts w:cs="Calibri"/>
                <w:color w:val="000000"/>
              </w:rPr>
              <w:t> </w:t>
            </w:r>
          </w:p>
        </w:tc>
        <w:tc>
          <w:tcPr>
            <w:tcW w:w="2384" w:type="dxa"/>
          </w:tcPr>
          <w:p w14:paraId="752EE671"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750 Mbps</w:t>
            </w:r>
          </w:p>
        </w:tc>
        <w:tc>
          <w:tcPr>
            <w:tcW w:w="1490" w:type="dxa"/>
          </w:tcPr>
          <w:p w14:paraId="234B7FCD" w14:textId="77777777" w:rsidR="000323A2" w:rsidRPr="000323A2" w:rsidRDefault="000323A2" w:rsidP="000323A2">
            <w:pPr>
              <w:spacing w:before="240"/>
              <w:jc w:val="center"/>
              <w:rPr>
                <w:rFonts w:cs="Calibri"/>
                <w:color w:val="000000"/>
                <w:sz w:val="20"/>
                <w:szCs w:val="20"/>
              </w:rPr>
            </w:pPr>
            <w:r w:rsidRPr="000323A2">
              <w:t xml:space="preserve"> $34,424 </w:t>
            </w:r>
          </w:p>
        </w:tc>
      </w:tr>
      <w:tr w:rsidR="000323A2" w:rsidRPr="000323A2" w14:paraId="73E3DBC0" w14:textId="77777777" w:rsidTr="000323A2">
        <w:trPr>
          <w:trHeight w:val="300"/>
          <w:jc w:val="center"/>
        </w:trPr>
        <w:tc>
          <w:tcPr>
            <w:tcW w:w="2023" w:type="dxa"/>
            <w:noWrap/>
          </w:tcPr>
          <w:p w14:paraId="256ED210" w14:textId="77777777" w:rsidR="000323A2" w:rsidRPr="000323A2" w:rsidRDefault="000323A2" w:rsidP="000323A2">
            <w:pPr>
              <w:spacing w:before="240"/>
              <w:rPr>
                <w:rFonts w:cs="Calibri"/>
                <w:color w:val="000000"/>
              </w:rPr>
            </w:pPr>
            <w:r w:rsidRPr="000323A2">
              <w:rPr>
                <w:rFonts w:cs="Calibri"/>
                <w:color w:val="000000"/>
              </w:rPr>
              <w:t> </w:t>
            </w:r>
          </w:p>
        </w:tc>
        <w:tc>
          <w:tcPr>
            <w:tcW w:w="1617" w:type="dxa"/>
            <w:noWrap/>
          </w:tcPr>
          <w:p w14:paraId="277D86A8" w14:textId="77777777" w:rsidR="000323A2" w:rsidRPr="000323A2" w:rsidRDefault="000323A2" w:rsidP="000323A2">
            <w:pPr>
              <w:spacing w:before="240"/>
              <w:rPr>
                <w:rFonts w:cs="Calibri"/>
                <w:color w:val="000000"/>
              </w:rPr>
            </w:pPr>
            <w:r w:rsidRPr="000323A2">
              <w:rPr>
                <w:rFonts w:cs="Calibri"/>
                <w:color w:val="000000"/>
              </w:rPr>
              <w:t> </w:t>
            </w:r>
          </w:p>
        </w:tc>
        <w:tc>
          <w:tcPr>
            <w:tcW w:w="2384" w:type="dxa"/>
          </w:tcPr>
          <w:p w14:paraId="15A3A284"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1 </w:t>
            </w:r>
            <w:proofErr w:type="spellStart"/>
            <w:r w:rsidRPr="000323A2">
              <w:t>Gbps</w:t>
            </w:r>
            <w:proofErr w:type="spellEnd"/>
          </w:p>
        </w:tc>
        <w:tc>
          <w:tcPr>
            <w:tcW w:w="1490" w:type="dxa"/>
          </w:tcPr>
          <w:p w14:paraId="419E605E" w14:textId="77777777" w:rsidR="000323A2" w:rsidRPr="000323A2" w:rsidRDefault="000323A2" w:rsidP="000323A2">
            <w:pPr>
              <w:spacing w:before="240"/>
              <w:jc w:val="center"/>
              <w:rPr>
                <w:rFonts w:cs="Calibri"/>
                <w:color w:val="000000"/>
                <w:sz w:val="20"/>
                <w:szCs w:val="20"/>
              </w:rPr>
            </w:pPr>
            <w:r w:rsidRPr="000323A2">
              <w:t xml:space="preserve"> $40,094 </w:t>
            </w:r>
          </w:p>
        </w:tc>
      </w:tr>
      <w:tr w:rsidR="000323A2" w:rsidRPr="000323A2" w14:paraId="78FAA6BD" w14:textId="77777777" w:rsidTr="000323A2">
        <w:trPr>
          <w:trHeight w:val="300"/>
          <w:jc w:val="center"/>
        </w:trPr>
        <w:tc>
          <w:tcPr>
            <w:tcW w:w="2023" w:type="dxa"/>
            <w:noWrap/>
          </w:tcPr>
          <w:p w14:paraId="07723A48" w14:textId="77777777" w:rsidR="000323A2" w:rsidRPr="000323A2" w:rsidRDefault="000323A2" w:rsidP="000323A2">
            <w:pPr>
              <w:spacing w:before="240"/>
              <w:rPr>
                <w:rFonts w:cs="Calibri"/>
                <w:color w:val="000000"/>
              </w:rPr>
            </w:pPr>
            <w:r w:rsidRPr="000323A2">
              <w:rPr>
                <w:rFonts w:cs="Calibri"/>
                <w:color w:val="000000"/>
              </w:rPr>
              <w:t> </w:t>
            </w:r>
          </w:p>
        </w:tc>
        <w:tc>
          <w:tcPr>
            <w:tcW w:w="1617" w:type="dxa"/>
            <w:noWrap/>
          </w:tcPr>
          <w:p w14:paraId="4432946D" w14:textId="77777777" w:rsidR="000323A2" w:rsidRPr="000323A2" w:rsidRDefault="000323A2" w:rsidP="000323A2">
            <w:pPr>
              <w:spacing w:before="240"/>
              <w:rPr>
                <w:rFonts w:cs="Calibri"/>
                <w:color w:val="000000"/>
              </w:rPr>
            </w:pPr>
            <w:r w:rsidRPr="000323A2">
              <w:rPr>
                <w:rFonts w:cs="Calibri"/>
                <w:color w:val="000000"/>
              </w:rPr>
              <w:t> </w:t>
            </w:r>
          </w:p>
        </w:tc>
        <w:tc>
          <w:tcPr>
            <w:tcW w:w="2384" w:type="dxa"/>
          </w:tcPr>
          <w:p w14:paraId="6375033F"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2 </w:t>
            </w:r>
            <w:proofErr w:type="spellStart"/>
            <w:r w:rsidRPr="000323A2">
              <w:t>Gbps</w:t>
            </w:r>
            <w:proofErr w:type="spellEnd"/>
          </w:p>
        </w:tc>
        <w:tc>
          <w:tcPr>
            <w:tcW w:w="1490" w:type="dxa"/>
          </w:tcPr>
          <w:p w14:paraId="1B0A6613" w14:textId="77777777" w:rsidR="000323A2" w:rsidRPr="000323A2" w:rsidRDefault="000323A2" w:rsidP="000323A2">
            <w:pPr>
              <w:spacing w:before="240"/>
              <w:jc w:val="center"/>
              <w:rPr>
                <w:rFonts w:cs="Calibri"/>
                <w:color w:val="000000"/>
                <w:sz w:val="20"/>
                <w:szCs w:val="20"/>
              </w:rPr>
            </w:pPr>
            <w:r w:rsidRPr="000323A2">
              <w:t xml:space="preserve"> $57,893 </w:t>
            </w:r>
          </w:p>
        </w:tc>
      </w:tr>
      <w:tr w:rsidR="000323A2" w:rsidRPr="000323A2" w14:paraId="22E54C50" w14:textId="77777777" w:rsidTr="000323A2">
        <w:trPr>
          <w:trHeight w:val="300"/>
          <w:jc w:val="center"/>
        </w:trPr>
        <w:tc>
          <w:tcPr>
            <w:tcW w:w="2023" w:type="dxa"/>
            <w:noWrap/>
          </w:tcPr>
          <w:p w14:paraId="42DB9792" w14:textId="77777777" w:rsidR="000323A2" w:rsidRPr="000323A2" w:rsidRDefault="000323A2" w:rsidP="000323A2">
            <w:pPr>
              <w:spacing w:before="240"/>
              <w:rPr>
                <w:rFonts w:cs="Calibri"/>
                <w:color w:val="000000"/>
              </w:rPr>
            </w:pPr>
          </w:p>
        </w:tc>
        <w:tc>
          <w:tcPr>
            <w:tcW w:w="1617" w:type="dxa"/>
            <w:noWrap/>
          </w:tcPr>
          <w:p w14:paraId="7D52A011" w14:textId="77777777" w:rsidR="000323A2" w:rsidRPr="000323A2" w:rsidRDefault="000323A2" w:rsidP="000323A2">
            <w:pPr>
              <w:spacing w:before="240"/>
              <w:rPr>
                <w:rFonts w:cs="Calibri"/>
                <w:color w:val="000000"/>
              </w:rPr>
            </w:pPr>
          </w:p>
        </w:tc>
        <w:tc>
          <w:tcPr>
            <w:tcW w:w="2384" w:type="dxa"/>
          </w:tcPr>
          <w:p w14:paraId="65D398D2"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4 </w:t>
            </w:r>
            <w:proofErr w:type="spellStart"/>
            <w:r w:rsidRPr="000323A2">
              <w:t>Gbps</w:t>
            </w:r>
            <w:proofErr w:type="spellEnd"/>
          </w:p>
        </w:tc>
        <w:tc>
          <w:tcPr>
            <w:tcW w:w="1490" w:type="dxa"/>
          </w:tcPr>
          <w:p w14:paraId="019A98D1" w14:textId="77777777" w:rsidR="000323A2" w:rsidRPr="000323A2" w:rsidRDefault="000323A2" w:rsidP="000323A2">
            <w:pPr>
              <w:spacing w:before="240"/>
              <w:jc w:val="center"/>
              <w:rPr>
                <w:rFonts w:cs="Calibri"/>
                <w:color w:val="000000"/>
                <w:sz w:val="20"/>
                <w:szCs w:val="20"/>
              </w:rPr>
            </w:pPr>
            <w:r w:rsidRPr="000323A2">
              <w:t xml:space="preserve"> $83,594 </w:t>
            </w:r>
          </w:p>
        </w:tc>
      </w:tr>
      <w:tr w:rsidR="000323A2" w:rsidRPr="000323A2" w14:paraId="324C55EC" w14:textId="77777777" w:rsidTr="000323A2">
        <w:trPr>
          <w:trHeight w:val="300"/>
          <w:jc w:val="center"/>
        </w:trPr>
        <w:tc>
          <w:tcPr>
            <w:tcW w:w="2023" w:type="dxa"/>
            <w:noWrap/>
          </w:tcPr>
          <w:p w14:paraId="51AD705B" w14:textId="77777777" w:rsidR="000323A2" w:rsidRPr="000323A2" w:rsidRDefault="000323A2" w:rsidP="000323A2">
            <w:pPr>
              <w:spacing w:before="240"/>
              <w:rPr>
                <w:rFonts w:cs="Calibri"/>
                <w:color w:val="000000"/>
              </w:rPr>
            </w:pPr>
          </w:p>
        </w:tc>
        <w:tc>
          <w:tcPr>
            <w:tcW w:w="1617" w:type="dxa"/>
            <w:noWrap/>
          </w:tcPr>
          <w:p w14:paraId="05BC297E" w14:textId="77777777" w:rsidR="000323A2" w:rsidRPr="000323A2" w:rsidRDefault="000323A2" w:rsidP="000323A2">
            <w:pPr>
              <w:spacing w:before="240"/>
              <w:rPr>
                <w:rFonts w:cs="Calibri"/>
                <w:color w:val="000000"/>
              </w:rPr>
            </w:pPr>
          </w:p>
        </w:tc>
        <w:tc>
          <w:tcPr>
            <w:tcW w:w="2384" w:type="dxa"/>
          </w:tcPr>
          <w:p w14:paraId="1E907B13"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6 </w:t>
            </w:r>
            <w:proofErr w:type="spellStart"/>
            <w:r w:rsidRPr="000323A2">
              <w:t>Gbps</w:t>
            </w:r>
            <w:proofErr w:type="spellEnd"/>
          </w:p>
        </w:tc>
        <w:tc>
          <w:tcPr>
            <w:tcW w:w="1490" w:type="dxa"/>
          </w:tcPr>
          <w:p w14:paraId="27CE5980" w14:textId="77777777" w:rsidR="000323A2" w:rsidRPr="000323A2" w:rsidRDefault="000323A2" w:rsidP="000323A2">
            <w:pPr>
              <w:spacing w:before="240"/>
              <w:jc w:val="center"/>
              <w:rPr>
                <w:rFonts w:cs="Calibri"/>
                <w:color w:val="000000"/>
                <w:sz w:val="20"/>
                <w:szCs w:val="20"/>
              </w:rPr>
            </w:pPr>
            <w:r w:rsidRPr="000323A2">
              <w:t xml:space="preserve"> $103,634 </w:t>
            </w:r>
          </w:p>
        </w:tc>
      </w:tr>
      <w:tr w:rsidR="000323A2" w:rsidRPr="000323A2" w14:paraId="0B3062D0" w14:textId="77777777" w:rsidTr="000323A2">
        <w:trPr>
          <w:trHeight w:val="300"/>
          <w:jc w:val="center"/>
        </w:trPr>
        <w:tc>
          <w:tcPr>
            <w:tcW w:w="2023" w:type="dxa"/>
            <w:noWrap/>
          </w:tcPr>
          <w:p w14:paraId="35891115" w14:textId="77777777" w:rsidR="000323A2" w:rsidRPr="000323A2" w:rsidRDefault="000323A2" w:rsidP="000323A2">
            <w:pPr>
              <w:spacing w:before="240"/>
              <w:rPr>
                <w:rFonts w:cs="Calibri"/>
                <w:color w:val="000000"/>
              </w:rPr>
            </w:pPr>
          </w:p>
        </w:tc>
        <w:tc>
          <w:tcPr>
            <w:tcW w:w="1617" w:type="dxa"/>
            <w:noWrap/>
          </w:tcPr>
          <w:p w14:paraId="66611E01" w14:textId="77777777" w:rsidR="000323A2" w:rsidRPr="000323A2" w:rsidRDefault="000323A2" w:rsidP="000323A2">
            <w:pPr>
              <w:spacing w:before="240"/>
              <w:rPr>
                <w:rFonts w:cs="Calibri"/>
                <w:color w:val="000000"/>
              </w:rPr>
            </w:pPr>
          </w:p>
        </w:tc>
        <w:tc>
          <w:tcPr>
            <w:tcW w:w="2384" w:type="dxa"/>
          </w:tcPr>
          <w:p w14:paraId="36C9023A"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8 </w:t>
            </w:r>
            <w:proofErr w:type="spellStart"/>
            <w:r w:rsidRPr="000323A2">
              <w:t>Gbps</w:t>
            </w:r>
            <w:proofErr w:type="spellEnd"/>
          </w:p>
        </w:tc>
        <w:tc>
          <w:tcPr>
            <w:tcW w:w="1490" w:type="dxa"/>
          </w:tcPr>
          <w:p w14:paraId="58673A32" w14:textId="77777777" w:rsidR="000323A2" w:rsidRPr="000323A2" w:rsidRDefault="000323A2" w:rsidP="000323A2">
            <w:pPr>
              <w:spacing w:before="240"/>
              <w:jc w:val="center"/>
              <w:rPr>
                <w:rFonts w:cs="Calibri"/>
                <w:color w:val="000000"/>
                <w:sz w:val="20"/>
                <w:szCs w:val="20"/>
              </w:rPr>
            </w:pPr>
            <w:r w:rsidRPr="000323A2">
              <w:t xml:space="preserve"> $120,703 </w:t>
            </w:r>
          </w:p>
        </w:tc>
      </w:tr>
      <w:tr w:rsidR="000323A2" w:rsidRPr="000323A2" w14:paraId="6E5BBCE9" w14:textId="77777777" w:rsidTr="000323A2">
        <w:trPr>
          <w:trHeight w:val="300"/>
          <w:jc w:val="center"/>
        </w:trPr>
        <w:tc>
          <w:tcPr>
            <w:tcW w:w="2023" w:type="dxa"/>
            <w:noWrap/>
          </w:tcPr>
          <w:p w14:paraId="5A4B8673" w14:textId="77777777" w:rsidR="000323A2" w:rsidRPr="000323A2" w:rsidRDefault="000323A2" w:rsidP="000323A2">
            <w:pPr>
              <w:spacing w:before="240"/>
              <w:rPr>
                <w:rFonts w:cs="Calibri"/>
                <w:color w:val="000000"/>
              </w:rPr>
            </w:pPr>
          </w:p>
        </w:tc>
        <w:tc>
          <w:tcPr>
            <w:tcW w:w="1617" w:type="dxa"/>
            <w:noWrap/>
          </w:tcPr>
          <w:p w14:paraId="1E71CF28" w14:textId="77777777" w:rsidR="000323A2" w:rsidRPr="000323A2" w:rsidRDefault="000323A2" w:rsidP="000323A2">
            <w:pPr>
              <w:spacing w:before="240"/>
              <w:rPr>
                <w:rFonts w:cs="Calibri"/>
                <w:color w:val="000000"/>
              </w:rPr>
            </w:pPr>
          </w:p>
        </w:tc>
        <w:tc>
          <w:tcPr>
            <w:tcW w:w="2384" w:type="dxa"/>
          </w:tcPr>
          <w:p w14:paraId="0F250228"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10 </w:t>
            </w:r>
            <w:proofErr w:type="spellStart"/>
            <w:r w:rsidRPr="000323A2">
              <w:t>Gbps</w:t>
            </w:r>
            <w:proofErr w:type="spellEnd"/>
          </w:p>
        </w:tc>
        <w:tc>
          <w:tcPr>
            <w:tcW w:w="1490" w:type="dxa"/>
          </w:tcPr>
          <w:p w14:paraId="19D07D18" w14:textId="77777777" w:rsidR="000323A2" w:rsidRPr="000323A2" w:rsidRDefault="000323A2" w:rsidP="000323A2">
            <w:pPr>
              <w:spacing w:before="240"/>
              <w:jc w:val="center"/>
              <w:rPr>
                <w:rFonts w:cs="Calibri"/>
                <w:color w:val="000000"/>
                <w:sz w:val="20"/>
                <w:szCs w:val="20"/>
              </w:rPr>
            </w:pPr>
            <w:r w:rsidRPr="000323A2">
              <w:t xml:space="preserve"> $135,857 </w:t>
            </w:r>
          </w:p>
        </w:tc>
      </w:tr>
      <w:tr w:rsidR="000323A2" w:rsidRPr="000323A2" w14:paraId="5FC0A7DC" w14:textId="77777777" w:rsidTr="000323A2">
        <w:trPr>
          <w:trHeight w:val="300"/>
          <w:jc w:val="center"/>
        </w:trPr>
        <w:tc>
          <w:tcPr>
            <w:tcW w:w="2023" w:type="dxa"/>
            <w:noWrap/>
          </w:tcPr>
          <w:p w14:paraId="506B2384" w14:textId="77777777" w:rsidR="000323A2" w:rsidRPr="000323A2" w:rsidRDefault="000323A2" w:rsidP="000323A2">
            <w:pPr>
              <w:spacing w:before="240"/>
              <w:rPr>
                <w:rFonts w:cs="Calibri"/>
                <w:color w:val="000000"/>
              </w:rPr>
            </w:pPr>
          </w:p>
        </w:tc>
        <w:tc>
          <w:tcPr>
            <w:tcW w:w="1617" w:type="dxa"/>
            <w:noWrap/>
          </w:tcPr>
          <w:p w14:paraId="393E55F2" w14:textId="77777777" w:rsidR="000323A2" w:rsidRPr="000323A2" w:rsidRDefault="000323A2" w:rsidP="000323A2">
            <w:pPr>
              <w:spacing w:before="240"/>
              <w:rPr>
                <w:rFonts w:cs="Calibri"/>
                <w:color w:val="000000"/>
              </w:rPr>
            </w:pPr>
          </w:p>
        </w:tc>
        <w:tc>
          <w:tcPr>
            <w:tcW w:w="2384" w:type="dxa"/>
          </w:tcPr>
          <w:p w14:paraId="2773FA56" w14:textId="77777777" w:rsidR="000323A2" w:rsidRPr="000323A2" w:rsidRDefault="000323A2" w:rsidP="000323A2">
            <w:pPr>
              <w:spacing w:before="240"/>
              <w:jc w:val="center"/>
              <w:rPr>
                <w:rFonts w:cs="Calibri"/>
                <w:color w:val="000000"/>
                <w:sz w:val="20"/>
                <w:szCs w:val="20"/>
              </w:rPr>
            </w:pPr>
            <w:proofErr w:type="spellStart"/>
            <w:r w:rsidRPr="000323A2">
              <w:t>GigaEthernet</w:t>
            </w:r>
            <w:proofErr w:type="spellEnd"/>
            <w:r w:rsidRPr="000323A2">
              <w:t xml:space="preserve"> 100 </w:t>
            </w:r>
            <w:proofErr w:type="spellStart"/>
            <w:r w:rsidRPr="000323A2">
              <w:t>Gbps</w:t>
            </w:r>
            <w:proofErr w:type="spellEnd"/>
          </w:p>
        </w:tc>
        <w:tc>
          <w:tcPr>
            <w:tcW w:w="1490" w:type="dxa"/>
          </w:tcPr>
          <w:p w14:paraId="27576B6B" w14:textId="77777777" w:rsidR="000323A2" w:rsidRPr="000323A2" w:rsidRDefault="000323A2" w:rsidP="000323A2">
            <w:pPr>
              <w:spacing w:before="240"/>
              <w:jc w:val="center"/>
              <w:rPr>
                <w:rFonts w:cs="Calibri"/>
                <w:color w:val="000000"/>
                <w:sz w:val="20"/>
                <w:szCs w:val="20"/>
              </w:rPr>
            </w:pPr>
            <w:r w:rsidRPr="000323A2">
              <w:t xml:space="preserve"> $460,343 </w:t>
            </w:r>
          </w:p>
        </w:tc>
      </w:tr>
      <w:tr w:rsidR="000323A2" w:rsidRPr="000323A2" w14:paraId="5EF4C7C6" w14:textId="77777777" w:rsidTr="000323A2">
        <w:trPr>
          <w:trHeight w:val="300"/>
          <w:jc w:val="center"/>
        </w:trPr>
        <w:tc>
          <w:tcPr>
            <w:tcW w:w="2023" w:type="dxa"/>
            <w:noWrap/>
          </w:tcPr>
          <w:p w14:paraId="7CF48167" w14:textId="77777777" w:rsidR="000323A2" w:rsidRPr="000323A2" w:rsidRDefault="000323A2" w:rsidP="000323A2">
            <w:pPr>
              <w:spacing w:before="240"/>
              <w:rPr>
                <w:rFonts w:cs="Calibri"/>
                <w:color w:val="000000"/>
              </w:rPr>
            </w:pPr>
          </w:p>
        </w:tc>
        <w:tc>
          <w:tcPr>
            <w:tcW w:w="1617" w:type="dxa"/>
            <w:noWrap/>
          </w:tcPr>
          <w:p w14:paraId="4B154E7E" w14:textId="77777777" w:rsidR="000323A2" w:rsidRPr="000323A2" w:rsidRDefault="000323A2" w:rsidP="000323A2">
            <w:pPr>
              <w:spacing w:before="240"/>
              <w:rPr>
                <w:rFonts w:cs="Calibri"/>
                <w:color w:val="000000"/>
              </w:rPr>
            </w:pPr>
          </w:p>
        </w:tc>
        <w:tc>
          <w:tcPr>
            <w:tcW w:w="2384" w:type="dxa"/>
          </w:tcPr>
          <w:p w14:paraId="0B711E34" w14:textId="77777777" w:rsidR="000323A2" w:rsidRPr="000323A2" w:rsidRDefault="000323A2" w:rsidP="000323A2">
            <w:pPr>
              <w:spacing w:before="240"/>
              <w:jc w:val="center"/>
              <w:rPr>
                <w:rFonts w:cs="Calibri"/>
                <w:color w:val="000000"/>
                <w:sz w:val="20"/>
                <w:szCs w:val="20"/>
              </w:rPr>
            </w:pPr>
            <w:proofErr w:type="spellStart"/>
            <w:r w:rsidRPr="000323A2">
              <w:t>Hub</w:t>
            </w:r>
            <w:proofErr w:type="spellEnd"/>
            <w:r w:rsidRPr="000323A2">
              <w:t xml:space="preserve"> 1 </w:t>
            </w:r>
            <w:proofErr w:type="spellStart"/>
            <w:r w:rsidRPr="000323A2">
              <w:t>Gbps</w:t>
            </w:r>
            <w:proofErr w:type="spellEnd"/>
          </w:p>
        </w:tc>
        <w:tc>
          <w:tcPr>
            <w:tcW w:w="1490" w:type="dxa"/>
          </w:tcPr>
          <w:p w14:paraId="0DA06FFC" w14:textId="77777777" w:rsidR="000323A2" w:rsidRPr="000323A2" w:rsidRDefault="000323A2" w:rsidP="000323A2">
            <w:pPr>
              <w:spacing w:before="240"/>
              <w:jc w:val="center"/>
              <w:rPr>
                <w:rFonts w:cs="Calibri"/>
                <w:color w:val="000000"/>
                <w:sz w:val="20"/>
                <w:szCs w:val="20"/>
              </w:rPr>
            </w:pPr>
            <w:r w:rsidRPr="000323A2">
              <w:t xml:space="preserve"> $40,094 </w:t>
            </w:r>
          </w:p>
        </w:tc>
      </w:tr>
      <w:tr w:rsidR="000323A2" w:rsidRPr="000323A2" w14:paraId="52B5F742" w14:textId="77777777" w:rsidTr="000323A2">
        <w:trPr>
          <w:trHeight w:val="300"/>
          <w:jc w:val="center"/>
        </w:trPr>
        <w:tc>
          <w:tcPr>
            <w:tcW w:w="2023" w:type="dxa"/>
            <w:noWrap/>
          </w:tcPr>
          <w:p w14:paraId="6FA0DDBB" w14:textId="77777777" w:rsidR="000323A2" w:rsidRPr="000323A2" w:rsidRDefault="000323A2" w:rsidP="000323A2">
            <w:pPr>
              <w:spacing w:before="240"/>
              <w:rPr>
                <w:rFonts w:cs="Calibri"/>
                <w:color w:val="000000"/>
              </w:rPr>
            </w:pPr>
          </w:p>
        </w:tc>
        <w:tc>
          <w:tcPr>
            <w:tcW w:w="1617" w:type="dxa"/>
            <w:noWrap/>
          </w:tcPr>
          <w:p w14:paraId="096730DE" w14:textId="77777777" w:rsidR="000323A2" w:rsidRPr="000323A2" w:rsidRDefault="000323A2" w:rsidP="000323A2">
            <w:pPr>
              <w:spacing w:before="240"/>
              <w:rPr>
                <w:rFonts w:cs="Calibri"/>
                <w:color w:val="000000"/>
              </w:rPr>
            </w:pPr>
          </w:p>
        </w:tc>
        <w:tc>
          <w:tcPr>
            <w:tcW w:w="2384" w:type="dxa"/>
          </w:tcPr>
          <w:p w14:paraId="56CA77B5" w14:textId="77777777" w:rsidR="000323A2" w:rsidRPr="000323A2" w:rsidRDefault="000323A2" w:rsidP="000323A2">
            <w:pPr>
              <w:spacing w:before="240"/>
              <w:jc w:val="center"/>
              <w:rPr>
                <w:rFonts w:cs="Calibri"/>
                <w:color w:val="000000"/>
                <w:sz w:val="20"/>
                <w:szCs w:val="20"/>
              </w:rPr>
            </w:pPr>
            <w:proofErr w:type="spellStart"/>
            <w:r w:rsidRPr="000323A2">
              <w:t>Hub</w:t>
            </w:r>
            <w:proofErr w:type="spellEnd"/>
            <w:r w:rsidRPr="000323A2">
              <w:t xml:space="preserve"> 10 </w:t>
            </w:r>
            <w:proofErr w:type="spellStart"/>
            <w:r w:rsidRPr="000323A2">
              <w:t>Gbps</w:t>
            </w:r>
            <w:proofErr w:type="spellEnd"/>
          </w:p>
        </w:tc>
        <w:tc>
          <w:tcPr>
            <w:tcW w:w="1490" w:type="dxa"/>
          </w:tcPr>
          <w:p w14:paraId="305F4A66" w14:textId="77777777" w:rsidR="000323A2" w:rsidRPr="000323A2" w:rsidRDefault="000323A2" w:rsidP="000323A2">
            <w:pPr>
              <w:spacing w:before="240"/>
              <w:jc w:val="center"/>
              <w:rPr>
                <w:rFonts w:cs="Calibri"/>
                <w:color w:val="000000"/>
                <w:sz w:val="20"/>
                <w:szCs w:val="20"/>
              </w:rPr>
            </w:pPr>
            <w:r w:rsidRPr="000323A2">
              <w:t xml:space="preserve"> $135,857 </w:t>
            </w:r>
          </w:p>
        </w:tc>
      </w:tr>
      <w:tr w:rsidR="000323A2" w:rsidRPr="000323A2" w14:paraId="1B69180A" w14:textId="77777777" w:rsidTr="000323A2">
        <w:trPr>
          <w:trHeight w:val="300"/>
          <w:jc w:val="center"/>
        </w:trPr>
        <w:tc>
          <w:tcPr>
            <w:tcW w:w="2023" w:type="dxa"/>
            <w:noWrap/>
          </w:tcPr>
          <w:p w14:paraId="29DB6E67" w14:textId="77777777" w:rsidR="000323A2" w:rsidRPr="000323A2" w:rsidRDefault="000323A2" w:rsidP="000323A2">
            <w:pPr>
              <w:spacing w:before="240"/>
              <w:rPr>
                <w:rFonts w:cs="Calibri"/>
                <w:color w:val="000000"/>
              </w:rPr>
            </w:pPr>
          </w:p>
        </w:tc>
        <w:tc>
          <w:tcPr>
            <w:tcW w:w="1617" w:type="dxa"/>
            <w:noWrap/>
          </w:tcPr>
          <w:p w14:paraId="62272D92" w14:textId="77777777" w:rsidR="000323A2" w:rsidRPr="000323A2" w:rsidRDefault="000323A2" w:rsidP="000323A2">
            <w:pPr>
              <w:spacing w:before="240"/>
              <w:rPr>
                <w:rFonts w:cs="Calibri"/>
                <w:color w:val="000000"/>
              </w:rPr>
            </w:pPr>
          </w:p>
        </w:tc>
        <w:tc>
          <w:tcPr>
            <w:tcW w:w="2384" w:type="dxa"/>
          </w:tcPr>
          <w:p w14:paraId="140C372C" w14:textId="77777777" w:rsidR="000323A2" w:rsidRPr="000323A2" w:rsidRDefault="000323A2" w:rsidP="000323A2">
            <w:pPr>
              <w:spacing w:before="240"/>
              <w:jc w:val="center"/>
            </w:pPr>
            <w:proofErr w:type="spellStart"/>
            <w:r w:rsidRPr="000323A2">
              <w:t>Hub</w:t>
            </w:r>
            <w:proofErr w:type="spellEnd"/>
            <w:r w:rsidRPr="000323A2">
              <w:t xml:space="preserve"> 100 </w:t>
            </w:r>
            <w:proofErr w:type="spellStart"/>
            <w:r w:rsidRPr="000323A2">
              <w:t>Gbps</w:t>
            </w:r>
            <w:proofErr w:type="spellEnd"/>
          </w:p>
        </w:tc>
        <w:tc>
          <w:tcPr>
            <w:tcW w:w="1490" w:type="dxa"/>
          </w:tcPr>
          <w:p w14:paraId="33AD5380" w14:textId="77777777" w:rsidR="000323A2" w:rsidRPr="000323A2" w:rsidRDefault="000323A2" w:rsidP="000323A2">
            <w:pPr>
              <w:spacing w:before="240"/>
              <w:jc w:val="center"/>
            </w:pPr>
            <w:r w:rsidRPr="000323A2">
              <w:t xml:space="preserve"> $460,343 </w:t>
            </w:r>
          </w:p>
        </w:tc>
      </w:tr>
    </w:tbl>
    <w:p w14:paraId="29CBF680" w14:textId="77777777" w:rsidR="000323A2" w:rsidRPr="000323A2" w:rsidRDefault="000323A2" w:rsidP="000323A2">
      <w:pPr>
        <w:spacing w:before="240" w:after="0" w:line="240" w:lineRule="auto"/>
        <w:ind w:left="1134"/>
        <w:jc w:val="both"/>
        <w:rPr>
          <w:rFonts w:ascii="Arial" w:eastAsia="Calibri" w:hAnsi="Arial" w:cs="Times New Roman"/>
        </w:rPr>
      </w:pPr>
      <w:r w:rsidRPr="000323A2">
        <w:rPr>
          <w:rFonts w:ascii="Arial" w:eastAsia="Calibri" w:hAnsi="Arial" w:cs="Times New Roman"/>
          <w:b/>
        </w:rPr>
        <w:t>2.5</w:t>
      </w:r>
      <w:r w:rsidRPr="000323A2">
        <w:rPr>
          <w:rFonts w:ascii="Arial" w:eastAsia="Calibri" w:hAnsi="Arial" w:cs="Times New Roman"/>
        </w:rPr>
        <w:t xml:space="preserve"> </w:t>
      </w:r>
      <w:r w:rsidRPr="000323A2">
        <w:rPr>
          <w:rFonts w:ascii="Arial" w:eastAsia="Calibri" w:hAnsi="Arial" w:cs="Times New Roman"/>
          <w:b/>
        </w:rPr>
        <w:t>Contraprestaciones por concepto de Renta Mensual por Tramo Entre Localidades y Tramo de Larga Distancia Internacional</w:t>
      </w:r>
      <w:r w:rsidRPr="000323A2">
        <w:rPr>
          <w:rFonts w:ascii="Arial" w:eastAsia="Calibri" w:hAnsi="Arial" w:cs="Times New Roman"/>
        </w:rPr>
        <w:t>: Para aquellos Enlaces Dedicados Entre Localidades y Enlaces Dedicados de Larga Distancia Internacional, el CONCESIONARIO SOLICITANTE deberá pagar a TELMEX la Renta Mensual del Tramo Entre Localidades y el Tramo Larga Distancia Internacional, de acuerdo con lo descrito en las Tablas 6, 7, 8, y 9 que se muestran a continuación:</w:t>
      </w:r>
    </w:p>
    <w:p w14:paraId="10BC4F30" w14:textId="77777777" w:rsidR="000323A2" w:rsidRPr="000323A2" w:rsidRDefault="000323A2" w:rsidP="000323A2">
      <w:pPr>
        <w:tabs>
          <w:tab w:val="left" w:pos="709"/>
          <w:tab w:val="left" w:pos="7680"/>
        </w:tabs>
        <w:autoSpaceDE w:val="0"/>
        <w:autoSpaceDN w:val="0"/>
        <w:spacing w:before="240" w:after="0" w:line="276" w:lineRule="auto"/>
        <w:ind w:left="720" w:right="-234"/>
        <w:jc w:val="center"/>
        <w:rPr>
          <w:rFonts w:ascii="ITC Avant Garde" w:eastAsia="Calibri" w:hAnsi="ITC Avant Garde" w:cs="Arial"/>
          <w:color w:val="A6A6A6"/>
          <w:sz w:val="28"/>
          <w:szCs w:val="36"/>
          <w:lang w:val="es-ES_tradnl" w:eastAsia="es-ES"/>
        </w:rPr>
      </w:pPr>
      <w:r w:rsidRPr="000323A2">
        <w:rPr>
          <w:rFonts w:ascii="ITC Avant Garde" w:eastAsia="Calibri" w:hAnsi="ITC Avant Garde" w:cs="Arial"/>
          <w:color w:val="A6A6A6"/>
          <w:sz w:val="28"/>
          <w:szCs w:val="36"/>
          <w:lang w:val="es-ES_tradnl" w:eastAsia="es-ES"/>
        </w:rPr>
        <w:t>***ESPACIO INTENCIONALMENTE EN BLANCO***</w:t>
      </w:r>
    </w:p>
    <w:p w14:paraId="2336B13E" w14:textId="77777777" w:rsidR="000323A2" w:rsidRPr="000323A2" w:rsidRDefault="000323A2" w:rsidP="000323A2">
      <w:pPr>
        <w:spacing w:before="240" w:after="0" w:line="240" w:lineRule="auto"/>
        <w:rPr>
          <w:rFonts w:ascii="Arial" w:eastAsia="Calibri" w:hAnsi="Arial" w:cs="Times New Roman"/>
        </w:rPr>
      </w:pPr>
      <w:r w:rsidRPr="000323A2">
        <w:rPr>
          <w:rFonts w:ascii="Arial" w:eastAsia="Calibri" w:hAnsi="Arial" w:cs="Times New Roman"/>
        </w:rPr>
        <w:br w:type="page"/>
      </w:r>
    </w:p>
    <w:p w14:paraId="043A51F9" w14:textId="67529F0B" w:rsidR="000323A2" w:rsidRDefault="000323A2" w:rsidP="000323A2">
      <w:pPr>
        <w:spacing w:before="240" w:after="0" w:line="240" w:lineRule="auto"/>
        <w:jc w:val="center"/>
        <w:rPr>
          <w:rFonts w:ascii="Calibri" w:eastAsia="Calibri" w:hAnsi="Calibri" w:cs="Calibri"/>
          <w:b/>
          <w:bCs/>
          <w:color w:val="000000"/>
        </w:rPr>
      </w:pPr>
      <w:r w:rsidRPr="000323A2">
        <w:rPr>
          <w:rFonts w:ascii="Calibri" w:eastAsia="Calibri" w:hAnsi="Calibri" w:cs="Calibri"/>
          <w:b/>
          <w:bCs/>
          <w:color w:val="000000"/>
        </w:rPr>
        <w:lastRenderedPageBreak/>
        <w:t>Tabla 6. Renta mensual por Tramo Entre Localidades</w:t>
      </w:r>
    </w:p>
    <w:p w14:paraId="67AC51BE" w14:textId="62852BED" w:rsidR="006325F7" w:rsidRPr="000323A2" w:rsidRDefault="006325F7" w:rsidP="006325F7">
      <w:pPr>
        <w:spacing w:before="240" w:after="0" w:line="240" w:lineRule="auto"/>
        <w:ind w:left="-1134"/>
        <w:jc w:val="center"/>
        <w:rPr>
          <w:rFonts w:ascii="Arial" w:eastAsia="Calibri" w:hAnsi="Arial" w:cs="Times New Roman"/>
        </w:rPr>
      </w:pPr>
      <w:r>
        <w:rPr>
          <w:rFonts w:ascii="Arial" w:eastAsia="Calibri" w:hAnsi="Arial" w:cs="Times New Roman"/>
          <w:noProof/>
          <w:lang w:eastAsia="es-MX"/>
        </w:rPr>
        <w:drawing>
          <wp:inline distT="0" distB="0" distL="0" distR="0" wp14:anchorId="29F3172A" wp14:editId="2BA491C1">
            <wp:extent cx="7014045" cy="7372350"/>
            <wp:effectExtent l="0" t="0" r="0" b="0"/>
            <wp:docPr id="51" name="Imagen 51" descr="Imagen de tabla de 9 columnas que proporciona información relativa a la Renta mensual por Tramo Entre Localidades." title="Tabla 6. Renta mensual por Tramo Entre Loca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nta 1.jpg"/>
                    <pic:cNvPicPr/>
                  </pic:nvPicPr>
                  <pic:blipFill>
                    <a:blip r:embed="rId61">
                      <a:extLst>
                        <a:ext uri="{28A0092B-C50C-407E-A947-70E740481C1C}">
                          <a14:useLocalDpi xmlns:a14="http://schemas.microsoft.com/office/drawing/2010/main" val="0"/>
                        </a:ext>
                      </a:extLst>
                    </a:blip>
                    <a:stretch>
                      <a:fillRect/>
                    </a:stretch>
                  </pic:blipFill>
                  <pic:spPr>
                    <a:xfrm>
                      <a:off x="0" y="0"/>
                      <a:ext cx="7041316" cy="7401014"/>
                    </a:xfrm>
                    <a:prstGeom prst="rect">
                      <a:avLst/>
                    </a:prstGeom>
                  </pic:spPr>
                </pic:pic>
              </a:graphicData>
            </a:graphic>
          </wp:inline>
        </w:drawing>
      </w:r>
    </w:p>
    <w:p w14:paraId="7C860D7C" w14:textId="1A68D42E" w:rsidR="000323A2" w:rsidRDefault="000323A2" w:rsidP="000323A2">
      <w:pPr>
        <w:spacing w:before="240" w:after="0" w:line="240" w:lineRule="auto"/>
        <w:jc w:val="center"/>
        <w:rPr>
          <w:rFonts w:ascii="Calibri" w:eastAsia="Calibri" w:hAnsi="Calibri" w:cs="Calibri"/>
          <w:b/>
          <w:bCs/>
          <w:color w:val="000000"/>
        </w:rPr>
      </w:pPr>
      <w:r w:rsidRPr="000323A2">
        <w:rPr>
          <w:rFonts w:ascii="Calibri" w:eastAsia="Calibri" w:hAnsi="Calibri" w:cs="Calibri"/>
          <w:b/>
          <w:bCs/>
          <w:color w:val="000000"/>
        </w:rPr>
        <w:lastRenderedPageBreak/>
        <w:t>Tabla 7. Renta mensual por Tramo de Larga Distancia Internacional</w:t>
      </w:r>
    </w:p>
    <w:p w14:paraId="42A0B357" w14:textId="40F09C94" w:rsidR="006325F7" w:rsidRPr="000323A2" w:rsidRDefault="006325F7" w:rsidP="006325F7">
      <w:pPr>
        <w:spacing w:before="240" w:after="0" w:line="240" w:lineRule="auto"/>
        <w:ind w:left="-1134"/>
        <w:jc w:val="center"/>
        <w:rPr>
          <w:rFonts w:ascii="Arial" w:eastAsia="Calibri" w:hAnsi="Arial" w:cs="Times New Roman"/>
        </w:rPr>
      </w:pPr>
      <w:bookmarkStart w:id="50" w:name="_GoBack"/>
      <w:r>
        <w:rPr>
          <w:rFonts w:ascii="Arial" w:eastAsia="Calibri" w:hAnsi="Arial" w:cs="Times New Roman"/>
          <w:noProof/>
          <w:lang w:eastAsia="es-MX"/>
        </w:rPr>
        <w:drawing>
          <wp:inline distT="0" distB="0" distL="0" distR="0" wp14:anchorId="69B3AE0F" wp14:editId="5DAA586F">
            <wp:extent cx="7069623" cy="7380515"/>
            <wp:effectExtent l="0" t="0" r="0" b="0"/>
            <wp:docPr id="52" name="Imagen 52" descr="Imagen de tabla de 9 columnas que proporciona información relativa a la Renta mensual por Tramo de Larga Distancia Internacional." title="Tabla 7. Renta mensual por Tramo de Larga Distancia Interna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nta 2.jpg"/>
                    <pic:cNvPicPr/>
                  </pic:nvPicPr>
                  <pic:blipFill>
                    <a:blip r:embed="rId62">
                      <a:extLst>
                        <a:ext uri="{28A0092B-C50C-407E-A947-70E740481C1C}">
                          <a14:useLocalDpi xmlns:a14="http://schemas.microsoft.com/office/drawing/2010/main" val="0"/>
                        </a:ext>
                      </a:extLst>
                    </a:blip>
                    <a:stretch>
                      <a:fillRect/>
                    </a:stretch>
                  </pic:blipFill>
                  <pic:spPr>
                    <a:xfrm>
                      <a:off x="0" y="0"/>
                      <a:ext cx="7094392" cy="7406373"/>
                    </a:xfrm>
                    <a:prstGeom prst="rect">
                      <a:avLst/>
                    </a:prstGeom>
                  </pic:spPr>
                </pic:pic>
              </a:graphicData>
            </a:graphic>
          </wp:inline>
        </w:drawing>
      </w:r>
      <w:bookmarkEnd w:id="50"/>
    </w:p>
    <w:p w14:paraId="4027A665" w14:textId="77777777" w:rsidR="000323A2" w:rsidRPr="000323A2" w:rsidRDefault="000323A2" w:rsidP="000323A2">
      <w:pPr>
        <w:spacing w:before="240" w:after="0" w:line="240" w:lineRule="auto"/>
        <w:ind w:left="1134"/>
        <w:jc w:val="both"/>
        <w:rPr>
          <w:rFonts w:ascii="Arial" w:eastAsia="Calibri" w:hAnsi="Arial" w:cs="Times New Roman"/>
          <w:b/>
        </w:rPr>
      </w:pPr>
      <w:r w:rsidRPr="000323A2">
        <w:rPr>
          <w:rFonts w:ascii="Calibri" w:eastAsia="Calibri" w:hAnsi="Calibri" w:cs="Calibri"/>
          <w:b/>
          <w:bCs/>
          <w:color w:val="000000"/>
        </w:rPr>
        <w:lastRenderedPageBreak/>
        <w:t>Tabla 8. Renta mensual por Tramo Entre Localidades para Enlaces Ethernet</w:t>
      </w:r>
    </w:p>
    <w:tbl>
      <w:tblPr>
        <w:tblStyle w:val="Cuadrculadetablaclara1"/>
        <w:tblW w:w="7918" w:type="dxa"/>
        <w:jc w:val="center"/>
        <w:tblLook w:val="00A0" w:firstRow="1" w:lastRow="0" w:firstColumn="1" w:lastColumn="0" w:noHBand="0" w:noVBand="0"/>
        <w:tblCaption w:val="Tabla"/>
        <w:tblDescription w:val="Tabla 8. Renta mensual por Tramo Entre Localidades para Enlaces Ethernet"/>
      </w:tblPr>
      <w:tblGrid>
        <w:gridCol w:w="2781"/>
        <w:gridCol w:w="1043"/>
        <w:gridCol w:w="2878"/>
        <w:gridCol w:w="1216"/>
      </w:tblGrid>
      <w:tr w:rsidR="000323A2" w:rsidRPr="000323A2" w14:paraId="73328580" w14:textId="77777777" w:rsidTr="000323A2">
        <w:trPr>
          <w:trHeight w:val="345"/>
          <w:tblHeader/>
          <w:jc w:val="center"/>
        </w:trPr>
        <w:tc>
          <w:tcPr>
            <w:tcW w:w="2781" w:type="dxa"/>
            <w:shd w:val="clear" w:color="auto" w:fill="D9D9D9"/>
            <w:noWrap/>
          </w:tcPr>
          <w:p w14:paraId="4C273AA5"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Cargo por Km</w:t>
            </w:r>
          </w:p>
        </w:tc>
        <w:tc>
          <w:tcPr>
            <w:tcW w:w="1043" w:type="dxa"/>
            <w:shd w:val="clear" w:color="auto" w:fill="D9D9D9"/>
          </w:tcPr>
          <w:p w14:paraId="1801B07F" w14:textId="77777777" w:rsidR="000323A2" w:rsidRPr="000323A2" w:rsidRDefault="000323A2" w:rsidP="000323A2">
            <w:pPr>
              <w:spacing w:before="240"/>
              <w:jc w:val="center"/>
              <w:rPr>
                <w:rFonts w:cs="Calibri"/>
                <w:color w:val="000000"/>
                <w:sz w:val="20"/>
                <w:szCs w:val="20"/>
              </w:rPr>
            </w:pPr>
          </w:p>
        </w:tc>
        <w:tc>
          <w:tcPr>
            <w:tcW w:w="2878" w:type="dxa"/>
            <w:shd w:val="clear" w:color="auto" w:fill="D9D9D9"/>
            <w:noWrap/>
          </w:tcPr>
          <w:p w14:paraId="13DCC8D6"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Cargo por Km</w:t>
            </w:r>
          </w:p>
        </w:tc>
        <w:tc>
          <w:tcPr>
            <w:tcW w:w="1216" w:type="dxa"/>
            <w:shd w:val="clear" w:color="auto" w:fill="D9D9D9"/>
          </w:tcPr>
          <w:p w14:paraId="18118546" w14:textId="77777777" w:rsidR="000323A2" w:rsidRPr="000323A2" w:rsidRDefault="000323A2" w:rsidP="000323A2">
            <w:pPr>
              <w:spacing w:before="240"/>
              <w:jc w:val="center"/>
              <w:rPr>
                <w:rFonts w:cs="Calibri"/>
                <w:color w:val="000000"/>
                <w:sz w:val="20"/>
                <w:szCs w:val="20"/>
              </w:rPr>
            </w:pPr>
          </w:p>
        </w:tc>
      </w:tr>
      <w:tr w:rsidR="000323A2" w:rsidRPr="000323A2" w14:paraId="56402E97" w14:textId="77777777" w:rsidTr="000323A2">
        <w:trPr>
          <w:trHeight w:val="435"/>
          <w:tblHeader/>
          <w:jc w:val="center"/>
        </w:trPr>
        <w:tc>
          <w:tcPr>
            <w:tcW w:w="2781" w:type="dxa"/>
            <w:noWrap/>
          </w:tcPr>
          <w:p w14:paraId="74386CBE"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2 Mbps</w:t>
            </w:r>
          </w:p>
        </w:tc>
        <w:tc>
          <w:tcPr>
            <w:tcW w:w="1043" w:type="dxa"/>
            <w:noWrap/>
          </w:tcPr>
          <w:p w14:paraId="33B0AEEF" w14:textId="77777777" w:rsidR="000323A2" w:rsidRPr="000323A2" w:rsidRDefault="000323A2" w:rsidP="000323A2">
            <w:pPr>
              <w:spacing w:before="240"/>
              <w:jc w:val="center"/>
              <w:rPr>
                <w:rFonts w:cs="Calibri"/>
                <w:color w:val="000000"/>
                <w:sz w:val="20"/>
                <w:szCs w:val="20"/>
              </w:rPr>
            </w:pPr>
            <w:r w:rsidRPr="000323A2">
              <w:t xml:space="preserve"> $14 </w:t>
            </w:r>
          </w:p>
        </w:tc>
        <w:tc>
          <w:tcPr>
            <w:tcW w:w="2878" w:type="dxa"/>
            <w:noWrap/>
          </w:tcPr>
          <w:p w14:paraId="1C33CEAF"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250 Mbps</w:t>
            </w:r>
          </w:p>
        </w:tc>
        <w:tc>
          <w:tcPr>
            <w:tcW w:w="1216" w:type="dxa"/>
            <w:noWrap/>
          </w:tcPr>
          <w:p w14:paraId="0A8CCA79" w14:textId="77777777" w:rsidR="000323A2" w:rsidRPr="000323A2" w:rsidRDefault="000323A2" w:rsidP="000323A2">
            <w:pPr>
              <w:spacing w:before="240"/>
              <w:jc w:val="center"/>
              <w:rPr>
                <w:rFonts w:cs="Calibri"/>
                <w:color w:val="000000"/>
                <w:sz w:val="20"/>
                <w:szCs w:val="20"/>
              </w:rPr>
            </w:pPr>
            <w:r w:rsidRPr="000323A2">
              <w:t xml:space="preserve"> $91 </w:t>
            </w:r>
          </w:p>
        </w:tc>
      </w:tr>
      <w:tr w:rsidR="000323A2" w:rsidRPr="000323A2" w14:paraId="4B1A5DB2" w14:textId="77777777" w:rsidTr="000323A2">
        <w:trPr>
          <w:trHeight w:val="285"/>
          <w:tblHeader/>
          <w:jc w:val="center"/>
        </w:trPr>
        <w:tc>
          <w:tcPr>
            <w:tcW w:w="2781" w:type="dxa"/>
            <w:noWrap/>
          </w:tcPr>
          <w:p w14:paraId="77483E41"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4 Mbps</w:t>
            </w:r>
          </w:p>
        </w:tc>
        <w:tc>
          <w:tcPr>
            <w:tcW w:w="1043" w:type="dxa"/>
            <w:noWrap/>
          </w:tcPr>
          <w:p w14:paraId="298936EE" w14:textId="77777777" w:rsidR="000323A2" w:rsidRPr="000323A2" w:rsidRDefault="000323A2" w:rsidP="000323A2">
            <w:pPr>
              <w:spacing w:before="240"/>
              <w:jc w:val="center"/>
              <w:rPr>
                <w:rFonts w:cs="Calibri"/>
                <w:color w:val="000000"/>
                <w:sz w:val="20"/>
                <w:szCs w:val="20"/>
              </w:rPr>
            </w:pPr>
            <w:r w:rsidRPr="000323A2">
              <w:t xml:space="preserve"> $19 </w:t>
            </w:r>
          </w:p>
        </w:tc>
        <w:tc>
          <w:tcPr>
            <w:tcW w:w="2878" w:type="dxa"/>
            <w:noWrap/>
          </w:tcPr>
          <w:p w14:paraId="100D10EB"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300 Mbps</w:t>
            </w:r>
          </w:p>
        </w:tc>
        <w:tc>
          <w:tcPr>
            <w:tcW w:w="1216" w:type="dxa"/>
            <w:noWrap/>
          </w:tcPr>
          <w:p w14:paraId="604ED3A5" w14:textId="77777777" w:rsidR="000323A2" w:rsidRPr="000323A2" w:rsidRDefault="000323A2" w:rsidP="000323A2">
            <w:pPr>
              <w:spacing w:before="240"/>
              <w:jc w:val="center"/>
              <w:rPr>
                <w:rFonts w:cs="Calibri"/>
                <w:color w:val="000000"/>
                <w:sz w:val="20"/>
                <w:szCs w:val="20"/>
              </w:rPr>
            </w:pPr>
            <w:r w:rsidRPr="000323A2">
              <w:t xml:space="preserve"> $97 </w:t>
            </w:r>
          </w:p>
        </w:tc>
      </w:tr>
      <w:tr w:rsidR="000323A2" w:rsidRPr="000323A2" w14:paraId="2DE50A90" w14:textId="77777777" w:rsidTr="000323A2">
        <w:trPr>
          <w:trHeight w:val="285"/>
          <w:tblHeader/>
          <w:jc w:val="center"/>
        </w:trPr>
        <w:tc>
          <w:tcPr>
            <w:tcW w:w="2781" w:type="dxa"/>
            <w:noWrap/>
          </w:tcPr>
          <w:p w14:paraId="4D896010"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6 Mbps</w:t>
            </w:r>
          </w:p>
        </w:tc>
        <w:tc>
          <w:tcPr>
            <w:tcW w:w="1043" w:type="dxa"/>
            <w:noWrap/>
          </w:tcPr>
          <w:p w14:paraId="2A371CF5" w14:textId="77777777" w:rsidR="000323A2" w:rsidRPr="000323A2" w:rsidRDefault="000323A2" w:rsidP="000323A2">
            <w:pPr>
              <w:spacing w:before="240"/>
              <w:jc w:val="center"/>
              <w:rPr>
                <w:rFonts w:cs="Calibri"/>
                <w:color w:val="000000"/>
                <w:sz w:val="20"/>
                <w:szCs w:val="20"/>
              </w:rPr>
            </w:pPr>
            <w:r w:rsidRPr="000323A2">
              <w:t xml:space="preserve"> $22 </w:t>
            </w:r>
          </w:p>
        </w:tc>
        <w:tc>
          <w:tcPr>
            <w:tcW w:w="2878" w:type="dxa"/>
            <w:noWrap/>
          </w:tcPr>
          <w:p w14:paraId="1F5E9FFF"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350 Mbps</w:t>
            </w:r>
          </w:p>
        </w:tc>
        <w:tc>
          <w:tcPr>
            <w:tcW w:w="1216" w:type="dxa"/>
            <w:noWrap/>
          </w:tcPr>
          <w:p w14:paraId="0C2CCDEF" w14:textId="77777777" w:rsidR="000323A2" w:rsidRPr="000323A2" w:rsidRDefault="000323A2" w:rsidP="000323A2">
            <w:pPr>
              <w:spacing w:before="240"/>
              <w:jc w:val="center"/>
              <w:rPr>
                <w:rFonts w:cs="Calibri"/>
                <w:color w:val="000000"/>
                <w:sz w:val="20"/>
                <w:szCs w:val="20"/>
              </w:rPr>
            </w:pPr>
            <w:r w:rsidRPr="000323A2">
              <w:t xml:space="preserve"> $103 </w:t>
            </w:r>
          </w:p>
        </w:tc>
      </w:tr>
      <w:tr w:rsidR="000323A2" w:rsidRPr="000323A2" w14:paraId="4A6943BB" w14:textId="77777777" w:rsidTr="000323A2">
        <w:trPr>
          <w:trHeight w:val="285"/>
          <w:tblHeader/>
          <w:jc w:val="center"/>
        </w:trPr>
        <w:tc>
          <w:tcPr>
            <w:tcW w:w="2781" w:type="dxa"/>
            <w:noWrap/>
          </w:tcPr>
          <w:p w14:paraId="46D30DC1"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8 Mbps</w:t>
            </w:r>
          </w:p>
        </w:tc>
        <w:tc>
          <w:tcPr>
            <w:tcW w:w="1043" w:type="dxa"/>
            <w:noWrap/>
          </w:tcPr>
          <w:p w14:paraId="29C37DFB" w14:textId="77777777" w:rsidR="000323A2" w:rsidRPr="000323A2" w:rsidRDefault="000323A2" w:rsidP="000323A2">
            <w:pPr>
              <w:spacing w:before="240"/>
              <w:jc w:val="center"/>
              <w:rPr>
                <w:rFonts w:cs="Calibri"/>
                <w:color w:val="000000"/>
                <w:sz w:val="20"/>
                <w:szCs w:val="20"/>
              </w:rPr>
            </w:pPr>
            <w:r w:rsidRPr="000323A2">
              <w:t xml:space="preserve"> $25 </w:t>
            </w:r>
          </w:p>
        </w:tc>
        <w:tc>
          <w:tcPr>
            <w:tcW w:w="2878" w:type="dxa"/>
            <w:noWrap/>
          </w:tcPr>
          <w:p w14:paraId="4BC4C9FE"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400 Mbps</w:t>
            </w:r>
          </w:p>
        </w:tc>
        <w:tc>
          <w:tcPr>
            <w:tcW w:w="1216" w:type="dxa"/>
            <w:noWrap/>
          </w:tcPr>
          <w:p w14:paraId="5785FDDF" w14:textId="77777777" w:rsidR="000323A2" w:rsidRPr="000323A2" w:rsidRDefault="000323A2" w:rsidP="000323A2">
            <w:pPr>
              <w:spacing w:before="240"/>
              <w:jc w:val="center"/>
              <w:rPr>
                <w:rFonts w:cs="Calibri"/>
                <w:color w:val="000000"/>
                <w:sz w:val="20"/>
                <w:szCs w:val="20"/>
              </w:rPr>
            </w:pPr>
            <w:r w:rsidRPr="000323A2">
              <w:t xml:space="preserve"> $108 </w:t>
            </w:r>
          </w:p>
        </w:tc>
      </w:tr>
      <w:tr w:rsidR="000323A2" w:rsidRPr="000323A2" w14:paraId="1737D082" w14:textId="77777777" w:rsidTr="000323A2">
        <w:trPr>
          <w:trHeight w:val="285"/>
          <w:tblHeader/>
          <w:jc w:val="center"/>
        </w:trPr>
        <w:tc>
          <w:tcPr>
            <w:tcW w:w="2781" w:type="dxa"/>
            <w:noWrap/>
          </w:tcPr>
          <w:p w14:paraId="4358301B"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10 Mbps</w:t>
            </w:r>
          </w:p>
        </w:tc>
        <w:tc>
          <w:tcPr>
            <w:tcW w:w="1043" w:type="dxa"/>
            <w:noWrap/>
          </w:tcPr>
          <w:p w14:paraId="293A471D" w14:textId="77777777" w:rsidR="000323A2" w:rsidRPr="000323A2" w:rsidRDefault="000323A2" w:rsidP="000323A2">
            <w:pPr>
              <w:spacing w:before="240"/>
              <w:jc w:val="center"/>
              <w:rPr>
                <w:rFonts w:cs="Calibri"/>
                <w:color w:val="000000"/>
                <w:sz w:val="20"/>
                <w:szCs w:val="20"/>
              </w:rPr>
            </w:pPr>
            <w:r w:rsidRPr="000323A2">
              <w:t xml:space="preserve"> $27 </w:t>
            </w:r>
          </w:p>
        </w:tc>
        <w:tc>
          <w:tcPr>
            <w:tcW w:w="2878" w:type="dxa"/>
            <w:noWrap/>
          </w:tcPr>
          <w:p w14:paraId="3BC6EC11"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450 Mbps</w:t>
            </w:r>
          </w:p>
        </w:tc>
        <w:tc>
          <w:tcPr>
            <w:tcW w:w="1216" w:type="dxa"/>
            <w:noWrap/>
          </w:tcPr>
          <w:p w14:paraId="595B1B6B" w14:textId="77777777" w:rsidR="000323A2" w:rsidRPr="000323A2" w:rsidRDefault="000323A2" w:rsidP="000323A2">
            <w:pPr>
              <w:spacing w:before="240"/>
              <w:jc w:val="center"/>
              <w:rPr>
                <w:rFonts w:cs="Calibri"/>
                <w:color w:val="000000"/>
                <w:sz w:val="20"/>
                <w:szCs w:val="20"/>
              </w:rPr>
            </w:pPr>
            <w:r w:rsidRPr="000323A2">
              <w:t xml:space="preserve"> $113 </w:t>
            </w:r>
          </w:p>
        </w:tc>
      </w:tr>
      <w:tr w:rsidR="000323A2" w:rsidRPr="000323A2" w14:paraId="7E4E8D0A" w14:textId="77777777" w:rsidTr="000323A2">
        <w:trPr>
          <w:trHeight w:val="285"/>
          <w:tblHeader/>
          <w:jc w:val="center"/>
        </w:trPr>
        <w:tc>
          <w:tcPr>
            <w:tcW w:w="2781" w:type="dxa"/>
            <w:noWrap/>
          </w:tcPr>
          <w:p w14:paraId="5346CFA3"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20 Mbps</w:t>
            </w:r>
          </w:p>
        </w:tc>
        <w:tc>
          <w:tcPr>
            <w:tcW w:w="1043" w:type="dxa"/>
            <w:noWrap/>
          </w:tcPr>
          <w:p w14:paraId="5E9873D5" w14:textId="77777777" w:rsidR="000323A2" w:rsidRPr="000323A2" w:rsidRDefault="000323A2" w:rsidP="000323A2">
            <w:pPr>
              <w:spacing w:before="240"/>
              <w:jc w:val="center"/>
              <w:rPr>
                <w:rFonts w:cs="Calibri"/>
                <w:color w:val="000000"/>
                <w:sz w:val="20"/>
                <w:szCs w:val="20"/>
              </w:rPr>
            </w:pPr>
            <w:r w:rsidRPr="000323A2">
              <w:t xml:space="preserve"> $34 </w:t>
            </w:r>
          </w:p>
        </w:tc>
        <w:tc>
          <w:tcPr>
            <w:tcW w:w="2878" w:type="dxa"/>
            <w:noWrap/>
          </w:tcPr>
          <w:p w14:paraId="19A0A77F"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500 Mbps</w:t>
            </w:r>
          </w:p>
        </w:tc>
        <w:tc>
          <w:tcPr>
            <w:tcW w:w="1216" w:type="dxa"/>
            <w:noWrap/>
          </w:tcPr>
          <w:p w14:paraId="434662F1" w14:textId="77777777" w:rsidR="000323A2" w:rsidRPr="000323A2" w:rsidRDefault="000323A2" w:rsidP="000323A2">
            <w:pPr>
              <w:spacing w:before="240"/>
              <w:jc w:val="center"/>
              <w:rPr>
                <w:rFonts w:cs="Calibri"/>
                <w:color w:val="000000"/>
                <w:sz w:val="20"/>
                <w:szCs w:val="20"/>
              </w:rPr>
            </w:pPr>
            <w:r w:rsidRPr="000323A2">
              <w:t xml:space="preserve"> $118 </w:t>
            </w:r>
          </w:p>
        </w:tc>
      </w:tr>
      <w:tr w:rsidR="000323A2" w:rsidRPr="000323A2" w14:paraId="4DB095D3" w14:textId="77777777" w:rsidTr="000323A2">
        <w:trPr>
          <w:trHeight w:val="285"/>
          <w:tblHeader/>
          <w:jc w:val="center"/>
        </w:trPr>
        <w:tc>
          <w:tcPr>
            <w:tcW w:w="2781" w:type="dxa"/>
            <w:noWrap/>
          </w:tcPr>
          <w:p w14:paraId="2685C281"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30 Mbps</w:t>
            </w:r>
          </w:p>
        </w:tc>
        <w:tc>
          <w:tcPr>
            <w:tcW w:w="1043" w:type="dxa"/>
            <w:noWrap/>
          </w:tcPr>
          <w:p w14:paraId="74838ABA" w14:textId="77777777" w:rsidR="000323A2" w:rsidRPr="000323A2" w:rsidRDefault="000323A2" w:rsidP="000323A2">
            <w:pPr>
              <w:spacing w:before="240"/>
              <w:jc w:val="center"/>
              <w:rPr>
                <w:rFonts w:cs="Calibri"/>
                <w:color w:val="000000"/>
                <w:sz w:val="20"/>
                <w:szCs w:val="20"/>
              </w:rPr>
            </w:pPr>
            <w:r w:rsidRPr="000323A2">
              <w:t xml:space="preserve"> $39 </w:t>
            </w:r>
          </w:p>
        </w:tc>
        <w:tc>
          <w:tcPr>
            <w:tcW w:w="2878" w:type="dxa"/>
            <w:noWrap/>
          </w:tcPr>
          <w:p w14:paraId="756E06CA"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550 Mbps</w:t>
            </w:r>
          </w:p>
        </w:tc>
        <w:tc>
          <w:tcPr>
            <w:tcW w:w="1216" w:type="dxa"/>
            <w:noWrap/>
          </w:tcPr>
          <w:p w14:paraId="19077217" w14:textId="77777777" w:rsidR="000323A2" w:rsidRPr="000323A2" w:rsidRDefault="000323A2" w:rsidP="000323A2">
            <w:pPr>
              <w:spacing w:before="240"/>
              <w:jc w:val="center"/>
              <w:rPr>
                <w:rFonts w:cs="Calibri"/>
                <w:color w:val="000000"/>
                <w:sz w:val="20"/>
                <w:szCs w:val="20"/>
              </w:rPr>
            </w:pPr>
            <w:r w:rsidRPr="000323A2">
              <w:t xml:space="preserve"> $122 </w:t>
            </w:r>
          </w:p>
        </w:tc>
      </w:tr>
      <w:tr w:rsidR="000323A2" w:rsidRPr="000323A2" w14:paraId="6B2C71B6" w14:textId="77777777" w:rsidTr="000323A2">
        <w:trPr>
          <w:trHeight w:val="285"/>
          <w:tblHeader/>
          <w:jc w:val="center"/>
        </w:trPr>
        <w:tc>
          <w:tcPr>
            <w:tcW w:w="2781" w:type="dxa"/>
            <w:noWrap/>
          </w:tcPr>
          <w:p w14:paraId="0A70A5B5"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40 Mbps</w:t>
            </w:r>
          </w:p>
        </w:tc>
        <w:tc>
          <w:tcPr>
            <w:tcW w:w="1043" w:type="dxa"/>
            <w:noWrap/>
          </w:tcPr>
          <w:p w14:paraId="1E91D35E" w14:textId="77777777" w:rsidR="000323A2" w:rsidRPr="000323A2" w:rsidRDefault="000323A2" w:rsidP="000323A2">
            <w:pPr>
              <w:spacing w:before="240"/>
              <w:jc w:val="center"/>
              <w:rPr>
                <w:rFonts w:cs="Calibri"/>
                <w:color w:val="000000"/>
                <w:sz w:val="20"/>
                <w:szCs w:val="20"/>
              </w:rPr>
            </w:pPr>
            <w:r w:rsidRPr="000323A2">
              <w:t xml:space="preserve"> $43 </w:t>
            </w:r>
          </w:p>
        </w:tc>
        <w:tc>
          <w:tcPr>
            <w:tcW w:w="2878" w:type="dxa"/>
            <w:noWrap/>
          </w:tcPr>
          <w:p w14:paraId="5B6682FB"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600 Mbps</w:t>
            </w:r>
          </w:p>
        </w:tc>
        <w:tc>
          <w:tcPr>
            <w:tcW w:w="1216" w:type="dxa"/>
            <w:noWrap/>
          </w:tcPr>
          <w:p w14:paraId="06BBBC1E" w14:textId="77777777" w:rsidR="000323A2" w:rsidRPr="000323A2" w:rsidRDefault="000323A2" w:rsidP="000323A2">
            <w:pPr>
              <w:spacing w:before="240"/>
              <w:jc w:val="center"/>
              <w:rPr>
                <w:rFonts w:cs="Calibri"/>
                <w:color w:val="000000"/>
                <w:sz w:val="20"/>
                <w:szCs w:val="20"/>
              </w:rPr>
            </w:pPr>
            <w:r w:rsidRPr="000323A2">
              <w:t xml:space="preserve"> $126 </w:t>
            </w:r>
          </w:p>
        </w:tc>
      </w:tr>
      <w:tr w:rsidR="000323A2" w:rsidRPr="000323A2" w14:paraId="3F6598E5" w14:textId="77777777" w:rsidTr="000323A2">
        <w:trPr>
          <w:trHeight w:val="285"/>
          <w:tblHeader/>
          <w:jc w:val="center"/>
        </w:trPr>
        <w:tc>
          <w:tcPr>
            <w:tcW w:w="2781" w:type="dxa"/>
            <w:noWrap/>
          </w:tcPr>
          <w:p w14:paraId="23133068"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50 Mbps</w:t>
            </w:r>
          </w:p>
        </w:tc>
        <w:tc>
          <w:tcPr>
            <w:tcW w:w="1043" w:type="dxa"/>
            <w:noWrap/>
          </w:tcPr>
          <w:p w14:paraId="3234BECE" w14:textId="77777777" w:rsidR="000323A2" w:rsidRPr="000323A2" w:rsidRDefault="000323A2" w:rsidP="000323A2">
            <w:pPr>
              <w:spacing w:before="240"/>
              <w:jc w:val="center"/>
              <w:rPr>
                <w:rFonts w:cs="Calibri"/>
                <w:color w:val="000000"/>
                <w:sz w:val="20"/>
                <w:szCs w:val="20"/>
              </w:rPr>
            </w:pPr>
            <w:r w:rsidRPr="000323A2">
              <w:t xml:space="preserve"> $49 </w:t>
            </w:r>
          </w:p>
        </w:tc>
        <w:tc>
          <w:tcPr>
            <w:tcW w:w="2878" w:type="dxa"/>
            <w:noWrap/>
          </w:tcPr>
          <w:p w14:paraId="2C88A114"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750 Mbps</w:t>
            </w:r>
          </w:p>
        </w:tc>
        <w:tc>
          <w:tcPr>
            <w:tcW w:w="1216" w:type="dxa"/>
            <w:noWrap/>
          </w:tcPr>
          <w:p w14:paraId="1098579B" w14:textId="77777777" w:rsidR="000323A2" w:rsidRPr="000323A2" w:rsidRDefault="000323A2" w:rsidP="000323A2">
            <w:pPr>
              <w:spacing w:before="240"/>
              <w:jc w:val="center"/>
              <w:rPr>
                <w:rFonts w:cs="Calibri"/>
                <w:color w:val="000000"/>
                <w:sz w:val="20"/>
                <w:szCs w:val="20"/>
              </w:rPr>
            </w:pPr>
            <w:r w:rsidRPr="000323A2">
              <w:t xml:space="preserve"> $138 </w:t>
            </w:r>
          </w:p>
        </w:tc>
      </w:tr>
      <w:tr w:rsidR="000323A2" w:rsidRPr="000323A2" w14:paraId="6E4F63F8" w14:textId="77777777" w:rsidTr="000323A2">
        <w:trPr>
          <w:trHeight w:val="285"/>
          <w:tblHeader/>
          <w:jc w:val="center"/>
        </w:trPr>
        <w:tc>
          <w:tcPr>
            <w:tcW w:w="2781" w:type="dxa"/>
            <w:noWrap/>
          </w:tcPr>
          <w:p w14:paraId="37A75CE3"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60 Mbps</w:t>
            </w:r>
          </w:p>
        </w:tc>
        <w:tc>
          <w:tcPr>
            <w:tcW w:w="1043" w:type="dxa"/>
            <w:noWrap/>
          </w:tcPr>
          <w:p w14:paraId="2AA3462F" w14:textId="77777777" w:rsidR="000323A2" w:rsidRPr="000323A2" w:rsidRDefault="000323A2" w:rsidP="000323A2">
            <w:pPr>
              <w:spacing w:before="240"/>
              <w:jc w:val="center"/>
              <w:rPr>
                <w:rFonts w:cs="Calibri"/>
                <w:color w:val="000000"/>
                <w:sz w:val="20"/>
                <w:szCs w:val="20"/>
              </w:rPr>
            </w:pPr>
            <w:r w:rsidRPr="000323A2">
              <w:t xml:space="preserve"> $53 </w:t>
            </w:r>
          </w:p>
        </w:tc>
        <w:tc>
          <w:tcPr>
            <w:tcW w:w="2878" w:type="dxa"/>
            <w:noWrap/>
          </w:tcPr>
          <w:p w14:paraId="54C84B1F"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 </w:t>
            </w:r>
            <w:proofErr w:type="spellStart"/>
            <w:r w:rsidRPr="000323A2">
              <w:rPr>
                <w:rFonts w:cs="Calibri"/>
                <w:color w:val="000000"/>
                <w:sz w:val="20"/>
                <w:szCs w:val="20"/>
              </w:rPr>
              <w:t>Gbps</w:t>
            </w:r>
            <w:proofErr w:type="spellEnd"/>
          </w:p>
        </w:tc>
        <w:tc>
          <w:tcPr>
            <w:tcW w:w="1216" w:type="dxa"/>
            <w:noWrap/>
          </w:tcPr>
          <w:p w14:paraId="22F6BA22" w14:textId="77777777" w:rsidR="000323A2" w:rsidRPr="000323A2" w:rsidRDefault="000323A2" w:rsidP="000323A2">
            <w:pPr>
              <w:spacing w:before="240"/>
              <w:jc w:val="center"/>
              <w:rPr>
                <w:rFonts w:cs="Calibri"/>
                <w:color w:val="000000"/>
                <w:sz w:val="20"/>
                <w:szCs w:val="20"/>
              </w:rPr>
            </w:pPr>
            <w:r w:rsidRPr="000323A2">
              <w:t xml:space="preserve"> $154 </w:t>
            </w:r>
          </w:p>
        </w:tc>
      </w:tr>
      <w:tr w:rsidR="000323A2" w:rsidRPr="000323A2" w14:paraId="7EDD717D" w14:textId="77777777" w:rsidTr="000323A2">
        <w:trPr>
          <w:trHeight w:val="285"/>
          <w:tblHeader/>
          <w:jc w:val="center"/>
        </w:trPr>
        <w:tc>
          <w:tcPr>
            <w:tcW w:w="2781" w:type="dxa"/>
            <w:noWrap/>
          </w:tcPr>
          <w:p w14:paraId="76BB1514"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70 Mbps</w:t>
            </w:r>
          </w:p>
        </w:tc>
        <w:tc>
          <w:tcPr>
            <w:tcW w:w="1043" w:type="dxa"/>
            <w:noWrap/>
          </w:tcPr>
          <w:p w14:paraId="0224A75E" w14:textId="77777777" w:rsidR="000323A2" w:rsidRPr="000323A2" w:rsidRDefault="000323A2" w:rsidP="000323A2">
            <w:pPr>
              <w:spacing w:before="240"/>
              <w:jc w:val="center"/>
              <w:rPr>
                <w:rFonts w:cs="Calibri"/>
                <w:color w:val="000000"/>
                <w:sz w:val="20"/>
                <w:szCs w:val="20"/>
              </w:rPr>
            </w:pPr>
            <w:r w:rsidRPr="000323A2">
              <w:t xml:space="preserve"> $56 </w:t>
            </w:r>
          </w:p>
        </w:tc>
        <w:tc>
          <w:tcPr>
            <w:tcW w:w="2878" w:type="dxa"/>
            <w:noWrap/>
          </w:tcPr>
          <w:p w14:paraId="53356171"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2 </w:t>
            </w:r>
            <w:proofErr w:type="spellStart"/>
            <w:r w:rsidRPr="000323A2">
              <w:rPr>
                <w:rFonts w:cs="Calibri"/>
                <w:color w:val="000000"/>
                <w:sz w:val="20"/>
                <w:szCs w:val="20"/>
              </w:rPr>
              <w:t>Gbps</w:t>
            </w:r>
            <w:proofErr w:type="spellEnd"/>
          </w:p>
        </w:tc>
        <w:tc>
          <w:tcPr>
            <w:tcW w:w="1216" w:type="dxa"/>
            <w:noWrap/>
          </w:tcPr>
          <w:p w14:paraId="41E810E8" w14:textId="77777777" w:rsidR="000323A2" w:rsidRPr="000323A2" w:rsidRDefault="000323A2" w:rsidP="000323A2">
            <w:pPr>
              <w:spacing w:before="240"/>
              <w:jc w:val="center"/>
              <w:rPr>
                <w:rFonts w:cs="Calibri"/>
                <w:color w:val="000000"/>
                <w:sz w:val="20"/>
                <w:szCs w:val="20"/>
              </w:rPr>
            </w:pPr>
            <w:r w:rsidRPr="000323A2">
              <w:t xml:space="preserve"> $200 </w:t>
            </w:r>
          </w:p>
        </w:tc>
      </w:tr>
      <w:tr w:rsidR="000323A2" w:rsidRPr="000323A2" w14:paraId="6291BEB2" w14:textId="77777777" w:rsidTr="000323A2">
        <w:trPr>
          <w:trHeight w:val="285"/>
          <w:tblHeader/>
          <w:jc w:val="center"/>
        </w:trPr>
        <w:tc>
          <w:tcPr>
            <w:tcW w:w="2781" w:type="dxa"/>
            <w:noWrap/>
          </w:tcPr>
          <w:p w14:paraId="1057C71E"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80 Mbps</w:t>
            </w:r>
          </w:p>
        </w:tc>
        <w:tc>
          <w:tcPr>
            <w:tcW w:w="1043" w:type="dxa"/>
            <w:noWrap/>
          </w:tcPr>
          <w:p w14:paraId="127E835F" w14:textId="77777777" w:rsidR="000323A2" w:rsidRPr="000323A2" w:rsidRDefault="000323A2" w:rsidP="000323A2">
            <w:pPr>
              <w:spacing w:before="240"/>
              <w:jc w:val="center"/>
              <w:rPr>
                <w:rFonts w:cs="Calibri"/>
                <w:color w:val="000000"/>
                <w:sz w:val="20"/>
                <w:szCs w:val="20"/>
              </w:rPr>
            </w:pPr>
            <w:r w:rsidRPr="000323A2">
              <w:t xml:space="preserve"> $59 </w:t>
            </w:r>
          </w:p>
        </w:tc>
        <w:tc>
          <w:tcPr>
            <w:tcW w:w="2878" w:type="dxa"/>
            <w:noWrap/>
          </w:tcPr>
          <w:p w14:paraId="1A829334"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4 </w:t>
            </w:r>
            <w:proofErr w:type="spellStart"/>
            <w:r w:rsidRPr="000323A2">
              <w:rPr>
                <w:rFonts w:cs="Calibri"/>
                <w:color w:val="000000"/>
                <w:sz w:val="20"/>
                <w:szCs w:val="20"/>
              </w:rPr>
              <w:t>Gbps</w:t>
            </w:r>
            <w:proofErr w:type="spellEnd"/>
          </w:p>
        </w:tc>
        <w:tc>
          <w:tcPr>
            <w:tcW w:w="1216" w:type="dxa"/>
            <w:noWrap/>
          </w:tcPr>
          <w:p w14:paraId="1E55F481" w14:textId="77777777" w:rsidR="000323A2" w:rsidRPr="000323A2" w:rsidRDefault="000323A2" w:rsidP="000323A2">
            <w:pPr>
              <w:spacing w:before="240"/>
              <w:jc w:val="center"/>
              <w:rPr>
                <w:rFonts w:cs="Calibri"/>
                <w:color w:val="000000"/>
                <w:sz w:val="20"/>
                <w:szCs w:val="20"/>
              </w:rPr>
            </w:pPr>
            <w:r w:rsidRPr="000323A2">
              <w:t xml:space="preserve"> $260 </w:t>
            </w:r>
          </w:p>
        </w:tc>
      </w:tr>
      <w:tr w:rsidR="000323A2" w:rsidRPr="000323A2" w14:paraId="1CC86DA1" w14:textId="77777777" w:rsidTr="000323A2">
        <w:trPr>
          <w:trHeight w:val="285"/>
          <w:tblHeader/>
          <w:jc w:val="center"/>
        </w:trPr>
        <w:tc>
          <w:tcPr>
            <w:tcW w:w="2781" w:type="dxa"/>
            <w:noWrap/>
          </w:tcPr>
          <w:p w14:paraId="0C4D9799"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90 Mbps</w:t>
            </w:r>
          </w:p>
        </w:tc>
        <w:tc>
          <w:tcPr>
            <w:tcW w:w="1043" w:type="dxa"/>
            <w:noWrap/>
          </w:tcPr>
          <w:p w14:paraId="17BD6F66" w14:textId="77777777" w:rsidR="000323A2" w:rsidRPr="000323A2" w:rsidRDefault="000323A2" w:rsidP="000323A2">
            <w:pPr>
              <w:spacing w:before="240"/>
              <w:jc w:val="center"/>
              <w:rPr>
                <w:rFonts w:cs="Calibri"/>
                <w:color w:val="000000"/>
                <w:sz w:val="20"/>
                <w:szCs w:val="20"/>
              </w:rPr>
            </w:pPr>
            <w:r w:rsidRPr="000323A2">
              <w:t xml:space="preserve"> $61 </w:t>
            </w:r>
          </w:p>
        </w:tc>
        <w:tc>
          <w:tcPr>
            <w:tcW w:w="2878" w:type="dxa"/>
            <w:noWrap/>
          </w:tcPr>
          <w:p w14:paraId="596752FA"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6 </w:t>
            </w:r>
            <w:proofErr w:type="spellStart"/>
            <w:r w:rsidRPr="000323A2">
              <w:rPr>
                <w:rFonts w:cs="Calibri"/>
                <w:color w:val="000000"/>
                <w:sz w:val="20"/>
                <w:szCs w:val="20"/>
              </w:rPr>
              <w:t>Gbps</w:t>
            </w:r>
            <w:proofErr w:type="spellEnd"/>
          </w:p>
        </w:tc>
        <w:tc>
          <w:tcPr>
            <w:tcW w:w="1216" w:type="dxa"/>
            <w:noWrap/>
          </w:tcPr>
          <w:p w14:paraId="6BE72020" w14:textId="77777777" w:rsidR="000323A2" w:rsidRPr="000323A2" w:rsidRDefault="000323A2" w:rsidP="000323A2">
            <w:pPr>
              <w:spacing w:before="240"/>
              <w:jc w:val="center"/>
              <w:rPr>
                <w:rFonts w:cs="Calibri"/>
                <w:color w:val="000000"/>
                <w:sz w:val="20"/>
                <w:szCs w:val="20"/>
              </w:rPr>
            </w:pPr>
            <w:r w:rsidRPr="000323A2">
              <w:t xml:space="preserve"> $303 </w:t>
            </w:r>
          </w:p>
        </w:tc>
      </w:tr>
      <w:tr w:rsidR="000323A2" w:rsidRPr="000323A2" w14:paraId="20669565" w14:textId="77777777" w:rsidTr="000323A2">
        <w:trPr>
          <w:trHeight w:val="285"/>
          <w:tblHeader/>
          <w:jc w:val="center"/>
        </w:trPr>
        <w:tc>
          <w:tcPr>
            <w:tcW w:w="2781" w:type="dxa"/>
            <w:noWrap/>
          </w:tcPr>
          <w:p w14:paraId="502272A8"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100 Mbps</w:t>
            </w:r>
          </w:p>
        </w:tc>
        <w:tc>
          <w:tcPr>
            <w:tcW w:w="1043" w:type="dxa"/>
            <w:noWrap/>
          </w:tcPr>
          <w:p w14:paraId="54958793" w14:textId="77777777" w:rsidR="000323A2" w:rsidRPr="000323A2" w:rsidRDefault="000323A2" w:rsidP="000323A2">
            <w:pPr>
              <w:spacing w:before="240"/>
              <w:jc w:val="center"/>
              <w:rPr>
                <w:rFonts w:cs="Calibri"/>
                <w:color w:val="000000"/>
                <w:sz w:val="20"/>
                <w:szCs w:val="20"/>
              </w:rPr>
            </w:pPr>
            <w:r w:rsidRPr="000323A2">
              <w:t xml:space="preserve"> $64 </w:t>
            </w:r>
          </w:p>
        </w:tc>
        <w:tc>
          <w:tcPr>
            <w:tcW w:w="2878" w:type="dxa"/>
            <w:noWrap/>
          </w:tcPr>
          <w:p w14:paraId="077EE580"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8 </w:t>
            </w:r>
            <w:proofErr w:type="spellStart"/>
            <w:r w:rsidRPr="000323A2">
              <w:rPr>
                <w:rFonts w:cs="Calibri"/>
                <w:color w:val="000000"/>
                <w:sz w:val="20"/>
                <w:szCs w:val="20"/>
              </w:rPr>
              <w:t>Gbps</w:t>
            </w:r>
            <w:proofErr w:type="spellEnd"/>
          </w:p>
        </w:tc>
        <w:tc>
          <w:tcPr>
            <w:tcW w:w="1216" w:type="dxa"/>
            <w:noWrap/>
          </w:tcPr>
          <w:p w14:paraId="2A3723D6" w14:textId="77777777" w:rsidR="000323A2" w:rsidRPr="000323A2" w:rsidRDefault="000323A2" w:rsidP="000323A2">
            <w:pPr>
              <w:spacing w:before="240"/>
              <w:jc w:val="center"/>
              <w:rPr>
                <w:rFonts w:cs="Calibri"/>
                <w:color w:val="000000"/>
                <w:sz w:val="20"/>
                <w:szCs w:val="20"/>
              </w:rPr>
            </w:pPr>
            <w:r w:rsidRPr="000323A2">
              <w:t xml:space="preserve"> $338 </w:t>
            </w:r>
          </w:p>
        </w:tc>
      </w:tr>
      <w:tr w:rsidR="000323A2" w:rsidRPr="000323A2" w14:paraId="4BBDE569" w14:textId="77777777" w:rsidTr="000323A2">
        <w:trPr>
          <w:trHeight w:val="285"/>
          <w:tblHeader/>
          <w:jc w:val="center"/>
        </w:trPr>
        <w:tc>
          <w:tcPr>
            <w:tcW w:w="2781" w:type="dxa"/>
            <w:noWrap/>
          </w:tcPr>
          <w:p w14:paraId="1A7E1691"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100 Mbps</w:t>
            </w:r>
          </w:p>
        </w:tc>
        <w:tc>
          <w:tcPr>
            <w:tcW w:w="1043" w:type="dxa"/>
            <w:noWrap/>
          </w:tcPr>
          <w:p w14:paraId="7234681A" w14:textId="77777777" w:rsidR="000323A2" w:rsidRPr="000323A2" w:rsidRDefault="000323A2" w:rsidP="000323A2">
            <w:pPr>
              <w:spacing w:before="240"/>
              <w:jc w:val="center"/>
              <w:rPr>
                <w:rFonts w:cs="Calibri"/>
                <w:color w:val="000000"/>
                <w:sz w:val="20"/>
                <w:szCs w:val="20"/>
              </w:rPr>
            </w:pPr>
            <w:r w:rsidRPr="000323A2">
              <w:t xml:space="preserve"> $64 </w:t>
            </w:r>
          </w:p>
        </w:tc>
        <w:tc>
          <w:tcPr>
            <w:tcW w:w="2878" w:type="dxa"/>
            <w:noWrap/>
          </w:tcPr>
          <w:p w14:paraId="5F8AACD2"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10 </w:t>
            </w:r>
            <w:proofErr w:type="spellStart"/>
            <w:r w:rsidRPr="000323A2">
              <w:rPr>
                <w:rFonts w:cs="Calibri"/>
                <w:color w:val="000000"/>
                <w:sz w:val="20"/>
                <w:szCs w:val="20"/>
              </w:rPr>
              <w:t>Gbps</w:t>
            </w:r>
            <w:proofErr w:type="spellEnd"/>
          </w:p>
        </w:tc>
        <w:tc>
          <w:tcPr>
            <w:tcW w:w="1216" w:type="dxa"/>
            <w:noWrap/>
          </w:tcPr>
          <w:p w14:paraId="6614EC66" w14:textId="77777777" w:rsidR="000323A2" w:rsidRPr="000323A2" w:rsidRDefault="000323A2" w:rsidP="000323A2">
            <w:pPr>
              <w:spacing w:before="240"/>
              <w:jc w:val="center"/>
              <w:rPr>
                <w:rFonts w:cs="Calibri"/>
                <w:color w:val="000000"/>
                <w:sz w:val="20"/>
                <w:szCs w:val="20"/>
              </w:rPr>
            </w:pPr>
            <w:r w:rsidRPr="000323A2">
              <w:t xml:space="preserve"> $368 </w:t>
            </w:r>
          </w:p>
        </w:tc>
      </w:tr>
      <w:tr w:rsidR="000323A2" w:rsidRPr="000323A2" w14:paraId="2B3A37DF" w14:textId="77777777" w:rsidTr="000323A2">
        <w:trPr>
          <w:trHeight w:val="285"/>
          <w:tblHeader/>
          <w:jc w:val="center"/>
        </w:trPr>
        <w:tc>
          <w:tcPr>
            <w:tcW w:w="2781" w:type="dxa"/>
            <w:noWrap/>
          </w:tcPr>
          <w:p w14:paraId="4F16DD9C"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150 Mbps</w:t>
            </w:r>
          </w:p>
        </w:tc>
        <w:tc>
          <w:tcPr>
            <w:tcW w:w="1043" w:type="dxa"/>
            <w:noWrap/>
          </w:tcPr>
          <w:p w14:paraId="3B409C2A" w14:textId="77777777" w:rsidR="000323A2" w:rsidRPr="000323A2" w:rsidRDefault="000323A2" w:rsidP="000323A2">
            <w:pPr>
              <w:spacing w:before="240"/>
              <w:jc w:val="center"/>
              <w:rPr>
                <w:rFonts w:cs="Calibri"/>
                <w:color w:val="000000"/>
                <w:sz w:val="20"/>
                <w:szCs w:val="20"/>
              </w:rPr>
            </w:pPr>
            <w:r w:rsidRPr="000323A2">
              <w:t xml:space="preserve"> $75 </w:t>
            </w:r>
          </w:p>
        </w:tc>
        <w:tc>
          <w:tcPr>
            <w:tcW w:w="2878" w:type="dxa"/>
            <w:noWrap/>
          </w:tcPr>
          <w:p w14:paraId="38B3BFB7"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100 </w:t>
            </w:r>
            <w:proofErr w:type="spellStart"/>
            <w:r w:rsidRPr="000323A2">
              <w:rPr>
                <w:rFonts w:cs="Calibri"/>
                <w:color w:val="000000"/>
                <w:sz w:val="20"/>
                <w:szCs w:val="20"/>
              </w:rPr>
              <w:t>Gbps</w:t>
            </w:r>
            <w:proofErr w:type="spellEnd"/>
          </w:p>
        </w:tc>
        <w:tc>
          <w:tcPr>
            <w:tcW w:w="1216" w:type="dxa"/>
            <w:noWrap/>
          </w:tcPr>
          <w:p w14:paraId="62CE9BC1" w14:textId="77777777" w:rsidR="000323A2" w:rsidRPr="000323A2" w:rsidRDefault="000323A2" w:rsidP="000323A2">
            <w:pPr>
              <w:spacing w:before="240"/>
              <w:jc w:val="center"/>
              <w:rPr>
                <w:rFonts w:cs="Calibri"/>
                <w:color w:val="000000"/>
                <w:sz w:val="20"/>
                <w:szCs w:val="20"/>
              </w:rPr>
            </w:pPr>
            <w:r w:rsidRPr="000323A2">
              <w:t xml:space="preserve"> $883 </w:t>
            </w:r>
          </w:p>
        </w:tc>
      </w:tr>
      <w:tr w:rsidR="000323A2" w:rsidRPr="000323A2" w14:paraId="73C8BF2F" w14:textId="77777777" w:rsidTr="000323A2">
        <w:trPr>
          <w:trHeight w:val="285"/>
          <w:tblHeader/>
          <w:jc w:val="center"/>
        </w:trPr>
        <w:tc>
          <w:tcPr>
            <w:tcW w:w="2781" w:type="dxa"/>
            <w:noWrap/>
          </w:tcPr>
          <w:p w14:paraId="737E2A0B"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200 Mbps</w:t>
            </w:r>
          </w:p>
        </w:tc>
        <w:tc>
          <w:tcPr>
            <w:tcW w:w="1043" w:type="dxa"/>
            <w:noWrap/>
          </w:tcPr>
          <w:p w14:paraId="4A1FE580" w14:textId="77777777" w:rsidR="000323A2" w:rsidRPr="000323A2" w:rsidRDefault="000323A2" w:rsidP="000323A2">
            <w:pPr>
              <w:spacing w:before="240"/>
              <w:jc w:val="center"/>
              <w:rPr>
                <w:rFonts w:cs="Calibri"/>
                <w:color w:val="000000"/>
                <w:sz w:val="20"/>
                <w:szCs w:val="20"/>
              </w:rPr>
            </w:pPr>
            <w:r w:rsidRPr="000323A2">
              <w:t xml:space="preserve"> $83 </w:t>
            </w:r>
          </w:p>
        </w:tc>
        <w:tc>
          <w:tcPr>
            <w:tcW w:w="2878" w:type="dxa"/>
            <w:noWrap/>
          </w:tcPr>
          <w:p w14:paraId="44B442EE" w14:textId="77777777" w:rsidR="000323A2" w:rsidRPr="000323A2" w:rsidRDefault="000323A2" w:rsidP="000323A2">
            <w:pPr>
              <w:spacing w:before="240"/>
              <w:jc w:val="center"/>
              <w:rPr>
                <w:rFonts w:cs="Calibri"/>
                <w:color w:val="000000"/>
                <w:sz w:val="20"/>
                <w:szCs w:val="20"/>
              </w:rPr>
            </w:pPr>
          </w:p>
        </w:tc>
        <w:tc>
          <w:tcPr>
            <w:tcW w:w="1216" w:type="dxa"/>
            <w:noWrap/>
          </w:tcPr>
          <w:p w14:paraId="52787FB9" w14:textId="77777777" w:rsidR="000323A2" w:rsidRPr="000323A2" w:rsidRDefault="000323A2" w:rsidP="000323A2">
            <w:pPr>
              <w:spacing w:before="240"/>
              <w:jc w:val="center"/>
              <w:rPr>
                <w:rFonts w:cs="Calibri"/>
                <w:color w:val="000000"/>
                <w:sz w:val="20"/>
                <w:szCs w:val="20"/>
              </w:rPr>
            </w:pPr>
          </w:p>
        </w:tc>
      </w:tr>
    </w:tbl>
    <w:p w14:paraId="775B6C40" w14:textId="77777777" w:rsidR="000323A2" w:rsidRPr="000323A2" w:rsidRDefault="000323A2" w:rsidP="000323A2">
      <w:pPr>
        <w:spacing w:before="240" w:after="0" w:line="240" w:lineRule="auto"/>
        <w:jc w:val="center"/>
        <w:rPr>
          <w:rFonts w:ascii="Calibri" w:eastAsia="Calibri" w:hAnsi="Calibri" w:cs="Calibri"/>
          <w:b/>
          <w:bCs/>
          <w:color w:val="000000"/>
        </w:rPr>
      </w:pPr>
      <w:r w:rsidRPr="000323A2">
        <w:rPr>
          <w:rFonts w:ascii="Calibri" w:eastAsia="Calibri" w:hAnsi="Calibri" w:cs="Calibri"/>
          <w:b/>
          <w:bCs/>
          <w:color w:val="000000"/>
        </w:rPr>
        <w:t>Tabla 9. Renta mensual por Tramo de Larga Distancia Internacional para Enlaces Ethernet</w:t>
      </w:r>
    </w:p>
    <w:tbl>
      <w:tblPr>
        <w:tblStyle w:val="Cuadrculadetablaclara1"/>
        <w:tblW w:w="8148" w:type="dxa"/>
        <w:jc w:val="center"/>
        <w:tblLook w:val="00A0" w:firstRow="1" w:lastRow="0" w:firstColumn="1" w:lastColumn="0" w:noHBand="0" w:noVBand="0"/>
        <w:tblCaption w:val="Tabla"/>
        <w:tblDescription w:val="Tabla 9. Renta mensual por Tramo de Larga Distancia Internacional para Enlaces Ethernet"/>
      </w:tblPr>
      <w:tblGrid>
        <w:gridCol w:w="2781"/>
        <w:gridCol w:w="785"/>
        <w:gridCol w:w="3414"/>
        <w:gridCol w:w="1168"/>
      </w:tblGrid>
      <w:tr w:rsidR="000323A2" w:rsidRPr="000323A2" w14:paraId="5DC2728A" w14:textId="77777777" w:rsidTr="000323A2">
        <w:trPr>
          <w:trHeight w:val="285"/>
          <w:tblHeader/>
          <w:jc w:val="center"/>
        </w:trPr>
        <w:tc>
          <w:tcPr>
            <w:tcW w:w="2781" w:type="dxa"/>
            <w:shd w:val="clear" w:color="auto" w:fill="D9D9D9"/>
            <w:noWrap/>
          </w:tcPr>
          <w:p w14:paraId="0954CEF6"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Cargo por Km</w:t>
            </w:r>
          </w:p>
        </w:tc>
        <w:tc>
          <w:tcPr>
            <w:tcW w:w="785" w:type="dxa"/>
            <w:shd w:val="clear" w:color="auto" w:fill="D9D9D9"/>
          </w:tcPr>
          <w:p w14:paraId="159462A6" w14:textId="77777777" w:rsidR="000323A2" w:rsidRPr="000323A2" w:rsidRDefault="000323A2" w:rsidP="000323A2">
            <w:pPr>
              <w:spacing w:before="240"/>
              <w:jc w:val="center"/>
              <w:rPr>
                <w:rFonts w:cs="Calibri"/>
                <w:color w:val="000000"/>
                <w:sz w:val="20"/>
                <w:szCs w:val="20"/>
              </w:rPr>
            </w:pPr>
          </w:p>
        </w:tc>
        <w:tc>
          <w:tcPr>
            <w:tcW w:w="3414" w:type="dxa"/>
            <w:shd w:val="clear" w:color="auto" w:fill="D9D9D9"/>
            <w:noWrap/>
          </w:tcPr>
          <w:p w14:paraId="78994561"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Cargo por Km</w:t>
            </w:r>
          </w:p>
        </w:tc>
        <w:tc>
          <w:tcPr>
            <w:tcW w:w="1168" w:type="dxa"/>
            <w:shd w:val="clear" w:color="auto" w:fill="D9D9D9"/>
          </w:tcPr>
          <w:p w14:paraId="2B079A98" w14:textId="77777777" w:rsidR="000323A2" w:rsidRPr="000323A2" w:rsidRDefault="000323A2" w:rsidP="000323A2">
            <w:pPr>
              <w:spacing w:before="240"/>
              <w:jc w:val="center"/>
              <w:rPr>
                <w:rFonts w:cs="Calibri"/>
                <w:color w:val="000000"/>
                <w:sz w:val="20"/>
                <w:szCs w:val="20"/>
              </w:rPr>
            </w:pPr>
          </w:p>
        </w:tc>
      </w:tr>
      <w:tr w:rsidR="000323A2" w:rsidRPr="000323A2" w14:paraId="1451B093" w14:textId="77777777" w:rsidTr="000323A2">
        <w:trPr>
          <w:trHeight w:val="300"/>
          <w:jc w:val="center"/>
        </w:trPr>
        <w:tc>
          <w:tcPr>
            <w:tcW w:w="2781" w:type="dxa"/>
            <w:noWrap/>
          </w:tcPr>
          <w:p w14:paraId="07B0F041"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2 Mbps</w:t>
            </w:r>
          </w:p>
        </w:tc>
        <w:tc>
          <w:tcPr>
            <w:tcW w:w="785" w:type="dxa"/>
            <w:noWrap/>
          </w:tcPr>
          <w:p w14:paraId="29FD921B" w14:textId="77777777" w:rsidR="000323A2" w:rsidRPr="000323A2" w:rsidRDefault="000323A2" w:rsidP="000323A2">
            <w:pPr>
              <w:spacing w:before="240"/>
              <w:jc w:val="center"/>
              <w:rPr>
                <w:rFonts w:cs="Calibri"/>
                <w:color w:val="000000"/>
                <w:sz w:val="20"/>
                <w:szCs w:val="20"/>
              </w:rPr>
            </w:pPr>
            <w:r w:rsidRPr="000323A2">
              <w:t xml:space="preserve"> $14 </w:t>
            </w:r>
          </w:p>
        </w:tc>
        <w:tc>
          <w:tcPr>
            <w:tcW w:w="3414" w:type="dxa"/>
            <w:noWrap/>
          </w:tcPr>
          <w:p w14:paraId="7FDADAE4"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200 Mbps</w:t>
            </w:r>
          </w:p>
        </w:tc>
        <w:tc>
          <w:tcPr>
            <w:tcW w:w="1168" w:type="dxa"/>
            <w:noWrap/>
          </w:tcPr>
          <w:p w14:paraId="0A0C48CE" w14:textId="77777777" w:rsidR="000323A2" w:rsidRPr="000323A2" w:rsidRDefault="000323A2" w:rsidP="000323A2">
            <w:pPr>
              <w:spacing w:before="240"/>
              <w:jc w:val="center"/>
              <w:rPr>
                <w:rFonts w:cs="Calibri"/>
                <w:color w:val="000000"/>
                <w:sz w:val="20"/>
                <w:szCs w:val="20"/>
              </w:rPr>
            </w:pPr>
            <w:r w:rsidRPr="000323A2">
              <w:t xml:space="preserve"> $83 </w:t>
            </w:r>
          </w:p>
        </w:tc>
      </w:tr>
      <w:tr w:rsidR="000323A2" w:rsidRPr="000323A2" w14:paraId="604A373A" w14:textId="77777777" w:rsidTr="000323A2">
        <w:trPr>
          <w:trHeight w:val="285"/>
          <w:jc w:val="center"/>
        </w:trPr>
        <w:tc>
          <w:tcPr>
            <w:tcW w:w="2781" w:type="dxa"/>
            <w:noWrap/>
          </w:tcPr>
          <w:p w14:paraId="1CEFB18D"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4 Mbps</w:t>
            </w:r>
          </w:p>
        </w:tc>
        <w:tc>
          <w:tcPr>
            <w:tcW w:w="785" w:type="dxa"/>
            <w:noWrap/>
          </w:tcPr>
          <w:p w14:paraId="327B1FE7" w14:textId="77777777" w:rsidR="000323A2" w:rsidRPr="000323A2" w:rsidRDefault="000323A2" w:rsidP="000323A2">
            <w:pPr>
              <w:spacing w:before="240"/>
              <w:jc w:val="center"/>
              <w:rPr>
                <w:rFonts w:cs="Calibri"/>
                <w:color w:val="000000"/>
                <w:sz w:val="20"/>
                <w:szCs w:val="20"/>
              </w:rPr>
            </w:pPr>
            <w:r w:rsidRPr="000323A2">
              <w:t xml:space="preserve"> $19 </w:t>
            </w:r>
          </w:p>
        </w:tc>
        <w:tc>
          <w:tcPr>
            <w:tcW w:w="3414" w:type="dxa"/>
            <w:noWrap/>
          </w:tcPr>
          <w:p w14:paraId="3883A4CE"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250 Mbps</w:t>
            </w:r>
          </w:p>
        </w:tc>
        <w:tc>
          <w:tcPr>
            <w:tcW w:w="1168" w:type="dxa"/>
            <w:noWrap/>
          </w:tcPr>
          <w:p w14:paraId="2D563C0B" w14:textId="77777777" w:rsidR="000323A2" w:rsidRPr="000323A2" w:rsidRDefault="000323A2" w:rsidP="000323A2">
            <w:pPr>
              <w:spacing w:before="240"/>
              <w:jc w:val="center"/>
              <w:rPr>
                <w:rFonts w:cs="Calibri"/>
                <w:color w:val="000000"/>
                <w:sz w:val="20"/>
                <w:szCs w:val="20"/>
              </w:rPr>
            </w:pPr>
            <w:r w:rsidRPr="000323A2">
              <w:t xml:space="preserve"> $91 </w:t>
            </w:r>
          </w:p>
        </w:tc>
      </w:tr>
      <w:tr w:rsidR="000323A2" w:rsidRPr="000323A2" w14:paraId="2D6F72DA" w14:textId="77777777" w:rsidTr="000323A2">
        <w:trPr>
          <w:trHeight w:val="300"/>
          <w:jc w:val="center"/>
        </w:trPr>
        <w:tc>
          <w:tcPr>
            <w:tcW w:w="2781" w:type="dxa"/>
            <w:noWrap/>
          </w:tcPr>
          <w:p w14:paraId="1A35A5FB"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6 Mbps</w:t>
            </w:r>
          </w:p>
        </w:tc>
        <w:tc>
          <w:tcPr>
            <w:tcW w:w="785" w:type="dxa"/>
            <w:noWrap/>
          </w:tcPr>
          <w:p w14:paraId="172D55F8" w14:textId="77777777" w:rsidR="000323A2" w:rsidRPr="000323A2" w:rsidRDefault="000323A2" w:rsidP="000323A2">
            <w:pPr>
              <w:spacing w:before="240"/>
              <w:jc w:val="center"/>
              <w:rPr>
                <w:rFonts w:cs="Calibri"/>
                <w:color w:val="000000"/>
                <w:sz w:val="20"/>
                <w:szCs w:val="20"/>
              </w:rPr>
            </w:pPr>
            <w:r w:rsidRPr="000323A2">
              <w:t xml:space="preserve"> $22 </w:t>
            </w:r>
          </w:p>
        </w:tc>
        <w:tc>
          <w:tcPr>
            <w:tcW w:w="3414" w:type="dxa"/>
            <w:noWrap/>
          </w:tcPr>
          <w:p w14:paraId="4147BF05"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300 Mbps</w:t>
            </w:r>
          </w:p>
        </w:tc>
        <w:tc>
          <w:tcPr>
            <w:tcW w:w="1168" w:type="dxa"/>
            <w:noWrap/>
          </w:tcPr>
          <w:p w14:paraId="7877F7EF" w14:textId="77777777" w:rsidR="000323A2" w:rsidRPr="000323A2" w:rsidRDefault="000323A2" w:rsidP="000323A2">
            <w:pPr>
              <w:spacing w:before="240"/>
              <w:jc w:val="center"/>
              <w:rPr>
                <w:rFonts w:cs="Calibri"/>
                <w:color w:val="000000"/>
                <w:sz w:val="20"/>
                <w:szCs w:val="20"/>
              </w:rPr>
            </w:pPr>
            <w:r w:rsidRPr="000323A2">
              <w:t xml:space="preserve"> $97 </w:t>
            </w:r>
          </w:p>
        </w:tc>
      </w:tr>
      <w:tr w:rsidR="000323A2" w:rsidRPr="000323A2" w14:paraId="4CA0C24A" w14:textId="77777777" w:rsidTr="000323A2">
        <w:trPr>
          <w:trHeight w:val="300"/>
          <w:jc w:val="center"/>
        </w:trPr>
        <w:tc>
          <w:tcPr>
            <w:tcW w:w="2781" w:type="dxa"/>
            <w:noWrap/>
          </w:tcPr>
          <w:p w14:paraId="2795E5BF"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lastRenderedPageBreak/>
              <w:t>Ethernet 8 Mbps</w:t>
            </w:r>
          </w:p>
        </w:tc>
        <w:tc>
          <w:tcPr>
            <w:tcW w:w="785" w:type="dxa"/>
            <w:noWrap/>
          </w:tcPr>
          <w:p w14:paraId="3C9B8DFA" w14:textId="77777777" w:rsidR="000323A2" w:rsidRPr="000323A2" w:rsidRDefault="000323A2" w:rsidP="000323A2">
            <w:pPr>
              <w:spacing w:before="240"/>
              <w:jc w:val="center"/>
              <w:rPr>
                <w:rFonts w:cs="Calibri"/>
                <w:color w:val="000000"/>
                <w:sz w:val="20"/>
                <w:szCs w:val="20"/>
              </w:rPr>
            </w:pPr>
            <w:r w:rsidRPr="000323A2">
              <w:t xml:space="preserve"> $25 </w:t>
            </w:r>
          </w:p>
        </w:tc>
        <w:tc>
          <w:tcPr>
            <w:tcW w:w="3414" w:type="dxa"/>
            <w:noWrap/>
          </w:tcPr>
          <w:p w14:paraId="36A29580"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350 Mbps</w:t>
            </w:r>
          </w:p>
        </w:tc>
        <w:tc>
          <w:tcPr>
            <w:tcW w:w="1168" w:type="dxa"/>
            <w:noWrap/>
          </w:tcPr>
          <w:p w14:paraId="164E15A3" w14:textId="77777777" w:rsidR="000323A2" w:rsidRPr="000323A2" w:rsidRDefault="000323A2" w:rsidP="000323A2">
            <w:pPr>
              <w:spacing w:before="240"/>
              <w:jc w:val="center"/>
              <w:rPr>
                <w:rFonts w:cs="Calibri"/>
                <w:color w:val="000000"/>
                <w:sz w:val="20"/>
                <w:szCs w:val="20"/>
              </w:rPr>
            </w:pPr>
            <w:r w:rsidRPr="000323A2">
              <w:t xml:space="preserve"> $103 </w:t>
            </w:r>
          </w:p>
        </w:tc>
      </w:tr>
      <w:tr w:rsidR="000323A2" w:rsidRPr="000323A2" w14:paraId="36ED5932" w14:textId="77777777" w:rsidTr="000323A2">
        <w:trPr>
          <w:trHeight w:val="300"/>
          <w:jc w:val="center"/>
        </w:trPr>
        <w:tc>
          <w:tcPr>
            <w:tcW w:w="2781" w:type="dxa"/>
            <w:noWrap/>
          </w:tcPr>
          <w:p w14:paraId="4E4A73F0"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10 Mbps</w:t>
            </w:r>
          </w:p>
        </w:tc>
        <w:tc>
          <w:tcPr>
            <w:tcW w:w="785" w:type="dxa"/>
            <w:noWrap/>
          </w:tcPr>
          <w:p w14:paraId="194E9CF9" w14:textId="77777777" w:rsidR="000323A2" w:rsidRPr="000323A2" w:rsidRDefault="000323A2" w:rsidP="000323A2">
            <w:pPr>
              <w:spacing w:before="240"/>
              <w:jc w:val="center"/>
              <w:rPr>
                <w:rFonts w:cs="Calibri"/>
                <w:color w:val="000000"/>
                <w:sz w:val="20"/>
                <w:szCs w:val="20"/>
              </w:rPr>
            </w:pPr>
            <w:r w:rsidRPr="000323A2">
              <w:t xml:space="preserve"> $27 </w:t>
            </w:r>
          </w:p>
        </w:tc>
        <w:tc>
          <w:tcPr>
            <w:tcW w:w="3414" w:type="dxa"/>
            <w:noWrap/>
          </w:tcPr>
          <w:p w14:paraId="77E8CDAD"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400 Mbps</w:t>
            </w:r>
          </w:p>
        </w:tc>
        <w:tc>
          <w:tcPr>
            <w:tcW w:w="1168" w:type="dxa"/>
            <w:noWrap/>
          </w:tcPr>
          <w:p w14:paraId="39276228" w14:textId="77777777" w:rsidR="000323A2" w:rsidRPr="000323A2" w:rsidRDefault="000323A2" w:rsidP="000323A2">
            <w:pPr>
              <w:spacing w:before="240"/>
              <w:jc w:val="center"/>
              <w:rPr>
                <w:rFonts w:cs="Calibri"/>
                <w:color w:val="000000"/>
                <w:sz w:val="20"/>
                <w:szCs w:val="20"/>
              </w:rPr>
            </w:pPr>
            <w:r w:rsidRPr="000323A2">
              <w:t xml:space="preserve"> $108 </w:t>
            </w:r>
          </w:p>
        </w:tc>
      </w:tr>
      <w:tr w:rsidR="000323A2" w:rsidRPr="000323A2" w14:paraId="6C86CA63" w14:textId="77777777" w:rsidTr="000323A2">
        <w:trPr>
          <w:trHeight w:val="300"/>
          <w:jc w:val="center"/>
        </w:trPr>
        <w:tc>
          <w:tcPr>
            <w:tcW w:w="2781" w:type="dxa"/>
            <w:noWrap/>
          </w:tcPr>
          <w:p w14:paraId="4A83A3A3"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20 Mbps</w:t>
            </w:r>
          </w:p>
        </w:tc>
        <w:tc>
          <w:tcPr>
            <w:tcW w:w="785" w:type="dxa"/>
            <w:noWrap/>
          </w:tcPr>
          <w:p w14:paraId="37298134" w14:textId="77777777" w:rsidR="000323A2" w:rsidRPr="000323A2" w:rsidRDefault="000323A2" w:rsidP="000323A2">
            <w:pPr>
              <w:spacing w:before="240"/>
              <w:jc w:val="center"/>
              <w:rPr>
                <w:rFonts w:cs="Calibri"/>
                <w:color w:val="000000"/>
                <w:sz w:val="20"/>
                <w:szCs w:val="20"/>
              </w:rPr>
            </w:pPr>
            <w:r w:rsidRPr="000323A2">
              <w:t xml:space="preserve"> $34 </w:t>
            </w:r>
          </w:p>
        </w:tc>
        <w:tc>
          <w:tcPr>
            <w:tcW w:w="3414" w:type="dxa"/>
            <w:noWrap/>
          </w:tcPr>
          <w:p w14:paraId="4E4E6B53"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450 Mbps</w:t>
            </w:r>
          </w:p>
        </w:tc>
        <w:tc>
          <w:tcPr>
            <w:tcW w:w="1168" w:type="dxa"/>
            <w:noWrap/>
          </w:tcPr>
          <w:p w14:paraId="31783B46" w14:textId="77777777" w:rsidR="000323A2" w:rsidRPr="000323A2" w:rsidRDefault="000323A2" w:rsidP="000323A2">
            <w:pPr>
              <w:spacing w:before="240"/>
              <w:jc w:val="center"/>
              <w:rPr>
                <w:rFonts w:cs="Calibri"/>
                <w:color w:val="000000"/>
                <w:sz w:val="20"/>
                <w:szCs w:val="20"/>
              </w:rPr>
            </w:pPr>
            <w:r w:rsidRPr="000323A2">
              <w:t xml:space="preserve"> $113 </w:t>
            </w:r>
          </w:p>
        </w:tc>
      </w:tr>
      <w:tr w:rsidR="000323A2" w:rsidRPr="000323A2" w14:paraId="28E6DEF1" w14:textId="77777777" w:rsidTr="000323A2">
        <w:trPr>
          <w:trHeight w:val="300"/>
          <w:jc w:val="center"/>
        </w:trPr>
        <w:tc>
          <w:tcPr>
            <w:tcW w:w="2781" w:type="dxa"/>
            <w:noWrap/>
          </w:tcPr>
          <w:p w14:paraId="0A0F2FA1"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30 Mbps</w:t>
            </w:r>
          </w:p>
        </w:tc>
        <w:tc>
          <w:tcPr>
            <w:tcW w:w="785" w:type="dxa"/>
            <w:noWrap/>
          </w:tcPr>
          <w:p w14:paraId="03A2EA1D" w14:textId="77777777" w:rsidR="000323A2" w:rsidRPr="000323A2" w:rsidRDefault="000323A2" w:rsidP="000323A2">
            <w:pPr>
              <w:spacing w:before="240"/>
              <w:jc w:val="center"/>
              <w:rPr>
                <w:rFonts w:cs="Calibri"/>
                <w:color w:val="000000"/>
                <w:sz w:val="20"/>
                <w:szCs w:val="20"/>
              </w:rPr>
            </w:pPr>
            <w:r w:rsidRPr="000323A2">
              <w:t xml:space="preserve"> $39 </w:t>
            </w:r>
          </w:p>
        </w:tc>
        <w:tc>
          <w:tcPr>
            <w:tcW w:w="3414" w:type="dxa"/>
            <w:noWrap/>
          </w:tcPr>
          <w:p w14:paraId="1BFC1DF9"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500 Mbps</w:t>
            </w:r>
          </w:p>
        </w:tc>
        <w:tc>
          <w:tcPr>
            <w:tcW w:w="1168" w:type="dxa"/>
            <w:noWrap/>
          </w:tcPr>
          <w:p w14:paraId="32169F37" w14:textId="77777777" w:rsidR="000323A2" w:rsidRPr="000323A2" w:rsidRDefault="000323A2" w:rsidP="000323A2">
            <w:pPr>
              <w:spacing w:before="240"/>
              <w:jc w:val="center"/>
              <w:rPr>
                <w:rFonts w:cs="Calibri"/>
                <w:color w:val="000000"/>
                <w:sz w:val="20"/>
                <w:szCs w:val="20"/>
              </w:rPr>
            </w:pPr>
            <w:r w:rsidRPr="000323A2">
              <w:t xml:space="preserve"> $118 </w:t>
            </w:r>
          </w:p>
        </w:tc>
      </w:tr>
      <w:tr w:rsidR="000323A2" w:rsidRPr="000323A2" w14:paraId="5E7E0124" w14:textId="77777777" w:rsidTr="000323A2">
        <w:trPr>
          <w:trHeight w:val="300"/>
          <w:jc w:val="center"/>
        </w:trPr>
        <w:tc>
          <w:tcPr>
            <w:tcW w:w="2781" w:type="dxa"/>
            <w:noWrap/>
          </w:tcPr>
          <w:p w14:paraId="3C0394D9"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40 Mbps</w:t>
            </w:r>
          </w:p>
        </w:tc>
        <w:tc>
          <w:tcPr>
            <w:tcW w:w="785" w:type="dxa"/>
            <w:noWrap/>
          </w:tcPr>
          <w:p w14:paraId="707225BE" w14:textId="77777777" w:rsidR="000323A2" w:rsidRPr="000323A2" w:rsidRDefault="000323A2" w:rsidP="000323A2">
            <w:pPr>
              <w:spacing w:before="240"/>
              <w:jc w:val="center"/>
              <w:rPr>
                <w:rFonts w:cs="Calibri"/>
                <w:color w:val="000000"/>
                <w:sz w:val="20"/>
                <w:szCs w:val="20"/>
              </w:rPr>
            </w:pPr>
            <w:r w:rsidRPr="000323A2">
              <w:t xml:space="preserve"> $43 </w:t>
            </w:r>
          </w:p>
        </w:tc>
        <w:tc>
          <w:tcPr>
            <w:tcW w:w="3414" w:type="dxa"/>
            <w:noWrap/>
          </w:tcPr>
          <w:p w14:paraId="661ECCDA"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550 Mbps</w:t>
            </w:r>
          </w:p>
        </w:tc>
        <w:tc>
          <w:tcPr>
            <w:tcW w:w="1168" w:type="dxa"/>
            <w:noWrap/>
          </w:tcPr>
          <w:p w14:paraId="46A5B783" w14:textId="77777777" w:rsidR="000323A2" w:rsidRPr="000323A2" w:rsidRDefault="000323A2" w:rsidP="000323A2">
            <w:pPr>
              <w:spacing w:before="240"/>
              <w:jc w:val="center"/>
              <w:rPr>
                <w:rFonts w:cs="Calibri"/>
                <w:color w:val="000000"/>
                <w:sz w:val="20"/>
                <w:szCs w:val="20"/>
              </w:rPr>
            </w:pPr>
            <w:r w:rsidRPr="000323A2">
              <w:t xml:space="preserve"> $122 </w:t>
            </w:r>
          </w:p>
        </w:tc>
      </w:tr>
      <w:tr w:rsidR="000323A2" w:rsidRPr="000323A2" w14:paraId="36D54076" w14:textId="77777777" w:rsidTr="000323A2">
        <w:trPr>
          <w:trHeight w:val="300"/>
          <w:jc w:val="center"/>
        </w:trPr>
        <w:tc>
          <w:tcPr>
            <w:tcW w:w="2781" w:type="dxa"/>
            <w:noWrap/>
          </w:tcPr>
          <w:p w14:paraId="22FEB924"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50 Mbps</w:t>
            </w:r>
          </w:p>
        </w:tc>
        <w:tc>
          <w:tcPr>
            <w:tcW w:w="785" w:type="dxa"/>
            <w:noWrap/>
          </w:tcPr>
          <w:p w14:paraId="2111659C" w14:textId="77777777" w:rsidR="000323A2" w:rsidRPr="000323A2" w:rsidRDefault="000323A2" w:rsidP="000323A2">
            <w:pPr>
              <w:spacing w:before="240"/>
              <w:jc w:val="center"/>
              <w:rPr>
                <w:rFonts w:cs="Calibri"/>
                <w:color w:val="000000"/>
                <w:sz w:val="20"/>
                <w:szCs w:val="20"/>
              </w:rPr>
            </w:pPr>
            <w:r w:rsidRPr="000323A2">
              <w:t xml:space="preserve"> $49 </w:t>
            </w:r>
          </w:p>
        </w:tc>
        <w:tc>
          <w:tcPr>
            <w:tcW w:w="3414" w:type="dxa"/>
            <w:noWrap/>
          </w:tcPr>
          <w:p w14:paraId="3373C8BF"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600 Mbps</w:t>
            </w:r>
          </w:p>
        </w:tc>
        <w:tc>
          <w:tcPr>
            <w:tcW w:w="1168" w:type="dxa"/>
            <w:noWrap/>
          </w:tcPr>
          <w:p w14:paraId="7BE90E44" w14:textId="77777777" w:rsidR="000323A2" w:rsidRPr="000323A2" w:rsidRDefault="000323A2" w:rsidP="000323A2">
            <w:pPr>
              <w:spacing w:before="240"/>
              <w:jc w:val="center"/>
              <w:rPr>
                <w:rFonts w:cs="Calibri"/>
                <w:color w:val="000000"/>
                <w:sz w:val="20"/>
                <w:szCs w:val="20"/>
              </w:rPr>
            </w:pPr>
            <w:r w:rsidRPr="000323A2">
              <w:t xml:space="preserve"> $126 </w:t>
            </w:r>
          </w:p>
        </w:tc>
      </w:tr>
      <w:tr w:rsidR="000323A2" w:rsidRPr="000323A2" w14:paraId="0ED75734" w14:textId="77777777" w:rsidTr="000323A2">
        <w:trPr>
          <w:trHeight w:val="300"/>
          <w:jc w:val="center"/>
        </w:trPr>
        <w:tc>
          <w:tcPr>
            <w:tcW w:w="2781" w:type="dxa"/>
            <w:noWrap/>
          </w:tcPr>
          <w:p w14:paraId="2E16CF27"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60 Mbps</w:t>
            </w:r>
          </w:p>
        </w:tc>
        <w:tc>
          <w:tcPr>
            <w:tcW w:w="785" w:type="dxa"/>
            <w:noWrap/>
          </w:tcPr>
          <w:p w14:paraId="3C15CE4E" w14:textId="77777777" w:rsidR="000323A2" w:rsidRPr="000323A2" w:rsidRDefault="000323A2" w:rsidP="000323A2">
            <w:pPr>
              <w:spacing w:before="240"/>
              <w:jc w:val="center"/>
              <w:rPr>
                <w:rFonts w:cs="Calibri"/>
                <w:color w:val="000000"/>
                <w:sz w:val="20"/>
                <w:szCs w:val="20"/>
              </w:rPr>
            </w:pPr>
            <w:r w:rsidRPr="000323A2">
              <w:t xml:space="preserve"> $53 </w:t>
            </w:r>
          </w:p>
        </w:tc>
        <w:tc>
          <w:tcPr>
            <w:tcW w:w="3414" w:type="dxa"/>
            <w:noWrap/>
          </w:tcPr>
          <w:p w14:paraId="2B985696"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750 Mbps</w:t>
            </w:r>
          </w:p>
        </w:tc>
        <w:tc>
          <w:tcPr>
            <w:tcW w:w="1168" w:type="dxa"/>
            <w:noWrap/>
          </w:tcPr>
          <w:p w14:paraId="0E3E8094" w14:textId="77777777" w:rsidR="000323A2" w:rsidRPr="000323A2" w:rsidRDefault="000323A2" w:rsidP="000323A2">
            <w:pPr>
              <w:spacing w:before="240"/>
              <w:jc w:val="center"/>
              <w:rPr>
                <w:rFonts w:cs="Calibri"/>
                <w:color w:val="000000"/>
                <w:sz w:val="20"/>
                <w:szCs w:val="20"/>
              </w:rPr>
            </w:pPr>
            <w:r w:rsidRPr="000323A2">
              <w:t xml:space="preserve"> $138 </w:t>
            </w:r>
          </w:p>
        </w:tc>
      </w:tr>
      <w:tr w:rsidR="000323A2" w:rsidRPr="000323A2" w14:paraId="250DE7D5" w14:textId="77777777" w:rsidTr="000323A2">
        <w:trPr>
          <w:trHeight w:val="300"/>
          <w:jc w:val="center"/>
        </w:trPr>
        <w:tc>
          <w:tcPr>
            <w:tcW w:w="2781" w:type="dxa"/>
            <w:noWrap/>
          </w:tcPr>
          <w:p w14:paraId="76392A86"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70 Mbps</w:t>
            </w:r>
          </w:p>
        </w:tc>
        <w:tc>
          <w:tcPr>
            <w:tcW w:w="785" w:type="dxa"/>
            <w:noWrap/>
          </w:tcPr>
          <w:p w14:paraId="0A213F35" w14:textId="77777777" w:rsidR="000323A2" w:rsidRPr="000323A2" w:rsidRDefault="000323A2" w:rsidP="000323A2">
            <w:pPr>
              <w:spacing w:before="240"/>
              <w:jc w:val="center"/>
              <w:rPr>
                <w:rFonts w:cs="Calibri"/>
                <w:color w:val="000000"/>
                <w:sz w:val="20"/>
                <w:szCs w:val="20"/>
              </w:rPr>
            </w:pPr>
            <w:r w:rsidRPr="000323A2">
              <w:t xml:space="preserve"> $56 </w:t>
            </w:r>
          </w:p>
        </w:tc>
        <w:tc>
          <w:tcPr>
            <w:tcW w:w="3414" w:type="dxa"/>
            <w:noWrap/>
          </w:tcPr>
          <w:p w14:paraId="388296B7"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 </w:t>
            </w:r>
            <w:proofErr w:type="spellStart"/>
            <w:r w:rsidRPr="000323A2">
              <w:rPr>
                <w:rFonts w:cs="Calibri"/>
                <w:color w:val="000000"/>
                <w:sz w:val="20"/>
                <w:szCs w:val="20"/>
              </w:rPr>
              <w:t>Gbps</w:t>
            </w:r>
            <w:proofErr w:type="spellEnd"/>
          </w:p>
        </w:tc>
        <w:tc>
          <w:tcPr>
            <w:tcW w:w="1168" w:type="dxa"/>
            <w:noWrap/>
          </w:tcPr>
          <w:p w14:paraId="04DCC8BF" w14:textId="77777777" w:rsidR="000323A2" w:rsidRPr="000323A2" w:rsidRDefault="000323A2" w:rsidP="000323A2">
            <w:pPr>
              <w:spacing w:before="240"/>
              <w:jc w:val="center"/>
              <w:rPr>
                <w:rFonts w:cs="Calibri"/>
                <w:color w:val="000000"/>
                <w:sz w:val="20"/>
                <w:szCs w:val="20"/>
              </w:rPr>
            </w:pPr>
            <w:r w:rsidRPr="000323A2">
              <w:t xml:space="preserve"> $154 </w:t>
            </w:r>
          </w:p>
        </w:tc>
      </w:tr>
      <w:tr w:rsidR="000323A2" w:rsidRPr="000323A2" w14:paraId="39471D5E" w14:textId="77777777" w:rsidTr="000323A2">
        <w:trPr>
          <w:trHeight w:val="300"/>
          <w:jc w:val="center"/>
        </w:trPr>
        <w:tc>
          <w:tcPr>
            <w:tcW w:w="2781" w:type="dxa"/>
            <w:noWrap/>
          </w:tcPr>
          <w:p w14:paraId="2183A2CF"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80 Mbps</w:t>
            </w:r>
          </w:p>
        </w:tc>
        <w:tc>
          <w:tcPr>
            <w:tcW w:w="785" w:type="dxa"/>
            <w:noWrap/>
          </w:tcPr>
          <w:p w14:paraId="52099D2A" w14:textId="77777777" w:rsidR="000323A2" w:rsidRPr="000323A2" w:rsidRDefault="000323A2" w:rsidP="000323A2">
            <w:pPr>
              <w:spacing w:before="240"/>
              <w:jc w:val="center"/>
              <w:rPr>
                <w:rFonts w:cs="Calibri"/>
                <w:color w:val="000000"/>
                <w:sz w:val="20"/>
                <w:szCs w:val="20"/>
              </w:rPr>
            </w:pPr>
            <w:r w:rsidRPr="000323A2">
              <w:t xml:space="preserve"> $59 </w:t>
            </w:r>
          </w:p>
        </w:tc>
        <w:tc>
          <w:tcPr>
            <w:tcW w:w="3414" w:type="dxa"/>
            <w:noWrap/>
          </w:tcPr>
          <w:p w14:paraId="55DF366A"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2 </w:t>
            </w:r>
            <w:proofErr w:type="spellStart"/>
            <w:r w:rsidRPr="000323A2">
              <w:rPr>
                <w:rFonts w:cs="Calibri"/>
                <w:color w:val="000000"/>
                <w:sz w:val="20"/>
                <w:szCs w:val="20"/>
              </w:rPr>
              <w:t>Gbps</w:t>
            </w:r>
            <w:proofErr w:type="spellEnd"/>
          </w:p>
        </w:tc>
        <w:tc>
          <w:tcPr>
            <w:tcW w:w="1168" w:type="dxa"/>
            <w:noWrap/>
          </w:tcPr>
          <w:p w14:paraId="6F375865" w14:textId="77777777" w:rsidR="000323A2" w:rsidRPr="000323A2" w:rsidRDefault="000323A2" w:rsidP="000323A2">
            <w:pPr>
              <w:spacing w:before="240"/>
              <w:jc w:val="center"/>
              <w:rPr>
                <w:rFonts w:cs="Calibri"/>
                <w:color w:val="000000"/>
                <w:sz w:val="20"/>
                <w:szCs w:val="20"/>
              </w:rPr>
            </w:pPr>
            <w:r w:rsidRPr="000323A2">
              <w:t xml:space="preserve"> $200 </w:t>
            </w:r>
          </w:p>
        </w:tc>
      </w:tr>
      <w:tr w:rsidR="000323A2" w:rsidRPr="000323A2" w14:paraId="3A517AB4" w14:textId="77777777" w:rsidTr="000323A2">
        <w:trPr>
          <w:trHeight w:val="300"/>
          <w:jc w:val="center"/>
        </w:trPr>
        <w:tc>
          <w:tcPr>
            <w:tcW w:w="2781" w:type="dxa"/>
            <w:noWrap/>
          </w:tcPr>
          <w:p w14:paraId="783E7098"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90 Mbps</w:t>
            </w:r>
          </w:p>
        </w:tc>
        <w:tc>
          <w:tcPr>
            <w:tcW w:w="785" w:type="dxa"/>
            <w:noWrap/>
          </w:tcPr>
          <w:p w14:paraId="0E726212" w14:textId="77777777" w:rsidR="000323A2" w:rsidRPr="000323A2" w:rsidRDefault="000323A2" w:rsidP="000323A2">
            <w:pPr>
              <w:spacing w:before="240"/>
              <w:jc w:val="center"/>
              <w:rPr>
                <w:rFonts w:cs="Calibri"/>
                <w:color w:val="000000"/>
                <w:sz w:val="20"/>
                <w:szCs w:val="20"/>
              </w:rPr>
            </w:pPr>
            <w:r w:rsidRPr="000323A2">
              <w:t xml:space="preserve"> $61 </w:t>
            </w:r>
          </w:p>
        </w:tc>
        <w:tc>
          <w:tcPr>
            <w:tcW w:w="3414" w:type="dxa"/>
            <w:noWrap/>
          </w:tcPr>
          <w:p w14:paraId="552900EA"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4 </w:t>
            </w:r>
            <w:proofErr w:type="spellStart"/>
            <w:r w:rsidRPr="000323A2">
              <w:rPr>
                <w:rFonts w:cs="Calibri"/>
                <w:color w:val="000000"/>
                <w:sz w:val="20"/>
                <w:szCs w:val="20"/>
              </w:rPr>
              <w:t>Gbps</w:t>
            </w:r>
            <w:proofErr w:type="spellEnd"/>
          </w:p>
        </w:tc>
        <w:tc>
          <w:tcPr>
            <w:tcW w:w="1168" w:type="dxa"/>
            <w:noWrap/>
          </w:tcPr>
          <w:p w14:paraId="2114E993" w14:textId="77777777" w:rsidR="000323A2" w:rsidRPr="000323A2" w:rsidRDefault="000323A2" w:rsidP="000323A2">
            <w:pPr>
              <w:spacing w:before="240"/>
              <w:jc w:val="center"/>
              <w:rPr>
                <w:rFonts w:cs="Calibri"/>
                <w:color w:val="000000"/>
                <w:sz w:val="20"/>
                <w:szCs w:val="20"/>
              </w:rPr>
            </w:pPr>
            <w:r w:rsidRPr="000323A2">
              <w:t xml:space="preserve"> $260 </w:t>
            </w:r>
          </w:p>
        </w:tc>
      </w:tr>
      <w:tr w:rsidR="000323A2" w:rsidRPr="000323A2" w14:paraId="280A84D0" w14:textId="77777777" w:rsidTr="000323A2">
        <w:trPr>
          <w:trHeight w:val="300"/>
          <w:jc w:val="center"/>
        </w:trPr>
        <w:tc>
          <w:tcPr>
            <w:tcW w:w="2781" w:type="dxa"/>
            <w:noWrap/>
          </w:tcPr>
          <w:p w14:paraId="62DD1E1C" w14:textId="77777777" w:rsidR="000323A2" w:rsidRPr="000323A2" w:rsidRDefault="000323A2" w:rsidP="000323A2">
            <w:pPr>
              <w:spacing w:before="240"/>
              <w:jc w:val="center"/>
              <w:rPr>
                <w:rFonts w:cs="Calibri"/>
                <w:color w:val="000000"/>
                <w:sz w:val="20"/>
                <w:szCs w:val="20"/>
              </w:rPr>
            </w:pPr>
            <w:r w:rsidRPr="000323A2">
              <w:rPr>
                <w:rFonts w:cs="Calibri"/>
                <w:color w:val="000000"/>
                <w:sz w:val="20"/>
                <w:szCs w:val="20"/>
              </w:rPr>
              <w:t>Ethernet 100 Mbps</w:t>
            </w:r>
          </w:p>
        </w:tc>
        <w:tc>
          <w:tcPr>
            <w:tcW w:w="785" w:type="dxa"/>
            <w:noWrap/>
          </w:tcPr>
          <w:p w14:paraId="57D90664" w14:textId="77777777" w:rsidR="000323A2" w:rsidRPr="000323A2" w:rsidRDefault="000323A2" w:rsidP="000323A2">
            <w:pPr>
              <w:spacing w:before="240"/>
              <w:jc w:val="center"/>
              <w:rPr>
                <w:rFonts w:cs="Calibri"/>
                <w:color w:val="000000"/>
                <w:sz w:val="20"/>
                <w:szCs w:val="20"/>
              </w:rPr>
            </w:pPr>
            <w:r w:rsidRPr="000323A2">
              <w:t xml:space="preserve"> $64 </w:t>
            </w:r>
          </w:p>
        </w:tc>
        <w:tc>
          <w:tcPr>
            <w:tcW w:w="3414" w:type="dxa"/>
            <w:noWrap/>
          </w:tcPr>
          <w:p w14:paraId="3BD70B96"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6 </w:t>
            </w:r>
            <w:proofErr w:type="spellStart"/>
            <w:r w:rsidRPr="000323A2">
              <w:rPr>
                <w:rFonts w:cs="Calibri"/>
                <w:color w:val="000000"/>
                <w:sz w:val="20"/>
                <w:szCs w:val="20"/>
              </w:rPr>
              <w:t>Gbps</w:t>
            </w:r>
            <w:proofErr w:type="spellEnd"/>
          </w:p>
        </w:tc>
        <w:tc>
          <w:tcPr>
            <w:tcW w:w="1168" w:type="dxa"/>
            <w:noWrap/>
          </w:tcPr>
          <w:p w14:paraId="43E44A7D" w14:textId="77777777" w:rsidR="000323A2" w:rsidRPr="000323A2" w:rsidRDefault="000323A2" w:rsidP="000323A2">
            <w:pPr>
              <w:spacing w:before="240"/>
              <w:jc w:val="center"/>
              <w:rPr>
                <w:rFonts w:cs="Calibri"/>
                <w:color w:val="000000"/>
                <w:sz w:val="20"/>
                <w:szCs w:val="20"/>
              </w:rPr>
            </w:pPr>
            <w:r w:rsidRPr="000323A2">
              <w:t xml:space="preserve"> $303 </w:t>
            </w:r>
          </w:p>
        </w:tc>
      </w:tr>
      <w:tr w:rsidR="000323A2" w:rsidRPr="000323A2" w14:paraId="1C6CA953" w14:textId="77777777" w:rsidTr="000323A2">
        <w:trPr>
          <w:trHeight w:val="300"/>
          <w:jc w:val="center"/>
        </w:trPr>
        <w:tc>
          <w:tcPr>
            <w:tcW w:w="2781" w:type="dxa"/>
            <w:noWrap/>
          </w:tcPr>
          <w:p w14:paraId="3695EC84"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100 Mbps</w:t>
            </w:r>
          </w:p>
        </w:tc>
        <w:tc>
          <w:tcPr>
            <w:tcW w:w="785" w:type="dxa"/>
            <w:noWrap/>
          </w:tcPr>
          <w:p w14:paraId="309F4C56" w14:textId="77777777" w:rsidR="000323A2" w:rsidRPr="000323A2" w:rsidRDefault="000323A2" w:rsidP="000323A2">
            <w:pPr>
              <w:spacing w:before="240"/>
              <w:jc w:val="center"/>
              <w:rPr>
                <w:rFonts w:cs="Calibri"/>
                <w:color w:val="000000"/>
                <w:sz w:val="20"/>
                <w:szCs w:val="20"/>
              </w:rPr>
            </w:pPr>
            <w:r w:rsidRPr="000323A2">
              <w:t xml:space="preserve"> $64 </w:t>
            </w:r>
          </w:p>
        </w:tc>
        <w:tc>
          <w:tcPr>
            <w:tcW w:w="3414" w:type="dxa"/>
            <w:noWrap/>
          </w:tcPr>
          <w:p w14:paraId="6A40448C"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8 </w:t>
            </w:r>
            <w:proofErr w:type="spellStart"/>
            <w:r w:rsidRPr="000323A2">
              <w:rPr>
                <w:rFonts w:cs="Calibri"/>
                <w:color w:val="000000"/>
                <w:sz w:val="20"/>
                <w:szCs w:val="20"/>
              </w:rPr>
              <w:t>Gbps</w:t>
            </w:r>
            <w:proofErr w:type="spellEnd"/>
          </w:p>
        </w:tc>
        <w:tc>
          <w:tcPr>
            <w:tcW w:w="1168" w:type="dxa"/>
            <w:noWrap/>
          </w:tcPr>
          <w:p w14:paraId="3E92AFBD" w14:textId="77777777" w:rsidR="000323A2" w:rsidRPr="000323A2" w:rsidRDefault="000323A2" w:rsidP="000323A2">
            <w:pPr>
              <w:spacing w:before="240"/>
              <w:jc w:val="center"/>
              <w:rPr>
                <w:rFonts w:cs="Calibri"/>
                <w:color w:val="000000"/>
                <w:sz w:val="20"/>
                <w:szCs w:val="20"/>
              </w:rPr>
            </w:pPr>
            <w:r w:rsidRPr="000323A2">
              <w:t xml:space="preserve"> $338 </w:t>
            </w:r>
          </w:p>
        </w:tc>
      </w:tr>
      <w:tr w:rsidR="000323A2" w:rsidRPr="000323A2" w14:paraId="7D6DE232" w14:textId="77777777" w:rsidTr="000323A2">
        <w:trPr>
          <w:trHeight w:val="300"/>
          <w:jc w:val="center"/>
        </w:trPr>
        <w:tc>
          <w:tcPr>
            <w:tcW w:w="2781" w:type="dxa"/>
            <w:noWrap/>
          </w:tcPr>
          <w:p w14:paraId="0FA88975"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150 Mbps</w:t>
            </w:r>
          </w:p>
        </w:tc>
        <w:tc>
          <w:tcPr>
            <w:tcW w:w="785" w:type="dxa"/>
            <w:noWrap/>
          </w:tcPr>
          <w:p w14:paraId="4FADF8BD" w14:textId="77777777" w:rsidR="000323A2" w:rsidRPr="000323A2" w:rsidRDefault="000323A2" w:rsidP="000323A2">
            <w:pPr>
              <w:spacing w:before="240"/>
              <w:jc w:val="center"/>
              <w:rPr>
                <w:rFonts w:cs="Calibri"/>
                <w:color w:val="000000"/>
                <w:sz w:val="20"/>
                <w:szCs w:val="20"/>
              </w:rPr>
            </w:pPr>
            <w:r w:rsidRPr="000323A2">
              <w:t xml:space="preserve"> $75 </w:t>
            </w:r>
          </w:p>
        </w:tc>
        <w:tc>
          <w:tcPr>
            <w:tcW w:w="3414" w:type="dxa"/>
            <w:noWrap/>
          </w:tcPr>
          <w:p w14:paraId="602C3D14"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10 </w:t>
            </w:r>
            <w:proofErr w:type="spellStart"/>
            <w:r w:rsidRPr="000323A2">
              <w:rPr>
                <w:rFonts w:cs="Calibri"/>
                <w:color w:val="000000"/>
                <w:sz w:val="20"/>
                <w:szCs w:val="20"/>
              </w:rPr>
              <w:t>Gbps</w:t>
            </w:r>
            <w:proofErr w:type="spellEnd"/>
          </w:p>
        </w:tc>
        <w:tc>
          <w:tcPr>
            <w:tcW w:w="1168" w:type="dxa"/>
            <w:noWrap/>
          </w:tcPr>
          <w:p w14:paraId="1C3020FA" w14:textId="77777777" w:rsidR="000323A2" w:rsidRPr="000323A2" w:rsidRDefault="000323A2" w:rsidP="000323A2">
            <w:pPr>
              <w:spacing w:before="240"/>
              <w:jc w:val="center"/>
              <w:rPr>
                <w:rFonts w:cs="Calibri"/>
                <w:color w:val="000000"/>
                <w:sz w:val="20"/>
                <w:szCs w:val="20"/>
              </w:rPr>
            </w:pPr>
            <w:r w:rsidRPr="000323A2">
              <w:t xml:space="preserve"> $368 </w:t>
            </w:r>
          </w:p>
        </w:tc>
      </w:tr>
      <w:tr w:rsidR="000323A2" w:rsidRPr="000323A2" w14:paraId="1138269D" w14:textId="77777777" w:rsidTr="000323A2">
        <w:trPr>
          <w:trHeight w:val="300"/>
          <w:jc w:val="center"/>
        </w:trPr>
        <w:tc>
          <w:tcPr>
            <w:tcW w:w="2781" w:type="dxa"/>
            <w:noWrap/>
          </w:tcPr>
          <w:p w14:paraId="7B8B8E06" w14:textId="77777777" w:rsidR="000323A2" w:rsidRPr="000323A2" w:rsidRDefault="000323A2" w:rsidP="000323A2">
            <w:pPr>
              <w:spacing w:before="240"/>
              <w:jc w:val="center"/>
              <w:rPr>
                <w:rFonts w:cs="Calibri"/>
                <w:color w:val="000000"/>
                <w:sz w:val="20"/>
                <w:szCs w:val="20"/>
              </w:rPr>
            </w:pPr>
          </w:p>
        </w:tc>
        <w:tc>
          <w:tcPr>
            <w:tcW w:w="785" w:type="dxa"/>
            <w:noWrap/>
          </w:tcPr>
          <w:p w14:paraId="33D471BE" w14:textId="77777777" w:rsidR="000323A2" w:rsidRPr="000323A2" w:rsidRDefault="000323A2" w:rsidP="000323A2">
            <w:pPr>
              <w:spacing w:before="240"/>
              <w:jc w:val="center"/>
              <w:rPr>
                <w:rFonts w:cs="Calibri"/>
                <w:color w:val="000000"/>
                <w:sz w:val="20"/>
                <w:szCs w:val="20"/>
              </w:rPr>
            </w:pPr>
          </w:p>
        </w:tc>
        <w:tc>
          <w:tcPr>
            <w:tcW w:w="3414" w:type="dxa"/>
            <w:noWrap/>
          </w:tcPr>
          <w:p w14:paraId="781C5FB6" w14:textId="77777777" w:rsidR="000323A2" w:rsidRPr="000323A2" w:rsidRDefault="000323A2" w:rsidP="000323A2">
            <w:pPr>
              <w:spacing w:before="240"/>
              <w:jc w:val="center"/>
              <w:rPr>
                <w:rFonts w:cs="Calibri"/>
                <w:color w:val="000000"/>
                <w:sz w:val="20"/>
                <w:szCs w:val="20"/>
              </w:rPr>
            </w:pPr>
            <w:proofErr w:type="spellStart"/>
            <w:r w:rsidRPr="000323A2">
              <w:rPr>
                <w:rFonts w:cs="Calibri"/>
                <w:color w:val="000000"/>
                <w:sz w:val="20"/>
                <w:szCs w:val="20"/>
              </w:rPr>
              <w:t>GigaEthernet</w:t>
            </w:r>
            <w:proofErr w:type="spellEnd"/>
            <w:r w:rsidRPr="000323A2">
              <w:rPr>
                <w:rFonts w:cs="Calibri"/>
                <w:color w:val="000000"/>
                <w:sz w:val="20"/>
                <w:szCs w:val="20"/>
              </w:rPr>
              <w:t xml:space="preserve"> 100 </w:t>
            </w:r>
            <w:proofErr w:type="spellStart"/>
            <w:r w:rsidRPr="000323A2">
              <w:rPr>
                <w:rFonts w:cs="Calibri"/>
                <w:color w:val="000000"/>
                <w:sz w:val="20"/>
                <w:szCs w:val="20"/>
              </w:rPr>
              <w:t>Gbps</w:t>
            </w:r>
            <w:proofErr w:type="spellEnd"/>
          </w:p>
        </w:tc>
        <w:tc>
          <w:tcPr>
            <w:tcW w:w="1168" w:type="dxa"/>
            <w:noWrap/>
          </w:tcPr>
          <w:p w14:paraId="7390B336" w14:textId="77777777" w:rsidR="000323A2" w:rsidRPr="000323A2" w:rsidRDefault="000323A2" w:rsidP="000323A2">
            <w:pPr>
              <w:spacing w:before="240"/>
              <w:jc w:val="center"/>
              <w:rPr>
                <w:rFonts w:cs="Calibri"/>
                <w:color w:val="000000"/>
                <w:sz w:val="20"/>
                <w:szCs w:val="20"/>
              </w:rPr>
            </w:pPr>
            <w:r w:rsidRPr="000323A2">
              <w:t xml:space="preserve"> $883</w:t>
            </w:r>
          </w:p>
        </w:tc>
      </w:tr>
    </w:tbl>
    <w:p w14:paraId="322E2296" w14:textId="77777777" w:rsidR="000323A2" w:rsidRPr="000323A2" w:rsidRDefault="000323A2" w:rsidP="000323A2">
      <w:pPr>
        <w:spacing w:before="240" w:after="0" w:line="240" w:lineRule="auto"/>
        <w:jc w:val="both"/>
        <w:rPr>
          <w:rFonts w:ascii="Arial" w:eastAsia="Calibri" w:hAnsi="Arial" w:cs="Times New Roman"/>
        </w:rPr>
      </w:pPr>
      <w:r w:rsidRPr="000323A2">
        <w:rPr>
          <w:rFonts w:ascii="Arial" w:eastAsia="Calibri" w:hAnsi="Arial" w:cs="Times New Roman"/>
        </w:rPr>
        <w:t>Las condiciones establecidas en el presente Anexo “A”, serán vigentes a partir de la firma del presente y hasta el 31 de diciembre del 2018.</w:t>
      </w:r>
    </w:p>
    <w:p w14:paraId="2EF1AE42" w14:textId="77777777" w:rsidR="000323A2" w:rsidRPr="000323A2" w:rsidRDefault="000323A2" w:rsidP="000323A2">
      <w:pPr>
        <w:spacing w:before="240" w:after="0" w:line="240" w:lineRule="auto"/>
        <w:jc w:val="both"/>
        <w:rPr>
          <w:rFonts w:ascii="Arial" w:eastAsia="Calibri" w:hAnsi="Arial" w:cs="Times New Roman"/>
        </w:rPr>
      </w:pPr>
      <w:r w:rsidRPr="000323A2">
        <w:rPr>
          <w:rFonts w:ascii="Arial" w:eastAsia="Calibri" w:hAnsi="Arial" w:cs="Times New Roman"/>
        </w:rPr>
        <w:t>Este Anexo “A”</w:t>
      </w:r>
      <w:r w:rsidRPr="000323A2">
        <w:rPr>
          <w:rFonts w:ascii="Arial" w:eastAsia="Calibri" w:hAnsi="Arial" w:cs="Times New Roman"/>
          <w:i/>
        </w:rPr>
        <w:t xml:space="preserve">, </w:t>
      </w:r>
      <w:r w:rsidRPr="000323A2">
        <w:rPr>
          <w:rFonts w:ascii="Arial" w:eastAsia="Calibri" w:hAnsi="Arial" w:cs="Times New Roman"/>
        </w:rPr>
        <w:t xml:space="preserve">se firma por los responsables debidamente facultados de las partes el </w:t>
      </w:r>
      <w:r w:rsidRPr="000323A2">
        <w:rPr>
          <w:rFonts w:ascii="Arial" w:eastAsia="Calibri" w:hAnsi="Arial" w:cs="Arial"/>
          <w:b/>
          <w:color w:val="00B0F0"/>
          <w:sz w:val="24"/>
          <w:szCs w:val="24"/>
          <w:lang w:val="es-ES" w:eastAsia="es-ES"/>
        </w:rPr>
        <w:t>(…)</w:t>
      </w:r>
      <w:r w:rsidRPr="000323A2">
        <w:rPr>
          <w:rFonts w:ascii="Arial" w:eastAsia="Calibri" w:hAnsi="Arial" w:cs="Times New Roman"/>
        </w:rPr>
        <w:t xml:space="preserve"> de </w:t>
      </w:r>
      <w:r w:rsidRPr="000323A2">
        <w:rPr>
          <w:rFonts w:ascii="Arial" w:eastAsia="Calibri" w:hAnsi="Arial" w:cs="Arial"/>
          <w:b/>
          <w:color w:val="00B0F0"/>
          <w:sz w:val="24"/>
          <w:szCs w:val="24"/>
          <w:lang w:val="es-ES" w:eastAsia="es-ES"/>
        </w:rPr>
        <w:t>(…)</w:t>
      </w:r>
      <w:r w:rsidRPr="000323A2">
        <w:rPr>
          <w:rFonts w:ascii="Arial" w:eastAsia="Calibri" w:hAnsi="Arial" w:cs="Times New Roman"/>
        </w:rPr>
        <w:t xml:space="preserve"> de 2018.</w:t>
      </w:r>
    </w:p>
    <w:tbl>
      <w:tblPr>
        <w:tblStyle w:val="Cuadrculadetablaclara1"/>
        <w:tblW w:w="924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Caption w:val="Tabla"/>
        <w:tblDescription w:val="Tabla de firmas"/>
      </w:tblPr>
      <w:tblGrid>
        <w:gridCol w:w="4550"/>
        <w:gridCol w:w="4692"/>
      </w:tblGrid>
      <w:tr w:rsidR="000323A2" w:rsidRPr="000323A2" w14:paraId="198362AA" w14:textId="77777777" w:rsidTr="000323A2">
        <w:trPr>
          <w:tblHeader/>
          <w:jc w:val="center"/>
        </w:trPr>
        <w:tc>
          <w:tcPr>
            <w:tcW w:w="4550" w:type="dxa"/>
          </w:tcPr>
          <w:p w14:paraId="08B6E4AF" w14:textId="77777777" w:rsidR="000323A2" w:rsidRPr="000323A2" w:rsidRDefault="000323A2" w:rsidP="000323A2">
            <w:pPr>
              <w:spacing w:before="240"/>
              <w:jc w:val="center"/>
              <w:rPr>
                <w:rFonts w:ascii="Arial" w:hAnsi="Arial" w:cs="Arial"/>
                <w:b/>
                <w:lang w:val="es-ES_tradnl"/>
              </w:rPr>
            </w:pPr>
            <w:r w:rsidRPr="000323A2">
              <w:rPr>
                <w:rFonts w:ascii="Arial" w:hAnsi="Arial" w:cs="Arial"/>
                <w:b/>
                <w:lang w:val="es-ES_tradnl"/>
              </w:rPr>
              <w:t>TELÉFONOS DE MEXICO,</w:t>
            </w:r>
          </w:p>
          <w:p w14:paraId="6B6FC4B8" w14:textId="77777777" w:rsidR="000323A2" w:rsidRPr="000323A2" w:rsidRDefault="000323A2" w:rsidP="000323A2">
            <w:pPr>
              <w:spacing w:before="240"/>
              <w:jc w:val="center"/>
              <w:rPr>
                <w:rFonts w:ascii="Arial" w:hAnsi="Arial" w:cs="Arial"/>
                <w:lang w:val="es-ES_tradnl"/>
              </w:rPr>
            </w:pPr>
            <w:r w:rsidRPr="000323A2">
              <w:rPr>
                <w:rFonts w:ascii="Arial" w:hAnsi="Arial" w:cs="Arial"/>
                <w:b/>
                <w:lang w:val="es-ES_tradnl"/>
              </w:rPr>
              <w:t>S.A.B. DE C.V.</w:t>
            </w:r>
          </w:p>
        </w:tc>
        <w:tc>
          <w:tcPr>
            <w:tcW w:w="4692" w:type="dxa"/>
          </w:tcPr>
          <w:p w14:paraId="39DABB0F" w14:textId="77777777" w:rsidR="000323A2" w:rsidRPr="000323A2" w:rsidRDefault="000323A2" w:rsidP="000323A2">
            <w:pPr>
              <w:spacing w:before="240"/>
              <w:jc w:val="center"/>
              <w:rPr>
                <w:rFonts w:ascii="Arial" w:hAnsi="Arial" w:cs="Arial"/>
                <w:b/>
                <w:lang w:val="es-ES_tradnl"/>
              </w:rPr>
            </w:pPr>
            <w:r w:rsidRPr="000323A2">
              <w:rPr>
                <w:rFonts w:ascii="Arial" w:hAnsi="Arial" w:cs="Arial"/>
                <w:b/>
                <w:lang w:val="es-ES_tradnl"/>
              </w:rPr>
              <w:t>CONCESIONARIO SOLICITANTE O AUTORIZADO SOLICITANTE</w:t>
            </w:r>
          </w:p>
          <w:p w14:paraId="1746FDCD" w14:textId="77777777" w:rsidR="000323A2" w:rsidRPr="000323A2" w:rsidRDefault="000323A2" w:rsidP="000323A2">
            <w:pPr>
              <w:spacing w:before="240"/>
              <w:jc w:val="center"/>
              <w:rPr>
                <w:rFonts w:ascii="Arial" w:hAnsi="Arial" w:cs="Arial"/>
                <w:lang w:val="es-ES_tradnl"/>
              </w:rPr>
            </w:pPr>
          </w:p>
        </w:tc>
      </w:tr>
      <w:tr w:rsidR="000323A2" w:rsidRPr="000323A2" w14:paraId="33F21174" w14:textId="77777777" w:rsidTr="000323A2">
        <w:trPr>
          <w:tblHeader/>
          <w:jc w:val="center"/>
        </w:trPr>
        <w:tc>
          <w:tcPr>
            <w:tcW w:w="4550" w:type="dxa"/>
          </w:tcPr>
          <w:p w14:paraId="606CC848" w14:textId="77777777" w:rsidR="000323A2" w:rsidRPr="000323A2" w:rsidRDefault="000323A2" w:rsidP="000323A2">
            <w:pPr>
              <w:spacing w:before="240"/>
              <w:jc w:val="center"/>
              <w:rPr>
                <w:rFonts w:ascii="Arial" w:hAnsi="Arial" w:cs="Arial"/>
                <w:b/>
                <w:lang w:val="es-ES_tradnl"/>
              </w:rPr>
            </w:pPr>
            <w:r w:rsidRPr="000323A2">
              <w:rPr>
                <w:rFonts w:ascii="Arial" w:hAnsi="Arial" w:cs="Arial"/>
                <w:b/>
                <w:color w:val="00B0F0"/>
                <w:sz w:val="24"/>
                <w:szCs w:val="24"/>
                <w:lang w:val="es-ES" w:eastAsia="es-ES"/>
              </w:rPr>
              <w:t>(…)</w:t>
            </w:r>
          </w:p>
        </w:tc>
        <w:tc>
          <w:tcPr>
            <w:tcW w:w="4692" w:type="dxa"/>
          </w:tcPr>
          <w:p w14:paraId="484C58A8" w14:textId="77777777" w:rsidR="000323A2" w:rsidRPr="000323A2" w:rsidRDefault="000323A2" w:rsidP="000323A2">
            <w:pPr>
              <w:spacing w:before="240"/>
              <w:jc w:val="center"/>
              <w:rPr>
                <w:rFonts w:ascii="Arial" w:hAnsi="Arial" w:cs="Arial"/>
                <w:b/>
                <w:lang w:val="pt-BR"/>
              </w:rPr>
            </w:pPr>
            <w:r w:rsidRPr="000323A2">
              <w:rPr>
                <w:rFonts w:ascii="Arial" w:hAnsi="Arial" w:cs="Arial"/>
                <w:b/>
                <w:color w:val="00B0F0"/>
                <w:sz w:val="24"/>
                <w:szCs w:val="24"/>
                <w:lang w:val="es-ES" w:eastAsia="es-ES"/>
              </w:rPr>
              <w:t>(…)</w:t>
            </w:r>
          </w:p>
        </w:tc>
      </w:tr>
    </w:tbl>
    <w:p w14:paraId="46E2B695" w14:textId="77E591AA" w:rsidR="00AF0E67" w:rsidRPr="00D57431" w:rsidRDefault="00AF0E67" w:rsidP="00D23C4A">
      <w:pPr>
        <w:pStyle w:val="estilo30"/>
        <w:spacing w:before="0" w:beforeAutospacing="0" w:after="0" w:afterAutospacing="0"/>
        <w:ind w:right="49"/>
        <w:jc w:val="both"/>
        <w:rPr>
          <w:rFonts w:ascii="ITC Avant Garde" w:hAnsi="ITC Avant Garde"/>
          <w:sz w:val="14"/>
          <w:szCs w:val="14"/>
        </w:rPr>
      </w:pPr>
    </w:p>
    <w:sectPr w:rsidR="00AF0E67" w:rsidRPr="00D57431" w:rsidSect="000323A2">
      <w:headerReference w:type="default" r:id="rId63"/>
      <w:footerReference w:type="default" r:id="rId64"/>
      <w:pgSz w:w="12240" w:h="15840"/>
      <w:pgMar w:top="1985" w:right="1701" w:bottom="1418" w:left="1701"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407941D" w16cid:durableId="1D8E8123"/>
  <w16cid:commentId w16cid:paraId="6EF8EA5E" w16cid:durableId="1D8E8124"/>
  <w16cid:commentId w16cid:paraId="24347CD0" w16cid:durableId="1D8E8125"/>
  <w16cid:commentId w16cid:paraId="6895306E" w16cid:durableId="1D8E8126"/>
  <w16cid:commentId w16cid:paraId="6EC6DF7B" w16cid:durableId="1D8E8127"/>
  <w16cid:commentId w16cid:paraId="51305444" w16cid:durableId="1D8E812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822E3" w14:textId="77777777" w:rsidR="00B04B36" w:rsidRDefault="00B04B36" w:rsidP="00FE25DD">
      <w:pPr>
        <w:spacing w:after="0" w:line="240" w:lineRule="auto"/>
      </w:pPr>
      <w:r>
        <w:separator/>
      </w:r>
    </w:p>
  </w:endnote>
  <w:endnote w:type="continuationSeparator" w:id="0">
    <w:p w14:paraId="3F1B4903" w14:textId="77777777" w:rsidR="00B04B36" w:rsidRDefault="00B04B36" w:rsidP="00FE25DD">
      <w:pPr>
        <w:spacing w:after="0" w:line="240" w:lineRule="auto"/>
      </w:pPr>
      <w:r>
        <w:continuationSeparator/>
      </w:r>
    </w:p>
  </w:endnote>
  <w:endnote w:type="continuationNotice" w:id="1">
    <w:p w14:paraId="109009C8" w14:textId="77777777" w:rsidR="00B04B36" w:rsidRDefault="00B04B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A0002AEF" w:usb1="4000207B" w:usb2="00000000" w:usb3="00000000" w:csb0="000001FF" w:csb1="00000000"/>
  </w:font>
  <w:font w:name="Helvetica">
    <w:panose1 w:val="020B0604020202020204"/>
    <w:charset w:val="00"/>
    <w:family w:val="auto"/>
    <w:pitch w:val="variable"/>
    <w:sig w:usb0="00000203" w:usb1="00000000" w:usb2="00000000" w:usb3="00000000" w:csb0="00000005"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09507"/>
      <w:docPartObj>
        <w:docPartGallery w:val="Page Numbers (Bottom of Page)"/>
        <w:docPartUnique/>
      </w:docPartObj>
    </w:sdtPr>
    <w:sdtContent>
      <w:p w14:paraId="449FE29B" w14:textId="5A0493AF" w:rsidR="002E573E" w:rsidRDefault="002E573E" w:rsidP="00D23C4A">
        <w:pPr>
          <w:pStyle w:val="Piedepgina"/>
          <w:jc w:val="center"/>
        </w:pPr>
        <w:r>
          <w:fldChar w:fldCharType="begin"/>
        </w:r>
        <w:r>
          <w:instrText xml:space="preserve"> PAGE   \* MERGEFORMAT </w:instrText>
        </w:r>
        <w:r>
          <w:fldChar w:fldCharType="separate"/>
        </w:r>
        <w:r w:rsidR="006325F7">
          <w:rPr>
            <w:noProof/>
          </w:rPr>
          <w:t>19</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8813215"/>
      <w:docPartObj>
        <w:docPartGallery w:val="Page Numbers (Bottom of Page)"/>
        <w:docPartUnique/>
      </w:docPartObj>
    </w:sdtPr>
    <w:sdtEndPr>
      <w:rPr>
        <w:rFonts w:ascii="Arial" w:hAnsi="Arial" w:cs="Arial"/>
        <w:sz w:val="16"/>
      </w:rPr>
    </w:sdtEndPr>
    <w:sdtContent>
      <w:p w14:paraId="16B01AAD" w14:textId="65908AF2" w:rsidR="002E573E" w:rsidRPr="0082057F" w:rsidRDefault="002E573E" w:rsidP="000323A2">
        <w:pPr>
          <w:pStyle w:val="Piedepgina"/>
          <w:jc w:val="right"/>
          <w:rPr>
            <w:rFonts w:ascii="Arial" w:hAnsi="Arial" w:cs="Arial"/>
            <w:sz w:val="16"/>
          </w:rPr>
        </w:pPr>
        <w:r w:rsidRPr="002E1824">
          <w:rPr>
            <w:rFonts w:ascii="Arial" w:hAnsi="Arial" w:cs="Arial"/>
            <w:sz w:val="16"/>
          </w:rPr>
          <w:fldChar w:fldCharType="begin"/>
        </w:r>
        <w:r w:rsidRPr="002E1824">
          <w:rPr>
            <w:rFonts w:ascii="Arial" w:hAnsi="Arial" w:cs="Arial"/>
            <w:sz w:val="16"/>
          </w:rPr>
          <w:instrText>PAGE   \* MERGEFORMAT</w:instrText>
        </w:r>
        <w:r w:rsidRPr="002E1824">
          <w:rPr>
            <w:rFonts w:ascii="Arial" w:hAnsi="Arial" w:cs="Arial"/>
            <w:sz w:val="16"/>
          </w:rPr>
          <w:fldChar w:fldCharType="separate"/>
        </w:r>
        <w:r w:rsidR="006325F7" w:rsidRPr="006325F7">
          <w:rPr>
            <w:rFonts w:ascii="Arial" w:hAnsi="Arial" w:cs="Arial"/>
            <w:noProof/>
            <w:sz w:val="16"/>
            <w:lang w:val="es-ES"/>
          </w:rPr>
          <w:t>43</w:t>
        </w:r>
        <w:r w:rsidRPr="002E1824">
          <w:rPr>
            <w:rFonts w:ascii="Arial" w:hAnsi="Arial" w:cs="Arial"/>
            <w:sz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6800766"/>
      <w:docPartObj>
        <w:docPartGallery w:val="Page Numbers (Bottom of Page)"/>
        <w:docPartUnique/>
      </w:docPartObj>
    </w:sdtPr>
    <w:sdtContent>
      <w:p w14:paraId="36EEDDFA" w14:textId="1BEF40F8" w:rsidR="002E573E" w:rsidRDefault="002E573E" w:rsidP="00D23C4A">
        <w:pPr>
          <w:pStyle w:val="Piedepgina"/>
          <w:jc w:val="center"/>
        </w:pPr>
        <w:r>
          <w:fldChar w:fldCharType="begin"/>
        </w:r>
        <w:r>
          <w:instrText xml:space="preserve"> PAGE   \* MERGEFORMAT </w:instrText>
        </w:r>
        <w:r>
          <w:fldChar w:fldCharType="separate"/>
        </w:r>
        <w:r w:rsidR="006325F7">
          <w:rPr>
            <w:noProof/>
          </w:rPr>
          <w:t>155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4551D7" w14:textId="77777777" w:rsidR="00B04B36" w:rsidRDefault="00B04B36" w:rsidP="00FE25DD">
      <w:pPr>
        <w:spacing w:after="0" w:line="240" w:lineRule="auto"/>
      </w:pPr>
      <w:r>
        <w:separator/>
      </w:r>
    </w:p>
  </w:footnote>
  <w:footnote w:type="continuationSeparator" w:id="0">
    <w:p w14:paraId="29CF5AF5" w14:textId="77777777" w:rsidR="00B04B36" w:rsidRDefault="00B04B36" w:rsidP="00FE25DD">
      <w:pPr>
        <w:spacing w:after="0" w:line="240" w:lineRule="auto"/>
      </w:pPr>
      <w:r>
        <w:continuationSeparator/>
      </w:r>
    </w:p>
  </w:footnote>
  <w:footnote w:type="continuationNotice" w:id="1">
    <w:p w14:paraId="64A642F8" w14:textId="77777777" w:rsidR="00B04B36" w:rsidRDefault="00B04B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C0616" w14:textId="77777777" w:rsidR="002E573E" w:rsidRDefault="002E573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49D6"/>
    <w:multiLevelType w:val="multilevel"/>
    <w:tmpl w:val="C930C0EE"/>
    <w:lvl w:ilvl="0">
      <w:start w:val="9"/>
      <w:numFmt w:val="decimal"/>
      <w:lvlText w:val="%1"/>
      <w:lvlJc w:val="left"/>
      <w:pPr>
        <w:tabs>
          <w:tab w:val="num" w:pos="705"/>
        </w:tabs>
        <w:ind w:left="705" w:hanging="705"/>
      </w:pPr>
      <w:rPr>
        <w:rFonts w:cs="Times New Roman" w:hint="default"/>
        <w:b/>
      </w:rPr>
    </w:lvl>
    <w:lvl w:ilvl="1">
      <w:start w:val="1"/>
      <w:numFmt w:val="decimal"/>
      <w:lvlText w:val="%1.%2"/>
      <w:lvlJc w:val="left"/>
      <w:pPr>
        <w:tabs>
          <w:tab w:val="num" w:pos="705"/>
        </w:tabs>
        <w:ind w:left="705" w:hanging="705"/>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720"/>
        </w:tabs>
        <w:ind w:left="720" w:hanging="72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1" w15:restartNumberingAfterBreak="0">
    <w:nsid w:val="031A329C"/>
    <w:multiLevelType w:val="hybridMultilevel"/>
    <w:tmpl w:val="E7EAA4E0"/>
    <w:lvl w:ilvl="0" w:tplc="978E9CFE">
      <w:start w:val="1"/>
      <w:numFmt w:val="decimal"/>
      <w:pStyle w:val="TITULOCAP"/>
      <w:lvlText w:val="%1."/>
      <w:lvlJc w:val="left"/>
      <w:pPr>
        <w:ind w:left="720" w:hanging="360"/>
      </w:pPr>
      <w:rPr>
        <w:rFonts w:cs="Times New Roman" w:hint="default"/>
        <w:b/>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15:restartNumberingAfterBreak="0">
    <w:nsid w:val="033832B5"/>
    <w:multiLevelType w:val="hybridMultilevel"/>
    <w:tmpl w:val="171C04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D63219"/>
    <w:multiLevelType w:val="hybridMultilevel"/>
    <w:tmpl w:val="41EECCA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020ACB"/>
    <w:multiLevelType w:val="hybridMultilevel"/>
    <w:tmpl w:val="601C785C"/>
    <w:lvl w:ilvl="0" w:tplc="EB6C3F06">
      <w:start w:val="1"/>
      <w:numFmt w:val="bullet"/>
      <w:pStyle w:val="Cita"/>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5" w15:restartNumberingAfterBreak="0">
    <w:nsid w:val="07A91FEB"/>
    <w:multiLevelType w:val="hybridMultilevel"/>
    <w:tmpl w:val="DB34F318"/>
    <w:lvl w:ilvl="0" w:tplc="080A0001">
      <w:start w:val="1"/>
      <w:numFmt w:val="bullet"/>
      <w:lvlText w:val=""/>
      <w:lvlJc w:val="left"/>
      <w:pPr>
        <w:ind w:left="720" w:hanging="360"/>
      </w:pPr>
      <w:rPr>
        <w:rFonts w:ascii="Symbol" w:hAnsi="Symbol" w:hint="default"/>
      </w:rPr>
    </w:lvl>
    <w:lvl w:ilvl="1" w:tplc="DB889F8C">
      <w:numFmt w:val="bullet"/>
      <w:lvlText w:val="•"/>
      <w:lvlJc w:val="left"/>
      <w:pPr>
        <w:ind w:left="1440" w:hanging="360"/>
      </w:pPr>
      <w:rPr>
        <w:rFonts w:ascii="Arial" w:eastAsia="Times New Roman" w:hAnsi="Arial" w:hint="default"/>
      </w:rPr>
    </w:lvl>
    <w:lvl w:ilvl="2" w:tplc="12D49CB6">
      <w:numFmt w:val="bullet"/>
      <w:lvlText w:val="-"/>
      <w:lvlJc w:val="left"/>
      <w:pPr>
        <w:ind w:left="2160" w:hanging="360"/>
      </w:pPr>
      <w:rPr>
        <w:rFonts w:ascii="Arial" w:eastAsia="Times New Roman" w:hAnsi="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99C4663"/>
    <w:multiLevelType w:val="hybridMultilevel"/>
    <w:tmpl w:val="17EACE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9B5190F"/>
    <w:multiLevelType w:val="singleLevel"/>
    <w:tmpl w:val="4F144C78"/>
    <w:lvl w:ilvl="0">
      <w:start w:val="1"/>
      <w:numFmt w:val="decimal"/>
      <w:lvlText w:val="%1."/>
      <w:lvlJc w:val="left"/>
      <w:pPr>
        <w:tabs>
          <w:tab w:val="num" w:pos="360"/>
        </w:tabs>
        <w:ind w:left="360" w:hanging="360"/>
      </w:pPr>
      <w:rPr>
        <w:rFonts w:cs="Times New Roman" w:hint="default"/>
        <w:b/>
        <w:i w:val="0"/>
      </w:rPr>
    </w:lvl>
  </w:abstractNum>
  <w:abstractNum w:abstractNumId="8" w15:restartNumberingAfterBreak="0">
    <w:nsid w:val="0B0906DE"/>
    <w:multiLevelType w:val="hybridMultilevel"/>
    <w:tmpl w:val="D1B6B4A8"/>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9" w15:restartNumberingAfterBreak="0">
    <w:nsid w:val="0B0F722E"/>
    <w:multiLevelType w:val="hybridMultilevel"/>
    <w:tmpl w:val="00924EAE"/>
    <w:lvl w:ilvl="0" w:tplc="3CCE0CD0">
      <w:start w:val="1"/>
      <w:numFmt w:val="bullet"/>
      <w:lvlText w:val=""/>
      <w:lvlJc w:val="left"/>
      <w:pPr>
        <w:tabs>
          <w:tab w:val="num" w:pos="746"/>
        </w:tabs>
        <w:ind w:left="653" w:hanging="653"/>
      </w:pPr>
      <w:rPr>
        <w:rFonts w:ascii="Symbol" w:hAnsi="Symbol" w:hint="default"/>
        <w:b/>
        <w:color w:val="auto"/>
      </w:rPr>
    </w:lvl>
    <w:lvl w:ilvl="1" w:tplc="0C0A0003" w:tentative="1">
      <w:start w:val="1"/>
      <w:numFmt w:val="bullet"/>
      <w:lvlText w:val="o"/>
      <w:lvlJc w:val="left"/>
      <w:pPr>
        <w:tabs>
          <w:tab w:val="num" w:pos="1043"/>
        </w:tabs>
        <w:ind w:left="1043" w:hanging="360"/>
      </w:pPr>
      <w:rPr>
        <w:rFonts w:ascii="Courier New" w:hAnsi="Courier New" w:hint="default"/>
      </w:rPr>
    </w:lvl>
    <w:lvl w:ilvl="2" w:tplc="0C0A0005" w:tentative="1">
      <w:start w:val="1"/>
      <w:numFmt w:val="bullet"/>
      <w:lvlText w:val=""/>
      <w:lvlJc w:val="left"/>
      <w:pPr>
        <w:tabs>
          <w:tab w:val="num" w:pos="1763"/>
        </w:tabs>
        <w:ind w:left="1763" w:hanging="360"/>
      </w:pPr>
      <w:rPr>
        <w:rFonts w:ascii="Wingdings" w:hAnsi="Wingdings" w:hint="default"/>
      </w:rPr>
    </w:lvl>
    <w:lvl w:ilvl="3" w:tplc="0C0A0001" w:tentative="1">
      <w:start w:val="1"/>
      <w:numFmt w:val="bullet"/>
      <w:lvlText w:val=""/>
      <w:lvlJc w:val="left"/>
      <w:pPr>
        <w:tabs>
          <w:tab w:val="num" w:pos="2483"/>
        </w:tabs>
        <w:ind w:left="2483" w:hanging="360"/>
      </w:pPr>
      <w:rPr>
        <w:rFonts w:ascii="Symbol" w:hAnsi="Symbol" w:hint="default"/>
      </w:rPr>
    </w:lvl>
    <w:lvl w:ilvl="4" w:tplc="0C0A0003" w:tentative="1">
      <w:start w:val="1"/>
      <w:numFmt w:val="bullet"/>
      <w:lvlText w:val="o"/>
      <w:lvlJc w:val="left"/>
      <w:pPr>
        <w:tabs>
          <w:tab w:val="num" w:pos="3203"/>
        </w:tabs>
        <w:ind w:left="3203" w:hanging="360"/>
      </w:pPr>
      <w:rPr>
        <w:rFonts w:ascii="Courier New" w:hAnsi="Courier New" w:hint="default"/>
      </w:rPr>
    </w:lvl>
    <w:lvl w:ilvl="5" w:tplc="0C0A0005" w:tentative="1">
      <w:start w:val="1"/>
      <w:numFmt w:val="bullet"/>
      <w:lvlText w:val=""/>
      <w:lvlJc w:val="left"/>
      <w:pPr>
        <w:tabs>
          <w:tab w:val="num" w:pos="3923"/>
        </w:tabs>
        <w:ind w:left="3923" w:hanging="360"/>
      </w:pPr>
      <w:rPr>
        <w:rFonts w:ascii="Wingdings" w:hAnsi="Wingdings" w:hint="default"/>
      </w:rPr>
    </w:lvl>
    <w:lvl w:ilvl="6" w:tplc="0C0A0001" w:tentative="1">
      <w:start w:val="1"/>
      <w:numFmt w:val="bullet"/>
      <w:lvlText w:val=""/>
      <w:lvlJc w:val="left"/>
      <w:pPr>
        <w:tabs>
          <w:tab w:val="num" w:pos="4643"/>
        </w:tabs>
        <w:ind w:left="4643" w:hanging="360"/>
      </w:pPr>
      <w:rPr>
        <w:rFonts w:ascii="Symbol" w:hAnsi="Symbol" w:hint="default"/>
      </w:rPr>
    </w:lvl>
    <w:lvl w:ilvl="7" w:tplc="0C0A0003" w:tentative="1">
      <w:start w:val="1"/>
      <w:numFmt w:val="bullet"/>
      <w:lvlText w:val="o"/>
      <w:lvlJc w:val="left"/>
      <w:pPr>
        <w:tabs>
          <w:tab w:val="num" w:pos="5363"/>
        </w:tabs>
        <w:ind w:left="5363" w:hanging="360"/>
      </w:pPr>
      <w:rPr>
        <w:rFonts w:ascii="Courier New" w:hAnsi="Courier New" w:hint="default"/>
      </w:rPr>
    </w:lvl>
    <w:lvl w:ilvl="8" w:tplc="0C0A0005" w:tentative="1">
      <w:start w:val="1"/>
      <w:numFmt w:val="bullet"/>
      <w:lvlText w:val=""/>
      <w:lvlJc w:val="left"/>
      <w:pPr>
        <w:tabs>
          <w:tab w:val="num" w:pos="6083"/>
        </w:tabs>
        <w:ind w:left="6083" w:hanging="360"/>
      </w:pPr>
      <w:rPr>
        <w:rFonts w:ascii="Wingdings" w:hAnsi="Wingdings" w:hint="default"/>
      </w:rPr>
    </w:lvl>
  </w:abstractNum>
  <w:abstractNum w:abstractNumId="10" w15:restartNumberingAfterBreak="0">
    <w:nsid w:val="0D761DB5"/>
    <w:multiLevelType w:val="hybridMultilevel"/>
    <w:tmpl w:val="4B10F41A"/>
    <w:lvl w:ilvl="0" w:tplc="080A0019">
      <w:start w:val="1"/>
      <w:numFmt w:val="lowerLetter"/>
      <w:lvlText w:val="%1."/>
      <w:lvlJc w:val="left"/>
      <w:pPr>
        <w:ind w:left="1440" w:hanging="360"/>
      </w:pPr>
      <w:rPr>
        <w:rFonts w:cs="Times New Roman" w:hint="default"/>
      </w:rPr>
    </w:lvl>
    <w:lvl w:ilvl="1" w:tplc="080A0019" w:tentative="1">
      <w:start w:val="1"/>
      <w:numFmt w:val="lowerLetter"/>
      <w:lvlText w:val="%2."/>
      <w:lvlJc w:val="left"/>
      <w:pPr>
        <w:ind w:left="2160" w:hanging="360"/>
      </w:pPr>
      <w:rPr>
        <w:rFonts w:cs="Times New Roman"/>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11" w15:restartNumberingAfterBreak="0">
    <w:nsid w:val="0F235B9B"/>
    <w:multiLevelType w:val="hybridMultilevel"/>
    <w:tmpl w:val="1F5447D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15:restartNumberingAfterBreak="0">
    <w:nsid w:val="12917224"/>
    <w:multiLevelType w:val="multilevel"/>
    <w:tmpl w:val="7B54DD46"/>
    <w:lvl w:ilvl="0">
      <w:start w:val="1"/>
      <w:numFmt w:val="decimal"/>
      <w:lvlText w:val="%1."/>
      <w:lvlJc w:val="left"/>
      <w:pPr>
        <w:ind w:left="720" w:hanging="360"/>
      </w:pPr>
      <w:rPr>
        <w:rFonts w:cs="Times New Roman"/>
      </w:rPr>
    </w:lvl>
    <w:lvl w:ilvl="1">
      <w:start w:val="3"/>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15B61C12"/>
    <w:multiLevelType w:val="hybridMultilevel"/>
    <w:tmpl w:val="1382C356"/>
    <w:lvl w:ilvl="0" w:tplc="080A0019">
      <w:start w:val="1"/>
      <w:numFmt w:val="lowerLetter"/>
      <w:lvlText w:val="%1."/>
      <w:lvlJc w:val="left"/>
      <w:pPr>
        <w:ind w:left="1429" w:hanging="360"/>
      </w:pPr>
      <w:rPr>
        <w:rFonts w:cs="Times New Roman"/>
      </w:rPr>
    </w:lvl>
    <w:lvl w:ilvl="1" w:tplc="080A0019" w:tentative="1">
      <w:start w:val="1"/>
      <w:numFmt w:val="lowerLetter"/>
      <w:lvlText w:val="%2."/>
      <w:lvlJc w:val="left"/>
      <w:pPr>
        <w:ind w:left="2149" w:hanging="360"/>
      </w:pPr>
      <w:rPr>
        <w:rFonts w:cs="Times New Roman"/>
      </w:rPr>
    </w:lvl>
    <w:lvl w:ilvl="2" w:tplc="080A001B" w:tentative="1">
      <w:start w:val="1"/>
      <w:numFmt w:val="lowerRoman"/>
      <w:lvlText w:val="%3."/>
      <w:lvlJc w:val="right"/>
      <w:pPr>
        <w:ind w:left="2869" w:hanging="180"/>
      </w:pPr>
      <w:rPr>
        <w:rFonts w:cs="Times New Roman"/>
      </w:rPr>
    </w:lvl>
    <w:lvl w:ilvl="3" w:tplc="080A000F" w:tentative="1">
      <w:start w:val="1"/>
      <w:numFmt w:val="decimal"/>
      <w:lvlText w:val="%4."/>
      <w:lvlJc w:val="left"/>
      <w:pPr>
        <w:ind w:left="3589" w:hanging="360"/>
      </w:pPr>
      <w:rPr>
        <w:rFonts w:cs="Times New Roman"/>
      </w:rPr>
    </w:lvl>
    <w:lvl w:ilvl="4" w:tplc="080A0019" w:tentative="1">
      <w:start w:val="1"/>
      <w:numFmt w:val="lowerLetter"/>
      <w:lvlText w:val="%5."/>
      <w:lvlJc w:val="left"/>
      <w:pPr>
        <w:ind w:left="4309" w:hanging="360"/>
      </w:pPr>
      <w:rPr>
        <w:rFonts w:cs="Times New Roman"/>
      </w:rPr>
    </w:lvl>
    <w:lvl w:ilvl="5" w:tplc="080A001B" w:tentative="1">
      <w:start w:val="1"/>
      <w:numFmt w:val="lowerRoman"/>
      <w:lvlText w:val="%6."/>
      <w:lvlJc w:val="right"/>
      <w:pPr>
        <w:ind w:left="5029" w:hanging="180"/>
      </w:pPr>
      <w:rPr>
        <w:rFonts w:cs="Times New Roman"/>
      </w:rPr>
    </w:lvl>
    <w:lvl w:ilvl="6" w:tplc="080A000F" w:tentative="1">
      <w:start w:val="1"/>
      <w:numFmt w:val="decimal"/>
      <w:lvlText w:val="%7."/>
      <w:lvlJc w:val="left"/>
      <w:pPr>
        <w:ind w:left="5749" w:hanging="360"/>
      </w:pPr>
      <w:rPr>
        <w:rFonts w:cs="Times New Roman"/>
      </w:rPr>
    </w:lvl>
    <w:lvl w:ilvl="7" w:tplc="080A0019" w:tentative="1">
      <w:start w:val="1"/>
      <w:numFmt w:val="lowerLetter"/>
      <w:lvlText w:val="%8."/>
      <w:lvlJc w:val="left"/>
      <w:pPr>
        <w:ind w:left="6469" w:hanging="360"/>
      </w:pPr>
      <w:rPr>
        <w:rFonts w:cs="Times New Roman"/>
      </w:rPr>
    </w:lvl>
    <w:lvl w:ilvl="8" w:tplc="080A001B" w:tentative="1">
      <w:start w:val="1"/>
      <w:numFmt w:val="lowerRoman"/>
      <w:lvlText w:val="%9."/>
      <w:lvlJc w:val="right"/>
      <w:pPr>
        <w:ind w:left="7189" w:hanging="180"/>
      </w:pPr>
      <w:rPr>
        <w:rFonts w:cs="Times New Roman"/>
      </w:rPr>
    </w:lvl>
  </w:abstractNum>
  <w:abstractNum w:abstractNumId="14" w15:restartNumberingAfterBreak="0">
    <w:nsid w:val="1726302A"/>
    <w:multiLevelType w:val="hybridMultilevel"/>
    <w:tmpl w:val="FBB2695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hint="default"/>
      </w:rPr>
    </w:lvl>
    <w:lvl w:ilvl="2" w:tplc="080A0005" w:tentative="1">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15:restartNumberingAfterBreak="0">
    <w:nsid w:val="175C51B4"/>
    <w:multiLevelType w:val="hybridMultilevel"/>
    <w:tmpl w:val="59E89B86"/>
    <w:lvl w:ilvl="0" w:tplc="F5127092">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18BB6DBA"/>
    <w:multiLevelType w:val="hybridMultilevel"/>
    <w:tmpl w:val="ABF8F950"/>
    <w:lvl w:ilvl="0" w:tplc="0C0A000F">
      <w:start w:val="1"/>
      <w:numFmt w:val="decimal"/>
      <w:lvlText w:val="%1."/>
      <w:lvlJc w:val="left"/>
      <w:pPr>
        <w:ind w:left="360" w:hanging="360"/>
      </w:pPr>
      <w:rPr>
        <w:rFonts w:cs="Times New Roman"/>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17" w15:restartNumberingAfterBreak="0">
    <w:nsid w:val="19AB7DF7"/>
    <w:multiLevelType w:val="hybridMultilevel"/>
    <w:tmpl w:val="7468306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8" w15:restartNumberingAfterBreak="0">
    <w:nsid w:val="1BF5477A"/>
    <w:multiLevelType w:val="hybridMultilevel"/>
    <w:tmpl w:val="6C8CA93C"/>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9" w15:restartNumberingAfterBreak="0">
    <w:nsid w:val="1C546C72"/>
    <w:multiLevelType w:val="multilevel"/>
    <w:tmpl w:val="06A2E8AE"/>
    <w:lvl w:ilvl="0">
      <w:start w:val="6"/>
      <w:numFmt w:val="decimal"/>
      <w:lvlText w:val="%1"/>
      <w:lvlJc w:val="left"/>
      <w:pPr>
        <w:ind w:left="360" w:hanging="360"/>
      </w:pPr>
      <w:rPr>
        <w:rFonts w:cs="Times New Roman" w:hint="default"/>
      </w:rPr>
    </w:lvl>
    <w:lvl w:ilvl="1">
      <w:start w:val="1"/>
      <w:numFmt w:val="decimal"/>
      <w:pStyle w:val="SUBCAP1"/>
      <w:lvlText w:val="%1.%2"/>
      <w:lvlJc w:val="left"/>
      <w:pPr>
        <w:ind w:left="360" w:hanging="360"/>
      </w:pPr>
      <w:rPr>
        <w:rFonts w:cs="Times New Roman" w:hint="default"/>
      </w:rPr>
    </w:lvl>
    <w:lvl w:ilvl="2">
      <w:start w:val="1"/>
      <w:numFmt w:val="decimal"/>
      <w:pStyle w:val="SUBCAP1"/>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15:restartNumberingAfterBreak="0">
    <w:nsid w:val="1E22325A"/>
    <w:multiLevelType w:val="hybridMultilevel"/>
    <w:tmpl w:val="706657E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0575CC8"/>
    <w:multiLevelType w:val="hybridMultilevel"/>
    <w:tmpl w:val="6566877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2" w15:restartNumberingAfterBreak="0">
    <w:nsid w:val="21A31AD6"/>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3" w15:restartNumberingAfterBreak="0">
    <w:nsid w:val="237325E7"/>
    <w:multiLevelType w:val="hybridMultilevel"/>
    <w:tmpl w:val="2940D01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4" w15:restartNumberingAfterBreak="0">
    <w:nsid w:val="26CF1E42"/>
    <w:multiLevelType w:val="multilevel"/>
    <w:tmpl w:val="2056016A"/>
    <w:lvl w:ilvl="0">
      <w:start w:val="15"/>
      <w:numFmt w:val="decimal"/>
      <w:lvlText w:val="%1"/>
      <w:lvlJc w:val="left"/>
      <w:pPr>
        <w:tabs>
          <w:tab w:val="num" w:pos="405"/>
        </w:tabs>
        <w:ind w:left="405" w:hanging="405"/>
      </w:pPr>
      <w:rPr>
        <w:rFonts w:cs="Times New Roman" w:hint="default"/>
      </w:rPr>
    </w:lvl>
    <w:lvl w:ilvl="1">
      <w:start w:val="3"/>
      <w:numFmt w:val="decimal"/>
      <w:lvlText w:val="%1.%2"/>
      <w:lvlJc w:val="left"/>
      <w:pPr>
        <w:tabs>
          <w:tab w:val="num" w:pos="405"/>
        </w:tabs>
        <w:ind w:left="405" w:hanging="4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2A901130"/>
    <w:multiLevelType w:val="hybridMultilevel"/>
    <w:tmpl w:val="36221622"/>
    <w:lvl w:ilvl="0" w:tplc="82CC6A06">
      <w:start w:val="1"/>
      <w:numFmt w:val="lowerLetter"/>
      <w:lvlText w:val="%1."/>
      <w:lvlJc w:val="left"/>
      <w:pPr>
        <w:tabs>
          <w:tab w:val="num" w:pos="2160"/>
        </w:tabs>
        <w:ind w:left="2160" w:hanging="360"/>
      </w:pPr>
      <w:rPr>
        <w:rFonts w:cs="Times New Roman" w:hint="default"/>
      </w:rPr>
    </w:lvl>
    <w:lvl w:ilvl="1" w:tplc="0C0A0019" w:tentative="1">
      <w:start w:val="1"/>
      <w:numFmt w:val="lowerLetter"/>
      <w:lvlText w:val="%2."/>
      <w:lvlJc w:val="left"/>
      <w:pPr>
        <w:tabs>
          <w:tab w:val="num" w:pos="2520"/>
        </w:tabs>
        <w:ind w:left="2520" w:hanging="360"/>
      </w:pPr>
      <w:rPr>
        <w:rFonts w:cs="Times New Roman"/>
      </w:rPr>
    </w:lvl>
    <w:lvl w:ilvl="2" w:tplc="0C0A001B" w:tentative="1">
      <w:start w:val="1"/>
      <w:numFmt w:val="lowerRoman"/>
      <w:lvlText w:val="%3."/>
      <w:lvlJc w:val="right"/>
      <w:pPr>
        <w:tabs>
          <w:tab w:val="num" w:pos="3240"/>
        </w:tabs>
        <w:ind w:left="3240" w:hanging="180"/>
      </w:pPr>
      <w:rPr>
        <w:rFonts w:cs="Times New Roman"/>
      </w:rPr>
    </w:lvl>
    <w:lvl w:ilvl="3" w:tplc="0C0A000F" w:tentative="1">
      <w:start w:val="1"/>
      <w:numFmt w:val="decimal"/>
      <w:lvlText w:val="%4."/>
      <w:lvlJc w:val="left"/>
      <w:pPr>
        <w:tabs>
          <w:tab w:val="num" w:pos="3960"/>
        </w:tabs>
        <w:ind w:left="3960" w:hanging="360"/>
      </w:pPr>
      <w:rPr>
        <w:rFonts w:cs="Times New Roman"/>
      </w:rPr>
    </w:lvl>
    <w:lvl w:ilvl="4" w:tplc="0C0A0019" w:tentative="1">
      <w:start w:val="1"/>
      <w:numFmt w:val="lowerLetter"/>
      <w:lvlText w:val="%5."/>
      <w:lvlJc w:val="left"/>
      <w:pPr>
        <w:tabs>
          <w:tab w:val="num" w:pos="4680"/>
        </w:tabs>
        <w:ind w:left="4680" w:hanging="360"/>
      </w:pPr>
      <w:rPr>
        <w:rFonts w:cs="Times New Roman"/>
      </w:rPr>
    </w:lvl>
    <w:lvl w:ilvl="5" w:tplc="0C0A001B" w:tentative="1">
      <w:start w:val="1"/>
      <w:numFmt w:val="lowerRoman"/>
      <w:lvlText w:val="%6."/>
      <w:lvlJc w:val="right"/>
      <w:pPr>
        <w:tabs>
          <w:tab w:val="num" w:pos="5400"/>
        </w:tabs>
        <w:ind w:left="5400" w:hanging="180"/>
      </w:pPr>
      <w:rPr>
        <w:rFonts w:cs="Times New Roman"/>
      </w:rPr>
    </w:lvl>
    <w:lvl w:ilvl="6" w:tplc="0C0A000F" w:tentative="1">
      <w:start w:val="1"/>
      <w:numFmt w:val="decimal"/>
      <w:lvlText w:val="%7."/>
      <w:lvlJc w:val="left"/>
      <w:pPr>
        <w:tabs>
          <w:tab w:val="num" w:pos="6120"/>
        </w:tabs>
        <w:ind w:left="6120" w:hanging="360"/>
      </w:pPr>
      <w:rPr>
        <w:rFonts w:cs="Times New Roman"/>
      </w:rPr>
    </w:lvl>
    <w:lvl w:ilvl="7" w:tplc="0C0A0019" w:tentative="1">
      <w:start w:val="1"/>
      <w:numFmt w:val="lowerLetter"/>
      <w:lvlText w:val="%8."/>
      <w:lvlJc w:val="left"/>
      <w:pPr>
        <w:tabs>
          <w:tab w:val="num" w:pos="6840"/>
        </w:tabs>
        <w:ind w:left="6840" w:hanging="360"/>
      </w:pPr>
      <w:rPr>
        <w:rFonts w:cs="Times New Roman"/>
      </w:rPr>
    </w:lvl>
    <w:lvl w:ilvl="8" w:tplc="0C0A001B" w:tentative="1">
      <w:start w:val="1"/>
      <w:numFmt w:val="lowerRoman"/>
      <w:lvlText w:val="%9."/>
      <w:lvlJc w:val="right"/>
      <w:pPr>
        <w:tabs>
          <w:tab w:val="num" w:pos="7560"/>
        </w:tabs>
        <w:ind w:left="7560" w:hanging="180"/>
      </w:pPr>
      <w:rPr>
        <w:rFonts w:cs="Times New Roman"/>
      </w:rPr>
    </w:lvl>
  </w:abstractNum>
  <w:abstractNum w:abstractNumId="26" w15:restartNumberingAfterBreak="0">
    <w:nsid w:val="2CAB4CA1"/>
    <w:multiLevelType w:val="hybridMultilevel"/>
    <w:tmpl w:val="FD38D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1B77CE"/>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 w15:restartNumberingAfterBreak="0">
    <w:nsid w:val="2E4F4605"/>
    <w:multiLevelType w:val="multilevel"/>
    <w:tmpl w:val="9E8C1136"/>
    <w:lvl w:ilvl="0">
      <w:start w:val="1"/>
      <w:numFmt w:val="decimal"/>
      <w:lvlText w:val="%1."/>
      <w:lvlJc w:val="left"/>
      <w:pPr>
        <w:ind w:left="720" w:hanging="360"/>
      </w:pPr>
      <w:rPr>
        <w:rFonts w:cs="Times New Roman"/>
        <w:b/>
      </w:rPr>
    </w:lvl>
    <w:lvl w:ilvl="1">
      <w:start w:val="5"/>
      <w:numFmt w:val="decimal"/>
      <w:isLgl/>
      <w:lvlText w:val="%1.%2"/>
      <w:lvlJc w:val="left"/>
      <w:pPr>
        <w:ind w:left="980" w:hanging="62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32BC093F"/>
    <w:multiLevelType w:val="hybridMultilevel"/>
    <w:tmpl w:val="C93A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34CF307F"/>
    <w:multiLevelType w:val="hybridMultilevel"/>
    <w:tmpl w:val="65421F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5541A36"/>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15:restartNumberingAfterBreak="0">
    <w:nsid w:val="364E0218"/>
    <w:multiLevelType w:val="multilevel"/>
    <w:tmpl w:val="E15AFAC6"/>
    <w:lvl w:ilvl="0">
      <w:start w:val="1"/>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560" w:hanging="1800"/>
      </w:pPr>
      <w:rPr>
        <w:rFonts w:cs="Times New Roman" w:hint="default"/>
      </w:rPr>
    </w:lvl>
  </w:abstractNum>
  <w:abstractNum w:abstractNumId="33" w15:restartNumberingAfterBreak="0">
    <w:nsid w:val="366C108A"/>
    <w:multiLevelType w:val="hybridMultilevel"/>
    <w:tmpl w:val="2F288732"/>
    <w:lvl w:ilvl="0" w:tplc="080A0011">
      <w:start w:val="1"/>
      <w:numFmt w:val="decimal"/>
      <w:lvlText w:val="%1)"/>
      <w:lvlJc w:val="left"/>
      <w:pPr>
        <w:ind w:left="644" w:hanging="360"/>
      </w:pPr>
      <w:rPr>
        <w:rFonts w:cs="Times New Roman" w:hint="default"/>
      </w:rPr>
    </w:lvl>
    <w:lvl w:ilvl="1" w:tplc="080A0019" w:tentative="1">
      <w:start w:val="1"/>
      <w:numFmt w:val="lowerLetter"/>
      <w:lvlText w:val="%2."/>
      <w:lvlJc w:val="left"/>
      <w:pPr>
        <w:ind w:left="1364" w:hanging="360"/>
      </w:pPr>
      <w:rPr>
        <w:rFonts w:cs="Times New Roman"/>
      </w:rPr>
    </w:lvl>
    <w:lvl w:ilvl="2" w:tplc="080A001B" w:tentative="1">
      <w:start w:val="1"/>
      <w:numFmt w:val="lowerRoman"/>
      <w:lvlText w:val="%3."/>
      <w:lvlJc w:val="right"/>
      <w:pPr>
        <w:ind w:left="2084" w:hanging="180"/>
      </w:pPr>
      <w:rPr>
        <w:rFonts w:cs="Times New Roman"/>
      </w:rPr>
    </w:lvl>
    <w:lvl w:ilvl="3" w:tplc="080A000F" w:tentative="1">
      <w:start w:val="1"/>
      <w:numFmt w:val="decimal"/>
      <w:lvlText w:val="%4."/>
      <w:lvlJc w:val="left"/>
      <w:pPr>
        <w:ind w:left="2804" w:hanging="360"/>
      </w:pPr>
      <w:rPr>
        <w:rFonts w:cs="Times New Roman"/>
      </w:rPr>
    </w:lvl>
    <w:lvl w:ilvl="4" w:tplc="080A0019" w:tentative="1">
      <w:start w:val="1"/>
      <w:numFmt w:val="lowerLetter"/>
      <w:lvlText w:val="%5."/>
      <w:lvlJc w:val="left"/>
      <w:pPr>
        <w:ind w:left="3524" w:hanging="360"/>
      </w:pPr>
      <w:rPr>
        <w:rFonts w:cs="Times New Roman"/>
      </w:rPr>
    </w:lvl>
    <w:lvl w:ilvl="5" w:tplc="080A001B" w:tentative="1">
      <w:start w:val="1"/>
      <w:numFmt w:val="lowerRoman"/>
      <w:lvlText w:val="%6."/>
      <w:lvlJc w:val="right"/>
      <w:pPr>
        <w:ind w:left="4244" w:hanging="180"/>
      </w:pPr>
      <w:rPr>
        <w:rFonts w:cs="Times New Roman"/>
      </w:rPr>
    </w:lvl>
    <w:lvl w:ilvl="6" w:tplc="080A000F" w:tentative="1">
      <w:start w:val="1"/>
      <w:numFmt w:val="decimal"/>
      <w:lvlText w:val="%7."/>
      <w:lvlJc w:val="left"/>
      <w:pPr>
        <w:ind w:left="4964" w:hanging="360"/>
      </w:pPr>
      <w:rPr>
        <w:rFonts w:cs="Times New Roman"/>
      </w:rPr>
    </w:lvl>
    <w:lvl w:ilvl="7" w:tplc="080A0019" w:tentative="1">
      <w:start w:val="1"/>
      <w:numFmt w:val="lowerLetter"/>
      <w:lvlText w:val="%8."/>
      <w:lvlJc w:val="left"/>
      <w:pPr>
        <w:ind w:left="5684" w:hanging="360"/>
      </w:pPr>
      <w:rPr>
        <w:rFonts w:cs="Times New Roman"/>
      </w:rPr>
    </w:lvl>
    <w:lvl w:ilvl="8" w:tplc="080A001B" w:tentative="1">
      <w:start w:val="1"/>
      <w:numFmt w:val="lowerRoman"/>
      <w:lvlText w:val="%9."/>
      <w:lvlJc w:val="right"/>
      <w:pPr>
        <w:ind w:left="6404" w:hanging="180"/>
      </w:pPr>
      <w:rPr>
        <w:rFonts w:cs="Times New Roman"/>
      </w:rPr>
    </w:lvl>
  </w:abstractNum>
  <w:abstractNum w:abstractNumId="34" w15:restartNumberingAfterBreak="0">
    <w:nsid w:val="3883467D"/>
    <w:multiLevelType w:val="hybridMultilevel"/>
    <w:tmpl w:val="ABAC65C8"/>
    <w:lvl w:ilvl="0" w:tplc="080A0019">
      <w:start w:val="1"/>
      <w:numFmt w:val="lowerLetter"/>
      <w:lvlText w:val="%1."/>
      <w:lvlJc w:val="left"/>
      <w:pPr>
        <w:ind w:left="1440" w:hanging="360"/>
      </w:pPr>
      <w:rPr>
        <w:rFonts w:cs="Times New Roman" w:hint="default"/>
      </w:rPr>
    </w:lvl>
    <w:lvl w:ilvl="1" w:tplc="82CC6A06">
      <w:start w:val="1"/>
      <w:numFmt w:val="lowerLetter"/>
      <w:lvlText w:val="%2."/>
      <w:lvlJc w:val="left"/>
      <w:pPr>
        <w:tabs>
          <w:tab w:val="num" w:pos="2160"/>
        </w:tabs>
        <w:ind w:left="2160" w:hanging="360"/>
      </w:pPr>
      <w:rPr>
        <w:rFonts w:cs="Times New Roman" w:hint="default"/>
      </w:rPr>
    </w:lvl>
    <w:lvl w:ilvl="2" w:tplc="080A001B" w:tentative="1">
      <w:start w:val="1"/>
      <w:numFmt w:val="lowerRoman"/>
      <w:lvlText w:val="%3."/>
      <w:lvlJc w:val="right"/>
      <w:pPr>
        <w:ind w:left="2880" w:hanging="180"/>
      </w:pPr>
      <w:rPr>
        <w:rFonts w:cs="Times New Roman"/>
      </w:rPr>
    </w:lvl>
    <w:lvl w:ilvl="3" w:tplc="080A000F" w:tentative="1">
      <w:start w:val="1"/>
      <w:numFmt w:val="decimal"/>
      <w:lvlText w:val="%4."/>
      <w:lvlJc w:val="left"/>
      <w:pPr>
        <w:ind w:left="3600" w:hanging="360"/>
      </w:pPr>
      <w:rPr>
        <w:rFonts w:cs="Times New Roman"/>
      </w:rPr>
    </w:lvl>
    <w:lvl w:ilvl="4" w:tplc="080A0019" w:tentative="1">
      <w:start w:val="1"/>
      <w:numFmt w:val="lowerLetter"/>
      <w:lvlText w:val="%5."/>
      <w:lvlJc w:val="left"/>
      <w:pPr>
        <w:ind w:left="4320" w:hanging="360"/>
      </w:pPr>
      <w:rPr>
        <w:rFonts w:cs="Times New Roman"/>
      </w:rPr>
    </w:lvl>
    <w:lvl w:ilvl="5" w:tplc="080A001B" w:tentative="1">
      <w:start w:val="1"/>
      <w:numFmt w:val="lowerRoman"/>
      <w:lvlText w:val="%6."/>
      <w:lvlJc w:val="right"/>
      <w:pPr>
        <w:ind w:left="5040" w:hanging="180"/>
      </w:pPr>
      <w:rPr>
        <w:rFonts w:cs="Times New Roman"/>
      </w:rPr>
    </w:lvl>
    <w:lvl w:ilvl="6" w:tplc="080A000F" w:tentative="1">
      <w:start w:val="1"/>
      <w:numFmt w:val="decimal"/>
      <w:lvlText w:val="%7."/>
      <w:lvlJc w:val="left"/>
      <w:pPr>
        <w:ind w:left="5760" w:hanging="360"/>
      </w:pPr>
      <w:rPr>
        <w:rFonts w:cs="Times New Roman"/>
      </w:rPr>
    </w:lvl>
    <w:lvl w:ilvl="7" w:tplc="080A0019" w:tentative="1">
      <w:start w:val="1"/>
      <w:numFmt w:val="lowerLetter"/>
      <w:lvlText w:val="%8."/>
      <w:lvlJc w:val="left"/>
      <w:pPr>
        <w:ind w:left="6480" w:hanging="360"/>
      </w:pPr>
      <w:rPr>
        <w:rFonts w:cs="Times New Roman"/>
      </w:rPr>
    </w:lvl>
    <w:lvl w:ilvl="8" w:tplc="080A001B" w:tentative="1">
      <w:start w:val="1"/>
      <w:numFmt w:val="lowerRoman"/>
      <w:lvlText w:val="%9."/>
      <w:lvlJc w:val="right"/>
      <w:pPr>
        <w:ind w:left="7200" w:hanging="180"/>
      </w:pPr>
      <w:rPr>
        <w:rFonts w:cs="Times New Roman"/>
      </w:rPr>
    </w:lvl>
  </w:abstractNum>
  <w:abstractNum w:abstractNumId="35" w15:restartNumberingAfterBreak="0">
    <w:nsid w:val="3A1619C5"/>
    <w:multiLevelType w:val="hybridMultilevel"/>
    <w:tmpl w:val="6C50D25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AD3619B"/>
    <w:multiLevelType w:val="hybridMultilevel"/>
    <w:tmpl w:val="8C40ECB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D2D399C"/>
    <w:multiLevelType w:val="hybridMultilevel"/>
    <w:tmpl w:val="88909D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DD14874"/>
    <w:multiLevelType w:val="hybridMultilevel"/>
    <w:tmpl w:val="BC30F5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FC07CDE"/>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1FE7532"/>
    <w:multiLevelType w:val="hybridMultilevel"/>
    <w:tmpl w:val="1B9EFF22"/>
    <w:lvl w:ilvl="0" w:tplc="0C0A000F">
      <w:start w:val="1"/>
      <w:numFmt w:val="decimal"/>
      <w:lvlText w:val="%1."/>
      <w:lvlJc w:val="left"/>
      <w:pPr>
        <w:ind w:left="1080" w:hanging="360"/>
      </w:pPr>
      <w:rPr>
        <w:rFonts w:cs="Times New Roman"/>
      </w:rPr>
    </w:lvl>
    <w:lvl w:ilvl="1" w:tplc="6F9C0F1E">
      <w:start w:val="1"/>
      <w:numFmt w:val="lowerLetter"/>
      <w:lvlText w:val="%2)"/>
      <w:lvlJc w:val="left"/>
      <w:pPr>
        <w:ind w:left="1800" w:hanging="360"/>
      </w:pPr>
      <w:rPr>
        <w:rFonts w:cs="Times New Roman" w:hint="default"/>
      </w:rPr>
    </w:lvl>
    <w:lvl w:ilvl="2" w:tplc="0C0A001B" w:tentative="1">
      <w:start w:val="1"/>
      <w:numFmt w:val="lowerRoman"/>
      <w:lvlText w:val="%3."/>
      <w:lvlJc w:val="right"/>
      <w:pPr>
        <w:ind w:left="2520" w:hanging="180"/>
      </w:pPr>
      <w:rPr>
        <w:rFonts w:cs="Times New Roman"/>
      </w:rPr>
    </w:lvl>
    <w:lvl w:ilvl="3" w:tplc="0C0A000F" w:tentative="1">
      <w:start w:val="1"/>
      <w:numFmt w:val="decimal"/>
      <w:lvlText w:val="%4."/>
      <w:lvlJc w:val="left"/>
      <w:pPr>
        <w:ind w:left="3240" w:hanging="360"/>
      </w:pPr>
      <w:rPr>
        <w:rFonts w:cs="Times New Roman"/>
      </w:rPr>
    </w:lvl>
    <w:lvl w:ilvl="4" w:tplc="0C0A0019" w:tentative="1">
      <w:start w:val="1"/>
      <w:numFmt w:val="lowerLetter"/>
      <w:lvlText w:val="%5."/>
      <w:lvlJc w:val="left"/>
      <w:pPr>
        <w:ind w:left="3960" w:hanging="360"/>
      </w:pPr>
      <w:rPr>
        <w:rFonts w:cs="Times New Roman"/>
      </w:rPr>
    </w:lvl>
    <w:lvl w:ilvl="5" w:tplc="0C0A001B" w:tentative="1">
      <w:start w:val="1"/>
      <w:numFmt w:val="lowerRoman"/>
      <w:lvlText w:val="%6."/>
      <w:lvlJc w:val="right"/>
      <w:pPr>
        <w:ind w:left="4680" w:hanging="180"/>
      </w:pPr>
      <w:rPr>
        <w:rFonts w:cs="Times New Roman"/>
      </w:rPr>
    </w:lvl>
    <w:lvl w:ilvl="6" w:tplc="0C0A000F" w:tentative="1">
      <w:start w:val="1"/>
      <w:numFmt w:val="decimal"/>
      <w:lvlText w:val="%7."/>
      <w:lvlJc w:val="left"/>
      <w:pPr>
        <w:ind w:left="5400" w:hanging="360"/>
      </w:pPr>
      <w:rPr>
        <w:rFonts w:cs="Times New Roman"/>
      </w:rPr>
    </w:lvl>
    <w:lvl w:ilvl="7" w:tplc="0C0A0019" w:tentative="1">
      <w:start w:val="1"/>
      <w:numFmt w:val="lowerLetter"/>
      <w:lvlText w:val="%8."/>
      <w:lvlJc w:val="left"/>
      <w:pPr>
        <w:ind w:left="6120" w:hanging="360"/>
      </w:pPr>
      <w:rPr>
        <w:rFonts w:cs="Times New Roman"/>
      </w:rPr>
    </w:lvl>
    <w:lvl w:ilvl="8" w:tplc="0C0A001B" w:tentative="1">
      <w:start w:val="1"/>
      <w:numFmt w:val="lowerRoman"/>
      <w:lvlText w:val="%9."/>
      <w:lvlJc w:val="right"/>
      <w:pPr>
        <w:ind w:left="6840" w:hanging="180"/>
      </w:pPr>
      <w:rPr>
        <w:rFonts w:cs="Times New Roman"/>
      </w:rPr>
    </w:lvl>
  </w:abstractNum>
  <w:abstractNum w:abstractNumId="41" w15:restartNumberingAfterBreak="0">
    <w:nsid w:val="427A0F62"/>
    <w:multiLevelType w:val="hybridMultilevel"/>
    <w:tmpl w:val="92A410A8"/>
    <w:lvl w:ilvl="0" w:tplc="82CC6A06">
      <w:start w:val="1"/>
      <w:numFmt w:val="lowerLetter"/>
      <w:lvlText w:val="%1."/>
      <w:lvlJc w:val="left"/>
      <w:pPr>
        <w:tabs>
          <w:tab w:val="num" w:pos="2214"/>
        </w:tabs>
        <w:ind w:left="2214" w:hanging="360"/>
      </w:pPr>
      <w:rPr>
        <w:rFonts w:cs="Times New Roman" w:hint="default"/>
      </w:rPr>
    </w:lvl>
    <w:lvl w:ilvl="1" w:tplc="0C0A0019" w:tentative="1">
      <w:start w:val="1"/>
      <w:numFmt w:val="lowerLetter"/>
      <w:lvlText w:val="%2."/>
      <w:lvlJc w:val="left"/>
      <w:pPr>
        <w:tabs>
          <w:tab w:val="num" w:pos="2574"/>
        </w:tabs>
        <w:ind w:left="2574" w:hanging="360"/>
      </w:pPr>
      <w:rPr>
        <w:rFonts w:cs="Times New Roman"/>
      </w:rPr>
    </w:lvl>
    <w:lvl w:ilvl="2" w:tplc="0C0A001B" w:tentative="1">
      <w:start w:val="1"/>
      <w:numFmt w:val="lowerRoman"/>
      <w:lvlText w:val="%3."/>
      <w:lvlJc w:val="right"/>
      <w:pPr>
        <w:tabs>
          <w:tab w:val="num" w:pos="3294"/>
        </w:tabs>
        <w:ind w:left="3294" w:hanging="180"/>
      </w:pPr>
      <w:rPr>
        <w:rFonts w:cs="Times New Roman"/>
      </w:rPr>
    </w:lvl>
    <w:lvl w:ilvl="3" w:tplc="0C0A000F" w:tentative="1">
      <w:start w:val="1"/>
      <w:numFmt w:val="decimal"/>
      <w:lvlText w:val="%4."/>
      <w:lvlJc w:val="left"/>
      <w:pPr>
        <w:tabs>
          <w:tab w:val="num" w:pos="4014"/>
        </w:tabs>
        <w:ind w:left="4014" w:hanging="360"/>
      </w:pPr>
      <w:rPr>
        <w:rFonts w:cs="Times New Roman"/>
      </w:rPr>
    </w:lvl>
    <w:lvl w:ilvl="4" w:tplc="0C0A0019" w:tentative="1">
      <w:start w:val="1"/>
      <w:numFmt w:val="lowerLetter"/>
      <w:lvlText w:val="%5."/>
      <w:lvlJc w:val="left"/>
      <w:pPr>
        <w:tabs>
          <w:tab w:val="num" w:pos="4734"/>
        </w:tabs>
        <w:ind w:left="4734" w:hanging="360"/>
      </w:pPr>
      <w:rPr>
        <w:rFonts w:cs="Times New Roman"/>
      </w:rPr>
    </w:lvl>
    <w:lvl w:ilvl="5" w:tplc="0C0A001B" w:tentative="1">
      <w:start w:val="1"/>
      <w:numFmt w:val="lowerRoman"/>
      <w:lvlText w:val="%6."/>
      <w:lvlJc w:val="right"/>
      <w:pPr>
        <w:tabs>
          <w:tab w:val="num" w:pos="5454"/>
        </w:tabs>
        <w:ind w:left="5454" w:hanging="180"/>
      </w:pPr>
      <w:rPr>
        <w:rFonts w:cs="Times New Roman"/>
      </w:rPr>
    </w:lvl>
    <w:lvl w:ilvl="6" w:tplc="0C0A000F" w:tentative="1">
      <w:start w:val="1"/>
      <w:numFmt w:val="decimal"/>
      <w:lvlText w:val="%7."/>
      <w:lvlJc w:val="left"/>
      <w:pPr>
        <w:tabs>
          <w:tab w:val="num" w:pos="6174"/>
        </w:tabs>
        <w:ind w:left="6174" w:hanging="360"/>
      </w:pPr>
      <w:rPr>
        <w:rFonts w:cs="Times New Roman"/>
      </w:rPr>
    </w:lvl>
    <w:lvl w:ilvl="7" w:tplc="0C0A0019" w:tentative="1">
      <w:start w:val="1"/>
      <w:numFmt w:val="lowerLetter"/>
      <w:lvlText w:val="%8."/>
      <w:lvlJc w:val="left"/>
      <w:pPr>
        <w:tabs>
          <w:tab w:val="num" w:pos="6894"/>
        </w:tabs>
        <w:ind w:left="6894" w:hanging="360"/>
      </w:pPr>
      <w:rPr>
        <w:rFonts w:cs="Times New Roman"/>
      </w:rPr>
    </w:lvl>
    <w:lvl w:ilvl="8" w:tplc="0C0A001B" w:tentative="1">
      <w:start w:val="1"/>
      <w:numFmt w:val="lowerRoman"/>
      <w:lvlText w:val="%9."/>
      <w:lvlJc w:val="right"/>
      <w:pPr>
        <w:tabs>
          <w:tab w:val="num" w:pos="7614"/>
        </w:tabs>
        <w:ind w:left="7614" w:hanging="180"/>
      </w:pPr>
      <w:rPr>
        <w:rFonts w:cs="Times New Roman"/>
      </w:rPr>
    </w:lvl>
  </w:abstractNum>
  <w:abstractNum w:abstractNumId="42" w15:restartNumberingAfterBreak="0">
    <w:nsid w:val="44AA739D"/>
    <w:multiLevelType w:val="hybridMultilevel"/>
    <w:tmpl w:val="9A2AC87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3" w15:restartNumberingAfterBreak="0">
    <w:nsid w:val="477C29C0"/>
    <w:multiLevelType w:val="hybridMultilevel"/>
    <w:tmpl w:val="CFEC2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7FF52ED"/>
    <w:multiLevelType w:val="hybridMultilevel"/>
    <w:tmpl w:val="9A2AC87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5" w15:restartNumberingAfterBreak="0">
    <w:nsid w:val="491B597F"/>
    <w:multiLevelType w:val="hybridMultilevel"/>
    <w:tmpl w:val="70FA9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B6E096C"/>
    <w:multiLevelType w:val="multilevel"/>
    <w:tmpl w:val="6420AC66"/>
    <w:lvl w:ilvl="0">
      <w:start w:val="1"/>
      <w:numFmt w:val="upperRoman"/>
      <w:lvlText w:val="%1."/>
      <w:lvlJc w:val="right"/>
      <w:pPr>
        <w:ind w:left="720" w:hanging="360"/>
      </w:pPr>
      <w:rPr>
        <w:b w:val="0"/>
        <w:i w:val="0"/>
      </w:rPr>
    </w:lvl>
    <w:lvl w:ilvl="1">
      <w:start w:val="4"/>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7" w15:restartNumberingAfterBreak="0">
    <w:nsid w:val="4D03371E"/>
    <w:multiLevelType w:val="hybridMultilevel"/>
    <w:tmpl w:val="8C423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020236D"/>
    <w:multiLevelType w:val="hybridMultilevel"/>
    <w:tmpl w:val="8FC63C66"/>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9" w15:restartNumberingAfterBreak="0">
    <w:nsid w:val="53B472C9"/>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0" w15:restartNumberingAfterBreak="0">
    <w:nsid w:val="54981E3B"/>
    <w:multiLevelType w:val="hybridMultilevel"/>
    <w:tmpl w:val="C3820210"/>
    <w:lvl w:ilvl="0" w:tplc="FFFFFFFF">
      <w:start w:val="1"/>
      <w:numFmt w:val="lowerLetter"/>
      <w:lvlText w:val="%1)"/>
      <w:legacy w:legacy="1" w:legacySpace="0" w:legacyIndent="720"/>
      <w:lvlJc w:val="left"/>
      <w:pPr>
        <w:ind w:left="720" w:hanging="72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1" w15:restartNumberingAfterBreak="0">
    <w:nsid w:val="55555E04"/>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2" w15:restartNumberingAfterBreak="0">
    <w:nsid w:val="5633189A"/>
    <w:multiLevelType w:val="hybridMultilevel"/>
    <w:tmpl w:val="750CCEA6"/>
    <w:lvl w:ilvl="0" w:tplc="82CC6A06">
      <w:start w:val="1"/>
      <w:numFmt w:val="lowerLetter"/>
      <w:lvlText w:val="%1."/>
      <w:lvlJc w:val="left"/>
      <w:pPr>
        <w:tabs>
          <w:tab w:val="num" w:pos="1080"/>
        </w:tabs>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3" w15:restartNumberingAfterBreak="0">
    <w:nsid w:val="59AC518A"/>
    <w:multiLevelType w:val="hybridMultilevel"/>
    <w:tmpl w:val="84FAF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4" w15:restartNumberingAfterBreak="0">
    <w:nsid w:val="5B285264"/>
    <w:multiLevelType w:val="hybridMultilevel"/>
    <w:tmpl w:val="1DB03168"/>
    <w:lvl w:ilvl="0" w:tplc="0C0A0013">
      <w:start w:val="1"/>
      <w:numFmt w:val="upperRoman"/>
      <w:lvlText w:val="%1."/>
      <w:lvlJc w:val="righ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5"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56" w15:restartNumberingAfterBreak="0">
    <w:nsid w:val="60806AC9"/>
    <w:multiLevelType w:val="hybridMultilevel"/>
    <w:tmpl w:val="379CCFA0"/>
    <w:lvl w:ilvl="0" w:tplc="04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15:restartNumberingAfterBreak="0">
    <w:nsid w:val="60F5621D"/>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64FC766B"/>
    <w:multiLevelType w:val="hybridMultilevel"/>
    <w:tmpl w:val="942E0F8C"/>
    <w:lvl w:ilvl="0" w:tplc="56F43178">
      <w:start w:val="1"/>
      <w:numFmt w:val="bullet"/>
      <w:lvlText w:val=""/>
      <w:lvlJc w:val="left"/>
      <w:pPr>
        <w:ind w:left="720" w:hanging="360"/>
      </w:pPr>
      <w:rPr>
        <w:rFonts w:ascii="Symbol" w:hAnsi="Symbol" w:hint="default"/>
        <w:color w:val="auto"/>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65A66D2B"/>
    <w:multiLevelType w:val="hybridMultilevel"/>
    <w:tmpl w:val="95E882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67B7355D"/>
    <w:multiLevelType w:val="multilevel"/>
    <w:tmpl w:val="D72E82EE"/>
    <w:lvl w:ilvl="0">
      <w:start w:val="9"/>
      <w:numFmt w:val="decimal"/>
      <w:lvlText w:val="%1"/>
      <w:lvlJc w:val="left"/>
      <w:pPr>
        <w:tabs>
          <w:tab w:val="num" w:pos="690"/>
        </w:tabs>
        <w:ind w:left="690" w:hanging="690"/>
      </w:pPr>
      <w:rPr>
        <w:rFonts w:cs="Times New Roman" w:hint="default"/>
        <w:b/>
      </w:rPr>
    </w:lvl>
    <w:lvl w:ilvl="1">
      <w:start w:val="2"/>
      <w:numFmt w:val="decimal"/>
      <w:lvlText w:val="%1.%2"/>
      <w:lvlJc w:val="left"/>
      <w:pPr>
        <w:tabs>
          <w:tab w:val="num" w:pos="1050"/>
        </w:tabs>
        <w:ind w:left="1050" w:hanging="690"/>
      </w:pPr>
      <w:rPr>
        <w:rFonts w:cs="Times New Roman" w:hint="default"/>
        <w:b/>
      </w:rPr>
    </w:lvl>
    <w:lvl w:ilvl="2">
      <w:start w:val="1"/>
      <w:numFmt w:val="decimal"/>
      <w:lvlText w:val="%1.%2.%3"/>
      <w:lvlJc w:val="left"/>
      <w:pPr>
        <w:tabs>
          <w:tab w:val="num" w:pos="1440"/>
        </w:tabs>
        <w:ind w:left="1440" w:hanging="720"/>
      </w:pPr>
      <w:rPr>
        <w:rFonts w:cs="Times New Roman" w:hint="default"/>
        <w:b/>
      </w:rPr>
    </w:lvl>
    <w:lvl w:ilvl="3">
      <w:start w:val="1"/>
      <w:numFmt w:val="decimal"/>
      <w:lvlText w:val="%1.%2.%3.%4"/>
      <w:lvlJc w:val="left"/>
      <w:pPr>
        <w:tabs>
          <w:tab w:val="num" w:pos="1800"/>
        </w:tabs>
        <w:ind w:left="1800" w:hanging="720"/>
      </w:pPr>
      <w:rPr>
        <w:rFonts w:cs="Times New Roman" w:hint="default"/>
        <w:b/>
      </w:rPr>
    </w:lvl>
    <w:lvl w:ilvl="4">
      <w:start w:val="1"/>
      <w:numFmt w:val="decimal"/>
      <w:lvlText w:val="%1.%2.%3.%4.%5"/>
      <w:lvlJc w:val="left"/>
      <w:pPr>
        <w:tabs>
          <w:tab w:val="num" w:pos="2520"/>
        </w:tabs>
        <w:ind w:left="2520" w:hanging="1080"/>
      </w:pPr>
      <w:rPr>
        <w:rFonts w:cs="Times New Roman" w:hint="default"/>
        <w:b/>
      </w:rPr>
    </w:lvl>
    <w:lvl w:ilvl="5">
      <w:start w:val="1"/>
      <w:numFmt w:val="decimal"/>
      <w:lvlText w:val="%1.%2.%3.%4.%5.%6"/>
      <w:lvlJc w:val="left"/>
      <w:pPr>
        <w:tabs>
          <w:tab w:val="num" w:pos="2880"/>
        </w:tabs>
        <w:ind w:left="2880" w:hanging="1080"/>
      </w:pPr>
      <w:rPr>
        <w:rFonts w:cs="Times New Roman" w:hint="default"/>
        <w:b/>
      </w:rPr>
    </w:lvl>
    <w:lvl w:ilvl="6">
      <w:start w:val="1"/>
      <w:numFmt w:val="decimal"/>
      <w:lvlText w:val="%1.%2.%3.%4.%5.%6.%7"/>
      <w:lvlJc w:val="left"/>
      <w:pPr>
        <w:tabs>
          <w:tab w:val="num" w:pos="3600"/>
        </w:tabs>
        <w:ind w:left="3600" w:hanging="1440"/>
      </w:pPr>
      <w:rPr>
        <w:rFonts w:cs="Times New Roman" w:hint="default"/>
        <w:b/>
      </w:rPr>
    </w:lvl>
    <w:lvl w:ilvl="7">
      <w:start w:val="1"/>
      <w:numFmt w:val="decimal"/>
      <w:lvlText w:val="%1.%2.%3.%4.%5.%6.%7.%8"/>
      <w:lvlJc w:val="left"/>
      <w:pPr>
        <w:tabs>
          <w:tab w:val="num" w:pos="3960"/>
        </w:tabs>
        <w:ind w:left="3960" w:hanging="1440"/>
      </w:pPr>
      <w:rPr>
        <w:rFonts w:cs="Times New Roman" w:hint="default"/>
        <w:b/>
      </w:rPr>
    </w:lvl>
    <w:lvl w:ilvl="8">
      <w:start w:val="1"/>
      <w:numFmt w:val="decimal"/>
      <w:lvlText w:val="%1.%2.%3.%4.%5.%6.%7.%8.%9"/>
      <w:lvlJc w:val="left"/>
      <w:pPr>
        <w:tabs>
          <w:tab w:val="num" w:pos="4680"/>
        </w:tabs>
        <w:ind w:left="4680" w:hanging="1800"/>
      </w:pPr>
      <w:rPr>
        <w:rFonts w:cs="Times New Roman" w:hint="default"/>
        <w:b/>
      </w:rPr>
    </w:lvl>
  </w:abstractNum>
  <w:abstractNum w:abstractNumId="61" w15:restartNumberingAfterBreak="0">
    <w:nsid w:val="6B626243"/>
    <w:multiLevelType w:val="hybridMultilevel"/>
    <w:tmpl w:val="60306BC4"/>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2" w15:restartNumberingAfterBreak="0">
    <w:nsid w:val="6BE15C92"/>
    <w:multiLevelType w:val="hybridMultilevel"/>
    <w:tmpl w:val="0DCA6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15:restartNumberingAfterBreak="0">
    <w:nsid w:val="6CCD3D28"/>
    <w:multiLevelType w:val="hybridMultilevel"/>
    <w:tmpl w:val="BBB0F3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6CEC725B"/>
    <w:multiLevelType w:val="singleLevel"/>
    <w:tmpl w:val="4D365EF8"/>
    <w:lvl w:ilvl="0">
      <w:start w:val="7"/>
      <w:numFmt w:val="decimal"/>
      <w:pStyle w:val="TEXTOCONNUMERO"/>
      <w:lvlText w:val="%1."/>
      <w:lvlJc w:val="left"/>
      <w:pPr>
        <w:ind w:left="567" w:hanging="283"/>
      </w:pPr>
      <w:rPr>
        <w:rFonts w:cs="Times New Roman" w:hint="default"/>
        <w:b w:val="0"/>
      </w:rPr>
    </w:lvl>
  </w:abstractNum>
  <w:abstractNum w:abstractNumId="65" w15:restartNumberingAfterBreak="0">
    <w:nsid w:val="6D1D3CF6"/>
    <w:multiLevelType w:val="multilevel"/>
    <w:tmpl w:val="01080ADA"/>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440" w:hanging="108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800" w:hanging="144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2160" w:hanging="1800"/>
      </w:pPr>
      <w:rPr>
        <w:rFonts w:cs="Times New Roman" w:hint="default"/>
        <w:b/>
      </w:rPr>
    </w:lvl>
    <w:lvl w:ilvl="8">
      <w:start w:val="1"/>
      <w:numFmt w:val="decimal"/>
      <w:isLgl/>
      <w:lvlText w:val="%1.%2.%3.%4.%5.%6.%7.%8.%9."/>
      <w:lvlJc w:val="left"/>
      <w:pPr>
        <w:ind w:left="2520" w:hanging="2160"/>
      </w:pPr>
      <w:rPr>
        <w:rFonts w:cs="Times New Roman" w:hint="default"/>
        <w:b/>
      </w:rPr>
    </w:lvl>
  </w:abstractNum>
  <w:abstractNum w:abstractNumId="66" w15:restartNumberingAfterBreak="0">
    <w:nsid w:val="70B40107"/>
    <w:multiLevelType w:val="hybridMultilevel"/>
    <w:tmpl w:val="C4D4B35C"/>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7" w15:restartNumberingAfterBreak="0">
    <w:nsid w:val="7146576C"/>
    <w:multiLevelType w:val="multilevel"/>
    <w:tmpl w:val="E0280454"/>
    <w:lvl w:ilvl="0">
      <w:start w:val="1"/>
      <w:numFmt w:val="lowerLetter"/>
      <w:lvlText w:val="%1)"/>
      <w:lvlJc w:val="left"/>
      <w:pPr>
        <w:tabs>
          <w:tab w:val="num" w:pos="540"/>
        </w:tabs>
        <w:ind w:left="540" w:hanging="360"/>
      </w:pPr>
      <w:rPr>
        <w:rFonts w:cs="Times New Roman" w:hint="default"/>
        <w:b/>
      </w:rPr>
    </w:lvl>
    <w:lvl w:ilvl="1" w:tentative="1">
      <w:start w:val="1"/>
      <w:numFmt w:val="lowerLetter"/>
      <w:lvlText w:val="%2."/>
      <w:lvlJc w:val="left"/>
      <w:pPr>
        <w:tabs>
          <w:tab w:val="num" w:pos="1620"/>
        </w:tabs>
        <w:ind w:left="1620" w:hanging="360"/>
      </w:pPr>
      <w:rPr>
        <w:rFonts w:cs="Times New Roman"/>
      </w:rPr>
    </w:lvl>
    <w:lvl w:ilvl="2" w:tentative="1">
      <w:start w:val="1"/>
      <w:numFmt w:val="lowerRoman"/>
      <w:lvlText w:val="%3."/>
      <w:lvlJc w:val="right"/>
      <w:pPr>
        <w:tabs>
          <w:tab w:val="num" w:pos="2340"/>
        </w:tabs>
        <w:ind w:left="2340" w:hanging="180"/>
      </w:pPr>
      <w:rPr>
        <w:rFonts w:cs="Times New Roman"/>
      </w:rPr>
    </w:lvl>
    <w:lvl w:ilvl="3" w:tentative="1">
      <w:start w:val="1"/>
      <w:numFmt w:val="decimal"/>
      <w:lvlText w:val="%4."/>
      <w:lvlJc w:val="left"/>
      <w:pPr>
        <w:tabs>
          <w:tab w:val="num" w:pos="3060"/>
        </w:tabs>
        <w:ind w:left="3060" w:hanging="360"/>
      </w:pPr>
      <w:rPr>
        <w:rFonts w:cs="Times New Roman"/>
      </w:rPr>
    </w:lvl>
    <w:lvl w:ilvl="4" w:tentative="1">
      <w:start w:val="1"/>
      <w:numFmt w:val="lowerLetter"/>
      <w:lvlText w:val="%5."/>
      <w:lvlJc w:val="left"/>
      <w:pPr>
        <w:tabs>
          <w:tab w:val="num" w:pos="3780"/>
        </w:tabs>
        <w:ind w:left="3780" w:hanging="360"/>
      </w:pPr>
      <w:rPr>
        <w:rFonts w:cs="Times New Roman"/>
      </w:rPr>
    </w:lvl>
    <w:lvl w:ilvl="5" w:tentative="1">
      <w:start w:val="1"/>
      <w:numFmt w:val="lowerRoman"/>
      <w:lvlText w:val="%6."/>
      <w:lvlJc w:val="right"/>
      <w:pPr>
        <w:tabs>
          <w:tab w:val="num" w:pos="4500"/>
        </w:tabs>
        <w:ind w:left="4500" w:hanging="180"/>
      </w:pPr>
      <w:rPr>
        <w:rFonts w:cs="Times New Roman"/>
      </w:rPr>
    </w:lvl>
    <w:lvl w:ilvl="6" w:tentative="1">
      <w:start w:val="1"/>
      <w:numFmt w:val="decimal"/>
      <w:lvlText w:val="%7."/>
      <w:lvlJc w:val="left"/>
      <w:pPr>
        <w:tabs>
          <w:tab w:val="num" w:pos="5220"/>
        </w:tabs>
        <w:ind w:left="5220" w:hanging="360"/>
      </w:pPr>
      <w:rPr>
        <w:rFonts w:cs="Times New Roman"/>
      </w:rPr>
    </w:lvl>
    <w:lvl w:ilvl="7" w:tentative="1">
      <w:start w:val="1"/>
      <w:numFmt w:val="lowerLetter"/>
      <w:lvlText w:val="%8."/>
      <w:lvlJc w:val="left"/>
      <w:pPr>
        <w:tabs>
          <w:tab w:val="num" w:pos="5940"/>
        </w:tabs>
        <w:ind w:left="5940" w:hanging="360"/>
      </w:pPr>
      <w:rPr>
        <w:rFonts w:cs="Times New Roman"/>
      </w:rPr>
    </w:lvl>
    <w:lvl w:ilvl="8" w:tentative="1">
      <w:start w:val="1"/>
      <w:numFmt w:val="lowerRoman"/>
      <w:lvlText w:val="%9."/>
      <w:lvlJc w:val="right"/>
      <w:pPr>
        <w:tabs>
          <w:tab w:val="num" w:pos="6660"/>
        </w:tabs>
        <w:ind w:left="6660" w:hanging="180"/>
      </w:pPr>
      <w:rPr>
        <w:rFonts w:cs="Times New Roman"/>
      </w:rPr>
    </w:lvl>
  </w:abstractNum>
  <w:abstractNum w:abstractNumId="68" w15:restartNumberingAfterBreak="0">
    <w:nsid w:val="721B4583"/>
    <w:multiLevelType w:val="hybridMultilevel"/>
    <w:tmpl w:val="92A40680"/>
    <w:lvl w:ilvl="0" w:tplc="E0CC7ED6">
      <w:start w:val="1"/>
      <w:numFmt w:val="decimal"/>
      <w:pStyle w:val="5TitCin"/>
      <w:suff w:val="space"/>
      <w:lvlText w:val="4.2.2.1.%1."/>
      <w:lvlJc w:val="right"/>
      <w:pPr>
        <w:ind w:left="-964" w:firstLine="964"/>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221333A"/>
    <w:multiLevelType w:val="hybridMultilevel"/>
    <w:tmpl w:val="087A8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2A573A6"/>
    <w:multiLevelType w:val="hybridMultilevel"/>
    <w:tmpl w:val="58507332"/>
    <w:lvl w:ilvl="0" w:tplc="C93CB34E">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73ED1241"/>
    <w:multiLevelType w:val="hybridMultilevel"/>
    <w:tmpl w:val="E98C1F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74203738"/>
    <w:multiLevelType w:val="hybridMultilevel"/>
    <w:tmpl w:val="C4CEB332"/>
    <w:lvl w:ilvl="0" w:tplc="0C0A0019">
      <w:start w:val="1"/>
      <w:numFmt w:val="lowerLetter"/>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3" w15:restartNumberingAfterBreak="0">
    <w:nsid w:val="79AC0525"/>
    <w:multiLevelType w:val="hybridMultilevel"/>
    <w:tmpl w:val="B908DB30"/>
    <w:lvl w:ilvl="0" w:tplc="659CA55A">
      <w:start w:val="1"/>
      <w:numFmt w:val="bullet"/>
      <w:pStyle w:val="Listaconvietas"/>
      <w:lvlText w:val=""/>
      <w:lvlJc w:val="left"/>
      <w:pPr>
        <w:ind w:left="720" w:hanging="360"/>
      </w:pPr>
      <w:rPr>
        <w:rFonts w:ascii="Symbol" w:hAnsi="Symbol" w:hint="default"/>
      </w:rPr>
    </w:lvl>
    <w:lvl w:ilvl="1" w:tplc="7E18FA0A">
      <w:numFmt w:val="bullet"/>
      <w:pStyle w:val="Niv2Bullets"/>
      <w:lvlText w:val="-"/>
      <w:lvlJc w:val="left"/>
      <w:pPr>
        <w:ind w:left="1440" w:hanging="360"/>
      </w:pPr>
      <w:rPr>
        <w:rFonts w:ascii="ITC Avant Garde" w:eastAsia="Calibri"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A8F0F76"/>
    <w:multiLevelType w:val="hybridMultilevel"/>
    <w:tmpl w:val="29C4C4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6" w15:restartNumberingAfterBreak="0">
    <w:nsid w:val="7B7A48F4"/>
    <w:multiLevelType w:val="hybridMultilevel"/>
    <w:tmpl w:val="03728A66"/>
    <w:lvl w:ilvl="0" w:tplc="F53EE170">
      <w:start w:val="1"/>
      <w:numFmt w:val="upperLetter"/>
      <w:lvlText w:val="%1)"/>
      <w:lvlJc w:val="left"/>
      <w:pPr>
        <w:tabs>
          <w:tab w:val="num" w:pos="720"/>
        </w:tabs>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77" w15:restartNumberingAfterBreak="0">
    <w:nsid w:val="7BAC57ED"/>
    <w:multiLevelType w:val="multilevel"/>
    <w:tmpl w:val="E3E44638"/>
    <w:lvl w:ilvl="0">
      <w:start w:val="5"/>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8" w15:restartNumberingAfterBreak="0">
    <w:nsid w:val="7BC64056"/>
    <w:multiLevelType w:val="hybridMultilevel"/>
    <w:tmpl w:val="5AC6DA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7C8F4F3D"/>
    <w:multiLevelType w:val="hybridMultilevel"/>
    <w:tmpl w:val="24B6D768"/>
    <w:lvl w:ilvl="0" w:tplc="080A0017">
      <w:start w:val="1"/>
      <w:numFmt w:val="lowerLetter"/>
      <w:lvlText w:val="%1)"/>
      <w:lvlJc w:val="left"/>
      <w:pPr>
        <w:ind w:left="720" w:hanging="360"/>
      </w:pPr>
      <w:rPr>
        <w:rFonts w:cs="Times New Roman"/>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0" w15:restartNumberingAfterBreak="0">
    <w:nsid w:val="7CF16BBF"/>
    <w:multiLevelType w:val="hybridMultilevel"/>
    <w:tmpl w:val="DBAA91C4"/>
    <w:lvl w:ilvl="0" w:tplc="96C0C36E">
      <w:start w:val="1"/>
      <w:numFmt w:val="lowerLetter"/>
      <w:lvlText w:val="%1)"/>
      <w:lvlJc w:val="left"/>
      <w:pPr>
        <w:ind w:left="735" w:hanging="375"/>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81"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pPr>
        <w:ind w:left="1499" w:hanging="648"/>
      </w:pPr>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4">
      <w:start w:val="1"/>
      <w:numFmt w:val="decimal"/>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9"/>
  </w:num>
  <w:num w:numId="2">
    <w:abstractNumId w:val="73"/>
  </w:num>
  <w:num w:numId="3">
    <w:abstractNumId w:val="4"/>
  </w:num>
  <w:num w:numId="4">
    <w:abstractNumId w:val="75"/>
  </w:num>
  <w:num w:numId="5">
    <w:abstractNumId w:val="81"/>
  </w:num>
  <w:num w:numId="6">
    <w:abstractNumId w:val="46"/>
  </w:num>
  <w:num w:numId="7">
    <w:abstractNumId w:val="68"/>
  </w:num>
  <w:num w:numId="8">
    <w:abstractNumId w:val="55"/>
  </w:num>
  <w:num w:numId="9">
    <w:abstractNumId w:val="74"/>
  </w:num>
  <w:num w:numId="10">
    <w:abstractNumId w:val="58"/>
  </w:num>
  <w:num w:numId="11">
    <w:abstractNumId w:val="56"/>
  </w:num>
  <w:num w:numId="12">
    <w:abstractNumId w:val="9"/>
  </w:num>
  <w:num w:numId="13">
    <w:abstractNumId w:val="20"/>
  </w:num>
  <w:num w:numId="14">
    <w:abstractNumId w:val="35"/>
  </w:num>
  <w:num w:numId="15">
    <w:abstractNumId w:val="36"/>
  </w:num>
  <w:num w:numId="16">
    <w:abstractNumId w:val="3"/>
  </w:num>
  <w:num w:numId="17">
    <w:abstractNumId w:val="59"/>
  </w:num>
  <w:num w:numId="18">
    <w:abstractNumId w:val="5"/>
  </w:num>
  <w:num w:numId="19">
    <w:abstractNumId w:val="37"/>
  </w:num>
  <w:num w:numId="20">
    <w:abstractNumId w:val="45"/>
  </w:num>
  <w:num w:numId="21">
    <w:abstractNumId w:val="7"/>
  </w:num>
  <w:num w:numId="22">
    <w:abstractNumId w:val="79"/>
  </w:num>
  <w:num w:numId="23">
    <w:abstractNumId w:val="11"/>
  </w:num>
  <w:num w:numId="24">
    <w:abstractNumId w:val="70"/>
  </w:num>
  <w:num w:numId="25">
    <w:abstractNumId w:val="44"/>
  </w:num>
  <w:num w:numId="26">
    <w:abstractNumId w:val="48"/>
  </w:num>
  <w:num w:numId="27">
    <w:abstractNumId w:val="40"/>
  </w:num>
  <w:num w:numId="28">
    <w:abstractNumId w:val="64"/>
  </w:num>
  <w:num w:numId="29">
    <w:abstractNumId w:val="1"/>
  </w:num>
  <w:num w:numId="30">
    <w:abstractNumId w:val="19"/>
  </w:num>
  <w:num w:numId="31">
    <w:abstractNumId w:val="21"/>
  </w:num>
  <w:num w:numId="32">
    <w:abstractNumId w:val="18"/>
  </w:num>
  <w:num w:numId="33">
    <w:abstractNumId w:val="8"/>
  </w:num>
  <w:num w:numId="34">
    <w:abstractNumId w:val="23"/>
  </w:num>
  <w:num w:numId="35">
    <w:abstractNumId w:val="17"/>
  </w:num>
  <w:num w:numId="36">
    <w:abstractNumId w:val="31"/>
  </w:num>
  <w:num w:numId="37">
    <w:abstractNumId w:val="61"/>
  </w:num>
  <w:num w:numId="38">
    <w:abstractNumId w:val="54"/>
  </w:num>
  <w:num w:numId="39">
    <w:abstractNumId w:val="51"/>
  </w:num>
  <w:num w:numId="40">
    <w:abstractNumId w:val="27"/>
  </w:num>
  <w:num w:numId="41">
    <w:abstractNumId w:val="22"/>
  </w:num>
  <w:num w:numId="42">
    <w:abstractNumId w:val="49"/>
  </w:num>
  <w:num w:numId="43">
    <w:abstractNumId w:val="71"/>
  </w:num>
  <w:num w:numId="44">
    <w:abstractNumId w:val="77"/>
  </w:num>
  <w:num w:numId="45">
    <w:abstractNumId w:val="16"/>
  </w:num>
  <w:num w:numId="46">
    <w:abstractNumId w:val="72"/>
  </w:num>
  <w:num w:numId="47">
    <w:abstractNumId w:val="42"/>
  </w:num>
  <w:num w:numId="48">
    <w:abstractNumId w:val="57"/>
  </w:num>
  <w:num w:numId="49">
    <w:abstractNumId w:val="2"/>
  </w:num>
  <w:num w:numId="50">
    <w:abstractNumId w:val="29"/>
  </w:num>
  <w:num w:numId="51">
    <w:abstractNumId w:val="47"/>
  </w:num>
  <w:num w:numId="52">
    <w:abstractNumId w:val="43"/>
  </w:num>
  <w:num w:numId="53">
    <w:abstractNumId w:val="69"/>
  </w:num>
  <w:num w:numId="54">
    <w:abstractNumId w:val="38"/>
  </w:num>
  <w:num w:numId="55">
    <w:abstractNumId w:val="62"/>
  </w:num>
  <w:num w:numId="56">
    <w:abstractNumId w:val="80"/>
  </w:num>
  <w:num w:numId="57">
    <w:abstractNumId w:val="30"/>
  </w:num>
  <w:num w:numId="58">
    <w:abstractNumId w:val="53"/>
  </w:num>
  <w:num w:numId="59">
    <w:abstractNumId w:val="66"/>
  </w:num>
  <w:num w:numId="60">
    <w:abstractNumId w:val="33"/>
  </w:num>
  <w:num w:numId="61">
    <w:abstractNumId w:val="0"/>
  </w:num>
  <w:num w:numId="62">
    <w:abstractNumId w:val="67"/>
  </w:num>
  <w:num w:numId="63">
    <w:abstractNumId w:val="60"/>
  </w:num>
  <w:num w:numId="64">
    <w:abstractNumId w:val="50"/>
  </w:num>
  <w:num w:numId="65">
    <w:abstractNumId w:val="26"/>
  </w:num>
  <w:num w:numId="66">
    <w:abstractNumId w:val="24"/>
  </w:num>
  <w:num w:numId="67">
    <w:abstractNumId w:val="28"/>
  </w:num>
  <w:num w:numId="68">
    <w:abstractNumId w:val="14"/>
  </w:num>
  <w:num w:numId="69">
    <w:abstractNumId w:val="12"/>
  </w:num>
  <w:num w:numId="70">
    <w:abstractNumId w:val="6"/>
  </w:num>
  <w:num w:numId="71">
    <w:abstractNumId w:val="15"/>
  </w:num>
  <w:num w:numId="72">
    <w:abstractNumId w:val="76"/>
  </w:num>
  <w:num w:numId="73">
    <w:abstractNumId w:val="13"/>
  </w:num>
  <w:num w:numId="74">
    <w:abstractNumId w:val="52"/>
  </w:num>
  <w:num w:numId="75">
    <w:abstractNumId w:val="65"/>
  </w:num>
  <w:num w:numId="76">
    <w:abstractNumId w:val="34"/>
  </w:num>
  <w:num w:numId="77">
    <w:abstractNumId w:val="10"/>
  </w:num>
  <w:num w:numId="78">
    <w:abstractNumId w:val="32"/>
  </w:num>
  <w:num w:numId="79">
    <w:abstractNumId w:val="41"/>
  </w:num>
  <w:num w:numId="80">
    <w:abstractNumId w:val="25"/>
  </w:num>
  <w:num w:numId="81">
    <w:abstractNumId w:val="78"/>
  </w:num>
  <w:num w:numId="82">
    <w:abstractNumId w:val="6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7"/>
  <w:proofState w:spelling="clean" w:grammar="clean"/>
  <w:defaultTabStop w:val="709"/>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25DD"/>
    <w:rsid w:val="00000101"/>
    <w:rsid w:val="000004E5"/>
    <w:rsid w:val="00000A42"/>
    <w:rsid w:val="00001C44"/>
    <w:rsid w:val="00001DFB"/>
    <w:rsid w:val="00001E51"/>
    <w:rsid w:val="000020AD"/>
    <w:rsid w:val="0000398F"/>
    <w:rsid w:val="00003D7D"/>
    <w:rsid w:val="00004294"/>
    <w:rsid w:val="000058F1"/>
    <w:rsid w:val="000069DE"/>
    <w:rsid w:val="00006CF3"/>
    <w:rsid w:val="000071D4"/>
    <w:rsid w:val="00007430"/>
    <w:rsid w:val="00007C3B"/>
    <w:rsid w:val="00010220"/>
    <w:rsid w:val="00010BEA"/>
    <w:rsid w:val="0001119D"/>
    <w:rsid w:val="0001136F"/>
    <w:rsid w:val="00011376"/>
    <w:rsid w:val="00011DE1"/>
    <w:rsid w:val="00011EDF"/>
    <w:rsid w:val="00012061"/>
    <w:rsid w:val="000126C9"/>
    <w:rsid w:val="0001310A"/>
    <w:rsid w:val="00013346"/>
    <w:rsid w:val="00014914"/>
    <w:rsid w:val="00014ECB"/>
    <w:rsid w:val="0001573C"/>
    <w:rsid w:val="00015934"/>
    <w:rsid w:val="000160F9"/>
    <w:rsid w:val="00016493"/>
    <w:rsid w:val="00016CFA"/>
    <w:rsid w:val="00016D6F"/>
    <w:rsid w:val="00017BB6"/>
    <w:rsid w:val="0002011F"/>
    <w:rsid w:val="00021AF5"/>
    <w:rsid w:val="00022605"/>
    <w:rsid w:val="00023988"/>
    <w:rsid w:val="000242E1"/>
    <w:rsid w:val="000250E9"/>
    <w:rsid w:val="0002620A"/>
    <w:rsid w:val="0002687C"/>
    <w:rsid w:val="00026AB9"/>
    <w:rsid w:val="00026FC7"/>
    <w:rsid w:val="0003075D"/>
    <w:rsid w:val="000307B5"/>
    <w:rsid w:val="0003108A"/>
    <w:rsid w:val="00031C1C"/>
    <w:rsid w:val="00031E69"/>
    <w:rsid w:val="000323A2"/>
    <w:rsid w:val="000329BE"/>
    <w:rsid w:val="00032BF1"/>
    <w:rsid w:val="00032E2C"/>
    <w:rsid w:val="00033B15"/>
    <w:rsid w:val="00033BDF"/>
    <w:rsid w:val="000348A8"/>
    <w:rsid w:val="00034E23"/>
    <w:rsid w:val="000351B2"/>
    <w:rsid w:val="0003589B"/>
    <w:rsid w:val="00035F91"/>
    <w:rsid w:val="000360FE"/>
    <w:rsid w:val="000372AF"/>
    <w:rsid w:val="00040AAA"/>
    <w:rsid w:val="00040B65"/>
    <w:rsid w:val="00040BA0"/>
    <w:rsid w:val="00041C2B"/>
    <w:rsid w:val="00042113"/>
    <w:rsid w:val="00042225"/>
    <w:rsid w:val="0004257A"/>
    <w:rsid w:val="00042731"/>
    <w:rsid w:val="00043A11"/>
    <w:rsid w:val="00043E3B"/>
    <w:rsid w:val="000445B7"/>
    <w:rsid w:val="00044988"/>
    <w:rsid w:val="00045DC1"/>
    <w:rsid w:val="0004600D"/>
    <w:rsid w:val="00046293"/>
    <w:rsid w:val="00046456"/>
    <w:rsid w:val="00047801"/>
    <w:rsid w:val="00050D3D"/>
    <w:rsid w:val="000515EA"/>
    <w:rsid w:val="000523F5"/>
    <w:rsid w:val="00052426"/>
    <w:rsid w:val="00052CF1"/>
    <w:rsid w:val="00052F1D"/>
    <w:rsid w:val="000533CC"/>
    <w:rsid w:val="00053714"/>
    <w:rsid w:val="00053815"/>
    <w:rsid w:val="00053A2C"/>
    <w:rsid w:val="00053BCB"/>
    <w:rsid w:val="000546D3"/>
    <w:rsid w:val="0005510D"/>
    <w:rsid w:val="00055113"/>
    <w:rsid w:val="00055D63"/>
    <w:rsid w:val="00055FE2"/>
    <w:rsid w:val="0005673D"/>
    <w:rsid w:val="00056788"/>
    <w:rsid w:val="00056B60"/>
    <w:rsid w:val="00056F02"/>
    <w:rsid w:val="00060B99"/>
    <w:rsid w:val="00061A79"/>
    <w:rsid w:val="00061C1D"/>
    <w:rsid w:val="00062A12"/>
    <w:rsid w:val="00062ACC"/>
    <w:rsid w:val="00062C27"/>
    <w:rsid w:val="000635D8"/>
    <w:rsid w:val="00064F9C"/>
    <w:rsid w:val="000651F0"/>
    <w:rsid w:val="00066264"/>
    <w:rsid w:val="0006628B"/>
    <w:rsid w:val="0006645C"/>
    <w:rsid w:val="00066D13"/>
    <w:rsid w:val="00067817"/>
    <w:rsid w:val="000679C0"/>
    <w:rsid w:val="00067EDA"/>
    <w:rsid w:val="00070A4A"/>
    <w:rsid w:val="00070B4D"/>
    <w:rsid w:val="00071132"/>
    <w:rsid w:val="00071466"/>
    <w:rsid w:val="00071FA4"/>
    <w:rsid w:val="00072B34"/>
    <w:rsid w:val="00072DDD"/>
    <w:rsid w:val="00073261"/>
    <w:rsid w:val="000734BA"/>
    <w:rsid w:val="00073BE8"/>
    <w:rsid w:val="00074CAD"/>
    <w:rsid w:val="000751FF"/>
    <w:rsid w:val="000756A7"/>
    <w:rsid w:val="000759E4"/>
    <w:rsid w:val="00076319"/>
    <w:rsid w:val="00076BDD"/>
    <w:rsid w:val="00077FF4"/>
    <w:rsid w:val="000804B2"/>
    <w:rsid w:val="00083796"/>
    <w:rsid w:val="000837E2"/>
    <w:rsid w:val="000842AD"/>
    <w:rsid w:val="00084A09"/>
    <w:rsid w:val="0008544F"/>
    <w:rsid w:val="000856C9"/>
    <w:rsid w:val="00085A43"/>
    <w:rsid w:val="00085E12"/>
    <w:rsid w:val="00085FBF"/>
    <w:rsid w:val="00086AA6"/>
    <w:rsid w:val="00086FB0"/>
    <w:rsid w:val="00087112"/>
    <w:rsid w:val="00087236"/>
    <w:rsid w:val="000900D1"/>
    <w:rsid w:val="000901D9"/>
    <w:rsid w:val="00090DD8"/>
    <w:rsid w:val="00091167"/>
    <w:rsid w:val="00091C3D"/>
    <w:rsid w:val="00091CDC"/>
    <w:rsid w:val="00091E78"/>
    <w:rsid w:val="000921E3"/>
    <w:rsid w:val="0009251A"/>
    <w:rsid w:val="000925E5"/>
    <w:rsid w:val="00092E86"/>
    <w:rsid w:val="00093AD3"/>
    <w:rsid w:val="000955EF"/>
    <w:rsid w:val="000A04E0"/>
    <w:rsid w:val="000A0A54"/>
    <w:rsid w:val="000A0DE1"/>
    <w:rsid w:val="000A16AB"/>
    <w:rsid w:val="000A2094"/>
    <w:rsid w:val="000A285F"/>
    <w:rsid w:val="000A292D"/>
    <w:rsid w:val="000A2978"/>
    <w:rsid w:val="000A306E"/>
    <w:rsid w:val="000A3355"/>
    <w:rsid w:val="000A359B"/>
    <w:rsid w:val="000A410A"/>
    <w:rsid w:val="000A433A"/>
    <w:rsid w:val="000A500F"/>
    <w:rsid w:val="000A529E"/>
    <w:rsid w:val="000A5432"/>
    <w:rsid w:val="000A60FC"/>
    <w:rsid w:val="000A6433"/>
    <w:rsid w:val="000A6D29"/>
    <w:rsid w:val="000A75F3"/>
    <w:rsid w:val="000A78DF"/>
    <w:rsid w:val="000A7AF0"/>
    <w:rsid w:val="000A7D76"/>
    <w:rsid w:val="000A7FEA"/>
    <w:rsid w:val="000B206D"/>
    <w:rsid w:val="000B2230"/>
    <w:rsid w:val="000B2272"/>
    <w:rsid w:val="000B2290"/>
    <w:rsid w:val="000B2DBF"/>
    <w:rsid w:val="000B3201"/>
    <w:rsid w:val="000B3785"/>
    <w:rsid w:val="000B3D37"/>
    <w:rsid w:val="000B3FDA"/>
    <w:rsid w:val="000B43B8"/>
    <w:rsid w:val="000B4D05"/>
    <w:rsid w:val="000B4D94"/>
    <w:rsid w:val="000B57B9"/>
    <w:rsid w:val="000B670E"/>
    <w:rsid w:val="000B68B4"/>
    <w:rsid w:val="000B6EAA"/>
    <w:rsid w:val="000B76D7"/>
    <w:rsid w:val="000B784D"/>
    <w:rsid w:val="000C01E2"/>
    <w:rsid w:val="000C05E8"/>
    <w:rsid w:val="000C076E"/>
    <w:rsid w:val="000C0AC2"/>
    <w:rsid w:val="000C2346"/>
    <w:rsid w:val="000C29CB"/>
    <w:rsid w:val="000C3A57"/>
    <w:rsid w:val="000C5656"/>
    <w:rsid w:val="000C57B1"/>
    <w:rsid w:val="000C6CF5"/>
    <w:rsid w:val="000C73BD"/>
    <w:rsid w:val="000C7D02"/>
    <w:rsid w:val="000C7E9F"/>
    <w:rsid w:val="000D08AE"/>
    <w:rsid w:val="000D0DDC"/>
    <w:rsid w:val="000D0FAD"/>
    <w:rsid w:val="000D12D0"/>
    <w:rsid w:val="000D2FC1"/>
    <w:rsid w:val="000D345C"/>
    <w:rsid w:val="000D421C"/>
    <w:rsid w:val="000D5064"/>
    <w:rsid w:val="000D5A72"/>
    <w:rsid w:val="000D6CA1"/>
    <w:rsid w:val="000D6F2E"/>
    <w:rsid w:val="000E1034"/>
    <w:rsid w:val="000E1B07"/>
    <w:rsid w:val="000E205D"/>
    <w:rsid w:val="000E287F"/>
    <w:rsid w:val="000E4913"/>
    <w:rsid w:val="000E4BC5"/>
    <w:rsid w:val="000E529F"/>
    <w:rsid w:val="000E58B8"/>
    <w:rsid w:val="000E6A19"/>
    <w:rsid w:val="000E7066"/>
    <w:rsid w:val="000E7272"/>
    <w:rsid w:val="000F022A"/>
    <w:rsid w:val="000F0D92"/>
    <w:rsid w:val="000F1AEC"/>
    <w:rsid w:val="000F2256"/>
    <w:rsid w:val="000F22D3"/>
    <w:rsid w:val="000F2828"/>
    <w:rsid w:val="000F2959"/>
    <w:rsid w:val="000F2966"/>
    <w:rsid w:val="000F2F10"/>
    <w:rsid w:val="000F30F1"/>
    <w:rsid w:val="000F4733"/>
    <w:rsid w:val="000F52A4"/>
    <w:rsid w:val="000F6362"/>
    <w:rsid w:val="000F67BA"/>
    <w:rsid w:val="000F6EEE"/>
    <w:rsid w:val="000F6F85"/>
    <w:rsid w:val="000F76E6"/>
    <w:rsid w:val="000F76F8"/>
    <w:rsid w:val="000F7769"/>
    <w:rsid w:val="000F7C96"/>
    <w:rsid w:val="00100070"/>
    <w:rsid w:val="0010149E"/>
    <w:rsid w:val="00101681"/>
    <w:rsid w:val="00101D02"/>
    <w:rsid w:val="00101FE6"/>
    <w:rsid w:val="001027C6"/>
    <w:rsid w:val="00102BC3"/>
    <w:rsid w:val="00102E41"/>
    <w:rsid w:val="00102F7B"/>
    <w:rsid w:val="00103247"/>
    <w:rsid w:val="0010377C"/>
    <w:rsid w:val="0010393A"/>
    <w:rsid w:val="001039B7"/>
    <w:rsid w:val="00103FA0"/>
    <w:rsid w:val="0010459C"/>
    <w:rsid w:val="00104DFC"/>
    <w:rsid w:val="0010558B"/>
    <w:rsid w:val="001059B3"/>
    <w:rsid w:val="00106CDD"/>
    <w:rsid w:val="00107BD8"/>
    <w:rsid w:val="001101AE"/>
    <w:rsid w:val="001103EE"/>
    <w:rsid w:val="00111648"/>
    <w:rsid w:val="00111690"/>
    <w:rsid w:val="001119E3"/>
    <w:rsid w:val="00111B9F"/>
    <w:rsid w:val="00111C05"/>
    <w:rsid w:val="0011292A"/>
    <w:rsid w:val="00112A7E"/>
    <w:rsid w:val="0011406F"/>
    <w:rsid w:val="00114D43"/>
    <w:rsid w:val="00115191"/>
    <w:rsid w:val="00115DA9"/>
    <w:rsid w:val="0011608A"/>
    <w:rsid w:val="001177B8"/>
    <w:rsid w:val="00117A58"/>
    <w:rsid w:val="00117E79"/>
    <w:rsid w:val="001201D3"/>
    <w:rsid w:val="00120A03"/>
    <w:rsid w:val="001224DB"/>
    <w:rsid w:val="001229F5"/>
    <w:rsid w:val="001232D0"/>
    <w:rsid w:val="0012342D"/>
    <w:rsid w:val="00123ECB"/>
    <w:rsid w:val="00124646"/>
    <w:rsid w:val="001250DB"/>
    <w:rsid w:val="00125C41"/>
    <w:rsid w:val="00126141"/>
    <w:rsid w:val="00126159"/>
    <w:rsid w:val="001264F9"/>
    <w:rsid w:val="00127E7E"/>
    <w:rsid w:val="00130418"/>
    <w:rsid w:val="00130E46"/>
    <w:rsid w:val="00131FE5"/>
    <w:rsid w:val="00132489"/>
    <w:rsid w:val="00132E35"/>
    <w:rsid w:val="0013316F"/>
    <w:rsid w:val="001345DD"/>
    <w:rsid w:val="00134777"/>
    <w:rsid w:val="00134A26"/>
    <w:rsid w:val="00134A2B"/>
    <w:rsid w:val="00134F36"/>
    <w:rsid w:val="00135524"/>
    <w:rsid w:val="00135917"/>
    <w:rsid w:val="00136084"/>
    <w:rsid w:val="00136146"/>
    <w:rsid w:val="0013631B"/>
    <w:rsid w:val="0013678B"/>
    <w:rsid w:val="00137022"/>
    <w:rsid w:val="001376F6"/>
    <w:rsid w:val="001379E7"/>
    <w:rsid w:val="00137AB9"/>
    <w:rsid w:val="0014157C"/>
    <w:rsid w:val="001418B0"/>
    <w:rsid w:val="001419FF"/>
    <w:rsid w:val="00141A5B"/>
    <w:rsid w:val="00141E5D"/>
    <w:rsid w:val="00142849"/>
    <w:rsid w:val="001434D4"/>
    <w:rsid w:val="00143A11"/>
    <w:rsid w:val="00143B3A"/>
    <w:rsid w:val="00143CEA"/>
    <w:rsid w:val="001446EA"/>
    <w:rsid w:val="001451E6"/>
    <w:rsid w:val="00145329"/>
    <w:rsid w:val="00145670"/>
    <w:rsid w:val="0014571D"/>
    <w:rsid w:val="00145DE1"/>
    <w:rsid w:val="00146138"/>
    <w:rsid w:val="001506DC"/>
    <w:rsid w:val="00151AD4"/>
    <w:rsid w:val="00152EF1"/>
    <w:rsid w:val="00152F25"/>
    <w:rsid w:val="00153FEC"/>
    <w:rsid w:val="001540B3"/>
    <w:rsid w:val="00155935"/>
    <w:rsid w:val="0015694C"/>
    <w:rsid w:val="00157E60"/>
    <w:rsid w:val="00160182"/>
    <w:rsid w:val="00160651"/>
    <w:rsid w:val="001607E7"/>
    <w:rsid w:val="001608AC"/>
    <w:rsid w:val="001617F9"/>
    <w:rsid w:val="00161DE8"/>
    <w:rsid w:val="00162B03"/>
    <w:rsid w:val="00163B2B"/>
    <w:rsid w:val="00163B45"/>
    <w:rsid w:val="00163C31"/>
    <w:rsid w:val="00164052"/>
    <w:rsid w:val="0016486C"/>
    <w:rsid w:val="00165171"/>
    <w:rsid w:val="00165C29"/>
    <w:rsid w:val="0017095E"/>
    <w:rsid w:val="001711D5"/>
    <w:rsid w:val="00171436"/>
    <w:rsid w:val="0017193B"/>
    <w:rsid w:val="0017267F"/>
    <w:rsid w:val="001742B8"/>
    <w:rsid w:val="0017463C"/>
    <w:rsid w:val="001747BD"/>
    <w:rsid w:val="00174A1A"/>
    <w:rsid w:val="00174C53"/>
    <w:rsid w:val="00174D2A"/>
    <w:rsid w:val="00174E87"/>
    <w:rsid w:val="001766EA"/>
    <w:rsid w:val="00176886"/>
    <w:rsid w:val="001768FF"/>
    <w:rsid w:val="00176977"/>
    <w:rsid w:val="00176B74"/>
    <w:rsid w:val="00176CFA"/>
    <w:rsid w:val="0017711A"/>
    <w:rsid w:val="001801D9"/>
    <w:rsid w:val="001806AA"/>
    <w:rsid w:val="00180945"/>
    <w:rsid w:val="00180DB6"/>
    <w:rsid w:val="00180F77"/>
    <w:rsid w:val="00181856"/>
    <w:rsid w:val="001819E2"/>
    <w:rsid w:val="00182209"/>
    <w:rsid w:val="00182462"/>
    <w:rsid w:val="00182914"/>
    <w:rsid w:val="00183746"/>
    <w:rsid w:val="00184006"/>
    <w:rsid w:val="0018465B"/>
    <w:rsid w:val="001848E6"/>
    <w:rsid w:val="00184AA7"/>
    <w:rsid w:val="00185625"/>
    <w:rsid w:val="00185E5F"/>
    <w:rsid w:val="00186503"/>
    <w:rsid w:val="00186ACD"/>
    <w:rsid w:val="00186C39"/>
    <w:rsid w:val="00186FB9"/>
    <w:rsid w:val="00187CD0"/>
    <w:rsid w:val="0019259A"/>
    <w:rsid w:val="00192A55"/>
    <w:rsid w:val="0019336A"/>
    <w:rsid w:val="00193756"/>
    <w:rsid w:val="00193DED"/>
    <w:rsid w:val="001941B2"/>
    <w:rsid w:val="0019463E"/>
    <w:rsid w:val="00195B92"/>
    <w:rsid w:val="00195FDB"/>
    <w:rsid w:val="00196ECE"/>
    <w:rsid w:val="00197FD7"/>
    <w:rsid w:val="001A0389"/>
    <w:rsid w:val="001A0BA7"/>
    <w:rsid w:val="001A17E5"/>
    <w:rsid w:val="001A246A"/>
    <w:rsid w:val="001A2B17"/>
    <w:rsid w:val="001A2F39"/>
    <w:rsid w:val="001A3550"/>
    <w:rsid w:val="001A3BFA"/>
    <w:rsid w:val="001A402D"/>
    <w:rsid w:val="001A4119"/>
    <w:rsid w:val="001A45A3"/>
    <w:rsid w:val="001A468F"/>
    <w:rsid w:val="001A4B15"/>
    <w:rsid w:val="001A5DF2"/>
    <w:rsid w:val="001A6FCE"/>
    <w:rsid w:val="001A701A"/>
    <w:rsid w:val="001A71DA"/>
    <w:rsid w:val="001A7828"/>
    <w:rsid w:val="001B0373"/>
    <w:rsid w:val="001B0563"/>
    <w:rsid w:val="001B0A23"/>
    <w:rsid w:val="001B1069"/>
    <w:rsid w:val="001B1B3B"/>
    <w:rsid w:val="001B5990"/>
    <w:rsid w:val="001B5FC2"/>
    <w:rsid w:val="001B5FD7"/>
    <w:rsid w:val="001B63E2"/>
    <w:rsid w:val="001B6578"/>
    <w:rsid w:val="001B702E"/>
    <w:rsid w:val="001C0359"/>
    <w:rsid w:val="001C050A"/>
    <w:rsid w:val="001C06E5"/>
    <w:rsid w:val="001C0AFE"/>
    <w:rsid w:val="001C0FDC"/>
    <w:rsid w:val="001C1CC9"/>
    <w:rsid w:val="001C2095"/>
    <w:rsid w:val="001C4468"/>
    <w:rsid w:val="001C47C8"/>
    <w:rsid w:val="001C4D80"/>
    <w:rsid w:val="001C5388"/>
    <w:rsid w:val="001C5C5F"/>
    <w:rsid w:val="001C6E94"/>
    <w:rsid w:val="001C70CC"/>
    <w:rsid w:val="001C755D"/>
    <w:rsid w:val="001C770C"/>
    <w:rsid w:val="001C7771"/>
    <w:rsid w:val="001D03AC"/>
    <w:rsid w:val="001D23E0"/>
    <w:rsid w:val="001D281F"/>
    <w:rsid w:val="001D2BCF"/>
    <w:rsid w:val="001D2C08"/>
    <w:rsid w:val="001D2E3E"/>
    <w:rsid w:val="001D2F1A"/>
    <w:rsid w:val="001D2FD9"/>
    <w:rsid w:val="001D33B1"/>
    <w:rsid w:val="001D3AC1"/>
    <w:rsid w:val="001D3B3E"/>
    <w:rsid w:val="001D3DEA"/>
    <w:rsid w:val="001D43A5"/>
    <w:rsid w:val="001D462F"/>
    <w:rsid w:val="001D4799"/>
    <w:rsid w:val="001D4A9C"/>
    <w:rsid w:val="001D6131"/>
    <w:rsid w:val="001D615B"/>
    <w:rsid w:val="001D6EB3"/>
    <w:rsid w:val="001D6F8A"/>
    <w:rsid w:val="001D7DEB"/>
    <w:rsid w:val="001E0182"/>
    <w:rsid w:val="001E0DD2"/>
    <w:rsid w:val="001E0F4E"/>
    <w:rsid w:val="001E1339"/>
    <w:rsid w:val="001E1D13"/>
    <w:rsid w:val="001E1D3B"/>
    <w:rsid w:val="001E2F5D"/>
    <w:rsid w:val="001E2F99"/>
    <w:rsid w:val="001E33A1"/>
    <w:rsid w:val="001E3718"/>
    <w:rsid w:val="001E4530"/>
    <w:rsid w:val="001E5F01"/>
    <w:rsid w:val="001E71CF"/>
    <w:rsid w:val="001E7895"/>
    <w:rsid w:val="001F0156"/>
    <w:rsid w:val="001F0302"/>
    <w:rsid w:val="001F0AFF"/>
    <w:rsid w:val="001F0B28"/>
    <w:rsid w:val="001F15A5"/>
    <w:rsid w:val="001F27A7"/>
    <w:rsid w:val="001F2A60"/>
    <w:rsid w:val="001F2FCB"/>
    <w:rsid w:val="001F2FDD"/>
    <w:rsid w:val="001F3DE9"/>
    <w:rsid w:val="001F41F5"/>
    <w:rsid w:val="001F48D5"/>
    <w:rsid w:val="001F4DFE"/>
    <w:rsid w:val="001F6CBF"/>
    <w:rsid w:val="0020040A"/>
    <w:rsid w:val="00201227"/>
    <w:rsid w:val="002012C5"/>
    <w:rsid w:val="00201390"/>
    <w:rsid w:val="00201D9B"/>
    <w:rsid w:val="00203750"/>
    <w:rsid w:val="002047D1"/>
    <w:rsid w:val="00204882"/>
    <w:rsid w:val="002051DF"/>
    <w:rsid w:val="00206370"/>
    <w:rsid w:val="00206FC0"/>
    <w:rsid w:val="0020748D"/>
    <w:rsid w:val="00207655"/>
    <w:rsid w:val="00207F1B"/>
    <w:rsid w:val="00210B53"/>
    <w:rsid w:val="00210C7C"/>
    <w:rsid w:val="00211A09"/>
    <w:rsid w:val="00211A48"/>
    <w:rsid w:val="00211CC0"/>
    <w:rsid w:val="002123CD"/>
    <w:rsid w:val="00212401"/>
    <w:rsid w:val="00212530"/>
    <w:rsid w:val="00213764"/>
    <w:rsid w:val="00214468"/>
    <w:rsid w:val="00215CDD"/>
    <w:rsid w:val="00216306"/>
    <w:rsid w:val="0021734E"/>
    <w:rsid w:val="002178A7"/>
    <w:rsid w:val="0022062F"/>
    <w:rsid w:val="00220AD2"/>
    <w:rsid w:val="0022116C"/>
    <w:rsid w:val="00223040"/>
    <w:rsid w:val="00223542"/>
    <w:rsid w:val="002244F3"/>
    <w:rsid w:val="00224A50"/>
    <w:rsid w:val="00224B97"/>
    <w:rsid w:val="00224C5B"/>
    <w:rsid w:val="00225612"/>
    <w:rsid w:val="002264A8"/>
    <w:rsid w:val="00226B71"/>
    <w:rsid w:val="00226C03"/>
    <w:rsid w:val="00226D2F"/>
    <w:rsid w:val="00226E23"/>
    <w:rsid w:val="002311E0"/>
    <w:rsid w:val="0023189D"/>
    <w:rsid w:val="00231F34"/>
    <w:rsid w:val="002323BC"/>
    <w:rsid w:val="002336FA"/>
    <w:rsid w:val="00233F1C"/>
    <w:rsid w:val="00233FED"/>
    <w:rsid w:val="0023404D"/>
    <w:rsid w:val="002342DD"/>
    <w:rsid w:val="00234313"/>
    <w:rsid w:val="00234924"/>
    <w:rsid w:val="00235BC6"/>
    <w:rsid w:val="002363D1"/>
    <w:rsid w:val="00236507"/>
    <w:rsid w:val="00236ABA"/>
    <w:rsid w:val="00236E01"/>
    <w:rsid w:val="002402C2"/>
    <w:rsid w:val="00240ABE"/>
    <w:rsid w:val="00240F91"/>
    <w:rsid w:val="00241B92"/>
    <w:rsid w:val="002421BD"/>
    <w:rsid w:val="00242784"/>
    <w:rsid w:val="002429B2"/>
    <w:rsid w:val="00243324"/>
    <w:rsid w:val="00243A6E"/>
    <w:rsid w:val="00243BD4"/>
    <w:rsid w:val="00243D79"/>
    <w:rsid w:val="002444BB"/>
    <w:rsid w:val="002445D3"/>
    <w:rsid w:val="00244858"/>
    <w:rsid w:val="00245CDE"/>
    <w:rsid w:val="00245FB1"/>
    <w:rsid w:val="002474B4"/>
    <w:rsid w:val="00247996"/>
    <w:rsid w:val="002479B1"/>
    <w:rsid w:val="00247C76"/>
    <w:rsid w:val="00250055"/>
    <w:rsid w:val="0025061D"/>
    <w:rsid w:val="002506FE"/>
    <w:rsid w:val="0025136E"/>
    <w:rsid w:val="002520D0"/>
    <w:rsid w:val="002523D0"/>
    <w:rsid w:val="00252463"/>
    <w:rsid w:val="00252721"/>
    <w:rsid w:val="00252CBA"/>
    <w:rsid w:val="00252CCC"/>
    <w:rsid w:val="00252FA1"/>
    <w:rsid w:val="0025319C"/>
    <w:rsid w:val="002531BE"/>
    <w:rsid w:val="00253252"/>
    <w:rsid w:val="00254F74"/>
    <w:rsid w:val="002557C8"/>
    <w:rsid w:val="00256A04"/>
    <w:rsid w:val="00256BD8"/>
    <w:rsid w:val="00256C62"/>
    <w:rsid w:val="00256EC3"/>
    <w:rsid w:val="00257C71"/>
    <w:rsid w:val="002608A1"/>
    <w:rsid w:val="00260D37"/>
    <w:rsid w:val="00261836"/>
    <w:rsid w:val="00262860"/>
    <w:rsid w:val="00263045"/>
    <w:rsid w:val="0026325C"/>
    <w:rsid w:val="00263960"/>
    <w:rsid w:val="00263D83"/>
    <w:rsid w:val="00263DD7"/>
    <w:rsid w:val="00264FB7"/>
    <w:rsid w:val="002653C2"/>
    <w:rsid w:val="0026605C"/>
    <w:rsid w:val="002661F5"/>
    <w:rsid w:val="0026643C"/>
    <w:rsid w:val="00266981"/>
    <w:rsid w:val="00267574"/>
    <w:rsid w:val="002705D0"/>
    <w:rsid w:val="00271BFB"/>
    <w:rsid w:val="00271E32"/>
    <w:rsid w:val="0027546E"/>
    <w:rsid w:val="00275785"/>
    <w:rsid w:val="00275D90"/>
    <w:rsid w:val="00276F83"/>
    <w:rsid w:val="00277BB1"/>
    <w:rsid w:val="00277F62"/>
    <w:rsid w:val="00280CFA"/>
    <w:rsid w:val="00281636"/>
    <w:rsid w:val="002817F0"/>
    <w:rsid w:val="00281A02"/>
    <w:rsid w:val="00281BCB"/>
    <w:rsid w:val="00281C46"/>
    <w:rsid w:val="002827D9"/>
    <w:rsid w:val="00282806"/>
    <w:rsid w:val="00282876"/>
    <w:rsid w:val="00282E77"/>
    <w:rsid w:val="00282EBC"/>
    <w:rsid w:val="00282EE8"/>
    <w:rsid w:val="00283DC0"/>
    <w:rsid w:val="0028478A"/>
    <w:rsid w:val="0028543D"/>
    <w:rsid w:val="0028570D"/>
    <w:rsid w:val="00286161"/>
    <w:rsid w:val="00286826"/>
    <w:rsid w:val="002878E4"/>
    <w:rsid w:val="00287AAE"/>
    <w:rsid w:val="00290641"/>
    <w:rsid w:val="00290AB7"/>
    <w:rsid w:val="00292806"/>
    <w:rsid w:val="002938C5"/>
    <w:rsid w:val="00293B4E"/>
    <w:rsid w:val="00294D30"/>
    <w:rsid w:val="00294FB9"/>
    <w:rsid w:val="0029530B"/>
    <w:rsid w:val="002957FF"/>
    <w:rsid w:val="00295A41"/>
    <w:rsid w:val="002962FA"/>
    <w:rsid w:val="002968CE"/>
    <w:rsid w:val="002970DB"/>
    <w:rsid w:val="002976A0"/>
    <w:rsid w:val="002979A1"/>
    <w:rsid w:val="002A0391"/>
    <w:rsid w:val="002A0584"/>
    <w:rsid w:val="002A1793"/>
    <w:rsid w:val="002A18BF"/>
    <w:rsid w:val="002A1E8F"/>
    <w:rsid w:val="002A26DA"/>
    <w:rsid w:val="002A2C41"/>
    <w:rsid w:val="002A363A"/>
    <w:rsid w:val="002A3AF3"/>
    <w:rsid w:val="002A3C63"/>
    <w:rsid w:val="002A3F0D"/>
    <w:rsid w:val="002A3FA3"/>
    <w:rsid w:val="002A4B13"/>
    <w:rsid w:val="002A5806"/>
    <w:rsid w:val="002A6307"/>
    <w:rsid w:val="002A6D8C"/>
    <w:rsid w:val="002A6DDB"/>
    <w:rsid w:val="002A7055"/>
    <w:rsid w:val="002A7A77"/>
    <w:rsid w:val="002B00FA"/>
    <w:rsid w:val="002B1095"/>
    <w:rsid w:val="002B1C48"/>
    <w:rsid w:val="002B1F2A"/>
    <w:rsid w:val="002B223E"/>
    <w:rsid w:val="002B2861"/>
    <w:rsid w:val="002B29EF"/>
    <w:rsid w:val="002B3BB0"/>
    <w:rsid w:val="002B4BCD"/>
    <w:rsid w:val="002B5AAA"/>
    <w:rsid w:val="002B5C1E"/>
    <w:rsid w:val="002B5EC0"/>
    <w:rsid w:val="002B618D"/>
    <w:rsid w:val="002B6251"/>
    <w:rsid w:val="002B71CB"/>
    <w:rsid w:val="002B7417"/>
    <w:rsid w:val="002B7631"/>
    <w:rsid w:val="002C07DC"/>
    <w:rsid w:val="002C1751"/>
    <w:rsid w:val="002C1823"/>
    <w:rsid w:val="002C22E5"/>
    <w:rsid w:val="002C2402"/>
    <w:rsid w:val="002C2F06"/>
    <w:rsid w:val="002C40F3"/>
    <w:rsid w:val="002C46D2"/>
    <w:rsid w:val="002C5E15"/>
    <w:rsid w:val="002C65F4"/>
    <w:rsid w:val="002C74F3"/>
    <w:rsid w:val="002C7D62"/>
    <w:rsid w:val="002D0308"/>
    <w:rsid w:val="002D1860"/>
    <w:rsid w:val="002D196E"/>
    <w:rsid w:val="002D27EB"/>
    <w:rsid w:val="002D27F9"/>
    <w:rsid w:val="002D293B"/>
    <w:rsid w:val="002D2DD0"/>
    <w:rsid w:val="002D2DE9"/>
    <w:rsid w:val="002D4136"/>
    <w:rsid w:val="002D413B"/>
    <w:rsid w:val="002D5602"/>
    <w:rsid w:val="002D7384"/>
    <w:rsid w:val="002D7A3B"/>
    <w:rsid w:val="002E09A8"/>
    <w:rsid w:val="002E0B05"/>
    <w:rsid w:val="002E19CA"/>
    <w:rsid w:val="002E2283"/>
    <w:rsid w:val="002E2708"/>
    <w:rsid w:val="002E4425"/>
    <w:rsid w:val="002E45C1"/>
    <w:rsid w:val="002E45EF"/>
    <w:rsid w:val="002E4949"/>
    <w:rsid w:val="002E573E"/>
    <w:rsid w:val="002E5A7B"/>
    <w:rsid w:val="002E61E1"/>
    <w:rsid w:val="002E62C0"/>
    <w:rsid w:val="002E64C7"/>
    <w:rsid w:val="002E66E9"/>
    <w:rsid w:val="002E794B"/>
    <w:rsid w:val="002F2417"/>
    <w:rsid w:val="002F28F4"/>
    <w:rsid w:val="002F2A94"/>
    <w:rsid w:val="002F3E70"/>
    <w:rsid w:val="002F4066"/>
    <w:rsid w:val="002F40BD"/>
    <w:rsid w:val="002F4740"/>
    <w:rsid w:val="002F4985"/>
    <w:rsid w:val="002F4FE7"/>
    <w:rsid w:val="002F5B28"/>
    <w:rsid w:val="002F5C6F"/>
    <w:rsid w:val="002F64F2"/>
    <w:rsid w:val="002F6586"/>
    <w:rsid w:val="002F6EB6"/>
    <w:rsid w:val="002F703E"/>
    <w:rsid w:val="002F71B1"/>
    <w:rsid w:val="002F7287"/>
    <w:rsid w:val="002F7AAD"/>
    <w:rsid w:val="002F7D4F"/>
    <w:rsid w:val="002F7E47"/>
    <w:rsid w:val="00300739"/>
    <w:rsid w:val="00300B22"/>
    <w:rsid w:val="00300EC6"/>
    <w:rsid w:val="003017CE"/>
    <w:rsid w:val="00301DF9"/>
    <w:rsid w:val="00302452"/>
    <w:rsid w:val="003027EC"/>
    <w:rsid w:val="00303045"/>
    <w:rsid w:val="00303293"/>
    <w:rsid w:val="00303396"/>
    <w:rsid w:val="00303B3C"/>
    <w:rsid w:val="00303EF5"/>
    <w:rsid w:val="003060FB"/>
    <w:rsid w:val="00306E05"/>
    <w:rsid w:val="00307B58"/>
    <w:rsid w:val="0031068F"/>
    <w:rsid w:val="00310D77"/>
    <w:rsid w:val="00311576"/>
    <w:rsid w:val="003116B3"/>
    <w:rsid w:val="00311871"/>
    <w:rsid w:val="003127CB"/>
    <w:rsid w:val="00312C31"/>
    <w:rsid w:val="00313F12"/>
    <w:rsid w:val="0031452E"/>
    <w:rsid w:val="00314DE3"/>
    <w:rsid w:val="00314F59"/>
    <w:rsid w:val="00315CFD"/>
    <w:rsid w:val="00316079"/>
    <w:rsid w:val="003175BD"/>
    <w:rsid w:val="00317BCF"/>
    <w:rsid w:val="00320070"/>
    <w:rsid w:val="003200CE"/>
    <w:rsid w:val="00320119"/>
    <w:rsid w:val="003205E9"/>
    <w:rsid w:val="0032111B"/>
    <w:rsid w:val="003211FA"/>
    <w:rsid w:val="00321BDF"/>
    <w:rsid w:val="00321E18"/>
    <w:rsid w:val="00322CCA"/>
    <w:rsid w:val="003231E5"/>
    <w:rsid w:val="00323478"/>
    <w:rsid w:val="00324B6E"/>
    <w:rsid w:val="00325835"/>
    <w:rsid w:val="00325882"/>
    <w:rsid w:val="00325F0E"/>
    <w:rsid w:val="0032693A"/>
    <w:rsid w:val="00327384"/>
    <w:rsid w:val="00327C54"/>
    <w:rsid w:val="00327D10"/>
    <w:rsid w:val="00330E96"/>
    <w:rsid w:val="0033139E"/>
    <w:rsid w:val="0033183E"/>
    <w:rsid w:val="00332660"/>
    <w:rsid w:val="003329AA"/>
    <w:rsid w:val="00332C29"/>
    <w:rsid w:val="00333E1A"/>
    <w:rsid w:val="00333F5B"/>
    <w:rsid w:val="00334EC5"/>
    <w:rsid w:val="0033663D"/>
    <w:rsid w:val="00336ED6"/>
    <w:rsid w:val="003370B4"/>
    <w:rsid w:val="003373B8"/>
    <w:rsid w:val="00337986"/>
    <w:rsid w:val="00341C8C"/>
    <w:rsid w:val="003428B8"/>
    <w:rsid w:val="00343837"/>
    <w:rsid w:val="00343D87"/>
    <w:rsid w:val="00344099"/>
    <w:rsid w:val="00344180"/>
    <w:rsid w:val="003454D3"/>
    <w:rsid w:val="00345F02"/>
    <w:rsid w:val="00346DBA"/>
    <w:rsid w:val="00346F01"/>
    <w:rsid w:val="003470C3"/>
    <w:rsid w:val="00347162"/>
    <w:rsid w:val="00350012"/>
    <w:rsid w:val="00350F36"/>
    <w:rsid w:val="00351DBD"/>
    <w:rsid w:val="00351EAE"/>
    <w:rsid w:val="0035221E"/>
    <w:rsid w:val="00352329"/>
    <w:rsid w:val="00352B1E"/>
    <w:rsid w:val="003540D4"/>
    <w:rsid w:val="003541A5"/>
    <w:rsid w:val="00355170"/>
    <w:rsid w:val="003557D8"/>
    <w:rsid w:val="00355B79"/>
    <w:rsid w:val="00355CF5"/>
    <w:rsid w:val="003560D6"/>
    <w:rsid w:val="00356977"/>
    <w:rsid w:val="00356A69"/>
    <w:rsid w:val="00356D35"/>
    <w:rsid w:val="00356E39"/>
    <w:rsid w:val="00357187"/>
    <w:rsid w:val="00357281"/>
    <w:rsid w:val="00361582"/>
    <w:rsid w:val="0036253C"/>
    <w:rsid w:val="003626DB"/>
    <w:rsid w:val="003627CB"/>
    <w:rsid w:val="0036282C"/>
    <w:rsid w:val="0036293E"/>
    <w:rsid w:val="0036346A"/>
    <w:rsid w:val="00364985"/>
    <w:rsid w:val="00364D98"/>
    <w:rsid w:val="00365A1F"/>
    <w:rsid w:val="003660D1"/>
    <w:rsid w:val="00366B36"/>
    <w:rsid w:val="003671EA"/>
    <w:rsid w:val="00367569"/>
    <w:rsid w:val="00367C45"/>
    <w:rsid w:val="00370111"/>
    <w:rsid w:val="003701FC"/>
    <w:rsid w:val="0037044F"/>
    <w:rsid w:val="00371B61"/>
    <w:rsid w:val="00372227"/>
    <w:rsid w:val="00372B6A"/>
    <w:rsid w:val="0037331A"/>
    <w:rsid w:val="00373E56"/>
    <w:rsid w:val="00375584"/>
    <w:rsid w:val="00375CA1"/>
    <w:rsid w:val="003774D7"/>
    <w:rsid w:val="0037759A"/>
    <w:rsid w:val="003777E5"/>
    <w:rsid w:val="00377B46"/>
    <w:rsid w:val="00377C72"/>
    <w:rsid w:val="0038023E"/>
    <w:rsid w:val="00380A10"/>
    <w:rsid w:val="003817B3"/>
    <w:rsid w:val="00383403"/>
    <w:rsid w:val="003839D5"/>
    <w:rsid w:val="00383DC0"/>
    <w:rsid w:val="003844F6"/>
    <w:rsid w:val="003845C3"/>
    <w:rsid w:val="003846F2"/>
    <w:rsid w:val="0038527D"/>
    <w:rsid w:val="00385300"/>
    <w:rsid w:val="003855B9"/>
    <w:rsid w:val="00385A64"/>
    <w:rsid w:val="00385F53"/>
    <w:rsid w:val="003860AB"/>
    <w:rsid w:val="003866D8"/>
    <w:rsid w:val="003875F1"/>
    <w:rsid w:val="00387C07"/>
    <w:rsid w:val="00390204"/>
    <w:rsid w:val="00390B5F"/>
    <w:rsid w:val="00391352"/>
    <w:rsid w:val="00391C57"/>
    <w:rsid w:val="00391D87"/>
    <w:rsid w:val="0039212D"/>
    <w:rsid w:val="0039281A"/>
    <w:rsid w:val="00392FBE"/>
    <w:rsid w:val="0039320C"/>
    <w:rsid w:val="0039388F"/>
    <w:rsid w:val="00393B4E"/>
    <w:rsid w:val="00393C35"/>
    <w:rsid w:val="00393FE7"/>
    <w:rsid w:val="0039443F"/>
    <w:rsid w:val="003951B0"/>
    <w:rsid w:val="00395B05"/>
    <w:rsid w:val="00395F39"/>
    <w:rsid w:val="003962C0"/>
    <w:rsid w:val="0039640C"/>
    <w:rsid w:val="0039642A"/>
    <w:rsid w:val="00396E81"/>
    <w:rsid w:val="003A0070"/>
    <w:rsid w:val="003A00E9"/>
    <w:rsid w:val="003A03D0"/>
    <w:rsid w:val="003A1929"/>
    <w:rsid w:val="003A2BCE"/>
    <w:rsid w:val="003A2F1C"/>
    <w:rsid w:val="003A3216"/>
    <w:rsid w:val="003A35CC"/>
    <w:rsid w:val="003A4A4D"/>
    <w:rsid w:val="003A4EE2"/>
    <w:rsid w:val="003A4F8E"/>
    <w:rsid w:val="003A549F"/>
    <w:rsid w:val="003A6388"/>
    <w:rsid w:val="003A72FC"/>
    <w:rsid w:val="003A79DA"/>
    <w:rsid w:val="003B0C11"/>
    <w:rsid w:val="003B12E2"/>
    <w:rsid w:val="003B14CB"/>
    <w:rsid w:val="003B153B"/>
    <w:rsid w:val="003B1A95"/>
    <w:rsid w:val="003B1F7B"/>
    <w:rsid w:val="003B2265"/>
    <w:rsid w:val="003B2F84"/>
    <w:rsid w:val="003B335A"/>
    <w:rsid w:val="003B3E89"/>
    <w:rsid w:val="003B46D7"/>
    <w:rsid w:val="003B5452"/>
    <w:rsid w:val="003B5827"/>
    <w:rsid w:val="003B6986"/>
    <w:rsid w:val="003B6B8B"/>
    <w:rsid w:val="003C0644"/>
    <w:rsid w:val="003C07F6"/>
    <w:rsid w:val="003C0E06"/>
    <w:rsid w:val="003C16E2"/>
    <w:rsid w:val="003C19B2"/>
    <w:rsid w:val="003C26A0"/>
    <w:rsid w:val="003C2C7B"/>
    <w:rsid w:val="003C3221"/>
    <w:rsid w:val="003C3853"/>
    <w:rsid w:val="003C3B68"/>
    <w:rsid w:val="003C3EB6"/>
    <w:rsid w:val="003C41FD"/>
    <w:rsid w:val="003C44C4"/>
    <w:rsid w:val="003C4729"/>
    <w:rsid w:val="003C5B82"/>
    <w:rsid w:val="003C67E7"/>
    <w:rsid w:val="003C6E46"/>
    <w:rsid w:val="003C72FA"/>
    <w:rsid w:val="003C7FB2"/>
    <w:rsid w:val="003D0652"/>
    <w:rsid w:val="003D0C54"/>
    <w:rsid w:val="003D1DC0"/>
    <w:rsid w:val="003D1FBD"/>
    <w:rsid w:val="003D24E2"/>
    <w:rsid w:val="003D40F3"/>
    <w:rsid w:val="003D4638"/>
    <w:rsid w:val="003D547D"/>
    <w:rsid w:val="003D6B38"/>
    <w:rsid w:val="003D7105"/>
    <w:rsid w:val="003D78F8"/>
    <w:rsid w:val="003E02DA"/>
    <w:rsid w:val="003E0A31"/>
    <w:rsid w:val="003E264F"/>
    <w:rsid w:val="003E2846"/>
    <w:rsid w:val="003E28F5"/>
    <w:rsid w:val="003E2BD9"/>
    <w:rsid w:val="003E4461"/>
    <w:rsid w:val="003E48E1"/>
    <w:rsid w:val="003E4D85"/>
    <w:rsid w:val="003E5C8B"/>
    <w:rsid w:val="003E63D9"/>
    <w:rsid w:val="003E65D6"/>
    <w:rsid w:val="003E6D1C"/>
    <w:rsid w:val="003E6E3E"/>
    <w:rsid w:val="003E7527"/>
    <w:rsid w:val="003F0F65"/>
    <w:rsid w:val="003F110B"/>
    <w:rsid w:val="003F227C"/>
    <w:rsid w:val="003F297E"/>
    <w:rsid w:val="003F2C27"/>
    <w:rsid w:val="003F2D7A"/>
    <w:rsid w:val="003F2EF2"/>
    <w:rsid w:val="003F50BA"/>
    <w:rsid w:val="003F5833"/>
    <w:rsid w:val="003F5B94"/>
    <w:rsid w:val="003F6444"/>
    <w:rsid w:val="003F6AB7"/>
    <w:rsid w:val="003F6FB2"/>
    <w:rsid w:val="00400935"/>
    <w:rsid w:val="00400D50"/>
    <w:rsid w:val="00400ECB"/>
    <w:rsid w:val="00402482"/>
    <w:rsid w:val="004027A0"/>
    <w:rsid w:val="00402C3D"/>
    <w:rsid w:val="0040321A"/>
    <w:rsid w:val="0040412F"/>
    <w:rsid w:val="004048C3"/>
    <w:rsid w:val="00404916"/>
    <w:rsid w:val="00404B25"/>
    <w:rsid w:val="00404C96"/>
    <w:rsid w:val="00406163"/>
    <w:rsid w:val="00407492"/>
    <w:rsid w:val="00410336"/>
    <w:rsid w:val="004106F6"/>
    <w:rsid w:val="004111A5"/>
    <w:rsid w:val="00411637"/>
    <w:rsid w:val="0041179F"/>
    <w:rsid w:val="00411F49"/>
    <w:rsid w:val="0041218E"/>
    <w:rsid w:val="00412D79"/>
    <w:rsid w:val="00412DC1"/>
    <w:rsid w:val="004131DA"/>
    <w:rsid w:val="00413A40"/>
    <w:rsid w:val="00415047"/>
    <w:rsid w:val="00415850"/>
    <w:rsid w:val="00415D89"/>
    <w:rsid w:val="00415FAD"/>
    <w:rsid w:val="00416E2D"/>
    <w:rsid w:val="004172F2"/>
    <w:rsid w:val="0041734C"/>
    <w:rsid w:val="00417DB3"/>
    <w:rsid w:val="00420101"/>
    <w:rsid w:val="00422190"/>
    <w:rsid w:val="00422201"/>
    <w:rsid w:val="00422215"/>
    <w:rsid w:val="00422359"/>
    <w:rsid w:val="00422597"/>
    <w:rsid w:val="00423935"/>
    <w:rsid w:val="00424959"/>
    <w:rsid w:val="004255B4"/>
    <w:rsid w:val="00425968"/>
    <w:rsid w:val="0042639A"/>
    <w:rsid w:val="004264D4"/>
    <w:rsid w:val="00426CC8"/>
    <w:rsid w:val="00426D9E"/>
    <w:rsid w:val="004271AD"/>
    <w:rsid w:val="004279D5"/>
    <w:rsid w:val="00430C86"/>
    <w:rsid w:val="00431947"/>
    <w:rsid w:val="0043222D"/>
    <w:rsid w:val="004325F5"/>
    <w:rsid w:val="00432F67"/>
    <w:rsid w:val="00432FEA"/>
    <w:rsid w:val="00434B0D"/>
    <w:rsid w:val="00435990"/>
    <w:rsid w:val="00435C21"/>
    <w:rsid w:val="0043699F"/>
    <w:rsid w:val="0043707E"/>
    <w:rsid w:val="00441A1F"/>
    <w:rsid w:val="004423D3"/>
    <w:rsid w:val="00442AA0"/>
    <w:rsid w:val="00442AAA"/>
    <w:rsid w:val="00442D9F"/>
    <w:rsid w:val="00443217"/>
    <w:rsid w:val="0044358E"/>
    <w:rsid w:val="00443EFB"/>
    <w:rsid w:val="004440F0"/>
    <w:rsid w:val="00444117"/>
    <w:rsid w:val="00444177"/>
    <w:rsid w:val="00444840"/>
    <w:rsid w:val="00445124"/>
    <w:rsid w:val="00445475"/>
    <w:rsid w:val="004454AD"/>
    <w:rsid w:val="0044694D"/>
    <w:rsid w:val="00446A23"/>
    <w:rsid w:val="00446FD4"/>
    <w:rsid w:val="00447E24"/>
    <w:rsid w:val="00450C2F"/>
    <w:rsid w:val="00450E79"/>
    <w:rsid w:val="0045144A"/>
    <w:rsid w:val="00451D94"/>
    <w:rsid w:val="004528D1"/>
    <w:rsid w:val="00453513"/>
    <w:rsid w:val="00453CD2"/>
    <w:rsid w:val="00454DE0"/>
    <w:rsid w:val="00455189"/>
    <w:rsid w:val="00456619"/>
    <w:rsid w:val="00456E9D"/>
    <w:rsid w:val="0046033E"/>
    <w:rsid w:val="00460A37"/>
    <w:rsid w:val="00460B65"/>
    <w:rsid w:val="00460CB3"/>
    <w:rsid w:val="0046127C"/>
    <w:rsid w:val="00461FA4"/>
    <w:rsid w:val="004625B2"/>
    <w:rsid w:val="00463608"/>
    <w:rsid w:val="004643B8"/>
    <w:rsid w:val="00466E63"/>
    <w:rsid w:val="00467073"/>
    <w:rsid w:val="0046728A"/>
    <w:rsid w:val="00467921"/>
    <w:rsid w:val="00467999"/>
    <w:rsid w:val="0047152D"/>
    <w:rsid w:val="00471DBE"/>
    <w:rsid w:val="00471E2F"/>
    <w:rsid w:val="004720EE"/>
    <w:rsid w:val="004724E0"/>
    <w:rsid w:val="004727FE"/>
    <w:rsid w:val="00473CEE"/>
    <w:rsid w:val="004747B6"/>
    <w:rsid w:val="004749D5"/>
    <w:rsid w:val="004765CD"/>
    <w:rsid w:val="00477BC6"/>
    <w:rsid w:val="004803AE"/>
    <w:rsid w:val="004808E8"/>
    <w:rsid w:val="00481120"/>
    <w:rsid w:val="00481177"/>
    <w:rsid w:val="00481D3C"/>
    <w:rsid w:val="00482ACE"/>
    <w:rsid w:val="00483419"/>
    <w:rsid w:val="00484E61"/>
    <w:rsid w:val="00485316"/>
    <w:rsid w:val="0048543F"/>
    <w:rsid w:val="00485935"/>
    <w:rsid w:val="00485C55"/>
    <w:rsid w:val="00485F86"/>
    <w:rsid w:val="004869A3"/>
    <w:rsid w:val="00486B3B"/>
    <w:rsid w:val="00486E5B"/>
    <w:rsid w:val="004872F0"/>
    <w:rsid w:val="00487A14"/>
    <w:rsid w:val="00487B23"/>
    <w:rsid w:val="0049002D"/>
    <w:rsid w:val="00490B22"/>
    <w:rsid w:val="00490EE7"/>
    <w:rsid w:val="00490F66"/>
    <w:rsid w:val="00491128"/>
    <w:rsid w:val="004916B1"/>
    <w:rsid w:val="004926A1"/>
    <w:rsid w:val="00493E39"/>
    <w:rsid w:val="00493F04"/>
    <w:rsid w:val="00495655"/>
    <w:rsid w:val="00496679"/>
    <w:rsid w:val="00497B9C"/>
    <w:rsid w:val="004A0D00"/>
    <w:rsid w:val="004A2024"/>
    <w:rsid w:val="004A58AF"/>
    <w:rsid w:val="004A5C5C"/>
    <w:rsid w:val="004A628C"/>
    <w:rsid w:val="004A6777"/>
    <w:rsid w:val="004A67C5"/>
    <w:rsid w:val="004A7483"/>
    <w:rsid w:val="004B0410"/>
    <w:rsid w:val="004B113B"/>
    <w:rsid w:val="004B1B5B"/>
    <w:rsid w:val="004B214F"/>
    <w:rsid w:val="004B2B64"/>
    <w:rsid w:val="004B3930"/>
    <w:rsid w:val="004B462F"/>
    <w:rsid w:val="004B488A"/>
    <w:rsid w:val="004B5FED"/>
    <w:rsid w:val="004B6305"/>
    <w:rsid w:val="004B6562"/>
    <w:rsid w:val="004B7480"/>
    <w:rsid w:val="004B7706"/>
    <w:rsid w:val="004C0B84"/>
    <w:rsid w:val="004C1069"/>
    <w:rsid w:val="004C1896"/>
    <w:rsid w:val="004C273B"/>
    <w:rsid w:val="004C3700"/>
    <w:rsid w:val="004C4435"/>
    <w:rsid w:val="004C559A"/>
    <w:rsid w:val="004C6A2F"/>
    <w:rsid w:val="004C6C2E"/>
    <w:rsid w:val="004C7012"/>
    <w:rsid w:val="004C781A"/>
    <w:rsid w:val="004C7B97"/>
    <w:rsid w:val="004D10FD"/>
    <w:rsid w:val="004D1272"/>
    <w:rsid w:val="004D1735"/>
    <w:rsid w:val="004D22BD"/>
    <w:rsid w:val="004D3C08"/>
    <w:rsid w:val="004D44DC"/>
    <w:rsid w:val="004D4B84"/>
    <w:rsid w:val="004D50BA"/>
    <w:rsid w:val="004D511C"/>
    <w:rsid w:val="004D5819"/>
    <w:rsid w:val="004D769E"/>
    <w:rsid w:val="004D7D7B"/>
    <w:rsid w:val="004E09FF"/>
    <w:rsid w:val="004E18FF"/>
    <w:rsid w:val="004E1F9B"/>
    <w:rsid w:val="004E213B"/>
    <w:rsid w:val="004E2533"/>
    <w:rsid w:val="004E28C0"/>
    <w:rsid w:val="004E2B46"/>
    <w:rsid w:val="004E2FE7"/>
    <w:rsid w:val="004E3343"/>
    <w:rsid w:val="004E36E3"/>
    <w:rsid w:val="004E39D4"/>
    <w:rsid w:val="004E3A0B"/>
    <w:rsid w:val="004E3BA3"/>
    <w:rsid w:val="004E3D85"/>
    <w:rsid w:val="004E45DD"/>
    <w:rsid w:val="004E4EE3"/>
    <w:rsid w:val="004E4F5A"/>
    <w:rsid w:val="004E4FB9"/>
    <w:rsid w:val="004E516A"/>
    <w:rsid w:val="004E5346"/>
    <w:rsid w:val="004E5A52"/>
    <w:rsid w:val="004F0179"/>
    <w:rsid w:val="004F0265"/>
    <w:rsid w:val="004F0AD6"/>
    <w:rsid w:val="004F0E4D"/>
    <w:rsid w:val="004F0FB0"/>
    <w:rsid w:val="004F1815"/>
    <w:rsid w:val="004F1991"/>
    <w:rsid w:val="004F1CB0"/>
    <w:rsid w:val="004F1F21"/>
    <w:rsid w:val="004F2257"/>
    <w:rsid w:val="004F250C"/>
    <w:rsid w:val="004F2AEF"/>
    <w:rsid w:val="004F2B4D"/>
    <w:rsid w:val="004F468B"/>
    <w:rsid w:val="004F48C1"/>
    <w:rsid w:val="004F4E10"/>
    <w:rsid w:val="004F575C"/>
    <w:rsid w:val="004F61B3"/>
    <w:rsid w:val="00500B08"/>
    <w:rsid w:val="00500E09"/>
    <w:rsid w:val="00501588"/>
    <w:rsid w:val="00501715"/>
    <w:rsid w:val="00501A31"/>
    <w:rsid w:val="00501B1E"/>
    <w:rsid w:val="00501FED"/>
    <w:rsid w:val="0050426F"/>
    <w:rsid w:val="00504343"/>
    <w:rsid w:val="00504965"/>
    <w:rsid w:val="00504AD7"/>
    <w:rsid w:val="00504CCB"/>
    <w:rsid w:val="00505C30"/>
    <w:rsid w:val="00505D09"/>
    <w:rsid w:val="00506502"/>
    <w:rsid w:val="005066E4"/>
    <w:rsid w:val="005067AB"/>
    <w:rsid w:val="00506858"/>
    <w:rsid w:val="00506BED"/>
    <w:rsid w:val="00507384"/>
    <w:rsid w:val="00507E77"/>
    <w:rsid w:val="00507ED0"/>
    <w:rsid w:val="005107BF"/>
    <w:rsid w:val="005129F9"/>
    <w:rsid w:val="00512AA8"/>
    <w:rsid w:val="00513205"/>
    <w:rsid w:val="0051320F"/>
    <w:rsid w:val="00513678"/>
    <w:rsid w:val="00513C89"/>
    <w:rsid w:val="005143B2"/>
    <w:rsid w:val="005144B9"/>
    <w:rsid w:val="00514B65"/>
    <w:rsid w:val="00515056"/>
    <w:rsid w:val="00515293"/>
    <w:rsid w:val="00515E93"/>
    <w:rsid w:val="00516139"/>
    <w:rsid w:val="005203C8"/>
    <w:rsid w:val="005206EA"/>
    <w:rsid w:val="0052093B"/>
    <w:rsid w:val="00520BDE"/>
    <w:rsid w:val="00520E89"/>
    <w:rsid w:val="00521F63"/>
    <w:rsid w:val="005236FB"/>
    <w:rsid w:val="00523D59"/>
    <w:rsid w:val="00523E1E"/>
    <w:rsid w:val="00523E26"/>
    <w:rsid w:val="005243FC"/>
    <w:rsid w:val="00524EFD"/>
    <w:rsid w:val="00525D7A"/>
    <w:rsid w:val="0052623B"/>
    <w:rsid w:val="0052635F"/>
    <w:rsid w:val="00527A6C"/>
    <w:rsid w:val="00530285"/>
    <w:rsid w:val="005302DA"/>
    <w:rsid w:val="005313DA"/>
    <w:rsid w:val="00532207"/>
    <w:rsid w:val="005339FA"/>
    <w:rsid w:val="00533D15"/>
    <w:rsid w:val="00534AD6"/>
    <w:rsid w:val="00534F63"/>
    <w:rsid w:val="005353C6"/>
    <w:rsid w:val="00535627"/>
    <w:rsid w:val="005361F5"/>
    <w:rsid w:val="00536575"/>
    <w:rsid w:val="00536652"/>
    <w:rsid w:val="0053665F"/>
    <w:rsid w:val="00536AA8"/>
    <w:rsid w:val="00536CA3"/>
    <w:rsid w:val="00536D03"/>
    <w:rsid w:val="005407CC"/>
    <w:rsid w:val="005415D1"/>
    <w:rsid w:val="005417A6"/>
    <w:rsid w:val="00541F92"/>
    <w:rsid w:val="005428DD"/>
    <w:rsid w:val="0054312A"/>
    <w:rsid w:val="00543163"/>
    <w:rsid w:val="00543514"/>
    <w:rsid w:val="00543680"/>
    <w:rsid w:val="00543763"/>
    <w:rsid w:val="00543E97"/>
    <w:rsid w:val="00544484"/>
    <w:rsid w:val="0054484A"/>
    <w:rsid w:val="00544A1F"/>
    <w:rsid w:val="00544C14"/>
    <w:rsid w:val="005456DF"/>
    <w:rsid w:val="005459C5"/>
    <w:rsid w:val="00545ADA"/>
    <w:rsid w:val="0054623B"/>
    <w:rsid w:val="00546676"/>
    <w:rsid w:val="00547C81"/>
    <w:rsid w:val="005504A0"/>
    <w:rsid w:val="005505CC"/>
    <w:rsid w:val="005513AB"/>
    <w:rsid w:val="00551E12"/>
    <w:rsid w:val="0055392E"/>
    <w:rsid w:val="00553D48"/>
    <w:rsid w:val="0055404D"/>
    <w:rsid w:val="00554FAD"/>
    <w:rsid w:val="0055582A"/>
    <w:rsid w:val="00555902"/>
    <w:rsid w:val="00556CF8"/>
    <w:rsid w:val="00557F18"/>
    <w:rsid w:val="00560013"/>
    <w:rsid w:val="005626B1"/>
    <w:rsid w:val="00562A5E"/>
    <w:rsid w:val="00563C27"/>
    <w:rsid w:val="00563E94"/>
    <w:rsid w:val="00563EED"/>
    <w:rsid w:val="005653BB"/>
    <w:rsid w:val="0056638E"/>
    <w:rsid w:val="00566799"/>
    <w:rsid w:val="00567150"/>
    <w:rsid w:val="0056742A"/>
    <w:rsid w:val="00567615"/>
    <w:rsid w:val="00567C71"/>
    <w:rsid w:val="005703A6"/>
    <w:rsid w:val="00570AA2"/>
    <w:rsid w:val="00572159"/>
    <w:rsid w:val="005723F2"/>
    <w:rsid w:val="00573EB7"/>
    <w:rsid w:val="00576092"/>
    <w:rsid w:val="005766D6"/>
    <w:rsid w:val="00576F4C"/>
    <w:rsid w:val="00577B30"/>
    <w:rsid w:val="00580076"/>
    <w:rsid w:val="005805FF"/>
    <w:rsid w:val="00580D7A"/>
    <w:rsid w:val="0058129D"/>
    <w:rsid w:val="00581929"/>
    <w:rsid w:val="00581EAC"/>
    <w:rsid w:val="005825A4"/>
    <w:rsid w:val="00582D62"/>
    <w:rsid w:val="0058391C"/>
    <w:rsid w:val="00584408"/>
    <w:rsid w:val="00584E48"/>
    <w:rsid w:val="00586024"/>
    <w:rsid w:val="00587430"/>
    <w:rsid w:val="00587A4B"/>
    <w:rsid w:val="00587D02"/>
    <w:rsid w:val="0059048A"/>
    <w:rsid w:val="00590534"/>
    <w:rsid w:val="00590577"/>
    <w:rsid w:val="005908BC"/>
    <w:rsid w:val="005916DF"/>
    <w:rsid w:val="00593051"/>
    <w:rsid w:val="005937D0"/>
    <w:rsid w:val="0059409C"/>
    <w:rsid w:val="005951F2"/>
    <w:rsid w:val="00596080"/>
    <w:rsid w:val="005961E9"/>
    <w:rsid w:val="00597BCF"/>
    <w:rsid w:val="00597DE1"/>
    <w:rsid w:val="00597EE2"/>
    <w:rsid w:val="005A174D"/>
    <w:rsid w:val="005A23D6"/>
    <w:rsid w:val="005A274B"/>
    <w:rsid w:val="005A2950"/>
    <w:rsid w:val="005A2D11"/>
    <w:rsid w:val="005A333F"/>
    <w:rsid w:val="005A339C"/>
    <w:rsid w:val="005A45F9"/>
    <w:rsid w:val="005A4D84"/>
    <w:rsid w:val="005A4F2C"/>
    <w:rsid w:val="005A54F2"/>
    <w:rsid w:val="005A583D"/>
    <w:rsid w:val="005A6D6D"/>
    <w:rsid w:val="005B0195"/>
    <w:rsid w:val="005B1784"/>
    <w:rsid w:val="005B35F4"/>
    <w:rsid w:val="005B48E3"/>
    <w:rsid w:val="005B4F51"/>
    <w:rsid w:val="005B533B"/>
    <w:rsid w:val="005B5E23"/>
    <w:rsid w:val="005B62BB"/>
    <w:rsid w:val="005B66B3"/>
    <w:rsid w:val="005B67C7"/>
    <w:rsid w:val="005B7B05"/>
    <w:rsid w:val="005B7E82"/>
    <w:rsid w:val="005C0ABC"/>
    <w:rsid w:val="005C1314"/>
    <w:rsid w:val="005C14F0"/>
    <w:rsid w:val="005C1C40"/>
    <w:rsid w:val="005C20C6"/>
    <w:rsid w:val="005C22FE"/>
    <w:rsid w:val="005C3762"/>
    <w:rsid w:val="005C3EE6"/>
    <w:rsid w:val="005C40B4"/>
    <w:rsid w:val="005C5461"/>
    <w:rsid w:val="005C5A3A"/>
    <w:rsid w:val="005C5E5F"/>
    <w:rsid w:val="005C61A7"/>
    <w:rsid w:val="005C65CC"/>
    <w:rsid w:val="005C6C1F"/>
    <w:rsid w:val="005C7424"/>
    <w:rsid w:val="005C7E14"/>
    <w:rsid w:val="005C7F27"/>
    <w:rsid w:val="005D234B"/>
    <w:rsid w:val="005D2668"/>
    <w:rsid w:val="005D38A1"/>
    <w:rsid w:val="005D3A0B"/>
    <w:rsid w:val="005D3B45"/>
    <w:rsid w:val="005D44DD"/>
    <w:rsid w:val="005D48D1"/>
    <w:rsid w:val="005D4A2A"/>
    <w:rsid w:val="005D5123"/>
    <w:rsid w:val="005D5A0C"/>
    <w:rsid w:val="005D69D3"/>
    <w:rsid w:val="005D7949"/>
    <w:rsid w:val="005D7EFF"/>
    <w:rsid w:val="005E0026"/>
    <w:rsid w:val="005E00F2"/>
    <w:rsid w:val="005E1926"/>
    <w:rsid w:val="005E1B3A"/>
    <w:rsid w:val="005E2A05"/>
    <w:rsid w:val="005E2EB2"/>
    <w:rsid w:val="005E38D9"/>
    <w:rsid w:val="005E3F2B"/>
    <w:rsid w:val="005E451E"/>
    <w:rsid w:val="005E456F"/>
    <w:rsid w:val="005E5376"/>
    <w:rsid w:val="005E654C"/>
    <w:rsid w:val="005E73B8"/>
    <w:rsid w:val="005E7E42"/>
    <w:rsid w:val="005E7FA3"/>
    <w:rsid w:val="005F0C26"/>
    <w:rsid w:val="005F0CC0"/>
    <w:rsid w:val="005F0D38"/>
    <w:rsid w:val="005F0EC5"/>
    <w:rsid w:val="005F184B"/>
    <w:rsid w:val="005F33CB"/>
    <w:rsid w:val="005F354B"/>
    <w:rsid w:val="005F3F44"/>
    <w:rsid w:val="005F418E"/>
    <w:rsid w:val="005F4293"/>
    <w:rsid w:val="005F4543"/>
    <w:rsid w:val="005F4BA8"/>
    <w:rsid w:val="005F5159"/>
    <w:rsid w:val="005F5459"/>
    <w:rsid w:val="005F7322"/>
    <w:rsid w:val="005F7B1B"/>
    <w:rsid w:val="00600283"/>
    <w:rsid w:val="006002F6"/>
    <w:rsid w:val="00600AE0"/>
    <w:rsid w:val="0060164B"/>
    <w:rsid w:val="00602004"/>
    <w:rsid w:val="00602C43"/>
    <w:rsid w:val="00603622"/>
    <w:rsid w:val="00603792"/>
    <w:rsid w:val="006047BA"/>
    <w:rsid w:val="00605E82"/>
    <w:rsid w:val="00606662"/>
    <w:rsid w:val="00606F31"/>
    <w:rsid w:val="00606F90"/>
    <w:rsid w:val="006075DA"/>
    <w:rsid w:val="00611280"/>
    <w:rsid w:val="00611F14"/>
    <w:rsid w:val="00611FE5"/>
    <w:rsid w:val="00612099"/>
    <w:rsid w:val="0061261E"/>
    <w:rsid w:val="00612DCD"/>
    <w:rsid w:val="0061304B"/>
    <w:rsid w:val="006139CA"/>
    <w:rsid w:val="00613B6D"/>
    <w:rsid w:val="00613DEE"/>
    <w:rsid w:val="00614C46"/>
    <w:rsid w:val="00615324"/>
    <w:rsid w:val="00616475"/>
    <w:rsid w:val="0061681C"/>
    <w:rsid w:val="00616C5E"/>
    <w:rsid w:val="00616F13"/>
    <w:rsid w:val="00620352"/>
    <w:rsid w:val="00620C00"/>
    <w:rsid w:val="00620C4B"/>
    <w:rsid w:val="00621022"/>
    <w:rsid w:val="00621D00"/>
    <w:rsid w:val="00622501"/>
    <w:rsid w:val="00622729"/>
    <w:rsid w:val="0062286B"/>
    <w:rsid w:val="00622DD5"/>
    <w:rsid w:val="00622FF5"/>
    <w:rsid w:val="006240FB"/>
    <w:rsid w:val="006245FF"/>
    <w:rsid w:val="0062479D"/>
    <w:rsid w:val="00624E91"/>
    <w:rsid w:val="00625350"/>
    <w:rsid w:val="006263D2"/>
    <w:rsid w:val="006268A1"/>
    <w:rsid w:val="006319E2"/>
    <w:rsid w:val="00631CCE"/>
    <w:rsid w:val="0063215D"/>
    <w:rsid w:val="006321F3"/>
    <w:rsid w:val="006325F7"/>
    <w:rsid w:val="00632CEB"/>
    <w:rsid w:val="00633A00"/>
    <w:rsid w:val="00636716"/>
    <w:rsid w:val="006373AA"/>
    <w:rsid w:val="00640983"/>
    <w:rsid w:val="00640C47"/>
    <w:rsid w:val="00641572"/>
    <w:rsid w:val="0064246C"/>
    <w:rsid w:val="0064285C"/>
    <w:rsid w:val="006435DC"/>
    <w:rsid w:val="006437E7"/>
    <w:rsid w:val="00643FE6"/>
    <w:rsid w:val="00644576"/>
    <w:rsid w:val="00644635"/>
    <w:rsid w:val="00644C28"/>
    <w:rsid w:val="00644FCF"/>
    <w:rsid w:val="006451C8"/>
    <w:rsid w:val="006452B3"/>
    <w:rsid w:val="00645A38"/>
    <w:rsid w:val="00645B6C"/>
    <w:rsid w:val="0064661A"/>
    <w:rsid w:val="00646DFD"/>
    <w:rsid w:val="006474EF"/>
    <w:rsid w:val="0064758A"/>
    <w:rsid w:val="0065000A"/>
    <w:rsid w:val="00650324"/>
    <w:rsid w:val="00650389"/>
    <w:rsid w:val="006505EC"/>
    <w:rsid w:val="006508E4"/>
    <w:rsid w:val="00650D9F"/>
    <w:rsid w:val="00651829"/>
    <w:rsid w:val="0065197A"/>
    <w:rsid w:val="006522CD"/>
    <w:rsid w:val="00652833"/>
    <w:rsid w:val="00652F93"/>
    <w:rsid w:val="00653007"/>
    <w:rsid w:val="006536F5"/>
    <w:rsid w:val="0065410E"/>
    <w:rsid w:val="00654623"/>
    <w:rsid w:val="006546C9"/>
    <w:rsid w:val="00655402"/>
    <w:rsid w:val="00655F6A"/>
    <w:rsid w:val="00656420"/>
    <w:rsid w:val="00656584"/>
    <w:rsid w:val="00656B0A"/>
    <w:rsid w:val="00657401"/>
    <w:rsid w:val="00657A31"/>
    <w:rsid w:val="00657ABB"/>
    <w:rsid w:val="00657B6E"/>
    <w:rsid w:val="00657F03"/>
    <w:rsid w:val="006603F6"/>
    <w:rsid w:val="00660412"/>
    <w:rsid w:val="00660EE8"/>
    <w:rsid w:val="00661FEA"/>
    <w:rsid w:val="00662BA4"/>
    <w:rsid w:val="00662DAF"/>
    <w:rsid w:val="006630A0"/>
    <w:rsid w:val="006651DC"/>
    <w:rsid w:val="00665959"/>
    <w:rsid w:val="00665DEA"/>
    <w:rsid w:val="00665F42"/>
    <w:rsid w:val="006663EB"/>
    <w:rsid w:val="006664A1"/>
    <w:rsid w:val="00666DC4"/>
    <w:rsid w:val="006674AD"/>
    <w:rsid w:val="0067020C"/>
    <w:rsid w:val="00670DE0"/>
    <w:rsid w:val="00671A5A"/>
    <w:rsid w:val="00672011"/>
    <w:rsid w:val="0067288E"/>
    <w:rsid w:val="00672A52"/>
    <w:rsid w:val="006755D7"/>
    <w:rsid w:val="00676221"/>
    <w:rsid w:val="00676540"/>
    <w:rsid w:val="00676C92"/>
    <w:rsid w:val="00677585"/>
    <w:rsid w:val="0068033D"/>
    <w:rsid w:val="006806C0"/>
    <w:rsid w:val="00680859"/>
    <w:rsid w:val="00680968"/>
    <w:rsid w:val="0068173C"/>
    <w:rsid w:val="00681A74"/>
    <w:rsid w:val="006820E3"/>
    <w:rsid w:val="006820E9"/>
    <w:rsid w:val="00682630"/>
    <w:rsid w:val="00682BA7"/>
    <w:rsid w:val="0068335E"/>
    <w:rsid w:val="0068418C"/>
    <w:rsid w:val="00684F76"/>
    <w:rsid w:val="0068529A"/>
    <w:rsid w:val="00685457"/>
    <w:rsid w:val="00685DBA"/>
    <w:rsid w:val="00686174"/>
    <w:rsid w:val="0068626E"/>
    <w:rsid w:val="0068729C"/>
    <w:rsid w:val="00687B65"/>
    <w:rsid w:val="00687CA8"/>
    <w:rsid w:val="00687D33"/>
    <w:rsid w:val="006911C1"/>
    <w:rsid w:val="0069151B"/>
    <w:rsid w:val="0069309E"/>
    <w:rsid w:val="00693C52"/>
    <w:rsid w:val="006942E5"/>
    <w:rsid w:val="00694322"/>
    <w:rsid w:val="006953A1"/>
    <w:rsid w:val="006953B6"/>
    <w:rsid w:val="00695425"/>
    <w:rsid w:val="00695B5F"/>
    <w:rsid w:val="0069695E"/>
    <w:rsid w:val="006976DD"/>
    <w:rsid w:val="006A0160"/>
    <w:rsid w:val="006A02B2"/>
    <w:rsid w:val="006A1D41"/>
    <w:rsid w:val="006A2441"/>
    <w:rsid w:val="006A272D"/>
    <w:rsid w:val="006A2F1E"/>
    <w:rsid w:val="006A323D"/>
    <w:rsid w:val="006A3CAD"/>
    <w:rsid w:val="006A43E9"/>
    <w:rsid w:val="006A46D6"/>
    <w:rsid w:val="006A5235"/>
    <w:rsid w:val="006A5720"/>
    <w:rsid w:val="006A5DA4"/>
    <w:rsid w:val="006A5E77"/>
    <w:rsid w:val="006A5E7B"/>
    <w:rsid w:val="006A5FC2"/>
    <w:rsid w:val="006A633B"/>
    <w:rsid w:val="006A7100"/>
    <w:rsid w:val="006A7282"/>
    <w:rsid w:val="006A72F1"/>
    <w:rsid w:val="006B1884"/>
    <w:rsid w:val="006B18DA"/>
    <w:rsid w:val="006B18E9"/>
    <w:rsid w:val="006B1CD3"/>
    <w:rsid w:val="006B24CF"/>
    <w:rsid w:val="006B2937"/>
    <w:rsid w:val="006B3419"/>
    <w:rsid w:val="006B3520"/>
    <w:rsid w:val="006B39F5"/>
    <w:rsid w:val="006B39FB"/>
    <w:rsid w:val="006B3B05"/>
    <w:rsid w:val="006B4A10"/>
    <w:rsid w:val="006B542B"/>
    <w:rsid w:val="006B5663"/>
    <w:rsid w:val="006B6B53"/>
    <w:rsid w:val="006B7638"/>
    <w:rsid w:val="006B7CC7"/>
    <w:rsid w:val="006B7DC1"/>
    <w:rsid w:val="006C04E9"/>
    <w:rsid w:val="006C18C6"/>
    <w:rsid w:val="006C1B13"/>
    <w:rsid w:val="006C2721"/>
    <w:rsid w:val="006C460A"/>
    <w:rsid w:val="006C4E83"/>
    <w:rsid w:val="006C550E"/>
    <w:rsid w:val="006C587F"/>
    <w:rsid w:val="006C67DA"/>
    <w:rsid w:val="006C7627"/>
    <w:rsid w:val="006C79AF"/>
    <w:rsid w:val="006C7CD1"/>
    <w:rsid w:val="006C7EEF"/>
    <w:rsid w:val="006C7F0C"/>
    <w:rsid w:val="006D007C"/>
    <w:rsid w:val="006D03AB"/>
    <w:rsid w:val="006D0628"/>
    <w:rsid w:val="006D0840"/>
    <w:rsid w:val="006D0930"/>
    <w:rsid w:val="006D111A"/>
    <w:rsid w:val="006D1326"/>
    <w:rsid w:val="006D27E5"/>
    <w:rsid w:val="006D2851"/>
    <w:rsid w:val="006D3134"/>
    <w:rsid w:val="006D4065"/>
    <w:rsid w:val="006D4163"/>
    <w:rsid w:val="006D4EC6"/>
    <w:rsid w:val="006D73A5"/>
    <w:rsid w:val="006E0BA7"/>
    <w:rsid w:val="006E0E6C"/>
    <w:rsid w:val="006E152E"/>
    <w:rsid w:val="006E1986"/>
    <w:rsid w:val="006E1D26"/>
    <w:rsid w:val="006E30EA"/>
    <w:rsid w:val="006E6FC9"/>
    <w:rsid w:val="006E71B7"/>
    <w:rsid w:val="006E7571"/>
    <w:rsid w:val="006E772B"/>
    <w:rsid w:val="006E78F4"/>
    <w:rsid w:val="006F033C"/>
    <w:rsid w:val="006F0D2D"/>
    <w:rsid w:val="006F108F"/>
    <w:rsid w:val="006F19EE"/>
    <w:rsid w:val="006F1D25"/>
    <w:rsid w:val="006F2850"/>
    <w:rsid w:val="006F31B1"/>
    <w:rsid w:val="006F356B"/>
    <w:rsid w:val="006F5765"/>
    <w:rsid w:val="006F61EB"/>
    <w:rsid w:val="006F6974"/>
    <w:rsid w:val="006F6BFC"/>
    <w:rsid w:val="006F771E"/>
    <w:rsid w:val="00700177"/>
    <w:rsid w:val="00700290"/>
    <w:rsid w:val="00702680"/>
    <w:rsid w:val="00703AEC"/>
    <w:rsid w:val="00703B4E"/>
    <w:rsid w:val="0070446F"/>
    <w:rsid w:val="00705EB0"/>
    <w:rsid w:val="00707083"/>
    <w:rsid w:val="00707526"/>
    <w:rsid w:val="0071043A"/>
    <w:rsid w:val="00710EEF"/>
    <w:rsid w:val="00711D3B"/>
    <w:rsid w:val="0071237C"/>
    <w:rsid w:val="007125D0"/>
    <w:rsid w:val="0071398A"/>
    <w:rsid w:val="00715390"/>
    <w:rsid w:val="007155C8"/>
    <w:rsid w:val="00715704"/>
    <w:rsid w:val="007161CE"/>
    <w:rsid w:val="00716EC3"/>
    <w:rsid w:val="00716F0A"/>
    <w:rsid w:val="007174F2"/>
    <w:rsid w:val="00717508"/>
    <w:rsid w:val="007179E6"/>
    <w:rsid w:val="00717DAD"/>
    <w:rsid w:val="00720B9B"/>
    <w:rsid w:val="007216B3"/>
    <w:rsid w:val="0072179C"/>
    <w:rsid w:val="00721AEF"/>
    <w:rsid w:val="0072205D"/>
    <w:rsid w:val="00722361"/>
    <w:rsid w:val="00722CC0"/>
    <w:rsid w:val="007235C1"/>
    <w:rsid w:val="00723BD0"/>
    <w:rsid w:val="0072449A"/>
    <w:rsid w:val="0072485E"/>
    <w:rsid w:val="007248FE"/>
    <w:rsid w:val="00724F1E"/>
    <w:rsid w:val="0072571E"/>
    <w:rsid w:val="007261D8"/>
    <w:rsid w:val="00726534"/>
    <w:rsid w:val="007271E2"/>
    <w:rsid w:val="007272FA"/>
    <w:rsid w:val="00727B01"/>
    <w:rsid w:val="0073068E"/>
    <w:rsid w:val="00730EA3"/>
    <w:rsid w:val="00731AE8"/>
    <w:rsid w:val="00732173"/>
    <w:rsid w:val="0073274B"/>
    <w:rsid w:val="007328F1"/>
    <w:rsid w:val="007331A8"/>
    <w:rsid w:val="007331C2"/>
    <w:rsid w:val="007341F1"/>
    <w:rsid w:val="0073439E"/>
    <w:rsid w:val="007348BC"/>
    <w:rsid w:val="00735588"/>
    <w:rsid w:val="0073623A"/>
    <w:rsid w:val="00737C30"/>
    <w:rsid w:val="00737CB1"/>
    <w:rsid w:val="00740246"/>
    <w:rsid w:val="00740AAF"/>
    <w:rsid w:val="00740EA1"/>
    <w:rsid w:val="00741286"/>
    <w:rsid w:val="00741764"/>
    <w:rsid w:val="007428BC"/>
    <w:rsid w:val="0074327B"/>
    <w:rsid w:val="00743B18"/>
    <w:rsid w:val="0074493E"/>
    <w:rsid w:val="00744F0E"/>
    <w:rsid w:val="00744F44"/>
    <w:rsid w:val="007465FD"/>
    <w:rsid w:val="00746E59"/>
    <w:rsid w:val="007472B3"/>
    <w:rsid w:val="00747B89"/>
    <w:rsid w:val="00750B0C"/>
    <w:rsid w:val="007512EE"/>
    <w:rsid w:val="00752635"/>
    <w:rsid w:val="00753AC4"/>
    <w:rsid w:val="00755098"/>
    <w:rsid w:val="00755139"/>
    <w:rsid w:val="007551F5"/>
    <w:rsid w:val="007556B8"/>
    <w:rsid w:val="007558F3"/>
    <w:rsid w:val="0075702E"/>
    <w:rsid w:val="00757729"/>
    <w:rsid w:val="00757B63"/>
    <w:rsid w:val="007615F7"/>
    <w:rsid w:val="007616F4"/>
    <w:rsid w:val="007630EF"/>
    <w:rsid w:val="00763D0A"/>
    <w:rsid w:val="00763D65"/>
    <w:rsid w:val="0076403A"/>
    <w:rsid w:val="00764DE4"/>
    <w:rsid w:val="00764DF8"/>
    <w:rsid w:val="0076503C"/>
    <w:rsid w:val="00765847"/>
    <w:rsid w:val="00765DED"/>
    <w:rsid w:val="00766760"/>
    <w:rsid w:val="00766929"/>
    <w:rsid w:val="00766B9F"/>
    <w:rsid w:val="00767944"/>
    <w:rsid w:val="00767967"/>
    <w:rsid w:val="00767C03"/>
    <w:rsid w:val="00770DE4"/>
    <w:rsid w:val="007712B5"/>
    <w:rsid w:val="007717F9"/>
    <w:rsid w:val="00771CDC"/>
    <w:rsid w:val="00771FE2"/>
    <w:rsid w:val="00772621"/>
    <w:rsid w:val="00772E45"/>
    <w:rsid w:val="00773B2B"/>
    <w:rsid w:val="00773DB1"/>
    <w:rsid w:val="0077451C"/>
    <w:rsid w:val="007748B1"/>
    <w:rsid w:val="00774F82"/>
    <w:rsid w:val="007766CD"/>
    <w:rsid w:val="0077673A"/>
    <w:rsid w:val="007801CE"/>
    <w:rsid w:val="0078046C"/>
    <w:rsid w:val="00780E57"/>
    <w:rsid w:val="007818E1"/>
    <w:rsid w:val="00781A20"/>
    <w:rsid w:val="00782363"/>
    <w:rsid w:val="007823B0"/>
    <w:rsid w:val="0078255A"/>
    <w:rsid w:val="00782E88"/>
    <w:rsid w:val="00783ABD"/>
    <w:rsid w:val="00784E83"/>
    <w:rsid w:val="00784F11"/>
    <w:rsid w:val="00784F2C"/>
    <w:rsid w:val="0078561C"/>
    <w:rsid w:val="00785A3B"/>
    <w:rsid w:val="00785EB5"/>
    <w:rsid w:val="007869D1"/>
    <w:rsid w:val="00786A85"/>
    <w:rsid w:val="007871A7"/>
    <w:rsid w:val="007875D9"/>
    <w:rsid w:val="007905EB"/>
    <w:rsid w:val="00790AEE"/>
    <w:rsid w:val="00790D88"/>
    <w:rsid w:val="00791044"/>
    <w:rsid w:val="007916C8"/>
    <w:rsid w:val="00791AAD"/>
    <w:rsid w:val="00792CF1"/>
    <w:rsid w:val="00792F33"/>
    <w:rsid w:val="00793146"/>
    <w:rsid w:val="007933D5"/>
    <w:rsid w:val="00794A62"/>
    <w:rsid w:val="00794CB5"/>
    <w:rsid w:val="007951C8"/>
    <w:rsid w:val="00796016"/>
    <w:rsid w:val="007964B2"/>
    <w:rsid w:val="00796FE8"/>
    <w:rsid w:val="007972E9"/>
    <w:rsid w:val="00797438"/>
    <w:rsid w:val="007A03DD"/>
    <w:rsid w:val="007A0440"/>
    <w:rsid w:val="007A0984"/>
    <w:rsid w:val="007A152F"/>
    <w:rsid w:val="007A2658"/>
    <w:rsid w:val="007A337D"/>
    <w:rsid w:val="007A3DF4"/>
    <w:rsid w:val="007A4D46"/>
    <w:rsid w:val="007A4DE6"/>
    <w:rsid w:val="007A5921"/>
    <w:rsid w:val="007A6C78"/>
    <w:rsid w:val="007A6FA2"/>
    <w:rsid w:val="007A77AC"/>
    <w:rsid w:val="007A786F"/>
    <w:rsid w:val="007A7924"/>
    <w:rsid w:val="007A7948"/>
    <w:rsid w:val="007B0430"/>
    <w:rsid w:val="007B0742"/>
    <w:rsid w:val="007B0D62"/>
    <w:rsid w:val="007B119F"/>
    <w:rsid w:val="007B1F5E"/>
    <w:rsid w:val="007B21D2"/>
    <w:rsid w:val="007B2D0B"/>
    <w:rsid w:val="007B4491"/>
    <w:rsid w:val="007B49DE"/>
    <w:rsid w:val="007B6199"/>
    <w:rsid w:val="007B7870"/>
    <w:rsid w:val="007C1882"/>
    <w:rsid w:val="007C21AB"/>
    <w:rsid w:val="007C24BC"/>
    <w:rsid w:val="007C305B"/>
    <w:rsid w:val="007C3143"/>
    <w:rsid w:val="007C3342"/>
    <w:rsid w:val="007C3621"/>
    <w:rsid w:val="007C3B2B"/>
    <w:rsid w:val="007C3D16"/>
    <w:rsid w:val="007C412D"/>
    <w:rsid w:val="007C4356"/>
    <w:rsid w:val="007C436B"/>
    <w:rsid w:val="007C4DC4"/>
    <w:rsid w:val="007C66AC"/>
    <w:rsid w:val="007C7499"/>
    <w:rsid w:val="007D0D56"/>
    <w:rsid w:val="007D0D6E"/>
    <w:rsid w:val="007D23CD"/>
    <w:rsid w:val="007D2F95"/>
    <w:rsid w:val="007D33CC"/>
    <w:rsid w:val="007D383B"/>
    <w:rsid w:val="007D3BAB"/>
    <w:rsid w:val="007D4279"/>
    <w:rsid w:val="007D49DF"/>
    <w:rsid w:val="007D4DEF"/>
    <w:rsid w:val="007D4E29"/>
    <w:rsid w:val="007D4EDE"/>
    <w:rsid w:val="007D582C"/>
    <w:rsid w:val="007D5AD3"/>
    <w:rsid w:val="007D5B14"/>
    <w:rsid w:val="007D688E"/>
    <w:rsid w:val="007D713F"/>
    <w:rsid w:val="007E0C63"/>
    <w:rsid w:val="007E241F"/>
    <w:rsid w:val="007E2E77"/>
    <w:rsid w:val="007E31DC"/>
    <w:rsid w:val="007E3576"/>
    <w:rsid w:val="007E4120"/>
    <w:rsid w:val="007E456D"/>
    <w:rsid w:val="007E5652"/>
    <w:rsid w:val="007E56C4"/>
    <w:rsid w:val="007E5770"/>
    <w:rsid w:val="007E73C2"/>
    <w:rsid w:val="007E7937"/>
    <w:rsid w:val="007F075D"/>
    <w:rsid w:val="007F1AF6"/>
    <w:rsid w:val="007F2380"/>
    <w:rsid w:val="007F2B91"/>
    <w:rsid w:val="007F2E91"/>
    <w:rsid w:val="007F2FB1"/>
    <w:rsid w:val="007F3CB3"/>
    <w:rsid w:val="007F3D6E"/>
    <w:rsid w:val="007F4705"/>
    <w:rsid w:val="007F4E46"/>
    <w:rsid w:val="007F4E9F"/>
    <w:rsid w:val="007F5045"/>
    <w:rsid w:val="007F5E48"/>
    <w:rsid w:val="007F6A3E"/>
    <w:rsid w:val="007F6C9B"/>
    <w:rsid w:val="007F6E7F"/>
    <w:rsid w:val="007F7BCE"/>
    <w:rsid w:val="00800A7B"/>
    <w:rsid w:val="00801282"/>
    <w:rsid w:val="00801E00"/>
    <w:rsid w:val="008036B9"/>
    <w:rsid w:val="0080374B"/>
    <w:rsid w:val="008037DA"/>
    <w:rsid w:val="00803C52"/>
    <w:rsid w:val="00804030"/>
    <w:rsid w:val="008043B1"/>
    <w:rsid w:val="00805140"/>
    <w:rsid w:val="00805608"/>
    <w:rsid w:val="00805C92"/>
    <w:rsid w:val="00805F8B"/>
    <w:rsid w:val="0080616B"/>
    <w:rsid w:val="00806496"/>
    <w:rsid w:val="008067CC"/>
    <w:rsid w:val="00806CC9"/>
    <w:rsid w:val="008072AF"/>
    <w:rsid w:val="00807A5E"/>
    <w:rsid w:val="008116C9"/>
    <w:rsid w:val="00811AF2"/>
    <w:rsid w:val="00811B16"/>
    <w:rsid w:val="008145BB"/>
    <w:rsid w:val="00814AAB"/>
    <w:rsid w:val="008151CC"/>
    <w:rsid w:val="0081534D"/>
    <w:rsid w:val="00815794"/>
    <w:rsid w:val="0081651F"/>
    <w:rsid w:val="008167F2"/>
    <w:rsid w:val="00816F34"/>
    <w:rsid w:val="00817125"/>
    <w:rsid w:val="008175B3"/>
    <w:rsid w:val="00817E71"/>
    <w:rsid w:val="008202A2"/>
    <w:rsid w:val="0082069F"/>
    <w:rsid w:val="00821F0B"/>
    <w:rsid w:val="008222CB"/>
    <w:rsid w:val="00822AF1"/>
    <w:rsid w:val="00823C29"/>
    <w:rsid w:val="00824523"/>
    <w:rsid w:val="00824B51"/>
    <w:rsid w:val="00825328"/>
    <w:rsid w:val="00825349"/>
    <w:rsid w:val="008259F3"/>
    <w:rsid w:val="00825DA0"/>
    <w:rsid w:val="00825E0F"/>
    <w:rsid w:val="00825FDB"/>
    <w:rsid w:val="008279CE"/>
    <w:rsid w:val="00830188"/>
    <w:rsid w:val="00830535"/>
    <w:rsid w:val="008305EC"/>
    <w:rsid w:val="008308D4"/>
    <w:rsid w:val="00831145"/>
    <w:rsid w:val="00832082"/>
    <w:rsid w:val="0083334B"/>
    <w:rsid w:val="00833A40"/>
    <w:rsid w:val="00834B46"/>
    <w:rsid w:val="00835034"/>
    <w:rsid w:val="008364FF"/>
    <w:rsid w:val="00836618"/>
    <w:rsid w:val="008367DF"/>
    <w:rsid w:val="00836B24"/>
    <w:rsid w:val="00837676"/>
    <w:rsid w:val="00837A62"/>
    <w:rsid w:val="008414A4"/>
    <w:rsid w:val="00841BFC"/>
    <w:rsid w:val="00842341"/>
    <w:rsid w:val="00843210"/>
    <w:rsid w:val="0084355F"/>
    <w:rsid w:val="00843BFA"/>
    <w:rsid w:val="00844993"/>
    <w:rsid w:val="008458D2"/>
    <w:rsid w:val="00845EBC"/>
    <w:rsid w:val="008461CF"/>
    <w:rsid w:val="0084695F"/>
    <w:rsid w:val="00846AA6"/>
    <w:rsid w:val="00850229"/>
    <w:rsid w:val="00851C17"/>
    <w:rsid w:val="00851C90"/>
    <w:rsid w:val="00852498"/>
    <w:rsid w:val="0085252E"/>
    <w:rsid w:val="0085297D"/>
    <w:rsid w:val="008535C8"/>
    <w:rsid w:val="00854E25"/>
    <w:rsid w:val="00855242"/>
    <w:rsid w:val="00855563"/>
    <w:rsid w:val="00856391"/>
    <w:rsid w:val="008565F6"/>
    <w:rsid w:val="00856D2D"/>
    <w:rsid w:val="008575CC"/>
    <w:rsid w:val="00857909"/>
    <w:rsid w:val="00857D3B"/>
    <w:rsid w:val="008605A7"/>
    <w:rsid w:val="008606D5"/>
    <w:rsid w:val="00861923"/>
    <w:rsid w:val="00861B2A"/>
    <w:rsid w:val="00862890"/>
    <w:rsid w:val="00862BB5"/>
    <w:rsid w:val="00862D6F"/>
    <w:rsid w:val="00862E5B"/>
    <w:rsid w:val="008633BF"/>
    <w:rsid w:val="00863524"/>
    <w:rsid w:val="00864427"/>
    <w:rsid w:val="00864D28"/>
    <w:rsid w:val="00865C2C"/>
    <w:rsid w:val="0086699A"/>
    <w:rsid w:val="00866DC6"/>
    <w:rsid w:val="00867186"/>
    <w:rsid w:val="008672F6"/>
    <w:rsid w:val="008678B6"/>
    <w:rsid w:val="00867EBB"/>
    <w:rsid w:val="00870D1A"/>
    <w:rsid w:val="00870EFA"/>
    <w:rsid w:val="008716F3"/>
    <w:rsid w:val="00871A29"/>
    <w:rsid w:val="008737C2"/>
    <w:rsid w:val="00874668"/>
    <w:rsid w:val="00874A8D"/>
    <w:rsid w:val="008750B4"/>
    <w:rsid w:val="008751A4"/>
    <w:rsid w:val="008752C4"/>
    <w:rsid w:val="0087555F"/>
    <w:rsid w:val="008759DC"/>
    <w:rsid w:val="00875AAA"/>
    <w:rsid w:val="00875D45"/>
    <w:rsid w:val="0087652E"/>
    <w:rsid w:val="008767C1"/>
    <w:rsid w:val="008773C2"/>
    <w:rsid w:val="00877EF9"/>
    <w:rsid w:val="00880739"/>
    <w:rsid w:val="0088075C"/>
    <w:rsid w:val="008817AF"/>
    <w:rsid w:val="00881D48"/>
    <w:rsid w:val="0088258D"/>
    <w:rsid w:val="00883133"/>
    <w:rsid w:val="00883758"/>
    <w:rsid w:val="0088404E"/>
    <w:rsid w:val="008840D9"/>
    <w:rsid w:val="008842A1"/>
    <w:rsid w:val="008851B5"/>
    <w:rsid w:val="00885DD8"/>
    <w:rsid w:val="00886A15"/>
    <w:rsid w:val="00886A50"/>
    <w:rsid w:val="00887EED"/>
    <w:rsid w:val="00890295"/>
    <w:rsid w:val="00890B26"/>
    <w:rsid w:val="008910C8"/>
    <w:rsid w:val="00892175"/>
    <w:rsid w:val="0089257B"/>
    <w:rsid w:val="008929B2"/>
    <w:rsid w:val="00892D8E"/>
    <w:rsid w:val="00893562"/>
    <w:rsid w:val="0089464F"/>
    <w:rsid w:val="0089472B"/>
    <w:rsid w:val="00895DA8"/>
    <w:rsid w:val="008964A6"/>
    <w:rsid w:val="00896B03"/>
    <w:rsid w:val="00897328"/>
    <w:rsid w:val="00897CFB"/>
    <w:rsid w:val="008A03C3"/>
    <w:rsid w:val="008A0719"/>
    <w:rsid w:val="008A0CFD"/>
    <w:rsid w:val="008A0DBB"/>
    <w:rsid w:val="008A0DE3"/>
    <w:rsid w:val="008A1D89"/>
    <w:rsid w:val="008A1E23"/>
    <w:rsid w:val="008A2278"/>
    <w:rsid w:val="008A27DA"/>
    <w:rsid w:val="008A3721"/>
    <w:rsid w:val="008A3A12"/>
    <w:rsid w:val="008A41F4"/>
    <w:rsid w:val="008A454B"/>
    <w:rsid w:val="008A49B8"/>
    <w:rsid w:val="008A5873"/>
    <w:rsid w:val="008A6CBD"/>
    <w:rsid w:val="008A7909"/>
    <w:rsid w:val="008B0012"/>
    <w:rsid w:val="008B17DE"/>
    <w:rsid w:val="008B2423"/>
    <w:rsid w:val="008B25BD"/>
    <w:rsid w:val="008B2B9D"/>
    <w:rsid w:val="008B3541"/>
    <w:rsid w:val="008B3B04"/>
    <w:rsid w:val="008B47E3"/>
    <w:rsid w:val="008B537A"/>
    <w:rsid w:val="008B7342"/>
    <w:rsid w:val="008C011D"/>
    <w:rsid w:val="008C02AF"/>
    <w:rsid w:val="008C05FB"/>
    <w:rsid w:val="008C12CE"/>
    <w:rsid w:val="008C2111"/>
    <w:rsid w:val="008C232A"/>
    <w:rsid w:val="008C2465"/>
    <w:rsid w:val="008C27FB"/>
    <w:rsid w:val="008C3034"/>
    <w:rsid w:val="008C310C"/>
    <w:rsid w:val="008C3213"/>
    <w:rsid w:val="008C40E7"/>
    <w:rsid w:val="008C4129"/>
    <w:rsid w:val="008C43F2"/>
    <w:rsid w:val="008C4677"/>
    <w:rsid w:val="008C4F12"/>
    <w:rsid w:val="008C5CF2"/>
    <w:rsid w:val="008C6825"/>
    <w:rsid w:val="008C6B30"/>
    <w:rsid w:val="008C6D83"/>
    <w:rsid w:val="008C7040"/>
    <w:rsid w:val="008C73AF"/>
    <w:rsid w:val="008D0F79"/>
    <w:rsid w:val="008D1596"/>
    <w:rsid w:val="008D16B8"/>
    <w:rsid w:val="008D1AC1"/>
    <w:rsid w:val="008D1B1F"/>
    <w:rsid w:val="008D294F"/>
    <w:rsid w:val="008D2C61"/>
    <w:rsid w:val="008D3CD2"/>
    <w:rsid w:val="008D3E8B"/>
    <w:rsid w:val="008D50F4"/>
    <w:rsid w:val="008D77A4"/>
    <w:rsid w:val="008E023A"/>
    <w:rsid w:val="008E0975"/>
    <w:rsid w:val="008E0A2D"/>
    <w:rsid w:val="008E0E82"/>
    <w:rsid w:val="008E1CE5"/>
    <w:rsid w:val="008E2113"/>
    <w:rsid w:val="008E23E1"/>
    <w:rsid w:val="008E3A61"/>
    <w:rsid w:val="008E6F0A"/>
    <w:rsid w:val="008E70AC"/>
    <w:rsid w:val="008E7425"/>
    <w:rsid w:val="008E7544"/>
    <w:rsid w:val="008E79D5"/>
    <w:rsid w:val="008E7BDC"/>
    <w:rsid w:val="008F05BE"/>
    <w:rsid w:val="008F118B"/>
    <w:rsid w:val="008F11D4"/>
    <w:rsid w:val="008F14F8"/>
    <w:rsid w:val="008F1E61"/>
    <w:rsid w:val="008F23B7"/>
    <w:rsid w:val="008F440B"/>
    <w:rsid w:val="008F50DB"/>
    <w:rsid w:val="008F6366"/>
    <w:rsid w:val="008F6403"/>
    <w:rsid w:val="008F762B"/>
    <w:rsid w:val="00900287"/>
    <w:rsid w:val="009003E4"/>
    <w:rsid w:val="009004DC"/>
    <w:rsid w:val="009007B2"/>
    <w:rsid w:val="009008D3"/>
    <w:rsid w:val="00900B8C"/>
    <w:rsid w:val="00900F14"/>
    <w:rsid w:val="0090103A"/>
    <w:rsid w:val="00901618"/>
    <w:rsid w:val="009019ED"/>
    <w:rsid w:val="00902119"/>
    <w:rsid w:val="00902854"/>
    <w:rsid w:val="00905470"/>
    <w:rsid w:val="00905545"/>
    <w:rsid w:val="0090557E"/>
    <w:rsid w:val="00906544"/>
    <w:rsid w:val="00906A49"/>
    <w:rsid w:val="00906B77"/>
    <w:rsid w:val="00906E46"/>
    <w:rsid w:val="00907BD0"/>
    <w:rsid w:val="00910689"/>
    <w:rsid w:val="009109C0"/>
    <w:rsid w:val="00911E4C"/>
    <w:rsid w:val="009120F0"/>
    <w:rsid w:val="009122F8"/>
    <w:rsid w:val="00912F53"/>
    <w:rsid w:val="00914A81"/>
    <w:rsid w:val="00914ACE"/>
    <w:rsid w:val="009158F4"/>
    <w:rsid w:val="00915DCF"/>
    <w:rsid w:val="00915DED"/>
    <w:rsid w:val="00916346"/>
    <w:rsid w:val="009164F2"/>
    <w:rsid w:val="00916631"/>
    <w:rsid w:val="00917991"/>
    <w:rsid w:val="00917CD4"/>
    <w:rsid w:val="0092137A"/>
    <w:rsid w:val="00921437"/>
    <w:rsid w:val="009224D8"/>
    <w:rsid w:val="00922688"/>
    <w:rsid w:val="009230A7"/>
    <w:rsid w:val="0092320D"/>
    <w:rsid w:val="00923619"/>
    <w:rsid w:val="00924044"/>
    <w:rsid w:val="00924667"/>
    <w:rsid w:val="00924CB3"/>
    <w:rsid w:val="00924E63"/>
    <w:rsid w:val="0092519E"/>
    <w:rsid w:val="00925E2C"/>
    <w:rsid w:val="009276ED"/>
    <w:rsid w:val="009277FF"/>
    <w:rsid w:val="00930408"/>
    <w:rsid w:val="00930E1A"/>
    <w:rsid w:val="009310BB"/>
    <w:rsid w:val="00931344"/>
    <w:rsid w:val="00931922"/>
    <w:rsid w:val="00931A05"/>
    <w:rsid w:val="00931AA2"/>
    <w:rsid w:val="00931B8F"/>
    <w:rsid w:val="00931DDF"/>
    <w:rsid w:val="00932A5F"/>
    <w:rsid w:val="00932ECC"/>
    <w:rsid w:val="0093328F"/>
    <w:rsid w:val="009332B9"/>
    <w:rsid w:val="00933BE3"/>
    <w:rsid w:val="00933D07"/>
    <w:rsid w:val="009350B4"/>
    <w:rsid w:val="00935C21"/>
    <w:rsid w:val="00936C62"/>
    <w:rsid w:val="00936F32"/>
    <w:rsid w:val="0093736A"/>
    <w:rsid w:val="00940736"/>
    <w:rsid w:val="00941039"/>
    <w:rsid w:val="009416C7"/>
    <w:rsid w:val="0094187D"/>
    <w:rsid w:val="009419EC"/>
    <w:rsid w:val="00941E2E"/>
    <w:rsid w:val="00942CE5"/>
    <w:rsid w:val="0094471A"/>
    <w:rsid w:val="00944BCF"/>
    <w:rsid w:val="00944CB2"/>
    <w:rsid w:val="00945186"/>
    <w:rsid w:val="00945743"/>
    <w:rsid w:val="0094590B"/>
    <w:rsid w:val="00945DAD"/>
    <w:rsid w:val="0094612C"/>
    <w:rsid w:val="0094638F"/>
    <w:rsid w:val="009465A8"/>
    <w:rsid w:val="009469D5"/>
    <w:rsid w:val="00946D53"/>
    <w:rsid w:val="009472DB"/>
    <w:rsid w:val="00950501"/>
    <w:rsid w:val="00950F14"/>
    <w:rsid w:val="00951A8C"/>
    <w:rsid w:val="009525F5"/>
    <w:rsid w:val="0095263E"/>
    <w:rsid w:val="00952728"/>
    <w:rsid w:val="009532D3"/>
    <w:rsid w:val="00953C3D"/>
    <w:rsid w:val="009545A6"/>
    <w:rsid w:val="0095577E"/>
    <w:rsid w:val="0095602D"/>
    <w:rsid w:val="00956738"/>
    <w:rsid w:val="00956A9E"/>
    <w:rsid w:val="009574AD"/>
    <w:rsid w:val="00957876"/>
    <w:rsid w:val="00960813"/>
    <w:rsid w:val="00961FC6"/>
    <w:rsid w:val="00962366"/>
    <w:rsid w:val="00962F53"/>
    <w:rsid w:val="00964612"/>
    <w:rsid w:val="00965FF5"/>
    <w:rsid w:val="0096605B"/>
    <w:rsid w:val="009664D3"/>
    <w:rsid w:val="009668D8"/>
    <w:rsid w:val="0096717B"/>
    <w:rsid w:val="00967346"/>
    <w:rsid w:val="009679BF"/>
    <w:rsid w:val="00967ECB"/>
    <w:rsid w:val="009708D8"/>
    <w:rsid w:val="0097098C"/>
    <w:rsid w:val="00970F60"/>
    <w:rsid w:val="00971553"/>
    <w:rsid w:val="00971F62"/>
    <w:rsid w:val="00972DB2"/>
    <w:rsid w:val="00973D51"/>
    <w:rsid w:val="00973F83"/>
    <w:rsid w:val="00974504"/>
    <w:rsid w:val="00974BA9"/>
    <w:rsid w:val="00975DA8"/>
    <w:rsid w:val="00975E64"/>
    <w:rsid w:val="00976B5E"/>
    <w:rsid w:val="00976B9F"/>
    <w:rsid w:val="00976C68"/>
    <w:rsid w:val="00976F10"/>
    <w:rsid w:val="00977E9B"/>
    <w:rsid w:val="0098033C"/>
    <w:rsid w:val="0098091D"/>
    <w:rsid w:val="00980A35"/>
    <w:rsid w:val="0098118A"/>
    <w:rsid w:val="0098254C"/>
    <w:rsid w:val="009825E7"/>
    <w:rsid w:val="0098306C"/>
    <w:rsid w:val="00983214"/>
    <w:rsid w:val="00983B38"/>
    <w:rsid w:val="009840E0"/>
    <w:rsid w:val="009853E3"/>
    <w:rsid w:val="00985F08"/>
    <w:rsid w:val="00986CCF"/>
    <w:rsid w:val="00986D50"/>
    <w:rsid w:val="00987382"/>
    <w:rsid w:val="00990251"/>
    <w:rsid w:val="00990A7B"/>
    <w:rsid w:val="00990CB4"/>
    <w:rsid w:val="00991697"/>
    <w:rsid w:val="009918C0"/>
    <w:rsid w:val="00991CCE"/>
    <w:rsid w:val="009922A3"/>
    <w:rsid w:val="009932F4"/>
    <w:rsid w:val="00993551"/>
    <w:rsid w:val="00993CFF"/>
    <w:rsid w:val="00993EDE"/>
    <w:rsid w:val="00994DA4"/>
    <w:rsid w:val="00994E23"/>
    <w:rsid w:val="00994EEC"/>
    <w:rsid w:val="009957C3"/>
    <w:rsid w:val="00996AC6"/>
    <w:rsid w:val="00996AE3"/>
    <w:rsid w:val="00996B1A"/>
    <w:rsid w:val="00997526"/>
    <w:rsid w:val="00997F2C"/>
    <w:rsid w:val="009A0798"/>
    <w:rsid w:val="009A1900"/>
    <w:rsid w:val="009A1DE4"/>
    <w:rsid w:val="009A34A9"/>
    <w:rsid w:val="009A3868"/>
    <w:rsid w:val="009A3DB1"/>
    <w:rsid w:val="009A43D6"/>
    <w:rsid w:val="009A4D69"/>
    <w:rsid w:val="009A511E"/>
    <w:rsid w:val="009A621C"/>
    <w:rsid w:val="009A62AC"/>
    <w:rsid w:val="009A63FB"/>
    <w:rsid w:val="009A6EAB"/>
    <w:rsid w:val="009A7B73"/>
    <w:rsid w:val="009A7B97"/>
    <w:rsid w:val="009B00F2"/>
    <w:rsid w:val="009B0253"/>
    <w:rsid w:val="009B0F56"/>
    <w:rsid w:val="009B0FFA"/>
    <w:rsid w:val="009B11EF"/>
    <w:rsid w:val="009B1667"/>
    <w:rsid w:val="009B2BAE"/>
    <w:rsid w:val="009B3454"/>
    <w:rsid w:val="009B3C3E"/>
    <w:rsid w:val="009B3CC1"/>
    <w:rsid w:val="009B3FBB"/>
    <w:rsid w:val="009B4733"/>
    <w:rsid w:val="009B6BEB"/>
    <w:rsid w:val="009B6D8F"/>
    <w:rsid w:val="009B6FCE"/>
    <w:rsid w:val="009B7004"/>
    <w:rsid w:val="009B71B2"/>
    <w:rsid w:val="009B7208"/>
    <w:rsid w:val="009B7B42"/>
    <w:rsid w:val="009C0943"/>
    <w:rsid w:val="009C0A53"/>
    <w:rsid w:val="009C0B31"/>
    <w:rsid w:val="009C1F2D"/>
    <w:rsid w:val="009C21A2"/>
    <w:rsid w:val="009C262B"/>
    <w:rsid w:val="009C2B3F"/>
    <w:rsid w:val="009C2BA7"/>
    <w:rsid w:val="009C3885"/>
    <w:rsid w:val="009C3C0D"/>
    <w:rsid w:val="009C3CA2"/>
    <w:rsid w:val="009C3EA2"/>
    <w:rsid w:val="009C406A"/>
    <w:rsid w:val="009C43A1"/>
    <w:rsid w:val="009C4F4B"/>
    <w:rsid w:val="009C51B1"/>
    <w:rsid w:val="009C5E7D"/>
    <w:rsid w:val="009C7D9A"/>
    <w:rsid w:val="009D23D8"/>
    <w:rsid w:val="009D2503"/>
    <w:rsid w:val="009D2D01"/>
    <w:rsid w:val="009D3F35"/>
    <w:rsid w:val="009D5C75"/>
    <w:rsid w:val="009D6523"/>
    <w:rsid w:val="009D6779"/>
    <w:rsid w:val="009D6955"/>
    <w:rsid w:val="009D6F23"/>
    <w:rsid w:val="009D7291"/>
    <w:rsid w:val="009D7F69"/>
    <w:rsid w:val="009E008E"/>
    <w:rsid w:val="009E04A6"/>
    <w:rsid w:val="009E200E"/>
    <w:rsid w:val="009E2630"/>
    <w:rsid w:val="009E347D"/>
    <w:rsid w:val="009E3E44"/>
    <w:rsid w:val="009E42CA"/>
    <w:rsid w:val="009E4BC6"/>
    <w:rsid w:val="009E5D7A"/>
    <w:rsid w:val="009E5E0A"/>
    <w:rsid w:val="009E74C7"/>
    <w:rsid w:val="009E7A16"/>
    <w:rsid w:val="009F29DE"/>
    <w:rsid w:val="009F2AB7"/>
    <w:rsid w:val="009F3460"/>
    <w:rsid w:val="009F36E5"/>
    <w:rsid w:val="009F3BC1"/>
    <w:rsid w:val="009F402E"/>
    <w:rsid w:val="009F4B56"/>
    <w:rsid w:val="009F4F76"/>
    <w:rsid w:val="009F58A4"/>
    <w:rsid w:val="009F59B1"/>
    <w:rsid w:val="009F5D39"/>
    <w:rsid w:val="009F60DB"/>
    <w:rsid w:val="009F6A31"/>
    <w:rsid w:val="009F7189"/>
    <w:rsid w:val="009F722C"/>
    <w:rsid w:val="00A013FC"/>
    <w:rsid w:val="00A0141E"/>
    <w:rsid w:val="00A01865"/>
    <w:rsid w:val="00A02417"/>
    <w:rsid w:val="00A02A4B"/>
    <w:rsid w:val="00A0456A"/>
    <w:rsid w:val="00A045E2"/>
    <w:rsid w:val="00A046B3"/>
    <w:rsid w:val="00A04A92"/>
    <w:rsid w:val="00A04EAB"/>
    <w:rsid w:val="00A050D1"/>
    <w:rsid w:val="00A0570F"/>
    <w:rsid w:val="00A05CD1"/>
    <w:rsid w:val="00A05E95"/>
    <w:rsid w:val="00A06F12"/>
    <w:rsid w:val="00A06F6C"/>
    <w:rsid w:val="00A074C6"/>
    <w:rsid w:val="00A11038"/>
    <w:rsid w:val="00A1138D"/>
    <w:rsid w:val="00A114A2"/>
    <w:rsid w:val="00A11B52"/>
    <w:rsid w:val="00A121AA"/>
    <w:rsid w:val="00A129BB"/>
    <w:rsid w:val="00A12A8C"/>
    <w:rsid w:val="00A13395"/>
    <w:rsid w:val="00A13D52"/>
    <w:rsid w:val="00A14572"/>
    <w:rsid w:val="00A14721"/>
    <w:rsid w:val="00A14798"/>
    <w:rsid w:val="00A15370"/>
    <w:rsid w:val="00A15BCD"/>
    <w:rsid w:val="00A17238"/>
    <w:rsid w:val="00A20148"/>
    <w:rsid w:val="00A208D2"/>
    <w:rsid w:val="00A2135E"/>
    <w:rsid w:val="00A219CB"/>
    <w:rsid w:val="00A22A17"/>
    <w:rsid w:val="00A22E5A"/>
    <w:rsid w:val="00A23C04"/>
    <w:rsid w:val="00A24289"/>
    <w:rsid w:val="00A2460F"/>
    <w:rsid w:val="00A24785"/>
    <w:rsid w:val="00A2547C"/>
    <w:rsid w:val="00A25769"/>
    <w:rsid w:val="00A258F1"/>
    <w:rsid w:val="00A27E31"/>
    <w:rsid w:val="00A27F06"/>
    <w:rsid w:val="00A27FEF"/>
    <w:rsid w:val="00A3018B"/>
    <w:rsid w:val="00A30698"/>
    <w:rsid w:val="00A30DA9"/>
    <w:rsid w:val="00A30E82"/>
    <w:rsid w:val="00A317CD"/>
    <w:rsid w:val="00A32234"/>
    <w:rsid w:val="00A32253"/>
    <w:rsid w:val="00A343DB"/>
    <w:rsid w:val="00A3524A"/>
    <w:rsid w:val="00A35F7B"/>
    <w:rsid w:val="00A36084"/>
    <w:rsid w:val="00A376B2"/>
    <w:rsid w:val="00A3772F"/>
    <w:rsid w:val="00A37985"/>
    <w:rsid w:val="00A40BC7"/>
    <w:rsid w:val="00A41363"/>
    <w:rsid w:val="00A416E2"/>
    <w:rsid w:val="00A41BDE"/>
    <w:rsid w:val="00A42A7D"/>
    <w:rsid w:val="00A441B4"/>
    <w:rsid w:val="00A448E1"/>
    <w:rsid w:val="00A44D4D"/>
    <w:rsid w:val="00A465DF"/>
    <w:rsid w:val="00A467F9"/>
    <w:rsid w:val="00A469E5"/>
    <w:rsid w:val="00A476C4"/>
    <w:rsid w:val="00A47856"/>
    <w:rsid w:val="00A47882"/>
    <w:rsid w:val="00A478DC"/>
    <w:rsid w:val="00A47B99"/>
    <w:rsid w:val="00A47D18"/>
    <w:rsid w:val="00A5173D"/>
    <w:rsid w:val="00A51DC5"/>
    <w:rsid w:val="00A54944"/>
    <w:rsid w:val="00A54F1F"/>
    <w:rsid w:val="00A55471"/>
    <w:rsid w:val="00A55486"/>
    <w:rsid w:val="00A5634C"/>
    <w:rsid w:val="00A60BDE"/>
    <w:rsid w:val="00A60CFF"/>
    <w:rsid w:val="00A614C3"/>
    <w:rsid w:val="00A622F2"/>
    <w:rsid w:val="00A62541"/>
    <w:rsid w:val="00A6278E"/>
    <w:rsid w:val="00A62B76"/>
    <w:rsid w:val="00A62F22"/>
    <w:rsid w:val="00A634E2"/>
    <w:rsid w:val="00A63788"/>
    <w:rsid w:val="00A63915"/>
    <w:rsid w:val="00A640E5"/>
    <w:rsid w:val="00A64886"/>
    <w:rsid w:val="00A6488D"/>
    <w:rsid w:val="00A64934"/>
    <w:rsid w:val="00A65880"/>
    <w:rsid w:val="00A66F97"/>
    <w:rsid w:val="00A678C9"/>
    <w:rsid w:val="00A67CA6"/>
    <w:rsid w:val="00A704A8"/>
    <w:rsid w:val="00A7084B"/>
    <w:rsid w:val="00A70B3C"/>
    <w:rsid w:val="00A7111E"/>
    <w:rsid w:val="00A71711"/>
    <w:rsid w:val="00A71764"/>
    <w:rsid w:val="00A7196B"/>
    <w:rsid w:val="00A71F25"/>
    <w:rsid w:val="00A725A6"/>
    <w:rsid w:val="00A727E3"/>
    <w:rsid w:val="00A72D19"/>
    <w:rsid w:val="00A73499"/>
    <w:rsid w:val="00A745BD"/>
    <w:rsid w:val="00A7785D"/>
    <w:rsid w:val="00A77FFB"/>
    <w:rsid w:val="00A80D44"/>
    <w:rsid w:val="00A80EC3"/>
    <w:rsid w:val="00A81143"/>
    <w:rsid w:val="00A8138B"/>
    <w:rsid w:val="00A81687"/>
    <w:rsid w:val="00A81748"/>
    <w:rsid w:val="00A81883"/>
    <w:rsid w:val="00A81F6C"/>
    <w:rsid w:val="00A82F0F"/>
    <w:rsid w:val="00A830D2"/>
    <w:rsid w:val="00A8353E"/>
    <w:rsid w:val="00A83DE7"/>
    <w:rsid w:val="00A83E50"/>
    <w:rsid w:val="00A84187"/>
    <w:rsid w:val="00A84248"/>
    <w:rsid w:val="00A84C70"/>
    <w:rsid w:val="00A84EBF"/>
    <w:rsid w:val="00A85C31"/>
    <w:rsid w:val="00A85CD2"/>
    <w:rsid w:val="00A85DE2"/>
    <w:rsid w:val="00A861A7"/>
    <w:rsid w:val="00A861B2"/>
    <w:rsid w:val="00A86534"/>
    <w:rsid w:val="00A86D83"/>
    <w:rsid w:val="00A86DAF"/>
    <w:rsid w:val="00A873D9"/>
    <w:rsid w:val="00A904BA"/>
    <w:rsid w:val="00A90996"/>
    <w:rsid w:val="00A92B4D"/>
    <w:rsid w:val="00A92CFE"/>
    <w:rsid w:val="00A93669"/>
    <w:rsid w:val="00A93D0B"/>
    <w:rsid w:val="00A93FDD"/>
    <w:rsid w:val="00A941A8"/>
    <w:rsid w:val="00A945D6"/>
    <w:rsid w:val="00A95B4C"/>
    <w:rsid w:val="00A95F4F"/>
    <w:rsid w:val="00A969A8"/>
    <w:rsid w:val="00A96BAE"/>
    <w:rsid w:val="00A970E7"/>
    <w:rsid w:val="00A9730D"/>
    <w:rsid w:val="00A974A6"/>
    <w:rsid w:val="00A975F3"/>
    <w:rsid w:val="00A97DE5"/>
    <w:rsid w:val="00AA07B9"/>
    <w:rsid w:val="00AA1082"/>
    <w:rsid w:val="00AA173F"/>
    <w:rsid w:val="00AA219D"/>
    <w:rsid w:val="00AA23B4"/>
    <w:rsid w:val="00AA2618"/>
    <w:rsid w:val="00AA2CA7"/>
    <w:rsid w:val="00AA3136"/>
    <w:rsid w:val="00AA32E2"/>
    <w:rsid w:val="00AA34C0"/>
    <w:rsid w:val="00AA35EE"/>
    <w:rsid w:val="00AA3F74"/>
    <w:rsid w:val="00AA4A1C"/>
    <w:rsid w:val="00AA4C07"/>
    <w:rsid w:val="00AA561D"/>
    <w:rsid w:val="00AA5CCD"/>
    <w:rsid w:val="00AA6B57"/>
    <w:rsid w:val="00AA6E76"/>
    <w:rsid w:val="00AA76D7"/>
    <w:rsid w:val="00AA7763"/>
    <w:rsid w:val="00AA77C3"/>
    <w:rsid w:val="00AB0762"/>
    <w:rsid w:val="00AB0E5F"/>
    <w:rsid w:val="00AB117C"/>
    <w:rsid w:val="00AB129D"/>
    <w:rsid w:val="00AB1D12"/>
    <w:rsid w:val="00AB24CC"/>
    <w:rsid w:val="00AB271B"/>
    <w:rsid w:val="00AB348C"/>
    <w:rsid w:val="00AB359C"/>
    <w:rsid w:val="00AB360D"/>
    <w:rsid w:val="00AB377A"/>
    <w:rsid w:val="00AB40F1"/>
    <w:rsid w:val="00AB4190"/>
    <w:rsid w:val="00AB4F85"/>
    <w:rsid w:val="00AB524E"/>
    <w:rsid w:val="00AB5F23"/>
    <w:rsid w:val="00AB7D3B"/>
    <w:rsid w:val="00AC0DD2"/>
    <w:rsid w:val="00AC1779"/>
    <w:rsid w:val="00AC1781"/>
    <w:rsid w:val="00AC18B5"/>
    <w:rsid w:val="00AC22D5"/>
    <w:rsid w:val="00AC26BF"/>
    <w:rsid w:val="00AC2A16"/>
    <w:rsid w:val="00AC336C"/>
    <w:rsid w:val="00AC39E8"/>
    <w:rsid w:val="00AC40AB"/>
    <w:rsid w:val="00AC4688"/>
    <w:rsid w:val="00AC4F77"/>
    <w:rsid w:val="00AC6BAF"/>
    <w:rsid w:val="00AC6E8D"/>
    <w:rsid w:val="00AC6F05"/>
    <w:rsid w:val="00AC6FE2"/>
    <w:rsid w:val="00AC752D"/>
    <w:rsid w:val="00AC7A54"/>
    <w:rsid w:val="00AC7AA8"/>
    <w:rsid w:val="00AD00F5"/>
    <w:rsid w:val="00AD0555"/>
    <w:rsid w:val="00AD0891"/>
    <w:rsid w:val="00AD0DE1"/>
    <w:rsid w:val="00AD1893"/>
    <w:rsid w:val="00AD1EC7"/>
    <w:rsid w:val="00AD2141"/>
    <w:rsid w:val="00AD371F"/>
    <w:rsid w:val="00AD3A18"/>
    <w:rsid w:val="00AD3BA5"/>
    <w:rsid w:val="00AD3E73"/>
    <w:rsid w:val="00AD4071"/>
    <w:rsid w:val="00AD4155"/>
    <w:rsid w:val="00AD431A"/>
    <w:rsid w:val="00AD4C9F"/>
    <w:rsid w:val="00AD5646"/>
    <w:rsid w:val="00AD5904"/>
    <w:rsid w:val="00AD5E22"/>
    <w:rsid w:val="00AD64C1"/>
    <w:rsid w:val="00AD68A4"/>
    <w:rsid w:val="00AD6A3E"/>
    <w:rsid w:val="00AD6E33"/>
    <w:rsid w:val="00AD6EC8"/>
    <w:rsid w:val="00AD760E"/>
    <w:rsid w:val="00AD7E14"/>
    <w:rsid w:val="00AE0311"/>
    <w:rsid w:val="00AE03DB"/>
    <w:rsid w:val="00AE1670"/>
    <w:rsid w:val="00AE211D"/>
    <w:rsid w:val="00AE29E3"/>
    <w:rsid w:val="00AE2BCD"/>
    <w:rsid w:val="00AE2D17"/>
    <w:rsid w:val="00AE2DC4"/>
    <w:rsid w:val="00AE31D9"/>
    <w:rsid w:val="00AE348B"/>
    <w:rsid w:val="00AE3942"/>
    <w:rsid w:val="00AE44E4"/>
    <w:rsid w:val="00AE462F"/>
    <w:rsid w:val="00AE653C"/>
    <w:rsid w:val="00AE6A8D"/>
    <w:rsid w:val="00AE71D8"/>
    <w:rsid w:val="00AE76B9"/>
    <w:rsid w:val="00AE7832"/>
    <w:rsid w:val="00AE7A43"/>
    <w:rsid w:val="00AF0632"/>
    <w:rsid w:val="00AF0ABC"/>
    <w:rsid w:val="00AF0AC6"/>
    <w:rsid w:val="00AF0E67"/>
    <w:rsid w:val="00AF138C"/>
    <w:rsid w:val="00AF1B11"/>
    <w:rsid w:val="00AF2189"/>
    <w:rsid w:val="00AF2613"/>
    <w:rsid w:val="00AF283A"/>
    <w:rsid w:val="00AF2E89"/>
    <w:rsid w:val="00AF4D5F"/>
    <w:rsid w:val="00AF56EE"/>
    <w:rsid w:val="00AF5823"/>
    <w:rsid w:val="00AF5D80"/>
    <w:rsid w:val="00AF6B10"/>
    <w:rsid w:val="00AF7290"/>
    <w:rsid w:val="00AF7965"/>
    <w:rsid w:val="00B00AE5"/>
    <w:rsid w:val="00B02030"/>
    <w:rsid w:val="00B026EC"/>
    <w:rsid w:val="00B02818"/>
    <w:rsid w:val="00B048F8"/>
    <w:rsid w:val="00B04B36"/>
    <w:rsid w:val="00B05003"/>
    <w:rsid w:val="00B0577F"/>
    <w:rsid w:val="00B05A74"/>
    <w:rsid w:val="00B06255"/>
    <w:rsid w:val="00B069CF"/>
    <w:rsid w:val="00B07E38"/>
    <w:rsid w:val="00B07F05"/>
    <w:rsid w:val="00B10C2B"/>
    <w:rsid w:val="00B10D9C"/>
    <w:rsid w:val="00B11E6D"/>
    <w:rsid w:val="00B12CE6"/>
    <w:rsid w:val="00B12F5E"/>
    <w:rsid w:val="00B14207"/>
    <w:rsid w:val="00B146C3"/>
    <w:rsid w:val="00B147E9"/>
    <w:rsid w:val="00B14961"/>
    <w:rsid w:val="00B14C82"/>
    <w:rsid w:val="00B166D9"/>
    <w:rsid w:val="00B168E0"/>
    <w:rsid w:val="00B16C73"/>
    <w:rsid w:val="00B171C8"/>
    <w:rsid w:val="00B173EF"/>
    <w:rsid w:val="00B1790B"/>
    <w:rsid w:val="00B201CA"/>
    <w:rsid w:val="00B20380"/>
    <w:rsid w:val="00B20517"/>
    <w:rsid w:val="00B20DDB"/>
    <w:rsid w:val="00B20FBA"/>
    <w:rsid w:val="00B21743"/>
    <w:rsid w:val="00B21A0C"/>
    <w:rsid w:val="00B21F37"/>
    <w:rsid w:val="00B220CC"/>
    <w:rsid w:val="00B220CD"/>
    <w:rsid w:val="00B22989"/>
    <w:rsid w:val="00B22DCA"/>
    <w:rsid w:val="00B24500"/>
    <w:rsid w:val="00B24A92"/>
    <w:rsid w:val="00B24EA8"/>
    <w:rsid w:val="00B252CE"/>
    <w:rsid w:val="00B26207"/>
    <w:rsid w:val="00B269CC"/>
    <w:rsid w:val="00B26C6D"/>
    <w:rsid w:val="00B26D8C"/>
    <w:rsid w:val="00B27B59"/>
    <w:rsid w:val="00B308C9"/>
    <w:rsid w:val="00B30B7F"/>
    <w:rsid w:val="00B3160A"/>
    <w:rsid w:val="00B31B9C"/>
    <w:rsid w:val="00B321F9"/>
    <w:rsid w:val="00B327C2"/>
    <w:rsid w:val="00B33102"/>
    <w:rsid w:val="00B33394"/>
    <w:rsid w:val="00B33781"/>
    <w:rsid w:val="00B33C81"/>
    <w:rsid w:val="00B3462C"/>
    <w:rsid w:val="00B359D3"/>
    <w:rsid w:val="00B3607D"/>
    <w:rsid w:val="00B36CB2"/>
    <w:rsid w:val="00B37010"/>
    <w:rsid w:val="00B412FD"/>
    <w:rsid w:val="00B4197D"/>
    <w:rsid w:val="00B4261F"/>
    <w:rsid w:val="00B42BCE"/>
    <w:rsid w:val="00B42DD7"/>
    <w:rsid w:val="00B43165"/>
    <w:rsid w:val="00B43285"/>
    <w:rsid w:val="00B43C84"/>
    <w:rsid w:val="00B44126"/>
    <w:rsid w:val="00B4424F"/>
    <w:rsid w:val="00B44D0F"/>
    <w:rsid w:val="00B45138"/>
    <w:rsid w:val="00B45F07"/>
    <w:rsid w:val="00B4619D"/>
    <w:rsid w:val="00B461CE"/>
    <w:rsid w:val="00B464FB"/>
    <w:rsid w:val="00B4661C"/>
    <w:rsid w:val="00B46735"/>
    <w:rsid w:val="00B46E27"/>
    <w:rsid w:val="00B50983"/>
    <w:rsid w:val="00B51555"/>
    <w:rsid w:val="00B5159C"/>
    <w:rsid w:val="00B51D13"/>
    <w:rsid w:val="00B534A8"/>
    <w:rsid w:val="00B53794"/>
    <w:rsid w:val="00B53B4E"/>
    <w:rsid w:val="00B542BC"/>
    <w:rsid w:val="00B544C6"/>
    <w:rsid w:val="00B554C8"/>
    <w:rsid w:val="00B5640E"/>
    <w:rsid w:val="00B57507"/>
    <w:rsid w:val="00B579C9"/>
    <w:rsid w:val="00B57D28"/>
    <w:rsid w:val="00B605D5"/>
    <w:rsid w:val="00B60931"/>
    <w:rsid w:val="00B60DB3"/>
    <w:rsid w:val="00B60F7F"/>
    <w:rsid w:val="00B616DA"/>
    <w:rsid w:val="00B61DF0"/>
    <w:rsid w:val="00B62B91"/>
    <w:rsid w:val="00B62CEA"/>
    <w:rsid w:val="00B63266"/>
    <w:rsid w:val="00B63A59"/>
    <w:rsid w:val="00B6407D"/>
    <w:rsid w:val="00B64186"/>
    <w:rsid w:val="00B65883"/>
    <w:rsid w:val="00B658ED"/>
    <w:rsid w:val="00B6678F"/>
    <w:rsid w:val="00B66B86"/>
    <w:rsid w:val="00B66D9F"/>
    <w:rsid w:val="00B6702D"/>
    <w:rsid w:val="00B67915"/>
    <w:rsid w:val="00B704DA"/>
    <w:rsid w:val="00B71271"/>
    <w:rsid w:val="00B7151A"/>
    <w:rsid w:val="00B71CF1"/>
    <w:rsid w:val="00B72396"/>
    <w:rsid w:val="00B72716"/>
    <w:rsid w:val="00B72804"/>
    <w:rsid w:val="00B73573"/>
    <w:rsid w:val="00B73B03"/>
    <w:rsid w:val="00B73FF7"/>
    <w:rsid w:val="00B741CB"/>
    <w:rsid w:val="00B7479A"/>
    <w:rsid w:val="00B74BFE"/>
    <w:rsid w:val="00B75B36"/>
    <w:rsid w:val="00B75B61"/>
    <w:rsid w:val="00B7631A"/>
    <w:rsid w:val="00B76627"/>
    <w:rsid w:val="00B77213"/>
    <w:rsid w:val="00B77BD6"/>
    <w:rsid w:val="00B77D3B"/>
    <w:rsid w:val="00B803A0"/>
    <w:rsid w:val="00B80545"/>
    <w:rsid w:val="00B806F0"/>
    <w:rsid w:val="00B809BB"/>
    <w:rsid w:val="00B81FA3"/>
    <w:rsid w:val="00B823E0"/>
    <w:rsid w:val="00B82686"/>
    <w:rsid w:val="00B82795"/>
    <w:rsid w:val="00B82DC1"/>
    <w:rsid w:val="00B82EB2"/>
    <w:rsid w:val="00B83B46"/>
    <w:rsid w:val="00B83B6A"/>
    <w:rsid w:val="00B83CCD"/>
    <w:rsid w:val="00B83E1F"/>
    <w:rsid w:val="00B84562"/>
    <w:rsid w:val="00B8502E"/>
    <w:rsid w:val="00B857E2"/>
    <w:rsid w:val="00B859E5"/>
    <w:rsid w:val="00B8600B"/>
    <w:rsid w:val="00B9004B"/>
    <w:rsid w:val="00B90ACD"/>
    <w:rsid w:val="00B90B27"/>
    <w:rsid w:val="00B90D6D"/>
    <w:rsid w:val="00B914B7"/>
    <w:rsid w:val="00B91718"/>
    <w:rsid w:val="00B91823"/>
    <w:rsid w:val="00B91C69"/>
    <w:rsid w:val="00B92562"/>
    <w:rsid w:val="00B93C31"/>
    <w:rsid w:val="00B96D96"/>
    <w:rsid w:val="00B97D0C"/>
    <w:rsid w:val="00BA0251"/>
    <w:rsid w:val="00BA0C5F"/>
    <w:rsid w:val="00BA0D40"/>
    <w:rsid w:val="00BA0F3B"/>
    <w:rsid w:val="00BA12B1"/>
    <w:rsid w:val="00BA180E"/>
    <w:rsid w:val="00BA18FA"/>
    <w:rsid w:val="00BA253D"/>
    <w:rsid w:val="00BA32C0"/>
    <w:rsid w:val="00BA3B19"/>
    <w:rsid w:val="00BA3F08"/>
    <w:rsid w:val="00BA4368"/>
    <w:rsid w:val="00BA48C7"/>
    <w:rsid w:val="00BA4C99"/>
    <w:rsid w:val="00BA6114"/>
    <w:rsid w:val="00BA640B"/>
    <w:rsid w:val="00BA7C46"/>
    <w:rsid w:val="00BB02BD"/>
    <w:rsid w:val="00BB06D4"/>
    <w:rsid w:val="00BB1406"/>
    <w:rsid w:val="00BB1951"/>
    <w:rsid w:val="00BB1D2D"/>
    <w:rsid w:val="00BB2099"/>
    <w:rsid w:val="00BB25ED"/>
    <w:rsid w:val="00BB2C15"/>
    <w:rsid w:val="00BB332C"/>
    <w:rsid w:val="00BB3B05"/>
    <w:rsid w:val="00BB4460"/>
    <w:rsid w:val="00BB4498"/>
    <w:rsid w:val="00BB4FBB"/>
    <w:rsid w:val="00BB5A65"/>
    <w:rsid w:val="00BB5BC5"/>
    <w:rsid w:val="00BB79BA"/>
    <w:rsid w:val="00BC2890"/>
    <w:rsid w:val="00BC2985"/>
    <w:rsid w:val="00BC2A48"/>
    <w:rsid w:val="00BC36AB"/>
    <w:rsid w:val="00BC38E7"/>
    <w:rsid w:val="00BC3F85"/>
    <w:rsid w:val="00BC4D16"/>
    <w:rsid w:val="00BC5072"/>
    <w:rsid w:val="00BC5400"/>
    <w:rsid w:val="00BC6262"/>
    <w:rsid w:val="00BC650B"/>
    <w:rsid w:val="00BC65B8"/>
    <w:rsid w:val="00BC6936"/>
    <w:rsid w:val="00BC6A1C"/>
    <w:rsid w:val="00BC7463"/>
    <w:rsid w:val="00BD04DF"/>
    <w:rsid w:val="00BD0F7F"/>
    <w:rsid w:val="00BD15C4"/>
    <w:rsid w:val="00BD1707"/>
    <w:rsid w:val="00BD1BC7"/>
    <w:rsid w:val="00BD22E2"/>
    <w:rsid w:val="00BD28A2"/>
    <w:rsid w:val="00BD3000"/>
    <w:rsid w:val="00BD32EC"/>
    <w:rsid w:val="00BD4187"/>
    <w:rsid w:val="00BD4BE8"/>
    <w:rsid w:val="00BD4EFF"/>
    <w:rsid w:val="00BD4FFC"/>
    <w:rsid w:val="00BD5957"/>
    <w:rsid w:val="00BD71C6"/>
    <w:rsid w:val="00BD71D3"/>
    <w:rsid w:val="00BD7AE5"/>
    <w:rsid w:val="00BD7D9C"/>
    <w:rsid w:val="00BE045C"/>
    <w:rsid w:val="00BE0720"/>
    <w:rsid w:val="00BE0E6D"/>
    <w:rsid w:val="00BE30E8"/>
    <w:rsid w:val="00BE4C5B"/>
    <w:rsid w:val="00BE6F5C"/>
    <w:rsid w:val="00BE774E"/>
    <w:rsid w:val="00BF059F"/>
    <w:rsid w:val="00BF086B"/>
    <w:rsid w:val="00BF102F"/>
    <w:rsid w:val="00BF128C"/>
    <w:rsid w:val="00BF152C"/>
    <w:rsid w:val="00BF1C04"/>
    <w:rsid w:val="00BF1E36"/>
    <w:rsid w:val="00BF2837"/>
    <w:rsid w:val="00BF2ECE"/>
    <w:rsid w:val="00BF2F7C"/>
    <w:rsid w:val="00BF3389"/>
    <w:rsid w:val="00BF3CEF"/>
    <w:rsid w:val="00BF4027"/>
    <w:rsid w:val="00BF415C"/>
    <w:rsid w:val="00BF4709"/>
    <w:rsid w:val="00BF4AFD"/>
    <w:rsid w:val="00BF4CE5"/>
    <w:rsid w:val="00BF609E"/>
    <w:rsid w:val="00BF62DA"/>
    <w:rsid w:val="00BF64FA"/>
    <w:rsid w:val="00BF6E79"/>
    <w:rsid w:val="00BF6F0B"/>
    <w:rsid w:val="00BF721C"/>
    <w:rsid w:val="00BF751D"/>
    <w:rsid w:val="00BF7C8B"/>
    <w:rsid w:val="00C00688"/>
    <w:rsid w:val="00C009B9"/>
    <w:rsid w:val="00C00D3D"/>
    <w:rsid w:val="00C00E7D"/>
    <w:rsid w:val="00C0183C"/>
    <w:rsid w:val="00C02F68"/>
    <w:rsid w:val="00C0360E"/>
    <w:rsid w:val="00C04A28"/>
    <w:rsid w:val="00C04DF1"/>
    <w:rsid w:val="00C04F5A"/>
    <w:rsid w:val="00C05759"/>
    <w:rsid w:val="00C058F5"/>
    <w:rsid w:val="00C06436"/>
    <w:rsid w:val="00C0675E"/>
    <w:rsid w:val="00C069F4"/>
    <w:rsid w:val="00C06AD1"/>
    <w:rsid w:val="00C06BE4"/>
    <w:rsid w:val="00C06C5D"/>
    <w:rsid w:val="00C079C2"/>
    <w:rsid w:val="00C07D55"/>
    <w:rsid w:val="00C12759"/>
    <w:rsid w:val="00C12ACD"/>
    <w:rsid w:val="00C12BBA"/>
    <w:rsid w:val="00C12CF0"/>
    <w:rsid w:val="00C138E5"/>
    <w:rsid w:val="00C14648"/>
    <w:rsid w:val="00C14DC9"/>
    <w:rsid w:val="00C15D32"/>
    <w:rsid w:val="00C1639C"/>
    <w:rsid w:val="00C16CF7"/>
    <w:rsid w:val="00C17050"/>
    <w:rsid w:val="00C17B3C"/>
    <w:rsid w:val="00C20EAD"/>
    <w:rsid w:val="00C21E44"/>
    <w:rsid w:val="00C21F88"/>
    <w:rsid w:val="00C222B5"/>
    <w:rsid w:val="00C224B8"/>
    <w:rsid w:val="00C237CF"/>
    <w:rsid w:val="00C24787"/>
    <w:rsid w:val="00C24DB0"/>
    <w:rsid w:val="00C2508E"/>
    <w:rsid w:val="00C25317"/>
    <w:rsid w:val="00C26C91"/>
    <w:rsid w:val="00C2701C"/>
    <w:rsid w:val="00C272BA"/>
    <w:rsid w:val="00C2765F"/>
    <w:rsid w:val="00C27A4D"/>
    <w:rsid w:val="00C27B0A"/>
    <w:rsid w:val="00C27DD3"/>
    <w:rsid w:val="00C3038E"/>
    <w:rsid w:val="00C30C2F"/>
    <w:rsid w:val="00C30E5B"/>
    <w:rsid w:val="00C314E1"/>
    <w:rsid w:val="00C32750"/>
    <w:rsid w:val="00C3298B"/>
    <w:rsid w:val="00C333BB"/>
    <w:rsid w:val="00C33F6F"/>
    <w:rsid w:val="00C34980"/>
    <w:rsid w:val="00C34A8A"/>
    <w:rsid w:val="00C34C0F"/>
    <w:rsid w:val="00C35A23"/>
    <w:rsid w:val="00C37ADD"/>
    <w:rsid w:val="00C37CDB"/>
    <w:rsid w:val="00C40507"/>
    <w:rsid w:val="00C40754"/>
    <w:rsid w:val="00C40AAE"/>
    <w:rsid w:val="00C416F1"/>
    <w:rsid w:val="00C420F8"/>
    <w:rsid w:val="00C42253"/>
    <w:rsid w:val="00C42D55"/>
    <w:rsid w:val="00C44053"/>
    <w:rsid w:val="00C44143"/>
    <w:rsid w:val="00C45EFA"/>
    <w:rsid w:val="00C469FD"/>
    <w:rsid w:val="00C46EF4"/>
    <w:rsid w:val="00C46FA8"/>
    <w:rsid w:val="00C47D75"/>
    <w:rsid w:val="00C50022"/>
    <w:rsid w:val="00C51DA9"/>
    <w:rsid w:val="00C51E37"/>
    <w:rsid w:val="00C531D2"/>
    <w:rsid w:val="00C55054"/>
    <w:rsid w:val="00C557A0"/>
    <w:rsid w:val="00C57CA1"/>
    <w:rsid w:val="00C57CDD"/>
    <w:rsid w:val="00C60037"/>
    <w:rsid w:val="00C60668"/>
    <w:rsid w:val="00C60B12"/>
    <w:rsid w:val="00C61750"/>
    <w:rsid w:val="00C6232C"/>
    <w:rsid w:val="00C62EBB"/>
    <w:rsid w:val="00C63275"/>
    <w:rsid w:val="00C633DB"/>
    <w:rsid w:val="00C63B02"/>
    <w:rsid w:val="00C642AF"/>
    <w:rsid w:val="00C64C3E"/>
    <w:rsid w:val="00C65729"/>
    <w:rsid w:val="00C66004"/>
    <w:rsid w:val="00C66501"/>
    <w:rsid w:val="00C66694"/>
    <w:rsid w:val="00C66A10"/>
    <w:rsid w:val="00C66F1E"/>
    <w:rsid w:val="00C705C9"/>
    <w:rsid w:val="00C70BE0"/>
    <w:rsid w:val="00C71211"/>
    <w:rsid w:val="00C71CF5"/>
    <w:rsid w:val="00C71DA7"/>
    <w:rsid w:val="00C72C5F"/>
    <w:rsid w:val="00C73330"/>
    <w:rsid w:val="00C73A61"/>
    <w:rsid w:val="00C73D1E"/>
    <w:rsid w:val="00C7421A"/>
    <w:rsid w:val="00C7480A"/>
    <w:rsid w:val="00C75790"/>
    <w:rsid w:val="00C77E63"/>
    <w:rsid w:val="00C804C4"/>
    <w:rsid w:val="00C805E1"/>
    <w:rsid w:val="00C80616"/>
    <w:rsid w:val="00C80A91"/>
    <w:rsid w:val="00C814BD"/>
    <w:rsid w:val="00C82013"/>
    <w:rsid w:val="00C82A9A"/>
    <w:rsid w:val="00C84746"/>
    <w:rsid w:val="00C847B6"/>
    <w:rsid w:val="00C84F4E"/>
    <w:rsid w:val="00C8539E"/>
    <w:rsid w:val="00C85822"/>
    <w:rsid w:val="00C8620A"/>
    <w:rsid w:val="00C8676D"/>
    <w:rsid w:val="00C86849"/>
    <w:rsid w:val="00C87CFE"/>
    <w:rsid w:val="00C87F60"/>
    <w:rsid w:val="00C90D7C"/>
    <w:rsid w:val="00C9106A"/>
    <w:rsid w:val="00C912CF"/>
    <w:rsid w:val="00C917D6"/>
    <w:rsid w:val="00C9180B"/>
    <w:rsid w:val="00C91E5F"/>
    <w:rsid w:val="00C9407F"/>
    <w:rsid w:val="00C942E5"/>
    <w:rsid w:val="00C9437F"/>
    <w:rsid w:val="00C94731"/>
    <w:rsid w:val="00C94809"/>
    <w:rsid w:val="00C94D43"/>
    <w:rsid w:val="00C95EBC"/>
    <w:rsid w:val="00C96261"/>
    <w:rsid w:val="00C96351"/>
    <w:rsid w:val="00C9640C"/>
    <w:rsid w:val="00C96DCC"/>
    <w:rsid w:val="00C96EF1"/>
    <w:rsid w:val="00C977CD"/>
    <w:rsid w:val="00C97E0F"/>
    <w:rsid w:val="00CA085D"/>
    <w:rsid w:val="00CA0D3D"/>
    <w:rsid w:val="00CA1148"/>
    <w:rsid w:val="00CA1716"/>
    <w:rsid w:val="00CA2DB7"/>
    <w:rsid w:val="00CA2FAF"/>
    <w:rsid w:val="00CA3FD8"/>
    <w:rsid w:val="00CA431E"/>
    <w:rsid w:val="00CA4612"/>
    <w:rsid w:val="00CA4B77"/>
    <w:rsid w:val="00CA555B"/>
    <w:rsid w:val="00CA5794"/>
    <w:rsid w:val="00CA5ADA"/>
    <w:rsid w:val="00CA71C1"/>
    <w:rsid w:val="00CA7768"/>
    <w:rsid w:val="00CA7869"/>
    <w:rsid w:val="00CA79BB"/>
    <w:rsid w:val="00CA7BD2"/>
    <w:rsid w:val="00CB01F5"/>
    <w:rsid w:val="00CB0395"/>
    <w:rsid w:val="00CB07DD"/>
    <w:rsid w:val="00CB0DD6"/>
    <w:rsid w:val="00CB1A08"/>
    <w:rsid w:val="00CB22B0"/>
    <w:rsid w:val="00CB2331"/>
    <w:rsid w:val="00CB246D"/>
    <w:rsid w:val="00CB2AF2"/>
    <w:rsid w:val="00CB36AF"/>
    <w:rsid w:val="00CB376C"/>
    <w:rsid w:val="00CB38C8"/>
    <w:rsid w:val="00CB44DF"/>
    <w:rsid w:val="00CB48D9"/>
    <w:rsid w:val="00CB4FA3"/>
    <w:rsid w:val="00CB5856"/>
    <w:rsid w:val="00CB5981"/>
    <w:rsid w:val="00CB632D"/>
    <w:rsid w:val="00CB746E"/>
    <w:rsid w:val="00CB7831"/>
    <w:rsid w:val="00CB7E04"/>
    <w:rsid w:val="00CC02C9"/>
    <w:rsid w:val="00CC17F2"/>
    <w:rsid w:val="00CC24C5"/>
    <w:rsid w:val="00CC3E2D"/>
    <w:rsid w:val="00CC42E2"/>
    <w:rsid w:val="00CC4F83"/>
    <w:rsid w:val="00CC54F0"/>
    <w:rsid w:val="00CC633A"/>
    <w:rsid w:val="00CC6B12"/>
    <w:rsid w:val="00CC7E03"/>
    <w:rsid w:val="00CD1695"/>
    <w:rsid w:val="00CD19B0"/>
    <w:rsid w:val="00CD1ACA"/>
    <w:rsid w:val="00CD2195"/>
    <w:rsid w:val="00CD21A9"/>
    <w:rsid w:val="00CD22BE"/>
    <w:rsid w:val="00CD22FB"/>
    <w:rsid w:val="00CD2EC3"/>
    <w:rsid w:val="00CD37A1"/>
    <w:rsid w:val="00CD43E3"/>
    <w:rsid w:val="00CD46BE"/>
    <w:rsid w:val="00CD4C89"/>
    <w:rsid w:val="00CD4F22"/>
    <w:rsid w:val="00CD548A"/>
    <w:rsid w:val="00CD63D4"/>
    <w:rsid w:val="00CD6588"/>
    <w:rsid w:val="00CD77C1"/>
    <w:rsid w:val="00CD7CEC"/>
    <w:rsid w:val="00CD7F53"/>
    <w:rsid w:val="00CE090C"/>
    <w:rsid w:val="00CE2646"/>
    <w:rsid w:val="00CE3CEF"/>
    <w:rsid w:val="00CE4B94"/>
    <w:rsid w:val="00CE61B1"/>
    <w:rsid w:val="00CE6ED0"/>
    <w:rsid w:val="00CE6FDA"/>
    <w:rsid w:val="00CE7C42"/>
    <w:rsid w:val="00CF055C"/>
    <w:rsid w:val="00CF07CF"/>
    <w:rsid w:val="00CF1517"/>
    <w:rsid w:val="00CF1E2D"/>
    <w:rsid w:val="00CF1FCA"/>
    <w:rsid w:val="00CF212D"/>
    <w:rsid w:val="00CF2EEB"/>
    <w:rsid w:val="00CF3199"/>
    <w:rsid w:val="00CF577C"/>
    <w:rsid w:val="00CF799E"/>
    <w:rsid w:val="00CF79AC"/>
    <w:rsid w:val="00D00142"/>
    <w:rsid w:val="00D006CB"/>
    <w:rsid w:val="00D00E7F"/>
    <w:rsid w:val="00D01C22"/>
    <w:rsid w:val="00D029F7"/>
    <w:rsid w:val="00D02A12"/>
    <w:rsid w:val="00D02A3E"/>
    <w:rsid w:val="00D030B5"/>
    <w:rsid w:val="00D03771"/>
    <w:rsid w:val="00D03E14"/>
    <w:rsid w:val="00D04120"/>
    <w:rsid w:val="00D04D4B"/>
    <w:rsid w:val="00D04D75"/>
    <w:rsid w:val="00D04E9C"/>
    <w:rsid w:val="00D0527D"/>
    <w:rsid w:val="00D0586B"/>
    <w:rsid w:val="00D0671D"/>
    <w:rsid w:val="00D06E59"/>
    <w:rsid w:val="00D104C4"/>
    <w:rsid w:val="00D10A36"/>
    <w:rsid w:val="00D10F12"/>
    <w:rsid w:val="00D11224"/>
    <w:rsid w:val="00D112F9"/>
    <w:rsid w:val="00D11564"/>
    <w:rsid w:val="00D117DE"/>
    <w:rsid w:val="00D11C3F"/>
    <w:rsid w:val="00D120D2"/>
    <w:rsid w:val="00D136CA"/>
    <w:rsid w:val="00D13CA2"/>
    <w:rsid w:val="00D143FF"/>
    <w:rsid w:val="00D155B9"/>
    <w:rsid w:val="00D163DE"/>
    <w:rsid w:val="00D171B1"/>
    <w:rsid w:val="00D2006D"/>
    <w:rsid w:val="00D20816"/>
    <w:rsid w:val="00D21849"/>
    <w:rsid w:val="00D2246D"/>
    <w:rsid w:val="00D224DB"/>
    <w:rsid w:val="00D23A49"/>
    <w:rsid w:val="00D23AC7"/>
    <w:rsid w:val="00D23C4A"/>
    <w:rsid w:val="00D24C90"/>
    <w:rsid w:val="00D25A28"/>
    <w:rsid w:val="00D264BA"/>
    <w:rsid w:val="00D269A3"/>
    <w:rsid w:val="00D26A49"/>
    <w:rsid w:val="00D279C4"/>
    <w:rsid w:val="00D30535"/>
    <w:rsid w:val="00D30DB9"/>
    <w:rsid w:val="00D310CC"/>
    <w:rsid w:val="00D316EF"/>
    <w:rsid w:val="00D31B62"/>
    <w:rsid w:val="00D3378D"/>
    <w:rsid w:val="00D33804"/>
    <w:rsid w:val="00D338C4"/>
    <w:rsid w:val="00D344DC"/>
    <w:rsid w:val="00D348AF"/>
    <w:rsid w:val="00D34903"/>
    <w:rsid w:val="00D34A6A"/>
    <w:rsid w:val="00D34B37"/>
    <w:rsid w:val="00D357E1"/>
    <w:rsid w:val="00D3608C"/>
    <w:rsid w:val="00D36B87"/>
    <w:rsid w:val="00D3769B"/>
    <w:rsid w:val="00D41164"/>
    <w:rsid w:val="00D413BF"/>
    <w:rsid w:val="00D426F0"/>
    <w:rsid w:val="00D42961"/>
    <w:rsid w:val="00D43BA3"/>
    <w:rsid w:val="00D443C6"/>
    <w:rsid w:val="00D4506D"/>
    <w:rsid w:val="00D45D47"/>
    <w:rsid w:val="00D46021"/>
    <w:rsid w:val="00D4631C"/>
    <w:rsid w:val="00D46782"/>
    <w:rsid w:val="00D46DDB"/>
    <w:rsid w:val="00D50345"/>
    <w:rsid w:val="00D51A69"/>
    <w:rsid w:val="00D52C44"/>
    <w:rsid w:val="00D52C7D"/>
    <w:rsid w:val="00D53833"/>
    <w:rsid w:val="00D53879"/>
    <w:rsid w:val="00D53F56"/>
    <w:rsid w:val="00D55B95"/>
    <w:rsid w:val="00D5633E"/>
    <w:rsid w:val="00D56D54"/>
    <w:rsid w:val="00D57431"/>
    <w:rsid w:val="00D57CFC"/>
    <w:rsid w:val="00D57EC8"/>
    <w:rsid w:val="00D60176"/>
    <w:rsid w:val="00D60E16"/>
    <w:rsid w:val="00D60EA1"/>
    <w:rsid w:val="00D6102B"/>
    <w:rsid w:val="00D61877"/>
    <w:rsid w:val="00D61DF8"/>
    <w:rsid w:val="00D62C9B"/>
    <w:rsid w:val="00D635A5"/>
    <w:rsid w:val="00D63D48"/>
    <w:rsid w:val="00D63E48"/>
    <w:rsid w:val="00D64573"/>
    <w:rsid w:val="00D646AC"/>
    <w:rsid w:val="00D6556E"/>
    <w:rsid w:val="00D65B26"/>
    <w:rsid w:val="00D66C92"/>
    <w:rsid w:val="00D67988"/>
    <w:rsid w:val="00D7005B"/>
    <w:rsid w:val="00D703C0"/>
    <w:rsid w:val="00D70E57"/>
    <w:rsid w:val="00D712AA"/>
    <w:rsid w:val="00D7208E"/>
    <w:rsid w:val="00D726B0"/>
    <w:rsid w:val="00D72DF4"/>
    <w:rsid w:val="00D73546"/>
    <w:rsid w:val="00D74095"/>
    <w:rsid w:val="00D75504"/>
    <w:rsid w:val="00D76D26"/>
    <w:rsid w:val="00D77180"/>
    <w:rsid w:val="00D80294"/>
    <w:rsid w:val="00D80C78"/>
    <w:rsid w:val="00D813C0"/>
    <w:rsid w:val="00D82238"/>
    <w:rsid w:val="00D822D9"/>
    <w:rsid w:val="00D82656"/>
    <w:rsid w:val="00D82B14"/>
    <w:rsid w:val="00D82FFB"/>
    <w:rsid w:val="00D8308E"/>
    <w:rsid w:val="00D835C6"/>
    <w:rsid w:val="00D83CBE"/>
    <w:rsid w:val="00D8756C"/>
    <w:rsid w:val="00D87ED0"/>
    <w:rsid w:val="00D87EDA"/>
    <w:rsid w:val="00D91153"/>
    <w:rsid w:val="00D911F5"/>
    <w:rsid w:val="00D91A8A"/>
    <w:rsid w:val="00D92474"/>
    <w:rsid w:val="00D934EB"/>
    <w:rsid w:val="00D951A7"/>
    <w:rsid w:val="00D95251"/>
    <w:rsid w:val="00D95999"/>
    <w:rsid w:val="00D95DE8"/>
    <w:rsid w:val="00D96572"/>
    <w:rsid w:val="00D977FE"/>
    <w:rsid w:val="00D97A73"/>
    <w:rsid w:val="00DA0FBE"/>
    <w:rsid w:val="00DA1E17"/>
    <w:rsid w:val="00DA1F6A"/>
    <w:rsid w:val="00DA3B44"/>
    <w:rsid w:val="00DA4081"/>
    <w:rsid w:val="00DA40D2"/>
    <w:rsid w:val="00DA4248"/>
    <w:rsid w:val="00DA44A6"/>
    <w:rsid w:val="00DA4F9C"/>
    <w:rsid w:val="00DA5348"/>
    <w:rsid w:val="00DA5B32"/>
    <w:rsid w:val="00DA5DCF"/>
    <w:rsid w:val="00DA74A5"/>
    <w:rsid w:val="00DA78C5"/>
    <w:rsid w:val="00DA7B16"/>
    <w:rsid w:val="00DB08A7"/>
    <w:rsid w:val="00DB0B36"/>
    <w:rsid w:val="00DB1045"/>
    <w:rsid w:val="00DB1B66"/>
    <w:rsid w:val="00DB252F"/>
    <w:rsid w:val="00DB3247"/>
    <w:rsid w:val="00DB3F88"/>
    <w:rsid w:val="00DB437C"/>
    <w:rsid w:val="00DB48C1"/>
    <w:rsid w:val="00DB5C4A"/>
    <w:rsid w:val="00DB6706"/>
    <w:rsid w:val="00DB73C1"/>
    <w:rsid w:val="00DC04A1"/>
    <w:rsid w:val="00DC07EE"/>
    <w:rsid w:val="00DC0AF3"/>
    <w:rsid w:val="00DC14C0"/>
    <w:rsid w:val="00DC2D12"/>
    <w:rsid w:val="00DC3062"/>
    <w:rsid w:val="00DC4B0E"/>
    <w:rsid w:val="00DC4BB9"/>
    <w:rsid w:val="00DC632C"/>
    <w:rsid w:val="00DC664D"/>
    <w:rsid w:val="00DC6E98"/>
    <w:rsid w:val="00DC7422"/>
    <w:rsid w:val="00DC7994"/>
    <w:rsid w:val="00DD051D"/>
    <w:rsid w:val="00DD1A8D"/>
    <w:rsid w:val="00DD2977"/>
    <w:rsid w:val="00DD2BF3"/>
    <w:rsid w:val="00DD31AF"/>
    <w:rsid w:val="00DD3C7E"/>
    <w:rsid w:val="00DD3D6C"/>
    <w:rsid w:val="00DD4191"/>
    <w:rsid w:val="00DD43D0"/>
    <w:rsid w:val="00DD4B1C"/>
    <w:rsid w:val="00DD5C9B"/>
    <w:rsid w:val="00DD6129"/>
    <w:rsid w:val="00DD6C59"/>
    <w:rsid w:val="00DD7323"/>
    <w:rsid w:val="00DD73F9"/>
    <w:rsid w:val="00DD75B5"/>
    <w:rsid w:val="00DD7D4A"/>
    <w:rsid w:val="00DE12E0"/>
    <w:rsid w:val="00DE27B2"/>
    <w:rsid w:val="00DE27E0"/>
    <w:rsid w:val="00DE3181"/>
    <w:rsid w:val="00DE36C4"/>
    <w:rsid w:val="00DE48F0"/>
    <w:rsid w:val="00DE4A21"/>
    <w:rsid w:val="00DE4C1E"/>
    <w:rsid w:val="00DE5116"/>
    <w:rsid w:val="00DE6F1C"/>
    <w:rsid w:val="00DF011F"/>
    <w:rsid w:val="00DF0979"/>
    <w:rsid w:val="00DF0C5D"/>
    <w:rsid w:val="00DF1169"/>
    <w:rsid w:val="00DF16FD"/>
    <w:rsid w:val="00DF315E"/>
    <w:rsid w:val="00DF398E"/>
    <w:rsid w:val="00DF60DB"/>
    <w:rsid w:val="00DF6661"/>
    <w:rsid w:val="00DF66B7"/>
    <w:rsid w:val="00DF71C5"/>
    <w:rsid w:val="00DF7487"/>
    <w:rsid w:val="00DF79C7"/>
    <w:rsid w:val="00DF7F86"/>
    <w:rsid w:val="00E00174"/>
    <w:rsid w:val="00E0021C"/>
    <w:rsid w:val="00E003C3"/>
    <w:rsid w:val="00E00559"/>
    <w:rsid w:val="00E01AD1"/>
    <w:rsid w:val="00E01B01"/>
    <w:rsid w:val="00E01B20"/>
    <w:rsid w:val="00E01E37"/>
    <w:rsid w:val="00E0200A"/>
    <w:rsid w:val="00E021DF"/>
    <w:rsid w:val="00E03156"/>
    <w:rsid w:val="00E03376"/>
    <w:rsid w:val="00E04579"/>
    <w:rsid w:val="00E0563A"/>
    <w:rsid w:val="00E05949"/>
    <w:rsid w:val="00E06C12"/>
    <w:rsid w:val="00E06C8B"/>
    <w:rsid w:val="00E077DA"/>
    <w:rsid w:val="00E07DCD"/>
    <w:rsid w:val="00E11062"/>
    <w:rsid w:val="00E11B6F"/>
    <w:rsid w:val="00E128F1"/>
    <w:rsid w:val="00E12B8B"/>
    <w:rsid w:val="00E12C53"/>
    <w:rsid w:val="00E12E80"/>
    <w:rsid w:val="00E131AB"/>
    <w:rsid w:val="00E14022"/>
    <w:rsid w:val="00E159D0"/>
    <w:rsid w:val="00E15B91"/>
    <w:rsid w:val="00E16463"/>
    <w:rsid w:val="00E1649C"/>
    <w:rsid w:val="00E16CBD"/>
    <w:rsid w:val="00E16E7A"/>
    <w:rsid w:val="00E16F77"/>
    <w:rsid w:val="00E17251"/>
    <w:rsid w:val="00E17C0D"/>
    <w:rsid w:val="00E202C8"/>
    <w:rsid w:val="00E20F03"/>
    <w:rsid w:val="00E215A5"/>
    <w:rsid w:val="00E21D90"/>
    <w:rsid w:val="00E2233D"/>
    <w:rsid w:val="00E23063"/>
    <w:rsid w:val="00E24193"/>
    <w:rsid w:val="00E242BF"/>
    <w:rsid w:val="00E244BB"/>
    <w:rsid w:val="00E24694"/>
    <w:rsid w:val="00E24EE6"/>
    <w:rsid w:val="00E24F7A"/>
    <w:rsid w:val="00E24F9B"/>
    <w:rsid w:val="00E25A4E"/>
    <w:rsid w:val="00E26F4B"/>
    <w:rsid w:val="00E27211"/>
    <w:rsid w:val="00E27266"/>
    <w:rsid w:val="00E27F63"/>
    <w:rsid w:val="00E300D8"/>
    <w:rsid w:val="00E3161E"/>
    <w:rsid w:val="00E3198C"/>
    <w:rsid w:val="00E31A5D"/>
    <w:rsid w:val="00E31B5B"/>
    <w:rsid w:val="00E32555"/>
    <w:rsid w:val="00E32F0E"/>
    <w:rsid w:val="00E33101"/>
    <w:rsid w:val="00E34879"/>
    <w:rsid w:val="00E34970"/>
    <w:rsid w:val="00E35E25"/>
    <w:rsid w:val="00E3684C"/>
    <w:rsid w:val="00E36A5F"/>
    <w:rsid w:val="00E36DFA"/>
    <w:rsid w:val="00E370D9"/>
    <w:rsid w:val="00E377D4"/>
    <w:rsid w:val="00E378A3"/>
    <w:rsid w:val="00E37B6F"/>
    <w:rsid w:val="00E40529"/>
    <w:rsid w:val="00E41385"/>
    <w:rsid w:val="00E41A00"/>
    <w:rsid w:val="00E420D7"/>
    <w:rsid w:val="00E42452"/>
    <w:rsid w:val="00E43464"/>
    <w:rsid w:val="00E43851"/>
    <w:rsid w:val="00E43C9C"/>
    <w:rsid w:val="00E43E4C"/>
    <w:rsid w:val="00E44345"/>
    <w:rsid w:val="00E445F9"/>
    <w:rsid w:val="00E4510A"/>
    <w:rsid w:val="00E45C6C"/>
    <w:rsid w:val="00E479D0"/>
    <w:rsid w:val="00E5093E"/>
    <w:rsid w:val="00E509B8"/>
    <w:rsid w:val="00E50FCA"/>
    <w:rsid w:val="00E5108F"/>
    <w:rsid w:val="00E52AE5"/>
    <w:rsid w:val="00E52AE6"/>
    <w:rsid w:val="00E539C6"/>
    <w:rsid w:val="00E53B6B"/>
    <w:rsid w:val="00E5433A"/>
    <w:rsid w:val="00E549A5"/>
    <w:rsid w:val="00E5573A"/>
    <w:rsid w:val="00E56D76"/>
    <w:rsid w:val="00E578F3"/>
    <w:rsid w:val="00E5793A"/>
    <w:rsid w:val="00E57F7F"/>
    <w:rsid w:val="00E60066"/>
    <w:rsid w:val="00E6017B"/>
    <w:rsid w:val="00E608E4"/>
    <w:rsid w:val="00E62336"/>
    <w:rsid w:val="00E62969"/>
    <w:rsid w:val="00E62B60"/>
    <w:rsid w:val="00E63126"/>
    <w:rsid w:val="00E63872"/>
    <w:rsid w:val="00E63A3F"/>
    <w:rsid w:val="00E63B91"/>
    <w:rsid w:val="00E643EA"/>
    <w:rsid w:val="00E647A2"/>
    <w:rsid w:val="00E67660"/>
    <w:rsid w:val="00E67899"/>
    <w:rsid w:val="00E678C1"/>
    <w:rsid w:val="00E70D73"/>
    <w:rsid w:val="00E71E76"/>
    <w:rsid w:val="00E72836"/>
    <w:rsid w:val="00E72D55"/>
    <w:rsid w:val="00E73F3A"/>
    <w:rsid w:val="00E73F84"/>
    <w:rsid w:val="00E7412A"/>
    <w:rsid w:val="00E74E10"/>
    <w:rsid w:val="00E7672A"/>
    <w:rsid w:val="00E77A4E"/>
    <w:rsid w:val="00E80083"/>
    <w:rsid w:val="00E80197"/>
    <w:rsid w:val="00E812FD"/>
    <w:rsid w:val="00E818CE"/>
    <w:rsid w:val="00E81A0E"/>
    <w:rsid w:val="00E81BF5"/>
    <w:rsid w:val="00E824EA"/>
    <w:rsid w:val="00E82635"/>
    <w:rsid w:val="00E836AD"/>
    <w:rsid w:val="00E841BB"/>
    <w:rsid w:val="00E846DD"/>
    <w:rsid w:val="00E8481B"/>
    <w:rsid w:val="00E8494C"/>
    <w:rsid w:val="00E86634"/>
    <w:rsid w:val="00E866A0"/>
    <w:rsid w:val="00E873F1"/>
    <w:rsid w:val="00E87E10"/>
    <w:rsid w:val="00E90445"/>
    <w:rsid w:val="00E906B1"/>
    <w:rsid w:val="00E90F32"/>
    <w:rsid w:val="00E914AC"/>
    <w:rsid w:val="00E91602"/>
    <w:rsid w:val="00E91F3D"/>
    <w:rsid w:val="00E93657"/>
    <w:rsid w:val="00E936AE"/>
    <w:rsid w:val="00E95361"/>
    <w:rsid w:val="00E955B6"/>
    <w:rsid w:val="00E9588C"/>
    <w:rsid w:val="00E95C36"/>
    <w:rsid w:val="00E97BFF"/>
    <w:rsid w:val="00E97EAD"/>
    <w:rsid w:val="00EA069B"/>
    <w:rsid w:val="00EA1408"/>
    <w:rsid w:val="00EA1E26"/>
    <w:rsid w:val="00EA20AC"/>
    <w:rsid w:val="00EA3A17"/>
    <w:rsid w:val="00EA61C3"/>
    <w:rsid w:val="00EA66A2"/>
    <w:rsid w:val="00EA767C"/>
    <w:rsid w:val="00EA7D98"/>
    <w:rsid w:val="00EB054E"/>
    <w:rsid w:val="00EB0BAF"/>
    <w:rsid w:val="00EB0CE0"/>
    <w:rsid w:val="00EB10ED"/>
    <w:rsid w:val="00EB199A"/>
    <w:rsid w:val="00EB31FC"/>
    <w:rsid w:val="00EB324B"/>
    <w:rsid w:val="00EB3384"/>
    <w:rsid w:val="00EB35F9"/>
    <w:rsid w:val="00EB3FB5"/>
    <w:rsid w:val="00EB4371"/>
    <w:rsid w:val="00EB4A88"/>
    <w:rsid w:val="00EB4E9B"/>
    <w:rsid w:val="00EB5760"/>
    <w:rsid w:val="00EB66B9"/>
    <w:rsid w:val="00EB6E6F"/>
    <w:rsid w:val="00EB7020"/>
    <w:rsid w:val="00EC06D6"/>
    <w:rsid w:val="00EC0ADF"/>
    <w:rsid w:val="00EC1298"/>
    <w:rsid w:val="00EC1506"/>
    <w:rsid w:val="00EC15AD"/>
    <w:rsid w:val="00EC1827"/>
    <w:rsid w:val="00EC1A5F"/>
    <w:rsid w:val="00EC1B9A"/>
    <w:rsid w:val="00EC27C9"/>
    <w:rsid w:val="00EC2C07"/>
    <w:rsid w:val="00EC2FCE"/>
    <w:rsid w:val="00EC3432"/>
    <w:rsid w:val="00EC3492"/>
    <w:rsid w:val="00EC34E5"/>
    <w:rsid w:val="00EC366F"/>
    <w:rsid w:val="00EC3D52"/>
    <w:rsid w:val="00EC410B"/>
    <w:rsid w:val="00EC4D33"/>
    <w:rsid w:val="00EC585E"/>
    <w:rsid w:val="00EC63FA"/>
    <w:rsid w:val="00EC65D1"/>
    <w:rsid w:val="00EC67BB"/>
    <w:rsid w:val="00EC7C91"/>
    <w:rsid w:val="00ED0773"/>
    <w:rsid w:val="00ED1B04"/>
    <w:rsid w:val="00ED329E"/>
    <w:rsid w:val="00ED32ED"/>
    <w:rsid w:val="00ED3D36"/>
    <w:rsid w:val="00ED4F77"/>
    <w:rsid w:val="00ED5182"/>
    <w:rsid w:val="00ED53A5"/>
    <w:rsid w:val="00ED5D59"/>
    <w:rsid w:val="00ED6A4E"/>
    <w:rsid w:val="00ED78B2"/>
    <w:rsid w:val="00ED7CC1"/>
    <w:rsid w:val="00EE03E3"/>
    <w:rsid w:val="00EE04E8"/>
    <w:rsid w:val="00EE0693"/>
    <w:rsid w:val="00EE0DC0"/>
    <w:rsid w:val="00EE1AFC"/>
    <w:rsid w:val="00EE1EEA"/>
    <w:rsid w:val="00EE287F"/>
    <w:rsid w:val="00EE2A19"/>
    <w:rsid w:val="00EE3206"/>
    <w:rsid w:val="00EE3D63"/>
    <w:rsid w:val="00EE46FD"/>
    <w:rsid w:val="00EE5F00"/>
    <w:rsid w:val="00EE630F"/>
    <w:rsid w:val="00EE63EF"/>
    <w:rsid w:val="00EE669D"/>
    <w:rsid w:val="00EE67F0"/>
    <w:rsid w:val="00EE6CCF"/>
    <w:rsid w:val="00EE6F6E"/>
    <w:rsid w:val="00EE7060"/>
    <w:rsid w:val="00EF02AD"/>
    <w:rsid w:val="00EF02F2"/>
    <w:rsid w:val="00EF06DC"/>
    <w:rsid w:val="00EF0A89"/>
    <w:rsid w:val="00EF0A96"/>
    <w:rsid w:val="00EF11D0"/>
    <w:rsid w:val="00EF2BB0"/>
    <w:rsid w:val="00EF3552"/>
    <w:rsid w:val="00EF359C"/>
    <w:rsid w:val="00EF5089"/>
    <w:rsid w:val="00EF5458"/>
    <w:rsid w:val="00EF5518"/>
    <w:rsid w:val="00EF57F0"/>
    <w:rsid w:val="00EF58C9"/>
    <w:rsid w:val="00EF5DB1"/>
    <w:rsid w:val="00EF6E20"/>
    <w:rsid w:val="00EF701F"/>
    <w:rsid w:val="00F012FA"/>
    <w:rsid w:val="00F0159B"/>
    <w:rsid w:val="00F02555"/>
    <w:rsid w:val="00F03172"/>
    <w:rsid w:val="00F034E7"/>
    <w:rsid w:val="00F03686"/>
    <w:rsid w:val="00F040F9"/>
    <w:rsid w:val="00F05173"/>
    <w:rsid w:val="00F060FA"/>
    <w:rsid w:val="00F06AD3"/>
    <w:rsid w:val="00F0767D"/>
    <w:rsid w:val="00F07FEC"/>
    <w:rsid w:val="00F1001F"/>
    <w:rsid w:val="00F1049E"/>
    <w:rsid w:val="00F10541"/>
    <w:rsid w:val="00F107C2"/>
    <w:rsid w:val="00F118A5"/>
    <w:rsid w:val="00F12327"/>
    <w:rsid w:val="00F12E32"/>
    <w:rsid w:val="00F1345D"/>
    <w:rsid w:val="00F13C90"/>
    <w:rsid w:val="00F1446F"/>
    <w:rsid w:val="00F145F5"/>
    <w:rsid w:val="00F158B9"/>
    <w:rsid w:val="00F166E4"/>
    <w:rsid w:val="00F16AA3"/>
    <w:rsid w:val="00F17804"/>
    <w:rsid w:val="00F206C6"/>
    <w:rsid w:val="00F2097A"/>
    <w:rsid w:val="00F20C0F"/>
    <w:rsid w:val="00F20C1A"/>
    <w:rsid w:val="00F218B1"/>
    <w:rsid w:val="00F218BF"/>
    <w:rsid w:val="00F21DFB"/>
    <w:rsid w:val="00F228CC"/>
    <w:rsid w:val="00F22917"/>
    <w:rsid w:val="00F23204"/>
    <w:rsid w:val="00F246A0"/>
    <w:rsid w:val="00F24F9B"/>
    <w:rsid w:val="00F252A7"/>
    <w:rsid w:val="00F25F72"/>
    <w:rsid w:val="00F2728C"/>
    <w:rsid w:val="00F276D7"/>
    <w:rsid w:val="00F300C3"/>
    <w:rsid w:val="00F302B7"/>
    <w:rsid w:val="00F302C0"/>
    <w:rsid w:val="00F305EE"/>
    <w:rsid w:val="00F31FCD"/>
    <w:rsid w:val="00F32065"/>
    <w:rsid w:val="00F32BC1"/>
    <w:rsid w:val="00F32E7C"/>
    <w:rsid w:val="00F332CA"/>
    <w:rsid w:val="00F340A3"/>
    <w:rsid w:val="00F3497B"/>
    <w:rsid w:val="00F3518E"/>
    <w:rsid w:val="00F35801"/>
    <w:rsid w:val="00F35E4D"/>
    <w:rsid w:val="00F3608E"/>
    <w:rsid w:val="00F36286"/>
    <w:rsid w:val="00F40484"/>
    <w:rsid w:val="00F405F2"/>
    <w:rsid w:val="00F41572"/>
    <w:rsid w:val="00F4164D"/>
    <w:rsid w:val="00F42D18"/>
    <w:rsid w:val="00F43459"/>
    <w:rsid w:val="00F435DA"/>
    <w:rsid w:val="00F43CBE"/>
    <w:rsid w:val="00F4477D"/>
    <w:rsid w:val="00F44B05"/>
    <w:rsid w:val="00F44B0B"/>
    <w:rsid w:val="00F44EF2"/>
    <w:rsid w:val="00F476B8"/>
    <w:rsid w:val="00F503F3"/>
    <w:rsid w:val="00F504B1"/>
    <w:rsid w:val="00F5085A"/>
    <w:rsid w:val="00F50DD0"/>
    <w:rsid w:val="00F52576"/>
    <w:rsid w:val="00F526EA"/>
    <w:rsid w:val="00F538D3"/>
    <w:rsid w:val="00F5449F"/>
    <w:rsid w:val="00F54616"/>
    <w:rsid w:val="00F54965"/>
    <w:rsid w:val="00F54E59"/>
    <w:rsid w:val="00F557BE"/>
    <w:rsid w:val="00F557C4"/>
    <w:rsid w:val="00F56C1D"/>
    <w:rsid w:val="00F57F4C"/>
    <w:rsid w:val="00F600CD"/>
    <w:rsid w:val="00F608B2"/>
    <w:rsid w:val="00F60D06"/>
    <w:rsid w:val="00F611A9"/>
    <w:rsid w:val="00F61A2B"/>
    <w:rsid w:val="00F6327D"/>
    <w:rsid w:val="00F64F59"/>
    <w:rsid w:val="00F652F5"/>
    <w:rsid w:val="00F654ED"/>
    <w:rsid w:val="00F65637"/>
    <w:rsid w:val="00F65A71"/>
    <w:rsid w:val="00F67339"/>
    <w:rsid w:val="00F67485"/>
    <w:rsid w:val="00F67538"/>
    <w:rsid w:val="00F67AC6"/>
    <w:rsid w:val="00F67B19"/>
    <w:rsid w:val="00F70F47"/>
    <w:rsid w:val="00F71055"/>
    <w:rsid w:val="00F71BDB"/>
    <w:rsid w:val="00F71EA0"/>
    <w:rsid w:val="00F72015"/>
    <w:rsid w:val="00F72023"/>
    <w:rsid w:val="00F72081"/>
    <w:rsid w:val="00F72174"/>
    <w:rsid w:val="00F72414"/>
    <w:rsid w:val="00F728CC"/>
    <w:rsid w:val="00F72BB4"/>
    <w:rsid w:val="00F7319B"/>
    <w:rsid w:val="00F738DC"/>
    <w:rsid w:val="00F73C39"/>
    <w:rsid w:val="00F74231"/>
    <w:rsid w:val="00F754AB"/>
    <w:rsid w:val="00F7585D"/>
    <w:rsid w:val="00F75C61"/>
    <w:rsid w:val="00F761EC"/>
    <w:rsid w:val="00F76C6F"/>
    <w:rsid w:val="00F805BC"/>
    <w:rsid w:val="00F80782"/>
    <w:rsid w:val="00F80C0D"/>
    <w:rsid w:val="00F81185"/>
    <w:rsid w:val="00F8217A"/>
    <w:rsid w:val="00F821FE"/>
    <w:rsid w:val="00F82257"/>
    <w:rsid w:val="00F82584"/>
    <w:rsid w:val="00F82624"/>
    <w:rsid w:val="00F834DD"/>
    <w:rsid w:val="00F840A5"/>
    <w:rsid w:val="00F846E4"/>
    <w:rsid w:val="00F867E4"/>
    <w:rsid w:val="00F86B42"/>
    <w:rsid w:val="00F87548"/>
    <w:rsid w:val="00F87894"/>
    <w:rsid w:val="00F90364"/>
    <w:rsid w:val="00F90798"/>
    <w:rsid w:val="00F90C57"/>
    <w:rsid w:val="00F91889"/>
    <w:rsid w:val="00F91EE3"/>
    <w:rsid w:val="00F92456"/>
    <w:rsid w:val="00F927A9"/>
    <w:rsid w:val="00F92D89"/>
    <w:rsid w:val="00F9376A"/>
    <w:rsid w:val="00F940B7"/>
    <w:rsid w:val="00F94560"/>
    <w:rsid w:val="00F94ACF"/>
    <w:rsid w:val="00F9571B"/>
    <w:rsid w:val="00F95AF0"/>
    <w:rsid w:val="00F970DE"/>
    <w:rsid w:val="00F9723D"/>
    <w:rsid w:val="00F972A1"/>
    <w:rsid w:val="00F97D41"/>
    <w:rsid w:val="00F97FDA"/>
    <w:rsid w:val="00FA03E8"/>
    <w:rsid w:val="00FA0552"/>
    <w:rsid w:val="00FA0589"/>
    <w:rsid w:val="00FA1426"/>
    <w:rsid w:val="00FA1E7F"/>
    <w:rsid w:val="00FA2070"/>
    <w:rsid w:val="00FA2A07"/>
    <w:rsid w:val="00FA2D91"/>
    <w:rsid w:val="00FA38F0"/>
    <w:rsid w:val="00FA3B2F"/>
    <w:rsid w:val="00FA4136"/>
    <w:rsid w:val="00FA4FE3"/>
    <w:rsid w:val="00FA5661"/>
    <w:rsid w:val="00FA5747"/>
    <w:rsid w:val="00FA5991"/>
    <w:rsid w:val="00FA61F9"/>
    <w:rsid w:val="00FA743F"/>
    <w:rsid w:val="00FA76C2"/>
    <w:rsid w:val="00FA7B6E"/>
    <w:rsid w:val="00FB01E2"/>
    <w:rsid w:val="00FB0D47"/>
    <w:rsid w:val="00FB1160"/>
    <w:rsid w:val="00FB170C"/>
    <w:rsid w:val="00FB3140"/>
    <w:rsid w:val="00FB31B6"/>
    <w:rsid w:val="00FB3AAE"/>
    <w:rsid w:val="00FB3B4A"/>
    <w:rsid w:val="00FB3C48"/>
    <w:rsid w:val="00FB43FF"/>
    <w:rsid w:val="00FB4746"/>
    <w:rsid w:val="00FB4E25"/>
    <w:rsid w:val="00FB5A59"/>
    <w:rsid w:val="00FB667E"/>
    <w:rsid w:val="00FB6DD9"/>
    <w:rsid w:val="00FB774A"/>
    <w:rsid w:val="00FB7C68"/>
    <w:rsid w:val="00FB7EBC"/>
    <w:rsid w:val="00FC050F"/>
    <w:rsid w:val="00FC0E3B"/>
    <w:rsid w:val="00FC104D"/>
    <w:rsid w:val="00FC17A7"/>
    <w:rsid w:val="00FC1AD1"/>
    <w:rsid w:val="00FC1F73"/>
    <w:rsid w:val="00FC37AF"/>
    <w:rsid w:val="00FC4480"/>
    <w:rsid w:val="00FC4F97"/>
    <w:rsid w:val="00FC560B"/>
    <w:rsid w:val="00FC60A5"/>
    <w:rsid w:val="00FC6108"/>
    <w:rsid w:val="00FC668C"/>
    <w:rsid w:val="00FC66BC"/>
    <w:rsid w:val="00FC7867"/>
    <w:rsid w:val="00FD0B02"/>
    <w:rsid w:val="00FD0DB9"/>
    <w:rsid w:val="00FD1090"/>
    <w:rsid w:val="00FD1D81"/>
    <w:rsid w:val="00FD1F30"/>
    <w:rsid w:val="00FD2D02"/>
    <w:rsid w:val="00FD3225"/>
    <w:rsid w:val="00FD370D"/>
    <w:rsid w:val="00FD3714"/>
    <w:rsid w:val="00FD3990"/>
    <w:rsid w:val="00FD4048"/>
    <w:rsid w:val="00FD438A"/>
    <w:rsid w:val="00FD4401"/>
    <w:rsid w:val="00FD4F08"/>
    <w:rsid w:val="00FD515D"/>
    <w:rsid w:val="00FD5A47"/>
    <w:rsid w:val="00FD5B65"/>
    <w:rsid w:val="00FD5E81"/>
    <w:rsid w:val="00FD6006"/>
    <w:rsid w:val="00FD6549"/>
    <w:rsid w:val="00FD722F"/>
    <w:rsid w:val="00FD7C37"/>
    <w:rsid w:val="00FE0912"/>
    <w:rsid w:val="00FE0BD8"/>
    <w:rsid w:val="00FE19F3"/>
    <w:rsid w:val="00FE25DD"/>
    <w:rsid w:val="00FE42C1"/>
    <w:rsid w:val="00FE4522"/>
    <w:rsid w:val="00FE5816"/>
    <w:rsid w:val="00FE6247"/>
    <w:rsid w:val="00FE635C"/>
    <w:rsid w:val="00FE6671"/>
    <w:rsid w:val="00FE76E7"/>
    <w:rsid w:val="00FE7E1E"/>
    <w:rsid w:val="00FF1571"/>
    <w:rsid w:val="00FF15F7"/>
    <w:rsid w:val="00FF16AA"/>
    <w:rsid w:val="00FF2537"/>
    <w:rsid w:val="00FF2965"/>
    <w:rsid w:val="00FF326D"/>
    <w:rsid w:val="00FF3E4D"/>
    <w:rsid w:val="00FF4CCA"/>
    <w:rsid w:val="00FF60ED"/>
    <w:rsid w:val="00FF6249"/>
    <w:rsid w:val="00FF693C"/>
    <w:rsid w:val="00FF723E"/>
    <w:rsid w:val="00FF73F9"/>
    <w:rsid w:val="03FFBEA4"/>
    <w:rsid w:val="08765160"/>
    <w:rsid w:val="2E6FC574"/>
    <w:rsid w:val="45A590F1"/>
    <w:rsid w:val="5FEB6BBE"/>
    <w:rsid w:val="70EE6C08"/>
    <w:rsid w:val="77ADB4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BD771"/>
  <w15:docId w15:val="{04625337-63A2-4AAE-8F61-7CE249976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7346"/>
  </w:style>
  <w:style w:type="paragraph" w:styleId="Ttulo1">
    <w:name w:val="heading 1"/>
    <w:aliases w:val="h1,Heading I"/>
    <w:basedOn w:val="IFTnormal"/>
    <w:next w:val="Normal"/>
    <w:link w:val="Ttulo1Car"/>
    <w:qFormat/>
    <w:rsid w:val="00FE25DD"/>
    <w:pPr>
      <w:outlineLvl w:val="0"/>
    </w:pPr>
    <w:rPr>
      <w:b/>
      <w:lang w:val="es-ES"/>
    </w:rPr>
  </w:style>
  <w:style w:type="paragraph" w:styleId="Ttulo2">
    <w:name w:val="heading 2"/>
    <w:aliases w:val="2TitSec,Heading II"/>
    <w:basedOn w:val="Normal"/>
    <w:next w:val="Normal"/>
    <w:link w:val="Ttulo2Car"/>
    <w:unhideWhenUsed/>
    <w:qFormat/>
    <w:rsid w:val="00FE25DD"/>
    <w:pPr>
      <w:keepNext/>
      <w:spacing w:after="200" w:line="276" w:lineRule="auto"/>
      <w:jc w:val="both"/>
      <w:outlineLvl w:val="1"/>
    </w:pPr>
    <w:rPr>
      <w:rFonts w:ascii="ITC Avant Garde" w:eastAsia="Times New Roman" w:hAnsi="ITC Avant Garde" w:cs="Arial"/>
      <w:b/>
      <w:bCs/>
    </w:rPr>
  </w:style>
  <w:style w:type="paragraph" w:styleId="Ttulo3">
    <w:name w:val="heading 3"/>
    <w:aliases w:val="h3"/>
    <w:basedOn w:val="Normal"/>
    <w:next w:val="Normal"/>
    <w:link w:val="Ttulo3Car"/>
    <w:qFormat/>
    <w:rsid w:val="00FE25DD"/>
    <w:pPr>
      <w:keepNext/>
      <w:spacing w:after="0" w:line="240" w:lineRule="auto"/>
      <w:ind w:left="2630"/>
      <w:jc w:val="both"/>
      <w:outlineLvl w:val="2"/>
    </w:pPr>
    <w:rPr>
      <w:rFonts w:ascii="Arial" w:eastAsia="Times New Roman" w:hAnsi="Arial" w:cs="Times New Roman"/>
      <w:b/>
      <w:bCs/>
      <w:szCs w:val="20"/>
    </w:rPr>
  </w:style>
  <w:style w:type="paragraph" w:styleId="Ttulo4">
    <w:name w:val="heading 4"/>
    <w:basedOn w:val="Normal"/>
    <w:next w:val="Normal"/>
    <w:link w:val="Ttulo4Car"/>
    <w:qFormat/>
    <w:rsid w:val="00FE25DD"/>
    <w:pPr>
      <w:keepNext/>
      <w:spacing w:before="240" w:after="60" w:line="240" w:lineRule="auto"/>
      <w:jc w:val="both"/>
      <w:outlineLvl w:val="3"/>
    </w:pPr>
    <w:rPr>
      <w:rFonts w:ascii="Times New Roman" w:eastAsia="Times New Roman" w:hAnsi="Times New Roman" w:cs="Times New Roman"/>
      <w:b/>
      <w:bCs/>
      <w:sz w:val="28"/>
      <w:szCs w:val="28"/>
      <w:lang w:eastAsia="es-ES"/>
    </w:rPr>
  </w:style>
  <w:style w:type="paragraph" w:styleId="Ttulo5">
    <w:name w:val="heading 5"/>
    <w:aliases w:val="Considerando,Apartado_sub"/>
    <w:basedOn w:val="Normal"/>
    <w:next w:val="Normal"/>
    <w:link w:val="Ttulo5Car"/>
    <w:qFormat/>
    <w:rsid w:val="00FE25DD"/>
    <w:pPr>
      <w:keepNext/>
      <w:spacing w:after="0" w:line="240" w:lineRule="auto"/>
      <w:jc w:val="both"/>
      <w:outlineLvl w:val="4"/>
    </w:pPr>
    <w:rPr>
      <w:rFonts w:ascii="Arial" w:eastAsia="Times New Roman" w:hAnsi="Arial" w:cs="Times New Roman"/>
      <w:b/>
      <w:sz w:val="20"/>
      <w:szCs w:val="20"/>
    </w:rPr>
  </w:style>
  <w:style w:type="paragraph" w:styleId="Ttulo6">
    <w:name w:val="heading 6"/>
    <w:basedOn w:val="Normal"/>
    <w:next w:val="Normal"/>
    <w:link w:val="Ttulo6Car"/>
    <w:qFormat/>
    <w:rsid w:val="00FE25DD"/>
    <w:pPr>
      <w:spacing w:before="240" w:after="60" w:line="240" w:lineRule="auto"/>
      <w:jc w:val="both"/>
      <w:outlineLvl w:val="5"/>
    </w:pPr>
    <w:rPr>
      <w:rFonts w:ascii="Times New Roman" w:eastAsia="Times New Roman" w:hAnsi="Times New Roman" w:cs="Times New Roman"/>
      <w:b/>
      <w:bCs/>
      <w:lang w:eastAsia="es-ES"/>
    </w:rPr>
  </w:style>
  <w:style w:type="paragraph" w:styleId="Ttulo7">
    <w:name w:val="heading 7"/>
    <w:basedOn w:val="Normal"/>
    <w:next w:val="Normal"/>
    <w:link w:val="Ttulo7Car"/>
    <w:qFormat/>
    <w:rsid w:val="00FE25DD"/>
    <w:pPr>
      <w:spacing w:before="240" w:after="60" w:line="240" w:lineRule="auto"/>
      <w:jc w:val="both"/>
      <w:outlineLvl w:val="6"/>
    </w:pPr>
    <w:rPr>
      <w:rFonts w:ascii="Times New Roman" w:eastAsia="Times New Roman" w:hAnsi="Times New Roman" w:cs="Times New Roman"/>
      <w:sz w:val="24"/>
      <w:szCs w:val="24"/>
      <w:lang w:eastAsia="es-ES"/>
    </w:rPr>
  </w:style>
  <w:style w:type="paragraph" w:styleId="Ttulo8">
    <w:name w:val="heading 8"/>
    <w:basedOn w:val="Normal"/>
    <w:next w:val="Normal"/>
    <w:link w:val="Ttulo8Car"/>
    <w:qFormat/>
    <w:rsid w:val="00FE25DD"/>
    <w:pPr>
      <w:keepNext/>
      <w:spacing w:after="0" w:line="240" w:lineRule="auto"/>
      <w:jc w:val="center"/>
      <w:outlineLvl w:val="7"/>
    </w:pPr>
    <w:rPr>
      <w:rFonts w:ascii="Arial" w:eastAsia="Times New Roman" w:hAnsi="Arial" w:cs="Times New Roman"/>
      <w:b/>
      <w:szCs w:val="20"/>
      <w:lang w:eastAsia="es-ES"/>
    </w:rPr>
  </w:style>
  <w:style w:type="paragraph" w:styleId="Ttulo9">
    <w:name w:val="heading 9"/>
    <w:aliases w:val="Citaciones"/>
    <w:basedOn w:val="Normal"/>
    <w:next w:val="Normal"/>
    <w:link w:val="Ttulo9Car"/>
    <w:qFormat/>
    <w:rsid w:val="00FE25DD"/>
    <w:pPr>
      <w:spacing w:before="240" w:after="60" w:line="240" w:lineRule="auto"/>
      <w:jc w:val="both"/>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rsid w:val="00FE25DD"/>
    <w:rPr>
      <w:rFonts w:ascii="ITC Avant Garde" w:eastAsia="Calibri" w:hAnsi="ITC Avant Garde" w:cs="Arial"/>
      <w:b/>
      <w:color w:val="000000"/>
      <w:lang w:val="es-ES" w:eastAsia="es-ES"/>
    </w:rPr>
  </w:style>
  <w:style w:type="character" w:customStyle="1" w:styleId="Ttulo2Car">
    <w:name w:val="Título 2 Car"/>
    <w:aliases w:val="2TitSec Car,Heading II Car"/>
    <w:basedOn w:val="Fuentedeprrafopredeter"/>
    <w:link w:val="Ttulo2"/>
    <w:rsid w:val="00FE25DD"/>
    <w:rPr>
      <w:rFonts w:ascii="ITC Avant Garde" w:eastAsia="Times New Roman" w:hAnsi="ITC Avant Garde" w:cs="Arial"/>
      <w:b/>
      <w:bCs/>
    </w:rPr>
  </w:style>
  <w:style w:type="character" w:customStyle="1" w:styleId="Ttulo3Car">
    <w:name w:val="Título 3 Car"/>
    <w:aliases w:val="h3 Car"/>
    <w:basedOn w:val="Fuentedeprrafopredeter"/>
    <w:link w:val="Ttulo3"/>
    <w:rsid w:val="00FE25DD"/>
    <w:rPr>
      <w:rFonts w:ascii="Arial" w:eastAsia="Times New Roman" w:hAnsi="Arial" w:cs="Times New Roman"/>
      <w:b/>
      <w:bCs/>
      <w:szCs w:val="20"/>
    </w:rPr>
  </w:style>
  <w:style w:type="character" w:customStyle="1" w:styleId="Ttulo4Car">
    <w:name w:val="Título 4 Car"/>
    <w:basedOn w:val="Fuentedeprrafopredeter"/>
    <w:link w:val="Ttulo4"/>
    <w:rsid w:val="00FE25DD"/>
    <w:rPr>
      <w:rFonts w:ascii="Times New Roman" w:eastAsia="Times New Roman" w:hAnsi="Times New Roman" w:cs="Times New Roman"/>
      <w:b/>
      <w:bCs/>
      <w:sz w:val="28"/>
      <w:szCs w:val="28"/>
      <w:lang w:eastAsia="es-ES"/>
    </w:rPr>
  </w:style>
  <w:style w:type="character" w:customStyle="1" w:styleId="Ttulo5Car">
    <w:name w:val="Título 5 Car"/>
    <w:aliases w:val="Considerando Car,Apartado_sub Car"/>
    <w:basedOn w:val="Fuentedeprrafopredeter"/>
    <w:link w:val="Ttulo5"/>
    <w:rsid w:val="00FE25DD"/>
    <w:rPr>
      <w:rFonts w:ascii="Arial" w:eastAsia="Times New Roman" w:hAnsi="Arial" w:cs="Times New Roman"/>
      <w:b/>
      <w:sz w:val="20"/>
      <w:szCs w:val="20"/>
    </w:rPr>
  </w:style>
  <w:style w:type="character" w:customStyle="1" w:styleId="Ttulo6Car">
    <w:name w:val="Título 6 Car"/>
    <w:basedOn w:val="Fuentedeprrafopredeter"/>
    <w:link w:val="Ttulo6"/>
    <w:rsid w:val="00FE25D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E25D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E25DD"/>
    <w:rPr>
      <w:rFonts w:ascii="Arial" w:eastAsia="Times New Roman" w:hAnsi="Arial" w:cs="Times New Roman"/>
      <w:b/>
      <w:szCs w:val="20"/>
      <w:lang w:eastAsia="es-ES"/>
    </w:rPr>
  </w:style>
  <w:style w:type="character" w:customStyle="1" w:styleId="Ttulo9Car">
    <w:name w:val="Título 9 Car"/>
    <w:aliases w:val="Citaciones Car"/>
    <w:basedOn w:val="Fuentedeprrafopredeter"/>
    <w:link w:val="Ttulo9"/>
    <w:rsid w:val="00FE25DD"/>
    <w:rPr>
      <w:rFonts w:ascii="Arial" w:eastAsia="Times New Roman" w:hAnsi="Arial" w:cs="Arial"/>
      <w:lang w:eastAsia="es-ES"/>
    </w:rPr>
  </w:style>
  <w:style w:type="numbering" w:customStyle="1" w:styleId="Sinlista1">
    <w:name w:val="Sin lista1"/>
    <w:next w:val="Sinlista"/>
    <w:uiPriority w:val="99"/>
    <w:semiHidden/>
    <w:unhideWhenUsed/>
    <w:rsid w:val="00FE25DD"/>
  </w:style>
  <w:style w:type="paragraph" w:customStyle="1" w:styleId="Citaift">
    <w:name w:val="Cita ift"/>
    <w:basedOn w:val="Normal"/>
    <w:link w:val="CitaiftCar"/>
    <w:qFormat/>
    <w:rsid w:val="00FE25DD"/>
    <w:pPr>
      <w:adjustRightInd w:val="0"/>
      <w:spacing w:after="200" w:line="276" w:lineRule="auto"/>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FE25DD"/>
    <w:rPr>
      <w:rFonts w:ascii="ITC Avant Garde" w:eastAsia="Times New Roman" w:hAnsi="ITC Avant Garde" w:cs="Arial"/>
      <w:i/>
      <w:color w:val="000000"/>
      <w:sz w:val="18"/>
      <w:szCs w:val="18"/>
      <w:lang w:eastAsia="es-ES"/>
    </w:rPr>
  </w:style>
  <w:style w:type="paragraph" w:styleId="Cita">
    <w:name w:val="Quote"/>
    <w:aliases w:val="Bullets cita"/>
    <w:basedOn w:val="Prrafodelista"/>
    <w:next w:val="Normal"/>
    <w:link w:val="CitaCar"/>
    <w:uiPriority w:val="29"/>
    <w:qFormat/>
    <w:rsid w:val="00FE25DD"/>
    <w:pPr>
      <w:numPr>
        <w:numId w:val="3"/>
      </w:numPr>
      <w:ind w:right="616"/>
      <w:jc w:val="both"/>
    </w:pPr>
    <w:rPr>
      <w:rFonts w:ascii="ITC Avant Garde" w:hAnsi="ITC Avant Garde"/>
      <w:i/>
      <w:sz w:val="18"/>
      <w:szCs w:val="18"/>
    </w:rPr>
  </w:style>
  <w:style w:type="character" w:customStyle="1" w:styleId="CitaCar">
    <w:name w:val="Cita Car"/>
    <w:aliases w:val="Bullets cita Car"/>
    <w:basedOn w:val="Fuentedeprrafopredeter"/>
    <w:link w:val="Cita"/>
    <w:uiPriority w:val="29"/>
    <w:rsid w:val="00FE25DD"/>
    <w:rPr>
      <w:rFonts w:ascii="ITC Avant Garde" w:eastAsia="Calibri" w:hAnsi="ITC Avant Garde" w:cs="Times New Roman"/>
      <w:i/>
      <w:sz w:val="18"/>
      <w:szCs w:val="18"/>
    </w:rPr>
  </w:style>
  <w:style w:type="paragraph" w:customStyle="1" w:styleId="IFTnormal">
    <w:name w:val="IFT normal"/>
    <w:basedOn w:val="Normal"/>
    <w:link w:val="IFTnormalCar"/>
    <w:qFormat/>
    <w:rsid w:val="00FE25DD"/>
    <w:pPr>
      <w:spacing w:after="200" w:line="276" w:lineRule="auto"/>
      <w:jc w:val="both"/>
    </w:pPr>
    <w:rPr>
      <w:rFonts w:ascii="ITC Avant Garde" w:eastAsia="Calibri" w:hAnsi="ITC Avant Garde" w:cs="Arial"/>
      <w:color w:val="000000"/>
      <w:lang w:val="es-ES_tradnl" w:eastAsia="es-ES"/>
    </w:rPr>
  </w:style>
  <w:style w:type="paragraph" w:styleId="Listaconvietas">
    <w:name w:val="List Bullet"/>
    <w:aliases w:val="Bullets texto"/>
    <w:basedOn w:val="Normal"/>
    <w:autoRedefine/>
    <w:uiPriority w:val="99"/>
    <w:unhideWhenUsed/>
    <w:qFormat/>
    <w:rsid w:val="00FE25DD"/>
    <w:pPr>
      <w:numPr>
        <w:numId w:val="2"/>
      </w:numPr>
      <w:spacing w:after="200" w:line="276" w:lineRule="auto"/>
      <w:ind w:left="714" w:hanging="357"/>
      <w:jc w:val="both"/>
    </w:pPr>
    <w:rPr>
      <w:rFonts w:ascii="ITC Avant Garde" w:eastAsia="Times New Roman" w:hAnsi="ITC Avant Garde" w:cs="Arial"/>
      <w:iCs/>
    </w:rPr>
  </w:style>
  <w:style w:type="paragraph" w:styleId="Prrafodelista">
    <w:name w:val="List Paragraph"/>
    <w:basedOn w:val="Normal"/>
    <w:link w:val="PrrafodelistaCar"/>
    <w:uiPriority w:val="99"/>
    <w:qFormat/>
    <w:rsid w:val="00FE25DD"/>
    <w:pPr>
      <w:spacing w:after="200" w:line="276" w:lineRule="auto"/>
      <w:ind w:left="720"/>
      <w:contextualSpacing/>
    </w:pPr>
    <w:rPr>
      <w:rFonts w:ascii="Calibri" w:eastAsia="Calibri" w:hAnsi="Calibri" w:cs="Times New Roman"/>
    </w:rPr>
  </w:style>
  <w:style w:type="paragraph" w:customStyle="1" w:styleId="1TitPrin">
    <w:name w:val="1TitPrin"/>
    <w:basedOn w:val="Ttulo1"/>
    <w:link w:val="1TitPrinCar"/>
    <w:autoRedefine/>
    <w:qFormat/>
    <w:rsid w:val="0010393A"/>
    <w:pPr>
      <w:tabs>
        <w:tab w:val="left" w:pos="7937"/>
      </w:tabs>
      <w:spacing w:after="0"/>
      <w:outlineLvl w:val="9"/>
    </w:pPr>
    <w:rPr>
      <w:b w:val="0"/>
      <w:color w:val="auto"/>
      <w:lang w:val="es-ES_tradnl"/>
    </w:rPr>
  </w:style>
  <w:style w:type="character" w:customStyle="1" w:styleId="1TitPrinCar">
    <w:name w:val="1TitPrin Car"/>
    <w:link w:val="1TitPrin"/>
    <w:rsid w:val="0010393A"/>
    <w:rPr>
      <w:rFonts w:ascii="ITC Avant Garde" w:eastAsia="Calibri" w:hAnsi="ITC Avant Garde" w:cs="Arial"/>
      <w:lang w:val="es-ES_tradnl" w:eastAsia="es-ES"/>
    </w:rPr>
  </w:style>
  <w:style w:type="paragraph" w:customStyle="1" w:styleId="NumeracinIFT">
    <w:name w:val="Numeración IFT"/>
    <w:basedOn w:val="Normal"/>
    <w:link w:val="NumeracinIFTCar"/>
    <w:qFormat/>
    <w:rsid w:val="00FE25DD"/>
    <w:pPr>
      <w:tabs>
        <w:tab w:val="left" w:pos="1134"/>
      </w:tabs>
      <w:adjustRightInd w:val="0"/>
      <w:spacing w:after="200" w:line="276" w:lineRule="auto"/>
      <w:ind w:left="1134" w:hanging="992"/>
      <w:jc w:val="both"/>
    </w:pPr>
    <w:rPr>
      <w:rFonts w:ascii="ITC Avant Garde" w:eastAsia="Calibri" w:hAnsi="ITC Avant Garde" w:cs="Arial"/>
      <w:bCs/>
      <w:lang w:eastAsia="es-ES"/>
    </w:rPr>
  </w:style>
  <w:style w:type="character" w:customStyle="1" w:styleId="NumeracinIFTCar">
    <w:name w:val="Numeración IFT Car"/>
    <w:link w:val="NumeracinIFT"/>
    <w:rsid w:val="00FE25DD"/>
    <w:rPr>
      <w:rFonts w:ascii="ITC Avant Garde" w:eastAsia="Calibri" w:hAnsi="ITC Avant Garde" w:cs="Arial"/>
      <w:bCs/>
      <w:lang w:eastAsia="es-ES"/>
    </w:rPr>
  </w:style>
  <w:style w:type="paragraph" w:styleId="Encabezado">
    <w:name w:val="header"/>
    <w:basedOn w:val="Normal"/>
    <w:link w:val="EncabezadoCar"/>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rsid w:val="00FE25DD"/>
    <w:rPr>
      <w:rFonts w:ascii="Calibri" w:eastAsia="Calibri" w:hAnsi="Calibri" w:cs="Times New Roman"/>
    </w:rPr>
  </w:style>
  <w:style w:type="paragraph" w:styleId="Piedepgina">
    <w:name w:val="footer"/>
    <w:basedOn w:val="Normal"/>
    <w:link w:val="PiedepginaCar"/>
    <w:uiPriority w:val="99"/>
    <w:unhideWhenUsed/>
    <w:rsid w:val="00FE25DD"/>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FE25DD"/>
    <w:rPr>
      <w:rFonts w:ascii="Calibri" w:eastAsia="Calibri" w:hAnsi="Calibri" w:cs="Times New Roman"/>
    </w:rPr>
  </w:style>
  <w:style w:type="paragraph" w:customStyle="1" w:styleId="Listamulticolor-nfasis11">
    <w:name w:val="Lista multicolor - Énfasis 11"/>
    <w:basedOn w:val="Normal"/>
    <w:link w:val="Listamulticolor-nfasis1Car"/>
    <w:uiPriority w:val="34"/>
    <w:rsid w:val="00FE25DD"/>
    <w:pPr>
      <w:spacing w:after="200" w:line="276" w:lineRule="auto"/>
      <w:ind w:left="720"/>
      <w:contextualSpacing/>
    </w:pPr>
    <w:rPr>
      <w:rFonts w:ascii="Calibri" w:eastAsia="Calibri" w:hAnsi="Calibri" w:cs="Times New Roman"/>
    </w:rPr>
  </w:style>
  <w:style w:type="character" w:styleId="Refdecomentario">
    <w:name w:val="annotation reference"/>
    <w:unhideWhenUsed/>
    <w:rsid w:val="00FE25DD"/>
    <w:rPr>
      <w:sz w:val="16"/>
      <w:szCs w:val="16"/>
    </w:rPr>
  </w:style>
  <w:style w:type="paragraph" w:styleId="Textocomentario">
    <w:name w:val="annotation text"/>
    <w:basedOn w:val="Normal"/>
    <w:link w:val="TextocomentarioCar"/>
    <w:unhideWhenUsed/>
    <w:rsid w:val="00FE25DD"/>
    <w:pPr>
      <w:spacing w:after="200" w:line="240" w:lineRule="auto"/>
    </w:pPr>
    <w:rPr>
      <w:rFonts w:ascii="Calibri" w:eastAsia="Times New Roman" w:hAnsi="Calibri" w:cs="Times New Roman"/>
      <w:sz w:val="20"/>
      <w:szCs w:val="20"/>
      <w:lang w:eastAsia="es-MX"/>
    </w:rPr>
  </w:style>
  <w:style w:type="character" w:customStyle="1" w:styleId="TextocomentarioCar">
    <w:name w:val="Texto comentario Car"/>
    <w:basedOn w:val="Fuentedeprrafopredeter"/>
    <w:link w:val="Textocomentario"/>
    <w:rsid w:val="00FE25DD"/>
    <w:rPr>
      <w:rFonts w:ascii="Calibri" w:eastAsia="Times New Roman" w:hAnsi="Calibri" w:cs="Times New Roman"/>
      <w:sz w:val="20"/>
      <w:szCs w:val="20"/>
      <w:lang w:eastAsia="es-MX"/>
    </w:rPr>
  </w:style>
  <w:style w:type="character" w:customStyle="1" w:styleId="Listamulticolor-nfasis1Car">
    <w:name w:val="Lista multicolor - Énfasis 1 Car"/>
    <w:link w:val="Listamulticolor-nfasis11"/>
    <w:uiPriority w:val="34"/>
    <w:rsid w:val="00FE25DD"/>
    <w:rPr>
      <w:rFonts w:ascii="Calibri" w:eastAsia="Calibri" w:hAnsi="Calibri" w:cs="Times New Roman"/>
    </w:rPr>
  </w:style>
  <w:style w:type="character" w:customStyle="1" w:styleId="PrrafodelistaCar">
    <w:name w:val="Párrafo de lista Car"/>
    <w:link w:val="Prrafodelista"/>
    <w:uiPriority w:val="99"/>
    <w:rsid w:val="00FE25DD"/>
    <w:rPr>
      <w:rFonts w:ascii="Calibri" w:eastAsia="Calibri" w:hAnsi="Calibri" w:cs="Times New Roman"/>
    </w:rPr>
  </w:style>
  <w:style w:type="paragraph" w:styleId="Textodeglobo">
    <w:name w:val="Balloon Text"/>
    <w:basedOn w:val="Normal"/>
    <w:link w:val="TextodegloboCar"/>
    <w:unhideWhenUsed/>
    <w:rsid w:val="00FE25DD"/>
    <w:pPr>
      <w:spacing w:after="0" w:line="240" w:lineRule="auto"/>
    </w:pPr>
    <w:rPr>
      <w:rFonts w:ascii="Segoe UI" w:eastAsia="Calibri" w:hAnsi="Segoe UI" w:cs="Segoe UI"/>
      <w:sz w:val="18"/>
      <w:szCs w:val="18"/>
    </w:rPr>
  </w:style>
  <w:style w:type="character" w:customStyle="1" w:styleId="TextodegloboCar">
    <w:name w:val="Texto de globo Car"/>
    <w:basedOn w:val="Fuentedeprrafopredeter"/>
    <w:link w:val="Textodeglobo"/>
    <w:rsid w:val="00FE25DD"/>
    <w:rPr>
      <w:rFonts w:ascii="Segoe UI" w:eastAsia="Calibri" w:hAnsi="Segoe UI" w:cs="Segoe UI"/>
      <w:sz w:val="18"/>
      <w:szCs w:val="18"/>
    </w:rPr>
  </w:style>
  <w:style w:type="character" w:styleId="Hipervnculo">
    <w:name w:val="Hyperlink"/>
    <w:basedOn w:val="Fuentedeprrafopredeter"/>
    <w:uiPriority w:val="99"/>
    <w:unhideWhenUsed/>
    <w:rsid w:val="00FE25DD"/>
    <w:rPr>
      <w:color w:val="0563C1" w:themeColor="hyperlink"/>
      <w:u w:val="single"/>
    </w:rPr>
  </w:style>
  <w:style w:type="paragraph" w:styleId="NormalWeb">
    <w:name w:val="Normal (Web)"/>
    <w:basedOn w:val="Normal"/>
    <w:uiPriority w:val="99"/>
    <w:unhideWhenUsed/>
    <w:rsid w:val="00FE25D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FE25DD"/>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Ref,de nota al pie,(NECG) Footnote Reference,o,fr,Style 3,Appel note de bas de p,Style 12,Style 124,Ref. de nota al pie 2"/>
    <w:uiPriority w:val="99"/>
    <w:unhideWhenUsed/>
    <w:qFormat/>
    <w:rsid w:val="00FE25DD"/>
    <w:rPr>
      <w:vertAlign w:val="superscript"/>
    </w:rPr>
  </w:style>
  <w:style w:type="paragraph" w:customStyle="1" w:styleId="Cuadrculamediana21">
    <w:name w:val="Cuadrícula mediana 21"/>
    <w:uiPriority w:val="1"/>
    <w:rsid w:val="00FE25DD"/>
    <w:pPr>
      <w:spacing w:after="0" w:line="240" w:lineRule="auto"/>
    </w:pPr>
    <w:rPr>
      <w:rFonts w:ascii="Calibri" w:eastAsia="Calibri" w:hAnsi="Calibri" w:cs="Times New Roman"/>
    </w:rPr>
  </w:style>
  <w:style w:type="paragraph" w:styleId="Asuntodelcomentario">
    <w:name w:val="annotation subject"/>
    <w:basedOn w:val="Textocomentario"/>
    <w:next w:val="Textocomentario"/>
    <w:link w:val="AsuntodelcomentarioCar"/>
    <w:unhideWhenUsed/>
    <w:rsid w:val="00FE25DD"/>
    <w:rPr>
      <w:b/>
      <w:bCs/>
    </w:rPr>
  </w:style>
  <w:style w:type="character" w:customStyle="1" w:styleId="AsuntodelcomentarioCar">
    <w:name w:val="Asunto del comentario Car"/>
    <w:basedOn w:val="TextocomentarioCar"/>
    <w:link w:val="Asuntodelcomentario"/>
    <w:rsid w:val="00FE25DD"/>
    <w:rPr>
      <w:rFonts w:ascii="Calibri" w:eastAsia="Times New Roman" w:hAnsi="Calibri" w:cs="Times New Roman"/>
      <w:b/>
      <w:bCs/>
      <w:sz w:val="20"/>
      <w:szCs w:val="20"/>
      <w:lang w:eastAsia="es-MX"/>
    </w:rPr>
  </w:style>
  <w:style w:type="paragraph" w:styleId="Listaconvietas2">
    <w:name w:val="List Bullet 2"/>
    <w:basedOn w:val="Normal"/>
    <w:link w:val="Listaconvietas2Car"/>
    <w:unhideWhenUsed/>
    <w:rsid w:val="00FE25DD"/>
    <w:pPr>
      <w:spacing w:after="200" w:line="276" w:lineRule="auto"/>
      <w:ind w:left="1077" w:hanging="360"/>
      <w:contextualSpacing/>
    </w:pPr>
    <w:rPr>
      <w:rFonts w:ascii="Calibri" w:eastAsia="Calibri" w:hAnsi="Calibri" w:cs="Times New Roman"/>
    </w:rPr>
  </w:style>
  <w:style w:type="character" w:styleId="CitaHTML">
    <w:name w:val="HTML Cite"/>
    <w:uiPriority w:val="99"/>
    <w:semiHidden/>
    <w:unhideWhenUsed/>
    <w:rsid w:val="00FE25DD"/>
    <w:rPr>
      <w:i/>
      <w:iCs/>
    </w:rPr>
  </w:style>
  <w:style w:type="paragraph" w:customStyle="1" w:styleId="Sombreadomulticolor-nfasis11">
    <w:name w:val="Sombreado multicolor - Énfasis 11"/>
    <w:hidden/>
    <w:uiPriority w:val="99"/>
    <w:semiHidden/>
    <w:rsid w:val="00FE25DD"/>
    <w:pPr>
      <w:spacing w:after="0" w:line="240" w:lineRule="auto"/>
    </w:pPr>
    <w:rPr>
      <w:rFonts w:ascii="Calibri" w:eastAsia="Calibri" w:hAnsi="Calibri" w:cs="Times New Roman"/>
    </w:rPr>
  </w:style>
  <w:style w:type="paragraph" w:styleId="Sangradetextonormal">
    <w:name w:val="Body Text Indent"/>
    <w:basedOn w:val="Normal"/>
    <w:link w:val="SangradetextonormalCar"/>
    <w:unhideWhenUsed/>
    <w:rsid w:val="00FE25DD"/>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rsid w:val="00FE25DD"/>
    <w:rPr>
      <w:rFonts w:ascii="Calibri" w:eastAsia="Calibri" w:hAnsi="Calibri" w:cs="Times New Roman"/>
    </w:rPr>
  </w:style>
  <w:style w:type="character" w:styleId="Nmerodepgina">
    <w:name w:val="page number"/>
    <w:rsid w:val="00FE25DD"/>
  </w:style>
  <w:style w:type="paragraph" w:styleId="Subttulo">
    <w:name w:val="Subtitle"/>
    <w:basedOn w:val="Normal"/>
    <w:link w:val="SubttuloCar"/>
    <w:uiPriority w:val="99"/>
    <w:qFormat/>
    <w:rsid w:val="00FE25DD"/>
    <w:pPr>
      <w:spacing w:after="200" w:line="276" w:lineRule="auto"/>
      <w:jc w:val="both"/>
    </w:pPr>
    <w:rPr>
      <w:rFonts w:ascii="ITC Avant Garde" w:eastAsia="Calibri" w:hAnsi="ITC Avant Garde" w:cs="Times New Roman"/>
      <w:b/>
    </w:rPr>
  </w:style>
  <w:style w:type="character" w:customStyle="1" w:styleId="SubttuloCar">
    <w:name w:val="Subtítulo Car"/>
    <w:basedOn w:val="Fuentedeprrafopredeter"/>
    <w:link w:val="Subttulo"/>
    <w:uiPriority w:val="99"/>
    <w:rsid w:val="00FE25DD"/>
    <w:rPr>
      <w:rFonts w:ascii="ITC Avant Garde" w:eastAsia="Calibri" w:hAnsi="ITC Avant Garde" w:cs="Times New Roman"/>
      <w:b/>
    </w:rPr>
  </w:style>
  <w:style w:type="paragraph" w:styleId="Textosinformato">
    <w:name w:val="Plain Text"/>
    <w:basedOn w:val="Normal"/>
    <w:link w:val="TextosinformatoCar"/>
    <w:rsid w:val="00FE25DD"/>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FE25DD"/>
    <w:rPr>
      <w:rFonts w:ascii="Courier New" w:eastAsia="Times New Roman" w:hAnsi="Courier New" w:cs="Courier New"/>
      <w:sz w:val="20"/>
      <w:szCs w:val="20"/>
      <w:lang w:eastAsia="es-ES"/>
    </w:rPr>
  </w:style>
  <w:style w:type="character" w:styleId="Hipervnculovisitado">
    <w:name w:val="FollowedHyperlink"/>
    <w:uiPriority w:val="99"/>
    <w:rsid w:val="00FE25DD"/>
    <w:rPr>
      <w:color w:val="800080"/>
      <w:u w:val="single"/>
    </w:rPr>
  </w:style>
  <w:style w:type="paragraph" w:styleId="Lista">
    <w:name w:val="List"/>
    <w:basedOn w:val="Normal"/>
    <w:rsid w:val="00FE25DD"/>
    <w:pPr>
      <w:spacing w:after="0" w:line="240" w:lineRule="auto"/>
      <w:ind w:left="283" w:hanging="283"/>
    </w:pPr>
    <w:rPr>
      <w:rFonts w:ascii="Times New Roman" w:eastAsia="Times New Roman" w:hAnsi="Times New Roman" w:cs="Times New Roman"/>
      <w:sz w:val="24"/>
      <w:szCs w:val="24"/>
      <w:lang w:val="es-ES" w:eastAsia="es-ES"/>
    </w:rPr>
  </w:style>
  <w:style w:type="paragraph" w:styleId="Encabezadodemensaje">
    <w:name w:val="Message Header"/>
    <w:basedOn w:val="Normal"/>
    <w:link w:val="EncabezadodemensajeCar"/>
    <w:rsid w:val="00FE25D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val="es-ES" w:eastAsia="es-ES"/>
    </w:rPr>
  </w:style>
  <w:style w:type="character" w:customStyle="1" w:styleId="EncabezadodemensajeCar">
    <w:name w:val="Encabezado de mensaje Car"/>
    <w:basedOn w:val="Fuentedeprrafopredeter"/>
    <w:link w:val="Encabezadodemensaje"/>
    <w:rsid w:val="00FE25DD"/>
    <w:rPr>
      <w:rFonts w:ascii="Arial" w:eastAsia="Times New Roman" w:hAnsi="Arial" w:cs="Arial"/>
      <w:sz w:val="24"/>
      <w:szCs w:val="24"/>
      <w:shd w:val="pct20" w:color="auto" w:fill="auto"/>
      <w:lang w:val="es-ES" w:eastAsia="es-ES"/>
    </w:rPr>
  </w:style>
  <w:style w:type="paragraph" w:styleId="Continuarlista">
    <w:name w:val="List Continue"/>
    <w:basedOn w:val="Normal"/>
    <w:rsid w:val="00FE25DD"/>
    <w:pPr>
      <w:spacing w:after="120" w:line="240" w:lineRule="auto"/>
      <w:ind w:left="283"/>
    </w:pPr>
    <w:rPr>
      <w:rFonts w:ascii="Times New Roman" w:eastAsia="Times New Roman" w:hAnsi="Times New Roman" w:cs="Times New Roman"/>
      <w:sz w:val="24"/>
      <w:szCs w:val="24"/>
      <w:lang w:val="es-ES" w:eastAsia="es-ES"/>
    </w:rPr>
  </w:style>
  <w:style w:type="paragraph" w:styleId="Listaconnmeros">
    <w:name w:val="List Number"/>
    <w:basedOn w:val="Normal"/>
    <w:uiPriority w:val="99"/>
    <w:rsid w:val="00FE25DD"/>
    <w:pPr>
      <w:tabs>
        <w:tab w:val="num" w:pos="360"/>
      </w:tabs>
      <w:spacing w:after="240" w:line="320" w:lineRule="atLeast"/>
      <w:ind w:left="360" w:hanging="360"/>
      <w:contextualSpacing/>
      <w:jc w:val="both"/>
    </w:pPr>
    <w:rPr>
      <w:rFonts w:ascii="Times New Roman" w:eastAsia="Calibri" w:hAnsi="Times New Roman" w:cs="Times New Roman"/>
      <w:lang w:val="es-ES"/>
    </w:rPr>
  </w:style>
  <w:style w:type="character" w:customStyle="1" w:styleId="Listaconvietas2Car">
    <w:name w:val="Lista con viñetas 2 Car"/>
    <w:link w:val="Listaconvietas2"/>
    <w:uiPriority w:val="99"/>
    <w:rsid w:val="00FE25DD"/>
    <w:rPr>
      <w:rFonts w:ascii="Calibri" w:eastAsia="Calibri" w:hAnsi="Calibri" w:cs="Times New Roman"/>
    </w:rPr>
  </w:style>
  <w:style w:type="numbering" w:styleId="1ai">
    <w:name w:val="Outline List 1"/>
    <w:basedOn w:val="Sinlista"/>
    <w:uiPriority w:val="99"/>
    <w:unhideWhenUsed/>
    <w:rsid w:val="00FE25DD"/>
    <w:pPr>
      <w:numPr>
        <w:numId w:val="1"/>
      </w:numPr>
    </w:pPr>
  </w:style>
  <w:style w:type="table" w:styleId="Tablaclsica2">
    <w:name w:val="Table Classic 2"/>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FE25DD"/>
    <w:pPr>
      <w:spacing w:after="0" w:line="240" w:lineRule="auto"/>
      <w:jc w:val="both"/>
    </w:pPr>
    <w:rPr>
      <w:rFonts w:ascii="Times New Roman" w:eastAsia="Times New Roman" w:hAnsi="Times New Roman" w:cs="Times New Roman"/>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clsica3">
    <w:name w:val="Table Classic 3"/>
    <w:basedOn w:val="Tablanormal"/>
    <w:rsid w:val="00FE25DD"/>
    <w:pPr>
      <w:spacing w:after="0" w:line="240" w:lineRule="auto"/>
      <w:jc w:val="both"/>
    </w:pPr>
    <w:rPr>
      <w:rFonts w:ascii="Times New Roman" w:eastAsia="Times New Roman" w:hAnsi="Times New Roman" w:cs="Times New Roman"/>
      <w:color w:val="000080"/>
      <w:sz w:val="20"/>
      <w:szCs w:val="20"/>
      <w:lang w:eastAsia="es-E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Cuadrculamedia3-nfasis1">
    <w:name w:val="Medium Grid 3 Accent 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Sinespaciado">
    <w:name w:val="No Spacing"/>
    <w:uiPriority w:val="1"/>
    <w:qFormat/>
    <w:rsid w:val="00FE25DD"/>
    <w:pPr>
      <w:spacing w:after="0" w:line="240" w:lineRule="auto"/>
    </w:pPr>
    <w:rPr>
      <w:rFonts w:ascii="Calibri" w:eastAsia="Calibri" w:hAnsi="Calibri" w:cs="Times New Roman"/>
    </w:rPr>
  </w:style>
  <w:style w:type="paragraph" w:styleId="Revisin">
    <w:name w:val="Revision"/>
    <w:hidden/>
    <w:uiPriority w:val="99"/>
    <w:semiHidden/>
    <w:rsid w:val="00FE25DD"/>
    <w:pPr>
      <w:spacing w:after="0" w:line="240" w:lineRule="auto"/>
    </w:pPr>
    <w:rPr>
      <w:rFonts w:ascii="Calibri" w:eastAsia="Calibri" w:hAnsi="Calibri" w:cs="Times New Roman"/>
    </w:rPr>
  </w:style>
  <w:style w:type="paragraph" w:customStyle="1" w:styleId="PuntosC4">
    <w:name w:val="PuntosC4"/>
    <w:basedOn w:val="Normal"/>
    <w:link w:val="PuntosC4Car"/>
    <w:qFormat/>
    <w:rsid w:val="00FE25DD"/>
    <w:pPr>
      <w:spacing w:after="200" w:line="276" w:lineRule="auto"/>
      <w:ind w:left="716" w:hanging="432"/>
      <w:jc w:val="both"/>
    </w:pPr>
    <w:rPr>
      <w:rFonts w:ascii="ITC Avant Garde" w:eastAsia="Times New Roman" w:hAnsi="ITC Avant Garde" w:cs="Arial"/>
      <w:b/>
      <w:iCs/>
    </w:rPr>
  </w:style>
  <w:style w:type="paragraph" w:customStyle="1" w:styleId="Niv2Bullets">
    <w:name w:val="Niv2Bullets"/>
    <w:basedOn w:val="IFTnormal"/>
    <w:next w:val="IFTnormal"/>
    <w:autoRedefine/>
    <w:qFormat/>
    <w:rsid w:val="00FE25DD"/>
    <w:pPr>
      <w:numPr>
        <w:ilvl w:val="1"/>
        <w:numId w:val="2"/>
      </w:numPr>
      <w:ind w:left="1434" w:hanging="357"/>
      <w:contextualSpacing/>
      <w:outlineLvl w:val="1"/>
    </w:pPr>
  </w:style>
  <w:style w:type="paragraph" w:customStyle="1" w:styleId="ApartadoSub">
    <w:name w:val="ApartadoSub"/>
    <w:basedOn w:val="Normal"/>
    <w:qFormat/>
    <w:rsid w:val="00FE25DD"/>
    <w:pPr>
      <w:spacing w:after="200" w:line="276" w:lineRule="auto"/>
      <w:jc w:val="both"/>
    </w:pPr>
    <w:rPr>
      <w:rFonts w:ascii="ITC Avant Garde" w:eastAsia="Calibri" w:hAnsi="ITC Avant Garde" w:cs="Times New Roman"/>
      <w:u w:val="single"/>
    </w:rPr>
  </w:style>
  <w:style w:type="paragraph" w:customStyle="1" w:styleId="ListaCitaOtras">
    <w:name w:val="ListaCitaOtras"/>
    <w:basedOn w:val="Citaift"/>
    <w:link w:val="ListaCitaOtrasCar"/>
    <w:qFormat/>
    <w:rsid w:val="00FE25DD"/>
    <w:pPr>
      <w:numPr>
        <w:numId w:val="4"/>
      </w:numPr>
      <w:ind w:left="1570" w:hanging="357"/>
    </w:pPr>
  </w:style>
  <w:style w:type="character" w:customStyle="1" w:styleId="ListaCitaOtrasCar">
    <w:name w:val="ListaCitaOtras Car"/>
    <w:basedOn w:val="CitaiftCar"/>
    <w:link w:val="ListaCitaOtras"/>
    <w:rsid w:val="00FE25DD"/>
    <w:rPr>
      <w:rFonts w:ascii="ITC Avant Garde" w:eastAsia="Times New Roman" w:hAnsi="ITC Avant Garde" w:cs="Arial"/>
      <w:i/>
      <w:color w:val="000000"/>
      <w:sz w:val="18"/>
      <w:szCs w:val="18"/>
      <w:lang w:eastAsia="es-ES"/>
    </w:rPr>
  </w:style>
  <w:style w:type="paragraph" w:customStyle="1" w:styleId="Titulo1">
    <w:name w:val="Titulo 1"/>
    <w:basedOn w:val="Prrafodelista"/>
    <w:next w:val="Normal"/>
    <w:qFormat/>
    <w:rsid w:val="00FE25DD"/>
    <w:pPr>
      <w:adjustRightInd w:val="0"/>
      <w:spacing w:after="0" w:line="240" w:lineRule="auto"/>
      <w:ind w:left="0"/>
      <w:jc w:val="both"/>
    </w:pPr>
    <w:rPr>
      <w:rFonts w:ascii="ITC Avant Garde" w:eastAsia="Times New Roman" w:hAnsi="ITC Avant Garde" w:cs="Arial"/>
      <w:b/>
      <w:bCs/>
      <w:color w:val="000000"/>
      <w:lang w:val="es-ES" w:eastAsia="es-ES"/>
    </w:rPr>
  </w:style>
  <w:style w:type="table" w:customStyle="1" w:styleId="Sombreadomedio2-nfasis11">
    <w:name w:val="Sombreado medio 2 - Énfasis 11"/>
    <w:basedOn w:val="Tablanormal"/>
    <w:uiPriority w:val="64"/>
    <w:rsid w:val="00FE25DD"/>
    <w:pPr>
      <w:spacing w:after="0" w:line="240" w:lineRule="auto"/>
    </w:pPr>
    <w:rPr>
      <w:rFonts w:ascii="Calibri" w:eastAsia="Calibri" w:hAnsi="Calibri" w:cs="Times New Roman"/>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istavistosa-nfasis1Car">
    <w:name w:val="Lista vistosa - Énfasis 1 Car"/>
    <w:link w:val="Listavistosa-nfasis1"/>
    <w:uiPriority w:val="34"/>
    <w:semiHidden/>
    <w:rsid w:val="00FE25DD"/>
    <w:rPr>
      <w:sz w:val="22"/>
      <w:szCs w:val="22"/>
      <w:lang w:eastAsia="en-US"/>
    </w:rPr>
  </w:style>
  <w:style w:type="table" w:styleId="Listavistosa-nfasis1">
    <w:name w:val="Colorful List Accent 1"/>
    <w:basedOn w:val="Tablanormal"/>
    <w:link w:val="Listavistosa-nfasis1Car"/>
    <w:uiPriority w:val="34"/>
    <w:semiHidden/>
    <w:unhideWhenUsed/>
    <w:rsid w:val="00FE25DD"/>
    <w:pPr>
      <w:spacing w:after="0" w:line="240" w:lineRule="auto"/>
    </w:p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customStyle="1" w:styleId="PuntosC5">
    <w:name w:val="PuntosC5"/>
    <w:basedOn w:val="PuntosC4"/>
    <w:link w:val="PuntosC5Car"/>
    <w:qFormat/>
    <w:rsid w:val="00FE25DD"/>
    <w:pPr>
      <w:ind w:left="792"/>
    </w:pPr>
  </w:style>
  <w:style w:type="paragraph" w:customStyle="1" w:styleId="Niv2C4">
    <w:name w:val="Niv2C4"/>
    <w:basedOn w:val="Subttulo"/>
    <w:link w:val="Niv2C4Car"/>
    <w:qFormat/>
    <w:rsid w:val="00FE25DD"/>
    <w:pPr>
      <w:ind w:left="1224" w:hanging="504"/>
    </w:pPr>
  </w:style>
  <w:style w:type="character" w:customStyle="1" w:styleId="PuntosC4Car">
    <w:name w:val="PuntosC4 Car"/>
    <w:basedOn w:val="Fuentedeprrafopredeter"/>
    <w:link w:val="PuntosC4"/>
    <w:rsid w:val="00FE25DD"/>
    <w:rPr>
      <w:rFonts w:ascii="ITC Avant Garde" w:eastAsia="Times New Roman" w:hAnsi="ITC Avant Garde" w:cs="Arial"/>
      <w:b/>
      <w:iCs/>
    </w:rPr>
  </w:style>
  <w:style w:type="character" w:customStyle="1" w:styleId="PuntosC5Car">
    <w:name w:val="PuntosC5 Car"/>
    <w:basedOn w:val="PuntosC4Car"/>
    <w:link w:val="PuntosC5"/>
    <w:rsid w:val="00FE25DD"/>
    <w:rPr>
      <w:rFonts w:ascii="ITC Avant Garde" w:eastAsia="Times New Roman" w:hAnsi="ITC Avant Garde" w:cs="Arial"/>
      <w:b/>
      <w:iCs/>
    </w:rPr>
  </w:style>
  <w:style w:type="paragraph" w:customStyle="1" w:styleId="Niv3C4">
    <w:name w:val="Niv3C4"/>
    <w:basedOn w:val="Subttulo"/>
    <w:link w:val="Niv3C4Car"/>
    <w:qFormat/>
    <w:rsid w:val="00FE25DD"/>
    <w:pPr>
      <w:ind w:left="1925" w:hanging="648"/>
    </w:pPr>
  </w:style>
  <w:style w:type="paragraph" w:customStyle="1" w:styleId="TxtListado">
    <w:name w:val="TxtListado"/>
    <w:basedOn w:val="Normal"/>
    <w:qFormat/>
    <w:rsid w:val="00FE25DD"/>
    <w:pPr>
      <w:spacing w:after="200" w:line="276" w:lineRule="auto"/>
    </w:pPr>
    <w:rPr>
      <w:rFonts w:ascii="ITC Avant Garde" w:eastAsia="Calibri" w:hAnsi="ITC Avant Garde" w:cs="Times New Roman"/>
      <w:sz w:val="20"/>
      <w:szCs w:val="20"/>
      <w:lang w:eastAsia="es-ES"/>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FE25DD"/>
    <w:pPr>
      <w:spacing w:after="0" w:line="240" w:lineRule="auto"/>
    </w:pPr>
    <w:rPr>
      <w:rFonts w:ascii="Calibri" w:eastAsia="Calibri" w:hAnsi="Calibri" w:cs="Times New Roman"/>
      <w:sz w:val="20"/>
      <w:szCs w:val="20"/>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FE25DD"/>
    <w:rPr>
      <w:rFonts w:ascii="Calibri" w:eastAsia="Calibri" w:hAnsi="Calibri" w:cs="Times New Roman"/>
      <w:sz w:val="20"/>
      <w:szCs w:val="20"/>
    </w:rPr>
  </w:style>
  <w:style w:type="paragraph" w:styleId="Mapadeldocumento">
    <w:name w:val="Document Map"/>
    <w:basedOn w:val="Normal"/>
    <w:link w:val="MapadeldocumentoCar"/>
    <w:uiPriority w:val="99"/>
    <w:semiHidden/>
    <w:unhideWhenUsed/>
    <w:rsid w:val="00FE25DD"/>
    <w:pPr>
      <w:spacing w:after="0" w:line="240" w:lineRule="auto"/>
    </w:pPr>
    <w:rPr>
      <w:rFonts w:ascii="Lucida Grande" w:eastAsia="Calibri" w:hAnsi="Lucida Grande" w:cs="Lucida Grande"/>
      <w:sz w:val="24"/>
      <w:szCs w:val="24"/>
    </w:rPr>
  </w:style>
  <w:style w:type="character" w:customStyle="1" w:styleId="MapadeldocumentoCar">
    <w:name w:val="Mapa del documento Car"/>
    <w:basedOn w:val="Fuentedeprrafopredeter"/>
    <w:link w:val="Mapadeldocumento"/>
    <w:uiPriority w:val="99"/>
    <w:semiHidden/>
    <w:rsid w:val="00FE25DD"/>
    <w:rPr>
      <w:rFonts w:ascii="Lucida Grande" w:eastAsia="Calibri" w:hAnsi="Lucida Grande" w:cs="Lucida Grande"/>
      <w:sz w:val="24"/>
      <w:szCs w:val="24"/>
    </w:rPr>
  </w:style>
  <w:style w:type="paragraph" w:customStyle="1" w:styleId="Texto">
    <w:name w:val="Texto"/>
    <w:basedOn w:val="Normal"/>
    <w:link w:val="TextoCar"/>
    <w:rsid w:val="00FE25DD"/>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FE25DD"/>
    <w:rPr>
      <w:rFonts w:ascii="Arial" w:eastAsia="Times New Roman" w:hAnsi="Arial" w:cs="Arial"/>
      <w:sz w:val="18"/>
      <w:szCs w:val="20"/>
      <w:lang w:val="es-ES" w:eastAsia="es-ES"/>
    </w:rPr>
  </w:style>
  <w:style w:type="paragraph" w:customStyle="1" w:styleId="z">
    <w:name w:val="z"/>
    <w:basedOn w:val="Normal"/>
    <w:link w:val="zCar"/>
    <w:qFormat/>
    <w:rsid w:val="00FE25DD"/>
    <w:pPr>
      <w:spacing w:after="200" w:line="276" w:lineRule="auto"/>
      <w:jc w:val="both"/>
    </w:pPr>
    <w:rPr>
      <w:rFonts w:ascii="ITC Avant Garde" w:eastAsia="Times New Roman" w:hAnsi="ITC Avant Garde" w:cs="Times New Roman"/>
      <w:iCs/>
    </w:rPr>
  </w:style>
  <w:style w:type="character" w:customStyle="1" w:styleId="zCar">
    <w:name w:val="z Car"/>
    <w:link w:val="z"/>
    <w:rsid w:val="00FE25DD"/>
    <w:rPr>
      <w:rFonts w:ascii="ITC Avant Garde" w:eastAsia="Times New Roman" w:hAnsi="ITC Avant Garde" w:cs="Times New Roman"/>
      <w:iCs/>
    </w:rPr>
  </w:style>
  <w:style w:type="paragraph" w:customStyle="1" w:styleId="Default">
    <w:name w:val="Default"/>
    <w:rsid w:val="00FE25DD"/>
    <w:pPr>
      <w:autoSpaceDE w:val="0"/>
      <w:autoSpaceDN w:val="0"/>
      <w:adjustRightInd w:val="0"/>
      <w:spacing w:after="0" w:line="240" w:lineRule="auto"/>
    </w:pPr>
    <w:rPr>
      <w:rFonts w:ascii="ITC Avant Garde" w:hAnsi="ITC Avant Garde" w:cs="ITC Avant Garde"/>
      <w:color w:val="000000"/>
      <w:sz w:val="24"/>
      <w:szCs w:val="24"/>
    </w:rPr>
  </w:style>
  <w:style w:type="paragraph" w:styleId="Textoindependiente3">
    <w:name w:val="Body Text 3"/>
    <w:basedOn w:val="Normal"/>
    <w:link w:val="Textoindependiente3Car"/>
    <w:unhideWhenUsed/>
    <w:rsid w:val="00FE25DD"/>
    <w:pPr>
      <w:spacing w:after="120" w:line="276" w:lineRule="auto"/>
    </w:pPr>
    <w:rPr>
      <w:rFonts w:ascii="Calibri" w:eastAsia="Calibri" w:hAnsi="Calibri" w:cs="Times New Roman"/>
      <w:sz w:val="16"/>
      <w:szCs w:val="16"/>
    </w:rPr>
  </w:style>
  <w:style w:type="character" w:customStyle="1" w:styleId="Textoindependiente3Car">
    <w:name w:val="Texto independiente 3 Car"/>
    <w:basedOn w:val="Fuentedeprrafopredeter"/>
    <w:link w:val="Textoindependiente3"/>
    <w:rsid w:val="00FE25DD"/>
    <w:rPr>
      <w:rFonts w:ascii="Calibri" w:eastAsia="Calibri" w:hAnsi="Calibri" w:cs="Times New Roman"/>
      <w:sz w:val="16"/>
      <w:szCs w:val="16"/>
    </w:rPr>
  </w:style>
  <w:style w:type="paragraph" w:customStyle="1" w:styleId="CondicionesFinales">
    <w:name w:val="CondicionesFinales"/>
    <w:basedOn w:val="Citaift"/>
    <w:qFormat/>
    <w:rsid w:val="00FE25DD"/>
    <w:rPr>
      <w:bCs/>
      <w:i w:val="0"/>
      <w:sz w:val="22"/>
      <w:szCs w:val="22"/>
      <w:lang w:val="es-ES_tradnl"/>
    </w:rPr>
  </w:style>
  <w:style w:type="character" w:styleId="nfasis">
    <w:name w:val="Emphasis"/>
    <w:aliases w:val="Título 4 (1.1.1)"/>
    <w:uiPriority w:val="20"/>
    <w:qFormat/>
    <w:rsid w:val="00FE25DD"/>
    <w:rPr>
      <w:rFonts w:ascii="Arial" w:eastAsia="Times New Roman" w:hAnsi="Arial" w:cs="Times New Roman"/>
      <w:b w:val="0"/>
      <w:bCs/>
      <w:caps w:val="0"/>
      <w:smallCaps w:val="0"/>
      <w:strike w:val="0"/>
      <w:dstrike w:val="0"/>
      <w:vanish w:val="0"/>
      <w:color w:val="auto"/>
      <w:sz w:val="22"/>
      <w:szCs w:val="28"/>
      <w:u w:val="single"/>
      <w:vertAlign w:val="baseline"/>
      <w:lang w:val="es-MX"/>
    </w:rPr>
  </w:style>
  <w:style w:type="paragraph" w:customStyle="1" w:styleId="ecxmsonormal">
    <w:name w:val="ecxmsonormal"/>
    <w:basedOn w:val="Normal"/>
    <w:uiPriority w:val="99"/>
    <w:rsid w:val="00544C14"/>
    <w:pPr>
      <w:spacing w:after="324" w:line="276" w:lineRule="auto"/>
      <w:jc w:val="both"/>
    </w:pPr>
    <w:rPr>
      <w:rFonts w:ascii="Arial" w:eastAsia="Calibri" w:hAnsi="Arial" w:cs="Arial"/>
    </w:rPr>
  </w:style>
  <w:style w:type="character" w:customStyle="1" w:styleId="IFTnormalCar">
    <w:name w:val="IFT normal Car"/>
    <w:basedOn w:val="Fuentedeprrafopredeter"/>
    <w:link w:val="IFTnormal"/>
    <w:rsid w:val="00C94809"/>
    <w:rPr>
      <w:rFonts w:ascii="ITC Avant Garde" w:eastAsia="Calibri" w:hAnsi="ITC Avant Garde" w:cs="Arial"/>
      <w:color w:val="000000"/>
      <w:lang w:val="es-ES_tradnl" w:eastAsia="es-ES"/>
    </w:rPr>
  </w:style>
  <w:style w:type="paragraph" w:customStyle="1" w:styleId="03TitPrin">
    <w:name w:val="03TitPrin"/>
    <w:basedOn w:val="Niv3C4"/>
    <w:next w:val="Niv3C4"/>
    <w:link w:val="03TitPrinCar"/>
    <w:autoRedefine/>
    <w:qFormat/>
    <w:rsid w:val="00F24F9B"/>
    <w:pPr>
      <w:tabs>
        <w:tab w:val="left" w:pos="992"/>
        <w:tab w:val="left" w:pos="1276"/>
      </w:tabs>
      <w:spacing w:before="120"/>
      <w:ind w:left="648"/>
      <w:jc w:val="left"/>
    </w:pPr>
  </w:style>
  <w:style w:type="paragraph" w:customStyle="1" w:styleId="LosOdioAtodos">
    <w:name w:val="LosOdioAtodos"/>
    <w:basedOn w:val="Niv3C4"/>
    <w:link w:val="LosOdioAtodosCar"/>
    <w:qFormat/>
    <w:rsid w:val="00F21DFB"/>
    <w:pPr>
      <w:tabs>
        <w:tab w:val="left" w:pos="851"/>
        <w:tab w:val="left" w:pos="1276"/>
      </w:tabs>
      <w:outlineLvl w:val="2"/>
    </w:pPr>
  </w:style>
  <w:style w:type="character" w:customStyle="1" w:styleId="Niv3C4Car">
    <w:name w:val="Niv3C4 Car"/>
    <w:basedOn w:val="SubttuloCar"/>
    <w:link w:val="Niv3C4"/>
    <w:rsid w:val="00132489"/>
    <w:rPr>
      <w:rFonts w:ascii="ITC Avant Garde" w:eastAsia="Calibri" w:hAnsi="ITC Avant Garde" w:cs="Times New Roman"/>
      <w:b/>
    </w:rPr>
  </w:style>
  <w:style w:type="character" w:customStyle="1" w:styleId="03TitPrinCar">
    <w:name w:val="03TitPrin Car"/>
    <w:basedOn w:val="Niv3C4Car"/>
    <w:link w:val="03TitPrin"/>
    <w:rsid w:val="00F24F9B"/>
    <w:rPr>
      <w:rFonts w:ascii="ITC Avant Garde" w:eastAsia="Calibri" w:hAnsi="ITC Avant Garde" w:cs="Times New Roman"/>
      <w:b/>
    </w:rPr>
  </w:style>
  <w:style w:type="paragraph" w:styleId="TDC1">
    <w:name w:val="toc 1"/>
    <w:basedOn w:val="Normal"/>
    <w:next w:val="Normal"/>
    <w:autoRedefine/>
    <w:uiPriority w:val="39"/>
    <w:unhideWhenUsed/>
    <w:rsid w:val="007E241F"/>
    <w:pPr>
      <w:spacing w:after="100"/>
    </w:pPr>
  </w:style>
  <w:style w:type="paragraph" w:styleId="TDC2">
    <w:name w:val="toc 2"/>
    <w:basedOn w:val="Normal"/>
    <w:next w:val="Normal"/>
    <w:autoRedefine/>
    <w:uiPriority w:val="39"/>
    <w:unhideWhenUsed/>
    <w:rsid w:val="007E241F"/>
    <w:pPr>
      <w:spacing w:after="100"/>
      <w:ind w:left="220"/>
    </w:pPr>
  </w:style>
  <w:style w:type="paragraph" w:styleId="TDC3">
    <w:name w:val="toc 3"/>
    <w:basedOn w:val="Normal"/>
    <w:next w:val="Normal"/>
    <w:autoRedefine/>
    <w:uiPriority w:val="39"/>
    <w:unhideWhenUsed/>
    <w:rsid w:val="00562A5E"/>
    <w:pPr>
      <w:tabs>
        <w:tab w:val="left" w:pos="1540"/>
        <w:tab w:val="right" w:leader="dot" w:pos="8828"/>
      </w:tabs>
      <w:spacing w:after="100"/>
      <w:ind w:left="440"/>
    </w:pPr>
  </w:style>
  <w:style w:type="paragraph" w:customStyle="1" w:styleId="5TitCin">
    <w:name w:val="5TitCin"/>
    <w:basedOn w:val="LosOdioAtodos"/>
    <w:link w:val="5TitCinCar"/>
    <w:autoRedefine/>
    <w:qFormat/>
    <w:rsid w:val="000B2230"/>
    <w:pPr>
      <w:numPr>
        <w:numId w:val="7"/>
      </w:numPr>
      <w:tabs>
        <w:tab w:val="left" w:pos="709"/>
        <w:tab w:val="left" w:pos="1134"/>
      </w:tabs>
      <w:outlineLvl w:val="3"/>
    </w:pPr>
    <w:rPr>
      <w:b w:val="0"/>
    </w:rPr>
  </w:style>
  <w:style w:type="paragraph" w:customStyle="1" w:styleId="RIFT">
    <w:name w:val="R_IFT"/>
    <w:basedOn w:val="Ttulo2"/>
    <w:link w:val="RIFTCar"/>
    <w:qFormat/>
    <w:rsid w:val="002051DF"/>
  </w:style>
  <w:style w:type="character" w:customStyle="1" w:styleId="LosOdioAtodosCar">
    <w:name w:val="LosOdioAtodos Car"/>
    <w:basedOn w:val="Niv3C4Car"/>
    <w:link w:val="LosOdioAtodos"/>
    <w:rsid w:val="007E241F"/>
    <w:rPr>
      <w:rFonts w:ascii="ITC Avant Garde" w:eastAsia="Calibri" w:hAnsi="ITC Avant Garde" w:cs="Times New Roman"/>
      <w:b/>
    </w:rPr>
  </w:style>
  <w:style w:type="character" w:customStyle="1" w:styleId="5TitCinCar">
    <w:name w:val="5TitCin Car"/>
    <w:basedOn w:val="LosOdioAtodosCar"/>
    <w:link w:val="5TitCin"/>
    <w:rsid w:val="000B2230"/>
    <w:rPr>
      <w:rFonts w:ascii="ITC Avant Garde" w:eastAsia="Calibri" w:hAnsi="ITC Avant Garde" w:cs="Times New Roman"/>
      <w:b w:val="0"/>
    </w:rPr>
  </w:style>
  <w:style w:type="paragraph" w:customStyle="1" w:styleId="4TitCuar">
    <w:name w:val="4TitCuar"/>
    <w:basedOn w:val="Niv3C4"/>
    <w:link w:val="4TitCuarCar"/>
    <w:autoRedefine/>
    <w:qFormat/>
    <w:rsid w:val="00AE71D8"/>
    <w:pPr>
      <w:numPr>
        <w:ilvl w:val="3"/>
        <w:numId w:val="5"/>
      </w:numPr>
      <w:tabs>
        <w:tab w:val="left" w:pos="709"/>
        <w:tab w:val="left" w:leader="underscore" w:pos="1134"/>
      </w:tabs>
      <w:outlineLvl w:val="2"/>
    </w:pPr>
    <w:rPr>
      <w:b w:val="0"/>
    </w:rPr>
  </w:style>
  <w:style w:type="character" w:customStyle="1" w:styleId="RIFTCar">
    <w:name w:val="R_IFT Car"/>
    <w:basedOn w:val="Ttulo2Car"/>
    <w:link w:val="RIFT"/>
    <w:rsid w:val="002051DF"/>
    <w:rPr>
      <w:rFonts w:ascii="ITC Avant Garde" w:eastAsia="Times New Roman" w:hAnsi="ITC Avant Garde" w:cs="Arial"/>
      <w:b/>
      <w:bCs/>
    </w:rPr>
  </w:style>
  <w:style w:type="paragraph" w:customStyle="1" w:styleId="R2N4C4">
    <w:name w:val="R2N4C4"/>
    <w:basedOn w:val="4TitCuar"/>
    <w:link w:val="R2N4C4Car"/>
    <w:rsid w:val="008116C9"/>
    <w:pPr>
      <w:outlineLvl w:val="3"/>
    </w:pPr>
  </w:style>
  <w:style w:type="character" w:customStyle="1" w:styleId="4TitCuarCar">
    <w:name w:val="4TitCuar Car"/>
    <w:basedOn w:val="Niv3C4Car"/>
    <w:link w:val="4TitCuar"/>
    <w:rsid w:val="00AE71D8"/>
    <w:rPr>
      <w:rFonts w:ascii="ITC Avant Garde" w:eastAsia="Calibri" w:hAnsi="ITC Avant Garde" w:cs="Times New Roman"/>
      <w:b w:val="0"/>
    </w:rPr>
  </w:style>
  <w:style w:type="paragraph" w:customStyle="1" w:styleId="3TitTer">
    <w:name w:val="3TitTer"/>
    <w:basedOn w:val="Niv2C4"/>
    <w:link w:val="3TitTerCar"/>
    <w:autoRedefine/>
    <w:qFormat/>
    <w:rsid w:val="00A467F9"/>
    <w:pPr>
      <w:ind w:left="0" w:firstLine="0"/>
      <w:outlineLvl w:val="1"/>
    </w:pPr>
  </w:style>
  <w:style w:type="character" w:customStyle="1" w:styleId="R2N4C4Car">
    <w:name w:val="R2N4C4 Car"/>
    <w:basedOn w:val="4TitCuarCar"/>
    <w:link w:val="R2N4C4"/>
    <w:rsid w:val="008116C9"/>
    <w:rPr>
      <w:rFonts w:ascii="ITC Avant Garde" w:eastAsia="Calibri" w:hAnsi="ITC Avant Garde" w:cs="Times New Roman"/>
      <w:b w:val="0"/>
    </w:rPr>
  </w:style>
  <w:style w:type="paragraph" w:customStyle="1" w:styleId="01TitPrin">
    <w:name w:val="01TitPrin"/>
    <w:basedOn w:val="Ttulo1"/>
    <w:link w:val="01TitPrinCar"/>
    <w:autoRedefine/>
    <w:qFormat/>
    <w:rsid w:val="001446EA"/>
  </w:style>
  <w:style w:type="character" w:customStyle="1" w:styleId="Niv2C4Car">
    <w:name w:val="Niv2C4 Car"/>
    <w:basedOn w:val="SubttuloCar"/>
    <w:link w:val="Niv2C4"/>
    <w:rsid w:val="009A3DB1"/>
    <w:rPr>
      <w:rFonts w:ascii="ITC Avant Garde" w:eastAsia="Calibri" w:hAnsi="ITC Avant Garde" w:cs="Times New Roman"/>
      <w:b/>
    </w:rPr>
  </w:style>
  <w:style w:type="character" w:customStyle="1" w:styleId="3TitTerCar">
    <w:name w:val="3TitTer Car"/>
    <w:basedOn w:val="Niv2C4Car"/>
    <w:link w:val="3TitTer"/>
    <w:rsid w:val="00A467F9"/>
    <w:rPr>
      <w:rFonts w:ascii="ITC Avant Garde" w:eastAsia="Calibri" w:hAnsi="ITC Avant Garde" w:cs="Times New Roman"/>
      <w:b/>
    </w:rPr>
  </w:style>
  <w:style w:type="character" w:customStyle="1" w:styleId="01TitPrinCar">
    <w:name w:val="01TitPrin Car"/>
    <w:link w:val="01TitPrin"/>
    <w:rsid w:val="001446EA"/>
    <w:rPr>
      <w:rFonts w:ascii="ITC Avant Garde" w:eastAsia="Calibri" w:hAnsi="ITC Avant Garde" w:cs="Arial"/>
      <w:b/>
      <w:color w:val="000000"/>
      <w:lang w:val="es-ES" w:eastAsia="es-ES"/>
    </w:rPr>
  </w:style>
  <w:style w:type="paragraph" w:customStyle="1" w:styleId="N1IFT">
    <w:name w:val="N1 IFT"/>
    <w:basedOn w:val="Ttulo1"/>
    <w:autoRedefine/>
    <w:qFormat/>
    <w:rsid w:val="00DC04A1"/>
    <w:pPr>
      <w:ind w:left="792" w:hanging="432"/>
    </w:pPr>
  </w:style>
  <w:style w:type="paragraph" w:customStyle="1" w:styleId="T2IFT">
    <w:name w:val="T2 IFT"/>
    <w:basedOn w:val="Niv2C4"/>
    <w:autoRedefine/>
    <w:qFormat/>
    <w:rsid w:val="004F575C"/>
    <w:pPr>
      <w:spacing w:before="240"/>
      <w:jc w:val="center"/>
      <w:outlineLvl w:val="1"/>
    </w:pPr>
  </w:style>
  <w:style w:type="paragraph" w:styleId="TDC4">
    <w:name w:val="toc 4"/>
    <w:basedOn w:val="Normal"/>
    <w:next w:val="Normal"/>
    <w:autoRedefine/>
    <w:uiPriority w:val="39"/>
    <w:unhideWhenUsed/>
    <w:rsid w:val="00562A5E"/>
    <w:pPr>
      <w:spacing w:after="100"/>
      <w:ind w:left="660"/>
    </w:pPr>
  </w:style>
  <w:style w:type="paragraph" w:styleId="TDC5">
    <w:name w:val="toc 5"/>
    <w:basedOn w:val="Normal"/>
    <w:next w:val="Normal"/>
    <w:autoRedefine/>
    <w:uiPriority w:val="39"/>
    <w:unhideWhenUsed/>
    <w:rsid w:val="00562A5E"/>
    <w:pPr>
      <w:spacing w:after="100"/>
      <w:ind w:left="880"/>
    </w:pPr>
    <w:rPr>
      <w:rFonts w:eastAsiaTheme="minorEastAsia"/>
      <w:lang w:val="en-US"/>
    </w:rPr>
  </w:style>
  <w:style w:type="paragraph" w:styleId="TDC6">
    <w:name w:val="toc 6"/>
    <w:basedOn w:val="Normal"/>
    <w:next w:val="Normal"/>
    <w:autoRedefine/>
    <w:uiPriority w:val="39"/>
    <w:unhideWhenUsed/>
    <w:rsid w:val="00562A5E"/>
    <w:pPr>
      <w:spacing w:after="100"/>
      <w:ind w:left="1100"/>
    </w:pPr>
    <w:rPr>
      <w:rFonts w:eastAsiaTheme="minorEastAsia"/>
      <w:lang w:val="en-US"/>
    </w:rPr>
  </w:style>
  <w:style w:type="paragraph" w:styleId="TDC7">
    <w:name w:val="toc 7"/>
    <w:basedOn w:val="Normal"/>
    <w:next w:val="Normal"/>
    <w:autoRedefine/>
    <w:uiPriority w:val="39"/>
    <w:unhideWhenUsed/>
    <w:rsid w:val="00562A5E"/>
    <w:pPr>
      <w:spacing w:after="100"/>
      <w:ind w:left="1320"/>
    </w:pPr>
    <w:rPr>
      <w:rFonts w:eastAsiaTheme="minorEastAsia"/>
      <w:lang w:val="en-US"/>
    </w:rPr>
  </w:style>
  <w:style w:type="paragraph" w:styleId="TDC8">
    <w:name w:val="toc 8"/>
    <w:basedOn w:val="Normal"/>
    <w:next w:val="Normal"/>
    <w:autoRedefine/>
    <w:uiPriority w:val="39"/>
    <w:unhideWhenUsed/>
    <w:rsid w:val="00562A5E"/>
    <w:pPr>
      <w:spacing w:after="100"/>
      <w:ind w:left="1540"/>
    </w:pPr>
    <w:rPr>
      <w:rFonts w:eastAsiaTheme="minorEastAsia"/>
      <w:lang w:val="en-US"/>
    </w:rPr>
  </w:style>
  <w:style w:type="paragraph" w:styleId="TDC9">
    <w:name w:val="toc 9"/>
    <w:basedOn w:val="Normal"/>
    <w:next w:val="Normal"/>
    <w:autoRedefine/>
    <w:uiPriority w:val="39"/>
    <w:unhideWhenUsed/>
    <w:rsid w:val="00562A5E"/>
    <w:pPr>
      <w:spacing w:after="100"/>
      <w:ind w:left="1760"/>
    </w:pPr>
    <w:rPr>
      <w:rFonts w:eastAsiaTheme="minorEastAsia"/>
      <w:lang w:val="en-US"/>
    </w:rPr>
  </w:style>
  <w:style w:type="paragraph" w:styleId="Ttulo">
    <w:name w:val="Title"/>
    <w:basedOn w:val="Normal"/>
    <w:next w:val="Normal"/>
    <w:link w:val="TtuloCar"/>
    <w:uiPriority w:val="99"/>
    <w:qFormat/>
    <w:rsid w:val="007F50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99"/>
    <w:rsid w:val="007F5045"/>
    <w:rPr>
      <w:rFonts w:asciiTheme="majorHAnsi" w:eastAsiaTheme="majorEastAsia" w:hAnsiTheme="majorHAnsi" w:cstheme="majorBidi"/>
      <w:spacing w:val="-10"/>
      <w:kern w:val="28"/>
      <w:sz w:val="56"/>
      <w:szCs w:val="56"/>
    </w:rPr>
  </w:style>
  <w:style w:type="character" w:styleId="nfasissutil">
    <w:name w:val="Subtle Emphasis"/>
    <w:basedOn w:val="Fuentedeprrafopredeter"/>
    <w:uiPriority w:val="19"/>
    <w:qFormat/>
    <w:rsid w:val="007F5045"/>
    <w:rPr>
      <w:i/>
      <w:iCs/>
      <w:color w:val="404040" w:themeColor="text1" w:themeTint="BF"/>
    </w:rPr>
  </w:style>
  <w:style w:type="paragraph" w:styleId="Textoindependiente">
    <w:name w:val="Body Text"/>
    <w:basedOn w:val="Normal"/>
    <w:link w:val="TextoindependienteCar"/>
    <w:unhideWhenUsed/>
    <w:rsid w:val="004720EE"/>
    <w:pPr>
      <w:spacing w:after="120"/>
    </w:pPr>
  </w:style>
  <w:style w:type="character" w:customStyle="1" w:styleId="TextoindependienteCar">
    <w:name w:val="Texto independiente Car"/>
    <w:basedOn w:val="Fuentedeprrafopredeter"/>
    <w:link w:val="Textoindependiente"/>
    <w:rsid w:val="004720EE"/>
  </w:style>
  <w:style w:type="paragraph" w:customStyle="1" w:styleId="IFTTexto">
    <w:name w:val="IFT Texto"/>
    <w:link w:val="IFTTextoCar"/>
    <w:qFormat/>
    <w:rsid w:val="00A0570F"/>
    <w:pPr>
      <w:spacing w:after="200" w:line="276" w:lineRule="auto"/>
      <w:jc w:val="both"/>
    </w:pPr>
    <w:rPr>
      <w:rFonts w:ascii="ITC Avant Garde" w:eastAsia="Calibri" w:hAnsi="ITC Avant Garde" w:cs="Arial"/>
      <w:color w:val="000000"/>
      <w:lang w:val="es-ES_tradnl" w:eastAsia="es-ES"/>
    </w:rPr>
  </w:style>
  <w:style w:type="character" w:customStyle="1" w:styleId="IFTTextoCar">
    <w:name w:val="IFT Texto Car"/>
    <w:basedOn w:val="Fuentedeprrafopredeter"/>
    <w:link w:val="IFTTexto"/>
    <w:rsid w:val="00A0570F"/>
    <w:rPr>
      <w:rFonts w:ascii="ITC Avant Garde" w:eastAsia="Calibri" w:hAnsi="ITC Avant Garde" w:cs="Arial"/>
      <w:color w:val="000000"/>
      <w:lang w:val="es-ES_tradnl" w:eastAsia="es-ES"/>
    </w:rPr>
  </w:style>
  <w:style w:type="paragraph" w:customStyle="1" w:styleId="estilo30">
    <w:name w:val="estilo30"/>
    <w:basedOn w:val="Normal"/>
    <w:rsid w:val="00AF0E6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IFT1">
    <w:name w:val="IFT 1"/>
    <w:basedOn w:val="Normal"/>
    <w:link w:val="IFT1Car"/>
    <w:qFormat/>
    <w:rsid w:val="009679BF"/>
    <w:pPr>
      <w:spacing w:after="200" w:line="276" w:lineRule="auto"/>
      <w:jc w:val="both"/>
    </w:pPr>
    <w:rPr>
      <w:rFonts w:ascii="ITC Avant Garde" w:eastAsia="Times New Roman" w:hAnsi="ITC Avant Garde" w:cs="Times New Roman"/>
      <w:iCs/>
    </w:rPr>
  </w:style>
  <w:style w:type="character" w:customStyle="1" w:styleId="IFT1Car">
    <w:name w:val="IFT 1 Car"/>
    <w:link w:val="IFT1"/>
    <w:rsid w:val="009679BF"/>
    <w:rPr>
      <w:rFonts w:ascii="ITC Avant Garde" w:eastAsia="Times New Roman" w:hAnsi="ITC Avant Garde" w:cs="Times New Roman"/>
      <w:iCs/>
    </w:rPr>
  </w:style>
  <w:style w:type="paragraph" w:styleId="Descripcin">
    <w:name w:val="caption"/>
    <w:next w:val="Normal"/>
    <w:uiPriority w:val="35"/>
    <w:qFormat/>
    <w:rsid w:val="00D712AA"/>
    <w:pPr>
      <w:keepNext/>
      <w:tabs>
        <w:tab w:val="left" w:pos="2041"/>
      </w:tabs>
      <w:spacing w:line="280" w:lineRule="atLeast"/>
    </w:pPr>
    <w:rPr>
      <w:rFonts w:ascii="Arial" w:hAnsi="Arial" w:cs="Arial"/>
      <w:bCs/>
      <w:i/>
      <w:sz w:val="18"/>
      <w:szCs w:val="18"/>
      <w:lang w:val="en-GB"/>
    </w:rPr>
  </w:style>
  <w:style w:type="paragraph" w:customStyle="1" w:styleId="Tablecells">
    <w:name w:val="Table: cells"/>
    <w:qFormat/>
    <w:rsid w:val="00D712AA"/>
    <w:pPr>
      <w:spacing w:before="40" w:after="40" w:line="240" w:lineRule="exact"/>
      <w:ind w:right="113"/>
    </w:pPr>
    <w:rPr>
      <w:rFonts w:ascii="Arial" w:hAnsi="Arial"/>
      <w:sz w:val="18"/>
      <w:lang w:val="en-GB"/>
    </w:rPr>
  </w:style>
  <w:style w:type="paragraph" w:customStyle="1" w:styleId="Tableheading">
    <w:name w:val="Table: heading"/>
    <w:basedOn w:val="Tablecells"/>
    <w:next w:val="Tablecells"/>
    <w:qFormat/>
    <w:rsid w:val="00D712AA"/>
    <w:pPr>
      <w:keepNext/>
    </w:pPr>
    <w:rPr>
      <w:b/>
      <w:color w:val="FFFFFF"/>
    </w:rPr>
  </w:style>
  <w:style w:type="paragraph" w:customStyle="1" w:styleId="01">
    <w:name w:val="01"/>
    <w:basedOn w:val="Normal"/>
    <w:qFormat/>
    <w:rsid w:val="00477BC6"/>
    <w:pPr>
      <w:spacing w:after="0" w:line="320" w:lineRule="atLeast"/>
      <w:jc w:val="both"/>
    </w:pPr>
    <w:rPr>
      <w:rFonts w:ascii="Times New Roman" w:hAnsi="Times New Roman"/>
      <w:lang w:val="es-ES"/>
    </w:rPr>
  </w:style>
  <w:style w:type="paragraph" w:customStyle="1" w:styleId="ListBulletCompact">
    <w:name w:val="List Bullet Compact"/>
    <w:basedOn w:val="Listaconvietas"/>
    <w:qFormat/>
    <w:rsid w:val="00997F2C"/>
    <w:pPr>
      <w:numPr>
        <w:numId w:val="8"/>
      </w:numPr>
      <w:spacing w:after="0" w:line="320" w:lineRule="atLeast"/>
    </w:pPr>
    <w:rPr>
      <w:rFonts w:ascii="Times New Roman" w:eastAsia="Calibri" w:hAnsi="Times New Roman" w:cs="Times New Roman"/>
      <w:iCs w:val="0"/>
      <w:lang w:val="es-ES"/>
    </w:rPr>
  </w:style>
  <w:style w:type="paragraph" w:customStyle="1" w:styleId="p1">
    <w:name w:val="p1"/>
    <w:basedOn w:val="Normal"/>
    <w:rsid w:val="00B4261F"/>
    <w:pPr>
      <w:spacing w:after="0" w:line="240" w:lineRule="auto"/>
    </w:pPr>
    <w:rPr>
      <w:rFonts w:ascii="Helvetica" w:hAnsi="Helvetica" w:cs="Times New Roman"/>
      <w:sz w:val="17"/>
      <w:szCs w:val="17"/>
      <w:lang w:val="es-ES_tradnl" w:eastAsia="es-ES_tradnl"/>
    </w:rPr>
  </w:style>
  <w:style w:type="paragraph" w:customStyle="1" w:styleId="p2">
    <w:name w:val="p2"/>
    <w:basedOn w:val="Normal"/>
    <w:rsid w:val="00B4261F"/>
    <w:pPr>
      <w:spacing w:after="0" w:line="240" w:lineRule="auto"/>
    </w:pPr>
    <w:rPr>
      <w:rFonts w:ascii="Helvetica" w:hAnsi="Helvetica" w:cs="Times New Roman"/>
      <w:sz w:val="19"/>
      <w:szCs w:val="19"/>
      <w:lang w:val="es-ES_tradnl" w:eastAsia="es-ES_tradnl"/>
    </w:rPr>
  </w:style>
  <w:style w:type="paragraph" w:customStyle="1" w:styleId="p3">
    <w:name w:val="p3"/>
    <w:basedOn w:val="Normal"/>
    <w:rsid w:val="00B4261F"/>
    <w:pPr>
      <w:spacing w:after="0" w:line="240" w:lineRule="auto"/>
    </w:pPr>
    <w:rPr>
      <w:rFonts w:ascii="Helvetica" w:hAnsi="Helvetica" w:cs="Times New Roman"/>
      <w:sz w:val="18"/>
      <w:szCs w:val="18"/>
      <w:lang w:val="es-ES_tradnl" w:eastAsia="es-ES_tradnl"/>
    </w:rPr>
  </w:style>
  <w:style w:type="paragraph" w:customStyle="1" w:styleId="p4">
    <w:name w:val="p4"/>
    <w:basedOn w:val="Normal"/>
    <w:rsid w:val="00B4261F"/>
    <w:pPr>
      <w:spacing w:after="0" w:line="240" w:lineRule="auto"/>
    </w:pPr>
    <w:rPr>
      <w:rFonts w:ascii="Helvetica" w:hAnsi="Helvetica" w:cs="Times New Roman"/>
      <w:sz w:val="16"/>
      <w:szCs w:val="16"/>
      <w:lang w:val="es-ES_tradnl" w:eastAsia="es-ES_tradnl"/>
    </w:rPr>
  </w:style>
  <w:style w:type="paragraph" w:customStyle="1" w:styleId="p5">
    <w:name w:val="p5"/>
    <w:basedOn w:val="Normal"/>
    <w:rsid w:val="00B4261F"/>
    <w:pPr>
      <w:spacing w:after="0" w:line="240" w:lineRule="auto"/>
    </w:pPr>
    <w:rPr>
      <w:rFonts w:ascii="Helvetica" w:hAnsi="Helvetica" w:cs="Times New Roman"/>
      <w:sz w:val="17"/>
      <w:szCs w:val="17"/>
      <w:lang w:val="es-ES_tradnl" w:eastAsia="es-ES_tradnl"/>
    </w:rPr>
  </w:style>
  <w:style w:type="paragraph" w:customStyle="1" w:styleId="p6">
    <w:name w:val="p6"/>
    <w:basedOn w:val="Normal"/>
    <w:rsid w:val="00B4261F"/>
    <w:pPr>
      <w:spacing w:after="0" w:line="240" w:lineRule="auto"/>
    </w:pPr>
    <w:rPr>
      <w:rFonts w:ascii="Helvetica" w:hAnsi="Helvetica" w:cs="Times New Roman"/>
      <w:sz w:val="15"/>
      <w:szCs w:val="15"/>
      <w:lang w:val="es-ES_tradnl" w:eastAsia="es-ES_tradnl"/>
    </w:rPr>
  </w:style>
  <w:style w:type="character" w:customStyle="1" w:styleId="s1">
    <w:name w:val="s1"/>
    <w:basedOn w:val="Fuentedeprrafopredeter"/>
    <w:rsid w:val="00B4261F"/>
    <w:rPr>
      <w:rFonts w:ascii="Helvetica" w:hAnsi="Helvetica" w:hint="default"/>
      <w:sz w:val="15"/>
      <w:szCs w:val="15"/>
    </w:rPr>
  </w:style>
  <w:style w:type="character" w:customStyle="1" w:styleId="s2">
    <w:name w:val="s2"/>
    <w:basedOn w:val="Fuentedeprrafopredeter"/>
    <w:rsid w:val="00B4261F"/>
    <w:rPr>
      <w:rFonts w:ascii="Helvetica" w:hAnsi="Helvetica" w:hint="default"/>
      <w:sz w:val="17"/>
      <w:szCs w:val="17"/>
    </w:rPr>
  </w:style>
  <w:style w:type="character" w:customStyle="1" w:styleId="s3">
    <w:name w:val="s3"/>
    <w:basedOn w:val="Fuentedeprrafopredeter"/>
    <w:rsid w:val="00B4261F"/>
    <w:rPr>
      <w:rFonts w:ascii="Helvetica" w:hAnsi="Helvetica" w:hint="default"/>
      <w:sz w:val="14"/>
      <w:szCs w:val="14"/>
    </w:rPr>
  </w:style>
  <w:style w:type="character" w:customStyle="1" w:styleId="s4">
    <w:name w:val="s4"/>
    <w:basedOn w:val="Fuentedeprrafopredeter"/>
    <w:rsid w:val="00B4261F"/>
    <w:rPr>
      <w:rFonts w:ascii="Helvetica" w:hAnsi="Helvetica" w:hint="default"/>
      <w:sz w:val="18"/>
      <w:szCs w:val="18"/>
    </w:rPr>
  </w:style>
  <w:style w:type="character" w:customStyle="1" w:styleId="s5">
    <w:name w:val="s5"/>
    <w:basedOn w:val="Fuentedeprrafopredeter"/>
    <w:rsid w:val="00B4261F"/>
    <w:rPr>
      <w:rFonts w:ascii="Helvetica" w:hAnsi="Helvetica" w:hint="default"/>
      <w:sz w:val="16"/>
      <w:szCs w:val="16"/>
    </w:rPr>
  </w:style>
  <w:style w:type="character" w:customStyle="1" w:styleId="s6">
    <w:name w:val="s6"/>
    <w:basedOn w:val="Fuentedeprrafopredeter"/>
    <w:rsid w:val="00B4261F"/>
    <w:rPr>
      <w:rFonts w:ascii="Helvetica" w:hAnsi="Helvetica" w:hint="default"/>
      <w:sz w:val="20"/>
      <w:szCs w:val="20"/>
    </w:rPr>
  </w:style>
  <w:style w:type="character" w:customStyle="1" w:styleId="s7">
    <w:name w:val="s7"/>
    <w:basedOn w:val="Fuentedeprrafopredeter"/>
    <w:rsid w:val="00B4261F"/>
    <w:rPr>
      <w:rFonts w:ascii="Helvetica" w:hAnsi="Helvetica" w:hint="default"/>
      <w:sz w:val="19"/>
      <w:szCs w:val="19"/>
    </w:rPr>
  </w:style>
  <w:style w:type="character" w:customStyle="1" w:styleId="s8">
    <w:name w:val="s8"/>
    <w:basedOn w:val="Fuentedeprrafopredeter"/>
    <w:rsid w:val="00B4261F"/>
    <w:rPr>
      <w:rFonts w:ascii="Helvetica" w:hAnsi="Helvetica" w:hint="default"/>
      <w:sz w:val="20"/>
      <w:szCs w:val="20"/>
    </w:rPr>
  </w:style>
  <w:style w:type="character" w:customStyle="1" w:styleId="s9">
    <w:name w:val="s9"/>
    <w:basedOn w:val="Fuentedeprrafopredeter"/>
    <w:rsid w:val="00B4261F"/>
    <w:rPr>
      <w:rFonts w:ascii="Helvetica" w:hAnsi="Helvetica" w:hint="default"/>
      <w:sz w:val="17"/>
      <w:szCs w:val="17"/>
    </w:rPr>
  </w:style>
  <w:style w:type="character" w:customStyle="1" w:styleId="s10">
    <w:name w:val="s10"/>
    <w:basedOn w:val="Fuentedeprrafopredeter"/>
    <w:rsid w:val="00B4261F"/>
    <w:rPr>
      <w:rFonts w:ascii="Helvetica" w:hAnsi="Helvetica" w:hint="default"/>
      <w:sz w:val="14"/>
      <w:szCs w:val="14"/>
    </w:rPr>
  </w:style>
  <w:style w:type="character" w:customStyle="1" w:styleId="s11">
    <w:name w:val="s11"/>
    <w:basedOn w:val="Fuentedeprrafopredeter"/>
    <w:rsid w:val="00B4261F"/>
    <w:rPr>
      <w:rFonts w:ascii="Helvetica" w:hAnsi="Helvetica" w:hint="default"/>
      <w:sz w:val="24"/>
      <w:szCs w:val="24"/>
    </w:rPr>
  </w:style>
  <w:style w:type="character" w:customStyle="1" w:styleId="s12">
    <w:name w:val="s12"/>
    <w:basedOn w:val="Fuentedeprrafopredeter"/>
    <w:rsid w:val="00B4261F"/>
    <w:rPr>
      <w:rFonts w:ascii="Helvetica" w:hAnsi="Helvetica" w:hint="default"/>
      <w:sz w:val="23"/>
      <w:szCs w:val="23"/>
    </w:rPr>
  </w:style>
  <w:style w:type="character" w:customStyle="1" w:styleId="s13">
    <w:name w:val="s13"/>
    <w:basedOn w:val="Fuentedeprrafopredeter"/>
    <w:rsid w:val="00B4261F"/>
    <w:rPr>
      <w:rFonts w:ascii="Helvetica" w:hAnsi="Helvetica" w:hint="default"/>
      <w:sz w:val="13"/>
      <w:szCs w:val="13"/>
    </w:rPr>
  </w:style>
  <w:style w:type="character" w:customStyle="1" w:styleId="s14">
    <w:name w:val="s14"/>
    <w:basedOn w:val="Fuentedeprrafopredeter"/>
    <w:rsid w:val="00B4261F"/>
    <w:rPr>
      <w:rFonts w:ascii="Helvetica" w:hAnsi="Helvetica" w:hint="default"/>
      <w:sz w:val="22"/>
      <w:szCs w:val="22"/>
    </w:rPr>
  </w:style>
  <w:style w:type="character" w:customStyle="1" w:styleId="apple-converted-space">
    <w:name w:val="apple-converted-space"/>
    <w:basedOn w:val="Fuentedeprrafopredeter"/>
    <w:rsid w:val="00B4261F"/>
  </w:style>
  <w:style w:type="character" w:styleId="Textoennegrita">
    <w:name w:val="Strong"/>
    <w:basedOn w:val="Fuentedeprrafopredeter"/>
    <w:uiPriority w:val="22"/>
    <w:qFormat/>
    <w:rsid w:val="00695425"/>
    <w:rPr>
      <w:b/>
      <w:bCs/>
    </w:rPr>
  </w:style>
  <w:style w:type="character" w:customStyle="1" w:styleId="s15">
    <w:name w:val="s15"/>
    <w:basedOn w:val="Fuentedeprrafopredeter"/>
    <w:rsid w:val="008C4677"/>
    <w:rPr>
      <w:rFonts w:ascii="Helvetica" w:hAnsi="Helvetica" w:hint="default"/>
      <w:sz w:val="23"/>
      <w:szCs w:val="23"/>
    </w:rPr>
  </w:style>
  <w:style w:type="numbering" w:customStyle="1" w:styleId="Sinlista2">
    <w:name w:val="Sin lista2"/>
    <w:next w:val="Sinlista"/>
    <w:uiPriority w:val="99"/>
    <w:semiHidden/>
    <w:unhideWhenUsed/>
    <w:rsid w:val="000323A2"/>
  </w:style>
  <w:style w:type="paragraph" w:styleId="Sangra2detindependiente">
    <w:name w:val="Body Text Indent 2"/>
    <w:basedOn w:val="Normal"/>
    <w:link w:val="Sangra2detindependienteCar"/>
    <w:rsid w:val="000323A2"/>
    <w:pPr>
      <w:widowControl w:val="0"/>
      <w:tabs>
        <w:tab w:val="left" w:pos="0"/>
      </w:tabs>
      <w:adjustRightInd w:val="0"/>
      <w:spacing w:after="0" w:line="360" w:lineRule="atLeast"/>
      <w:ind w:left="705" w:hanging="705"/>
      <w:jc w:val="both"/>
      <w:textAlignment w:val="baseline"/>
    </w:pPr>
    <w:rPr>
      <w:rFonts w:ascii="Times New Roman" w:eastAsia="Calibri" w:hAnsi="Times New Roman" w:cs="Times New Roman"/>
      <w:sz w:val="20"/>
      <w:szCs w:val="20"/>
      <w:lang w:val="es-ES" w:eastAsia="es-ES"/>
    </w:rPr>
  </w:style>
  <w:style w:type="character" w:customStyle="1" w:styleId="Sangra2detindependienteCar">
    <w:name w:val="Sangría 2 de t. independiente Car"/>
    <w:basedOn w:val="Fuentedeprrafopredeter"/>
    <w:link w:val="Sangra2detindependiente"/>
    <w:rsid w:val="000323A2"/>
    <w:rPr>
      <w:rFonts w:ascii="Times New Roman" w:eastAsia="Calibri" w:hAnsi="Times New Roman" w:cs="Times New Roman"/>
      <w:sz w:val="20"/>
      <w:szCs w:val="20"/>
      <w:lang w:val="es-ES" w:eastAsia="es-ES"/>
    </w:rPr>
  </w:style>
  <w:style w:type="paragraph" w:styleId="Textoindependiente2">
    <w:name w:val="Body Text 2"/>
    <w:basedOn w:val="Normal"/>
    <w:link w:val="Textoindependiente2Car"/>
    <w:rsid w:val="000323A2"/>
    <w:pPr>
      <w:widowControl w:val="0"/>
      <w:adjustRightInd w:val="0"/>
      <w:spacing w:after="0" w:line="360" w:lineRule="atLeast"/>
      <w:jc w:val="both"/>
      <w:textAlignment w:val="baseline"/>
    </w:pPr>
    <w:rPr>
      <w:rFonts w:ascii="Times New Roman" w:eastAsia="Calibri" w:hAnsi="Times New Roman" w:cs="Times New Roman"/>
      <w:sz w:val="20"/>
      <w:szCs w:val="20"/>
      <w:lang w:val="es-ES" w:eastAsia="es-ES"/>
    </w:rPr>
  </w:style>
  <w:style w:type="character" w:customStyle="1" w:styleId="Textoindependiente2Car">
    <w:name w:val="Texto independiente 2 Car"/>
    <w:basedOn w:val="Fuentedeprrafopredeter"/>
    <w:link w:val="Textoindependiente2"/>
    <w:rsid w:val="000323A2"/>
    <w:rPr>
      <w:rFonts w:ascii="Times New Roman" w:eastAsia="Calibri" w:hAnsi="Times New Roman" w:cs="Times New Roman"/>
      <w:sz w:val="20"/>
      <w:szCs w:val="20"/>
      <w:lang w:val="es-ES" w:eastAsia="es-ES"/>
    </w:rPr>
  </w:style>
  <w:style w:type="paragraph" w:customStyle="1" w:styleId="Prrafodelista11">
    <w:name w:val="Párrafo de lista11"/>
    <w:basedOn w:val="Normal"/>
    <w:uiPriority w:val="99"/>
    <w:rsid w:val="000323A2"/>
    <w:pPr>
      <w:widowControl w:val="0"/>
      <w:adjustRightInd w:val="0"/>
      <w:spacing w:after="0" w:line="360" w:lineRule="atLeast"/>
      <w:ind w:left="720"/>
      <w:contextualSpacing/>
      <w:jc w:val="both"/>
      <w:textAlignment w:val="baseline"/>
    </w:pPr>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0323A2"/>
    <w:pPr>
      <w:spacing w:after="0" w:line="240" w:lineRule="auto"/>
      <w:ind w:left="1800"/>
      <w:jc w:val="both"/>
    </w:pPr>
    <w:rPr>
      <w:rFonts w:ascii="Arial" w:eastAsia="Calibri" w:hAnsi="Arial" w:cs="Times New Roman"/>
      <w:sz w:val="24"/>
      <w:szCs w:val="24"/>
      <w:lang w:eastAsia="es-MX"/>
    </w:rPr>
  </w:style>
  <w:style w:type="character" w:customStyle="1" w:styleId="Sangra3detindependienteCar">
    <w:name w:val="Sangría 3 de t. independiente Car"/>
    <w:basedOn w:val="Fuentedeprrafopredeter"/>
    <w:link w:val="Sangra3detindependiente"/>
    <w:rsid w:val="000323A2"/>
    <w:rPr>
      <w:rFonts w:ascii="Arial" w:eastAsia="Calibri" w:hAnsi="Arial" w:cs="Times New Roman"/>
      <w:sz w:val="24"/>
      <w:szCs w:val="24"/>
      <w:lang w:eastAsia="es-MX"/>
    </w:rPr>
  </w:style>
  <w:style w:type="paragraph" w:customStyle="1" w:styleId="Titulo">
    <w:name w:val="Titulo"/>
    <w:basedOn w:val="Normal"/>
    <w:uiPriority w:val="99"/>
    <w:rsid w:val="000323A2"/>
    <w:pPr>
      <w:tabs>
        <w:tab w:val="left" w:pos="3119"/>
      </w:tabs>
      <w:spacing w:after="0" w:line="240" w:lineRule="auto"/>
      <w:jc w:val="center"/>
    </w:pPr>
    <w:rPr>
      <w:rFonts w:ascii="Arial" w:eastAsia="Times New Roman" w:hAnsi="Arial" w:cs="Times New Roman"/>
      <w:b/>
      <w:sz w:val="24"/>
      <w:szCs w:val="20"/>
      <w:lang w:val="en-GB"/>
    </w:rPr>
  </w:style>
  <w:style w:type="character" w:customStyle="1" w:styleId="Dato">
    <w:name w:val="Dato"/>
    <w:uiPriority w:val="99"/>
    <w:rsid w:val="000323A2"/>
    <w:rPr>
      <w:b/>
    </w:rPr>
  </w:style>
  <w:style w:type="paragraph" w:customStyle="1" w:styleId="Sub-titulo">
    <w:name w:val="Sub-titulo"/>
    <w:basedOn w:val="Normal"/>
    <w:uiPriority w:val="99"/>
    <w:rsid w:val="000323A2"/>
    <w:pPr>
      <w:tabs>
        <w:tab w:val="left" w:pos="3119"/>
      </w:tabs>
      <w:spacing w:before="20" w:after="20" w:line="240" w:lineRule="auto"/>
      <w:jc w:val="center"/>
    </w:pPr>
    <w:rPr>
      <w:rFonts w:ascii="Arial" w:eastAsia="Times New Roman" w:hAnsi="Arial" w:cs="Times New Roman"/>
      <w:b/>
      <w:sz w:val="16"/>
      <w:szCs w:val="20"/>
      <w:lang w:val="en-GB"/>
    </w:rPr>
  </w:style>
  <w:style w:type="paragraph" w:customStyle="1" w:styleId="Prrafodelista1">
    <w:name w:val="Párrafo de lista1"/>
    <w:basedOn w:val="Normal"/>
    <w:link w:val="ListParagraphChar"/>
    <w:rsid w:val="000323A2"/>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ListParagraphChar">
    <w:name w:val="List Paragraph Char"/>
    <w:link w:val="Prrafodelista1"/>
    <w:locked/>
    <w:rsid w:val="000323A2"/>
    <w:rPr>
      <w:rFonts w:ascii="Times New Roman" w:eastAsia="Times New Roman" w:hAnsi="Times New Roman" w:cs="Times New Roman"/>
      <w:sz w:val="24"/>
      <w:szCs w:val="24"/>
      <w:lang w:val="es-ES" w:eastAsia="es-ES"/>
    </w:rPr>
  </w:style>
  <w:style w:type="paragraph" w:styleId="Sangranormal">
    <w:name w:val="Normal Indent"/>
    <w:basedOn w:val="Normal"/>
    <w:uiPriority w:val="99"/>
    <w:rsid w:val="000323A2"/>
    <w:pPr>
      <w:autoSpaceDE w:val="0"/>
      <w:autoSpaceDN w:val="0"/>
      <w:spacing w:after="0" w:line="240" w:lineRule="auto"/>
      <w:ind w:left="708"/>
    </w:pPr>
    <w:rPr>
      <w:rFonts w:ascii="Arial" w:eastAsia="Times New Roman" w:hAnsi="Arial" w:cs="Arial"/>
      <w:sz w:val="16"/>
      <w:szCs w:val="16"/>
      <w:lang w:val="es-ES_tradnl" w:eastAsia="es-ES"/>
    </w:rPr>
  </w:style>
  <w:style w:type="paragraph" w:customStyle="1" w:styleId="NOMBREDEFIGURA">
    <w:name w:val="NOMBRE DE FIGURA"/>
    <w:basedOn w:val="Textoindependiente"/>
    <w:uiPriority w:val="99"/>
    <w:rsid w:val="000323A2"/>
    <w:pPr>
      <w:overflowPunct w:val="0"/>
      <w:autoSpaceDE w:val="0"/>
      <w:autoSpaceDN w:val="0"/>
      <w:adjustRightInd w:val="0"/>
      <w:spacing w:after="0" w:line="240" w:lineRule="atLeast"/>
      <w:ind w:right="657" w:firstLine="1"/>
      <w:jc w:val="center"/>
      <w:textAlignment w:val="baseline"/>
    </w:pPr>
    <w:rPr>
      <w:rFonts w:ascii="Arial" w:eastAsia="Calibri" w:hAnsi="Arial" w:cs="Times New Roman"/>
      <w:sz w:val="20"/>
      <w:szCs w:val="20"/>
      <w:lang w:val="es-ES_tradnl" w:eastAsia="ja-JP"/>
    </w:rPr>
  </w:style>
  <w:style w:type="paragraph" w:customStyle="1" w:styleId="TEXTOCONNUMERO">
    <w:name w:val="TEXTO CON NUMERO"/>
    <w:basedOn w:val="Normal"/>
    <w:uiPriority w:val="99"/>
    <w:rsid w:val="000323A2"/>
    <w:pPr>
      <w:numPr>
        <w:numId w:val="28"/>
      </w:numPr>
      <w:tabs>
        <w:tab w:val="left" w:pos="426"/>
        <w:tab w:val="left" w:pos="2269"/>
      </w:tabs>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ja-JP"/>
    </w:rPr>
  </w:style>
  <w:style w:type="paragraph" w:customStyle="1" w:styleId="TITULOCAP">
    <w:name w:val="TITULO CAP"/>
    <w:basedOn w:val="Normal"/>
    <w:link w:val="TITULOCAPCar"/>
    <w:uiPriority w:val="99"/>
    <w:rsid w:val="000323A2"/>
    <w:pPr>
      <w:widowControl w:val="0"/>
      <w:numPr>
        <w:numId w:val="29"/>
      </w:numPr>
      <w:autoSpaceDE w:val="0"/>
      <w:autoSpaceDN w:val="0"/>
      <w:spacing w:after="0" w:line="240" w:lineRule="auto"/>
    </w:pPr>
    <w:rPr>
      <w:rFonts w:ascii="Arial" w:eastAsia="Calibri" w:hAnsi="Arial" w:cs="Times New Roman"/>
      <w:b/>
      <w:sz w:val="24"/>
      <w:szCs w:val="20"/>
      <w:lang w:val="es-ES_tradnl" w:eastAsia="es-ES"/>
    </w:rPr>
  </w:style>
  <w:style w:type="character" w:customStyle="1" w:styleId="TITULOCAPCar">
    <w:name w:val="TITULO CAP Car"/>
    <w:link w:val="TITULOCAP"/>
    <w:uiPriority w:val="99"/>
    <w:locked/>
    <w:rsid w:val="000323A2"/>
    <w:rPr>
      <w:rFonts w:ascii="Arial" w:eastAsia="Calibri" w:hAnsi="Arial" w:cs="Times New Roman"/>
      <w:b/>
      <w:sz w:val="24"/>
      <w:szCs w:val="20"/>
      <w:lang w:val="es-ES_tradnl" w:eastAsia="es-ES"/>
    </w:rPr>
  </w:style>
  <w:style w:type="paragraph" w:customStyle="1" w:styleId="SUBCAP1">
    <w:name w:val="SUBCAP1"/>
    <w:basedOn w:val="Normal"/>
    <w:link w:val="SUBCAP1Car"/>
    <w:uiPriority w:val="99"/>
    <w:rsid w:val="000323A2"/>
    <w:pPr>
      <w:numPr>
        <w:ilvl w:val="2"/>
        <w:numId w:val="30"/>
      </w:numPr>
      <w:autoSpaceDE w:val="0"/>
      <w:autoSpaceDN w:val="0"/>
      <w:spacing w:after="0" w:line="240" w:lineRule="auto"/>
      <w:ind w:left="360" w:hanging="360"/>
    </w:pPr>
    <w:rPr>
      <w:rFonts w:ascii="Arial" w:eastAsia="Calibri" w:hAnsi="Arial" w:cs="Times New Roman"/>
      <w:b/>
      <w:sz w:val="24"/>
      <w:szCs w:val="20"/>
      <w:lang w:val="es-ES_tradnl" w:eastAsia="es-ES"/>
    </w:rPr>
  </w:style>
  <w:style w:type="character" w:customStyle="1" w:styleId="SUBCAP1Car">
    <w:name w:val="SUBCAP1 Car"/>
    <w:link w:val="SUBCAP1"/>
    <w:uiPriority w:val="99"/>
    <w:locked/>
    <w:rsid w:val="000323A2"/>
    <w:rPr>
      <w:rFonts w:ascii="Arial" w:eastAsia="Calibri" w:hAnsi="Arial" w:cs="Times New Roman"/>
      <w:b/>
      <w:sz w:val="24"/>
      <w:szCs w:val="20"/>
      <w:lang w:val="es-ES_tradnl" w:eastAsia="es-ES"/>
    </w:rPr>
  </w:style>
  <w:style w:type="paragraph" w:customStyle="1" w:styleId="SUBCAP2">
    <w:name w:val="SUBCAP2"/>
    <w:basedOn w:val="Normal"/>
    <w:link w:val="SUBCAP2Car"/>
    <w:uiPriority w:val="99"/>
    <w:rsid w:val="000323A2"/>
    <w:pPr>
      <w:tabs>
        <w:tab w:val="left" w:pos="851"/>
      </w:tabs>
      <w:autoSpaceDE w:val="0"/>
      <w:autoSpaceDN w:val="0"/>
      <w:spacing w:after="0" w:line="240" w:lineRule="auto"/>
      <w:ind w:left="720" w:hanging="720"/>
    </w:pPr>
    <w:rPr>
      <w:rFonts w:ascii="Arial" w:eastAsia="Calibri" w:hAnsi="Arial" w:cs="Times New Roman"/>
      <w:b/>
      <w:sz w:val="24"/>
      <w:szCs w:val="20"/>
      <w:lang w:val="es-ES_tradnl" w:eastAsia="es-ES"/>
    </w:rPr>
  </w:style>
  <w:style w:type="character" w:customStyle="1" w:styleId="SUBCAP2Car">
    <w:name w:val="SUBCAP2 Car"/>
    <w:link w:val="SUBCAP2"/>
    <w:uiPriority w:val="99"/>
    <w:locked/>
    <w:rsid w:val="000323A2"/>
    <w:rPr>
      <w:rFonts w:ascii="Arial" w:eastAsia="Calibri" w:hAnsi="Arial" w:cs="Times New Roman"/>
      <w:b/>
      <w:sz w:val="24"/>
      <w:szCs w:val="20"/>
      <w:lang w:val="es-ES_tradnl" w:eastAsia="es-ES"/>
    </w:rPr>
  </w:style>
  <w:style w:type="paragraph" w:customStyle="1" w:styleId="SUBCAP3">
    <w:name w:val="SUBCAP3"/>
    <w:basedOn w:val="SUBCAP2"/>
    <w:link w:val="SUBCAP3Car"/>
    <w:uiPriority w:val="99"/>
    <w:rsid w:val="000323A2"/>
    <w:pPr>
      <w:numPr>
        <w:ilvl w:val="3"/>
      </w:numPr>
      <w:ind w:left="720" w:hanging="720"/>
    </w:pPr>
  </w:style>
  <w:style w:type="character" w:customStyle="1" w:styleId="SUBCAP3Car">
    <w:name w:val="SUBCAP3 Car"/>
    <w:link w:val="SUBCAP3"/>
    <w:uiPriority w:val="99"/>
    <w:locked/>
    <w:rsid w:val="000323A2"/>
    <w:rPr>
      <w:rFonts w:ascii="Arial" w:eastAsia="Calibri" w:hAnsi="Arial" w:cs="Times New Roman"/>
      <w:b/>
      <w:sz w:val="24"/>
      <w:szCs w:val="20"/>
      <w:lang w:val="es-ES_tradnl" w:eastAsia="es-ES"/>
    </w:rPr>
  </w:style>
  <w:style w:type="paragraph" w:customStyle="1" w:styleId="SUBCAP4">
    <w:name w:val="SUBCAP4"/>
    <w:basedOn w:val="SUBCAP3"/>
    <w:link w:val="SUBCAP4Car"/>
    <w:uiPriority w:val="99"/>
    <w:rsid w:val="000323A2"/>
  </w:style>
  <w:style w:type="character" w:customStyle="1" w:styleId="SUBCAP4Car">
    <w:name w:val="SUBCAP4 Car"/>
    <w:basedOn w:val="SUBCAP3Car"/>
    <w:link w:val="SUBCAP4"/>
    <w:uiPriority w:val="99"/>
    <w:locked/>
    <w:rsid w:val="000323A2"/>
    <w:rPr>
      <w:rFonts w:ascii="Arial" w:eastAsia="Calibri" w:hAnsi="Arial" w:cs="Times New Roman"/>
      <w:b/>
      <w:sz w:val="24"/>
      <w:szCs w:val="20"/>
      <w:lang w:val="es-ES_tradnl" w:eastAsia="es-ES"/>
    </w:rPr>
  </w:style>
  <w:style w:type="paragraph" w:styleId="TtuloTDC">
    <w:name w:val="TOC Heading"/>
    <w:basedOn w:val="Ttulo1"/>
    <w:next w:val="Normal"/>
    <w:uiPriority w:val="99"/>
    <w:qFormat/>
    <w:rsid w:val="000323A2"/>
    <w:pPr>
      <w:keepNext/>
      <w:keepLines/>
      <w:spacing w:before="480" w:after="0"/>
      <w:jc w:val="left"/>
      <w:outlineLvl w:val="9"/>
    </w:pPr>
    <w:rPr>
      <w:rFonts w:ascii="Cambria" w:hAnsi="Cambria" w:cs="Times New Roman"/>
      <w:bCs/>
      <w:color w:val="365F91"/>
      <w:kern w:val="32"/>
      <w:sz w:val="28"/>
      <w:szCs w:val="28"/>
    </w:rPr>
  </w:style>
  <w:style w:type="paragraph" w:styleId="ndice1">
    <w:name w:val="index 1"/>
    <w:basedOn w:val="Normal"/>
    <w:next w:val="Normal"/>
    <w:autoRedefine/>
    <w:uiPriority w:val="99"/>
    <w:semiHidden/>
    <w:rsid w:val="000323A2"/>
    <w:pPr>
      <w:autoSpaceDE w:val="0"/>
      <w:autoSpaceDN w:val="0"/>
      <w:spacing w:after="0" w:line="240" w:lineRule="auto"/>
      <w:ind w:left="160" w:hanging="160"/>
    </w:pPr>
    <w:rPr>
      <w:rFonts w:ascii="Arial" w:eastAsia="Times New Roman" w:hAnsi="Arial" w:cs="Arial"/>
      <w:sz w:val="16"/>
      <w:szCs w:val="16"/>
      <w:lang w:val="es-ES_tradnl" w:eastAsia="es-ES"/>
    </w:rPr>
  </w:style>
  <w:style w:type="paragraph" w:customStyle="1" w:styleId="Estilo01">
    <w:name w:val="Estilo01"/>
    <w:basedOn w:val="Normal"/>
    <w:uiPriority w:val="99"/>
    <w:rsid w:val="000323A2"/>
    <w:pPr>
      <w:keepNext/>
      <w:suppressAutoHyphens/>
      <w:spacing w:after="0" w:line="240" w:lineRule="auto"/>
      <w:jc w:val="both"/>
    </w:pPr>
    <w:rPr>
      <w:rFonts w:ascii="Arial" w:eastAsia="Times New Roman" w:hAnsi="Arial" w:cs="Times New Roman"/>
      <w:sz w:val="20"/>
      <w:szCs w:val="20"/>
      <w:lang w:val="es-ES_tradnl"/>
    </w:rPr>
  </w:style>
  <w:style w:type="paragraph" w:customStyle="1" w:styleId="Estilo02">
    <w:name w:val="Estilo02"/>
    <w:basedOn w:val="Normal"/>
    <w:uiPriority w:val="99"/>
    <w:rsid w:val="000323A2"/>
    <w:pPr>
      <w:spacing w:after="0" w:line="240" w:lineRule="auto"/>
      <w:jc w:val="both"/>
    </w:pPr>
    <w:rPr>
      <w:rFonts w:ascii="Arial" w:eastAsia="Times New Roman" w:hAnsi="Arial" w:cs="Times New Roman"/>
      <w:sz w:val="20"/>
      <w:szCs w:val="20"/>
      <w:lang w:val="es-ES_tradnl"/>
    </w:rPr>
  </w:style>
  <w:style w:type="paragraph" w:customStyle="1" w:styleId="Medidas">
    <w:name w:val="Medidas"/>
    <w:basedOn w:val="Normal"/>
    <w:link w:val="MedidasCar"/>
    <w:uiPriority w:val="99"/>
    <w:rsid w:val="000323A2"/>
    <w:pPr>
      <w:spacing w:after="0" w:line="276" w:lineRule="auto"/>
      <w:ind w:left="567" w:right="567"/>
      <w:contextualSpacing/>
      <w:jc w:val="both"/>
    </w:pPr>
    <w:rPr>
      <w:rFonts w:ascii="ITC Avant Garde" w:eastAsia="Times New Roman" w:hAnsi="ITC Avant Garde" w:cs="Arial"/>
      <w:bCs/>
      <w:i/>
      <w:color w:val="000000"/>
      <w:sz w:val="18"/>
      <w:lang w:val="en-GB" w:eastAsia="es-ES"/>
    </w:rPr>
  </w:style>
  <w:style w:type="character" w:customStyle="1" w:styleId="MedidasCar">
    <w:name w:val="Medidas Car"/>
    <w:basedOn w:val="Fuentedeprrafopredeter"/>
    <w:link w:val="Medidas"/>
    <w:uiPriority w:val="99"/>
    <w:locked/>
    <w:rsid w:val="000323A2"/>
    <w:rPr>
      <w:rFonts w:ascii="ITC Avant Garde" w:eastAsia="Times New Roman" w:hAnsi="ITC Avant Garde" w:cs="Arial"/>
      <w:bCs/>
      <w:i/>
      <w:color w:val="000000"/>
      <w:sz w:val="18"/>
      <w:lang w:val="en-GB" w:eastAsia="es-ES"/>
    </w:rPr>
  </w:style>
  <w:style w:type="paragraph" w:customStyle="1" w:styleId="Level2">
    <w:name w:val="Level 2"/>
    <w:basedOn w:val="Normal"/>
    <w:rsid w:val="000323A2"/>
    <w:pPr>
      <w:widowControl w:val="0"/>
      <w:spacing w:after="0" w:line="240" w:lineRule="auto"/>
      <w:ind w:left="1440" w:hanging="720"/>
    </w:pPr>
    <w:rPr>
      <w:rFonts w:ascii="Courier New" w:eastAsia="Times New Roman" w:hAnsi="Courier New" w:cs="Times New Roman"/>
      <w:sz w:val="24"/>
      <w:szCs w:val="20"/>
      <w:lang w:val="en-US" w:eastAsia="es-ES"/>
    </w:rPr>
  </w:style>
  <w:style w:type="paragraph" w:customStyle="1" w:styleId="Prrafodelista2">
    <w:name w:val="Párrafo de lista2"/>
    <w:basedOn w:val="Normal"/>
    <w:rsid w:val="000323A2"/>
    <w:pPr>
      <w:spacing w:after="0" w:line="240" w:lineRule="auto"/>
      <w:ind w:left="720"/>
      <w:contextualSpacing/>
    </w:pPr>
    <w:rPr>
      <w:rFonts w:ascii="Times New Roman" w:eastAsia="Times New Roman" w:hAnsi="Times New Roman" w:cs="Times New Roman"/>
      <w:sz w:val="24"/>
      <w:szCs w:val="24"/>
      <w:lang w:eastAsia="es-MX"/>
    </w:rPr>
  </w:style>
  <w:style w:type="paragraph" w:customStyle="1" w:styleId="Estilo">
    <w:name w:val="Estilo"/>
    <w:rsid w:val="000323A2"/>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Textodelmarcadordeposicin">
    <w:name w:val="Placeholder Text"/>
    <w:basedOn w:val="Fuentedeprrafopredeter"/>
    <w:uiPriority w:val="99"/>
    <w:semiHidden/>
    <w:rsid w:val="000323A2"/>
    <w:rPr>
      <w:color w:val="808080"/>
    </w:rPr>
  </w:style>
  <w:style w:type="character" w:customStyle="1" w:styleId="s16">
    <w:name w:val="s16"/>
    <w:basedOn w:val="Fuentedeprrafopredeter"/>
    <w:rsid w:val="000323A2"/>
    <w:rPr>
      <w:rFonts w:ascii="Helvetica" w:hAnsi="Helvetica" w:hint="default"/>
      <w:sz w:val="27"/>
      <w:szCs w:val="27"/>
    </w:rPr>
  </w:style>
  <w:style w:type="table" w:customStyle="1" w:styleId="Cuadrculadetablaclara1">
    <w:name w:val="Cuadrícula de tabla clara1"/>
    <w:basedOn w:val="Tablanormal"/>
    <w:next w:val="Cuadrculadetablaclara"/>
    <w:uiPriority w:val="40"/>
    <w:rsid w:val="000323A2"/>
    <w:pPr>
      <w:spacing w:after="0" w:line="240" w:lineRule="auto"/>
    </w:pPr>
    <w:rPr>
      <w:rFonts w:ascii="Calibri" w:eastAsia="Calibri" w:hAnsi="Calibri" w:cs="Times New Roman"/>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21">
    <w:name w:val="Tabla normal 21"/>
    <w:basedOn w:val="Tablanormal"/>
    <w:next w:val="Tablanormal2"/>
    <w:uiPriority w:val="42"/>
    <w:rsid w:val="000323A2"/>
    <w:pPr>
      <w:spacing w:after="0" w:line="240" w:lineRule="auto"/>
    </w:pPr>
    <w:rPr>
      <w:rFonts w:ascii="Calibri" w:eastAsia="Calibri" w:hAnsi="Calibri" w:cs="Times New Roman"/>
      <w:lang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Cuadrculadetablaclara">
    <w:name w:val="Grid Table Light"/>
    <w:basedOn w:val="Tablanormal"/>
    <w:uiPriority w:val="40"/>
    <w:rsid w:val="000323A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2">
    <w:name w:val="Plain Table 2"/>
    <w:basedOn w:val="Tablanormal"/>
    <w:uiPriority w:val="42"/>
    <w:rsid w:val="000323A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6791161">
      <w:bodyDiv w:val="1"/>
      <w:marLeft w:val="0"/>
      <w:marRight w:val="0"/>
      <w:marTop w:val="0"/>
      <w:marBottom w:val="0"/>
      <w:divBdr>
        <w:top w:val="none" w:sz="0" w:space="0" w:color="auto"/>
        <w:left w:val="none" w:sz="0" w:space="0" w:color="auto"/>
        <w:bottom w:val="none" w:sz="0" w:space="0" w:color="auto"/>
        <w:right w:val="none" w:sz="0" w:space="0" w:color="auto"/>
      </w:divBdr>
    </w:div>
    <w:div w:id="256182213">
      <w:bodyDiv w:val="1"/>
      <w:marLeft w:val="0"/>
      <w:marRight w:val="0"/>
      <w:marTop w:val="0"/>
      <w:marBottom w:val="0"/>
      <w:divBdr>
        <w:top w:val="none" w:sz="0" w:space="0" w:color="auto"/>
        <w:left w:val="none" w:sz="0" w:space="0" w:color="auto"/>
        <w:bottom w:val="none" w:sz="0" w:space="0" w:color="auto"/>
        <w:right w:val="none" w:sz="0" w:space="0" w:color="auto"/>
      </w:divBdr>
    </w:div>
    <w:div w:id="257104899">
      <w:bodyDiv w:val="1"/>
      <w:marLeft w:val="0"/>
      <w:marRight w:val="0"/>
      <w:marTop w:val="0"/>
      <w:marBottom w:val="0"/>
      <w:divBdr>
        <w:top w:val="none" w:sz="0" w:space="0" w:color="auto"/>
        <w:left w:val="none" w:sz="0" w:space="0" w:color="auto"/>
        <w:bottom w:val="none" w:sz="0" w:space="0" w:color="auto"/>
        <w:right w:val="none" w:sz="0" w:space="0" w:color="auto"/>
      </w:divBdr>
    </w:div>
    <w:div w:id="274336076">
      <w:bodyDiv w:val="1"/>
      <w:marLeft w:val="0"/>
      <w:marRight w:val="0"/>
      <w:marTop w:val="0"/>
      <w:marBottom w:val="0"/>
      <w:divBdr>
        <w:top w:val="none" w:sz="0" w:space="0" w:color="auto"/>
        <w:left w:val="none" w:sz="0" w:space="0" w:color="auto"/>
        <w:bottom w:val="none" w:sz="0" w:space="0" w:color="auto"/>
        <w:right w:val="none" w:sz="0" w:space="0" w:color="auto"/>
      </w:divBdr>
    </w:div>
    <w:div w:id="397628306">
      <w:bodyDiv w:val="1"/>
      <w:marLeft w:val="0"/>
      <w:marRight w:val="0"/>
      <w:marTop w:val="0"/>
      <w:marBottom w:val="0"/>
      <w:divBdr>
        <w:top w:val="none" w:sz="0" w:space="0" w:color="auto"/>
        <w:left w:val="none" w:sz="0" w:space="0" w:color="auto"/>
        <w:bottom w:val="none" w:sz="0" w:space="0" w:color="auto"/>
        <w:right w:val="none" w:sz="0" w:space="0" w:color="auto"/>
      </w:divBdr>
    </w:div>
    <w:div w:id="520361866">
      <w:bodyDiv w:val="1"/>
      <w:marLeft w:val="0"/>
      <w:marRight w:val="0"/>
      <w:marTop w:val="0"/>
      <w:marBottom w:val="0"/>
      <w:divBdr>
        <w:top w:val="none" w:sz="0" w:space="0" w:color="auto"/>
        <w:left w:val="none" w:sz="0" w:space="0" w:color="auto"/>
        <w:bottom w:val="none" w:sz="0" w:space="0" w:color="auto"/>
        <w:right w:val="none" w:sz="0" w:space="0" w:color="auto"/>
      </w:divBdr>
    </w:div>
    <w:div w:id="555244394">
      <w:bodyDiv w:val="1"/>
      <w:marLeft w:val="0"/>
      <w:marRight w:val="0"/>
      <w:marTop w:val="0"/>
      <w:marBottom w:val="0"/>
      <w:divBdr>
        <w:top w:val="none" w:sz="0" w:space="0" w:color="auto"/>
        <w:left w:val="none" w:sz="0" w:space="0" w:color="auto"/>
        <w:bottom w:val="none" w:sz="0" w:space="0" w:color="auto"/>
        <w:right w:val="none" w:sz="0" w:space="0" w:color="auto"/>
      </w:divBdr>
      <w:divsChild>
        <w:div w:id="1576236477">
          <w:marLeft w:val="567"/>
          <w:marRight w:val="567"/>
          <w:marTop w:val="0"/>
          <w:marBottom w:val="0"/>
          <w:divBdr>
            <w:top w:val="none" w:sz="0" w:space="0" w:color="auto"/>
            <w:left w:val="none" w:sz="0" w:space="0" w:color="auto"/>
            <w:bottom w:val="none" w:sz="0" w:space="0" w:color="auto"/>
            <w:right w:val="none" w:sz="0" w:space="0" w:color="auto"/>
          </w:divBdr>
        </w:div>
        <w:div w:id="1996718005">
          <w:marLeft w:val="567"/>
          <w:marRight w:val="567"/>
          <w:marTop w:val="0"/>
          <w:marBottom w:val="0"/>
          <w:divBdr>
            <w:top w:val="none" w:sz="0" w:space="0" w:color="auto"/>
            <w:left w:val="none" w:sz="0" w:space="0" w:color="auto"/>
            <w:bottom w:val="none" w:sz="0" w:space="0" w:color="auto"/>
            <w:right w:val="none" w:sz="0" w:space="0" w:color="auto"/>
          </w:divBdr>
        </w:div>
        <w:div w:id="2083942699">
          <w:marLeft w:val="0"/>
          <w:marRight w:val="0"/>
          <w:marTop w:val="0"/>
          <w:marBottom w:val="0"/>
          <w:divBdr>
            <w:top w:val="none" w:sz="0" w:space="0" w:color="auto"/>
            <w:left w:val="none" w:sz="0" w:space="0" w:color="auto"/>
            <w:bottom w:val="none" w:sz="0" w:space="0" w:color="auto"/>
            <w:right w:val="none" w:sz="0" w:space="0" w:color="auto"/>
          </w:divBdr>
        </w:div>
      </w:divsChild>
    </w:div>
    <w:div w:id="604925193">
      <w:bodyDiv w:val="1"/>
      <w:marLeft w:val="0"/>
      <w:marRight w:val="0"/>
      <w:marTop w:val="0"/>
      <w:marBottom w:val="0"/>
      <w:divBdr>
        <w:top w:val="none" w:sz="0" w:space="0" w:color="auto"/>
        <w:left w:val="none" w:sz="0" w:space="0" w:color="auto"/>
        <w:bottom w:val="none" w:sz="0" w:space="0" w:color="auto"/>
        <w:right w:val="none" w:sz="0" w:space="0" w:color="auto"/>
      </w:divBdr>
    </w:div>
    <w:div w:id="781876462">
      <w:bodyDiv w:val="1"/>
      <w:marLeft w:val="0"/>
      <w:marRight w:val="0"/>
      <w:marTop w:val="0"/>
      <w:marBottom w:val="0"/>
      <w:divBdr>
        <w:top w:val="none" w:sz="0" w:space="0" w:color="auto"/>
        <w:left w:val="none" w:sz="0" w:space="0" w:color="auto"/>
        <w:bottom w:val="none" w:sz="0" w:space="0" w:color="auto"/>
        <w:right w:val="none" w:sz="0" w:space="0" w:color="auto"/>
      </w:divBdr>
    </w:div>
    <w:div w:id="894127137">
      <w:bodyDiv w:val="1"/>
      <w:marLeft w:val="0"/>
      <w:marRight w:val="0"/>
      <w:marTop w:val="0"/>
      <w:marBottom w:val="0"/>
      <w:divBdr>
        <w:top w:val="none" w:sz="0" w:space="0" w:color="auto"/>
        <w:left w:val="none" w:sz="0" w:space="0" w:color="auto"/>
        <w:bottom w:val="none" w:sz="0" w:space="0" w:color="auto"/>
        <w:right w:val="none" w:sz="0" w:space="0" w:color="auto"/>
      </w:divBdr>
    </w:div>
    <w:div w:id="963536717">
      <w:bodyDiv w:val="1"/>
      <w:marLeft w:val="0"/>
      <w:marRight w:val="0"/>
      <w:marTop w:val="0"/>
      <w:marBottom w:val="0"/>
      <w:divBdr>
        <w:top w:val="none" w:sz="0" w:space="0" w:color="auto"/>
        <w:left w:val="none" w:sz="0" w:space="0" w:color="auto"/>
        <w:bottom w:val="none" w:sz="0" w:space="0" w:color="auto"/>
        <w:right w:val="none" w:sz="0" w:space="0" w:color="auto"/>
      </w:divBdr>
    </w:div>
    <w:div w:id="1035353710">
      <w:bodyDiv w:val="1"/>
      <w:marLeft w:val="0"/>
      <w:marRight w:val="0"/>
      <w:marTop w:val="0"/>
      <w:marBottom w:val="0"/>
      <w:divBdr>
        <w:top w:val="none" w:sz="0" w:space="0" w:color="auto"/>
        <w:left w:val="none" w:sz="0" w:space="0" w:color="auto"/>
        <w:bottom w:val="none" w:sz="0" w:space="0" w:color="auto"/>
        <w:right w:val="none" w:sz="0" w:space="0" w:color="auto"/>
      </w:divBdr>
    </w:div>
    <w:div w:id="1066760165">
      <w:bodyDiv w:val="1"/>
      <w:marLeft w:val="0"/>
      <w:marRight w:val="0"/>
      <w:marTop w:val="0"/>
      <w:marBottom w:val="0"/>
      <w:divBdr>
        <w:top w:val="none" w:sz="0" w:space="0" w:color="auto"/>
        <w:left w:val="none" w:sz="0" w:space="0" w:color="auto"/>
        <w:bottom w:val="none" w:sz="0" w:space="0" w:color="auto"/>
        <w:right w:val="none" w:sz="0" w:space="0" w:color="auto"/>
      </w:divBdr>
    </w:div>
    <w:div w:id="1087068799">
      <w:bodyDiv w:val="1"/>
      <w:marLeft w:val="0"/>
      <w:marRight w:val="0"/>
      <w:marTop w:val="0"/>
      <w:marBottom w:val="0"/>
      <w:divBdr>
        <w:top w:val="none" w:sz="0" w:space="0" w:color="auto"/>
        <w:left w:val="none" w:sz="0" w:space="0" w:color="auto"/>
        <w:bottom w:val="none" w:sz="0" w:space="0" w:color="auto"/>
        <w:right w:val="none" w:sz="0" w:space="0" w:color="auto"/>
      </w:divBdr>
      <w:divsChild>
        <w:div w:id="1474443103">
          <w:marLeft w:val="0"/>
          <w:marRight w:val="49"/>
          <w:marTop w:val="0"/>
          <w:marBottom w:val="0"/>
          <w:divBdr>
            <w:top w:val="none" w:sz="0" w:space="0" w:color="auto"/>
            <w:left w:val="none" w:sz="0" w:space="0" w:color="auto"/>
            <w:bottom w:val="none" w:sz="0" w:space="0" w:color="auto"/>
            <w:right w:val="none" w:sz="0" w:space="0" w:color="auto"/>
          </w:divBdr>
        </w:div>
        <w:div w:id="1393194778">
          <w:marLeft w:val="0"/>
          <w:marRight w:val="49"/>
          <w:marTop w:val="0"/>
          <w:marBottom w:val="0"/>
          <w:divBdr>
            <w:top w:val="none" w:sz="0" w:space="0" w:color="auto"/>
            <w:left w:val="none" w:sz="0" w:space="0" w:color="auto"/>
            <w:bottom w:val="none" w:sz="0" w:space="0" w:color="auto"/>
            <w:right w:val="none" w:sz="0" w:space="0" w:color="auto"/>
          </w:divBdr>
        </w:div>
      </w:divsChild>
    </w:div>
    <w:div w:id="1090737627">
      <w:bodyDiv w:val="1"/>
      <w:marLeft w:val="0"/>
      <w:marRight w:val="0"/>
      <w:marTop w:val="0"/>
      <w:marBottom w:val="0"/>
      <w:divBdr>
        <w:top w:val="none" w:sz="0" w:space="0" w:color="auto"/>
        <w:left w:val="none" w:sz="0" w:space="0" w:color="auto"/>
        <w:bottom w:val="none" w:sz="0" w:space="0" w:color="auto"/>
        <w:right w:val="none" w:sz="0" w:space="0" w:color="auto"/>
      </w:divBdr>
    </w:div>
    <w:div w:id="1134981828">
      <w:bodyDiv w:val="1"/>
      <w:marLeft w:val="0"/>
      <w:marRight w:val="0"/>
      <w:marTop w:val="0"/>
      <w:marBottom w:val="0"/>
      <w:divBdr>
        <w:top w:val="none" w:sz="0" w:space="0" w:color="auto"/>
        <w:left w:val="none" w:sz="0" w:space="0" w:color="auto"/>
        <w:bottom w:val="none" w:sz="0" w:space="0" w:color="auto"/>
        <w:right w:val="none" w:sz="0" w:space="0" w:color="auto"/>
      </w:divBdr>
    </w:div>
    <w:div w:id="1167787364">
      <w:bodyDiv w:val="1"/>
      <w:marLeft w:val="0"/>
      <w:marRight w:val="0"/>
      <w:marTop w:val="0"/>
      <w:marBottom w:val="0"/>
      <w:divBdr>
        <w:top w:val="none" w:sz="0" w:space="0" w:color="auto"/>
        <w:left w:val="none" w:sz="0" w:space="0" w:color="auto"/>
        <w:bottom w:val="none" w:sz="0" w:space="0" w:color="auto"/>
        <w:right w:val="none" w:sz="0" w:space="0" w:color="auto"/>
      </w:divBdr>
      <w:divsChild>
        <w:div w:id="1091927837">
          <w:marLeft w:val="0"/>
          <w:marRight w:val="0"/>
          <w:marTop w:val="0"/>
          <w:marBottom w:val="200"/>
          <w:divBdr>
            <w:top w:val="none" w:sz="0" w:space="0" w:color="auto"/>
            <w:left w:val="none" w:sz="0" w:space="0" w:color="auto"/>
            <w:bottom w:val="none" w:sz="0" w:space="0" w:color="auto"/>
            <w:right w:val="none" w:sz="0" w:space="0" w:color="auto"/>
          </w:divBdr>
        </w:div>
        <w:div w:id="826552444">
          <w:marLeft w:val="0"/>
          <w:marRight w:val="0"/>
          <w:marTop w:val="0"/>
          <w:marBottom w:val="200"/>
          <w:divBdr>
            <w:top w:val="none" w:sz="0" w:space="0" w:color="auto"/>
            <w:left w:val="none" w:sz="0" w:space="0" w:color="auto"/>
            <w:bottom w:val="none" w:sz="0" w:space="0" w:color="auto"/>
            <w:right w:val="none" w:sz="0" w:space="0" w:color="auto"/>
          </w:divBdr>
        </w:div>
        <w:div w:id="295794091">
          <w:marLeft w:val="851"/>
          <w:marRight w:val="760"/>
          <w:marTop w:val="0"/>
          <w:marBottom w:val="200"/>
          <w:divBdr>
            <w:top w:val="none" w:sz="0" w:space="0" w:color="auto"/>
            <w:left w:val="none" w:sz="0" w:space="0" w:color="auto"/>
            <w:bottom w:val="none" w:sz="0" w:space="0" w:color="auto"/>
            <w:right w:val="none" w:sz="0" w:space="0" w:color="auto"/>
          </w:divBdr>
        </w:div>
        <w:div w:id="1159929870">
          <w:marLeft w:val="851"/>
          <w:marRight w:val="760"/>
          <w:marTop w:val="0"/>
          <w:marBottom w:val="200"/>
          <w:divBdr>
            <w:top w:val="none" w:sz="0" w:space="0" w:color="auto"/>
            <w:left w:val="none" w:sz="0" w:space="0" w:color="auto"/>
            <w:bottom w:val="none" w:sz="0" w:space="0" w:color="auto"/>
            <w:right w:val="none" w:sz="0" w:space="0" w:color="auto"/>
          </w:divBdr>
        </w:div>
        <w:div w:id="1367213266">
          <w:marLeft w:val="851"/>
          <w:marRight w:val="760"/>
          <w:marTop w:val="0"/>
          <w:marBottom w:val="200"/>
          <w:divBdr>
            <w:top w:val="none" w:sz="0" w:space="0" w:color="auto"/>
            <w:left w:val="none" w:sz="0" w:space="0" w:color="auto"/>
            <w:bottom w:val="none" w:sz="0" w:space="0" w:color="auto"/>
            <w:right w:val="none" w:sz="0" w:space="0" w:color="auto"/>
          </w:divBdr>
        </w:div>
        <w:div w:id="1963002053">
          <w:marLeft w:val="0"/>
          <w:marRight w:val="0"/>
          <w:marTop w:val="0"/>
          <w:marBottom w:val="200"/>
          <w:divBdr>
            <w:top w:val="none" w:sz="0" w:space="0" w:color="auto"/>
            <w:left w:val="none" w:sz="0" w:space="0" w:color="auto"/>
            <w:bottom w:val="none" w:sz="0" w:space="0" w:color="auto"/>
            <w:right w:val="none" w:sz="0" w:space="0" w:color="auto"/>
          </w:divBdr>
        </w:div>
        <w:div w:id="2063215074">
          <w:marLeft w:val="0"/>
          <w:marRight w:val="0"/>
          <w:marTop w:val="0"/>
          <w:marBottom w:val="200"/>
          <w:divBdr>
            <w:top w:val="none" w:sz="0" w:space="0" w:color="auto"/>
            <w:left w:val="none" w:sz="0" w:space="0" w:color="auto"/>
            <w:bottom w:val="none" w:sz="0" w:space="0" w:color="auto"/>
            <w:right w:val="none" w:sz="0" w:space="0" w:color="auto"/>
          </w:divBdr>
        </w:div>
        <w:div w:id="1347052151">
          <w:marLeft w:val="0"/>
          <w:marRight w:val="0"/>
          <w:marTop w:val="0"/>
          <w:marBottom w:val="200"/>
          <w:divBdr>
            <w:top w:val="none" w:sz="0" w:space="0" w:color="auto"/>
            <w:left w:val="none" w:sz="0" w:space="0" w:color="auto"/>
            <w:bottom w:val="none" w:sz="0" w:space="0" w:color="auto"/>
            <w:right w:val="none" w:sz="0" w:space="0" w:color="auto"/>
          </w:divBdr>
        </w:div>
        <w:div w:id="305471877">
          <w:marLeft w:val="0"/>
          <w:marRight w:val="0"/>
          <w:marTop w:val="0"/>
          <w:marBottom w:val="200"/>
          <w:divBdr>
            <w:top w:val="none" w:sz="0" w:space="0" w:color="auto"/>
            <w:left w:val="none" w:sz="0" w:space="0" w:color="auto"/>
            <w:bottom w:val="none" w:sz="0" w:space="0" w:color="auto"/>
            <w:right w:val="none" w:sz="0" w:space="0" w:color="auto"/>
          </w:divBdr>
        </w:div>
        <w:div w:id="1812672623">
          <w:marLeft w:val="0"/>
          <w:marRight w:val="0"/>
          <w:marTop w:val="0"/>
          <w:marBottom w:val="200"/>
          <w:divBdr>
            <w:top w:val="none" w:sz="0" w:space="0" w:color="auto"/>
            <w:left w:val="none" w:sz="0" w:space="0" w:color="auto"/>
            <w:bottom w:val="none" w:sz="0" w:space="0" w:color="auto"/>
            <w:right w:val="none" w:sz="0" w:space="0" w:color="auto"/>
          </w:divBdr>
        </w:div>
        <w:div w:id="621813183">
          <w:marLeft w:val="0"/>
          <w:marRight w:val="0"/>
          <w:marTop w:val="0"/>
          <w:marBottom w:val="200"/>
          <w:divBdr>
            <w:top w:val="none" w:sz="0" w:space="0" w:color="auto"/>
            <w:left w:val="none" w:sz="0" w:space="0" w:color="auto"/>
            <w:bottom w:val="none" w:sz="0" w:space="0" w:color="auto"/>
            <w:right w:val="none" w:sz="0" w:space="0" w:color="auto"/>
          </w:divBdr>
        </w:div>
      </w:divsChild>
    </w:div>
    <w:div w:id="1172256010">
      <w:bodyDiv w:val="1"/>
      <w:marLeft w:val="0"/>
      <w:marRight w:val="0"/>
      <w:marTop w:val="0"/>
      <w:marBottom w:val="0"/>
      <w:divBdr>
        <w:top w:val="none" w:sz="0" w:space="0" w:color="auto"/>
        <w:left w:val="none" w:sz="0" w:space="0" w:color="auto"/>
        <w:bottom w:val="none" w:sz="0" w:space="0" w:color="auto"/>
        <w:right w:val="none" w:sz="0" w:space="0" w:color="auto"/>
      </w:divBdr>
    </w:div>
    <w:div w:id="1185246043">
      <w:bodyDiv w:val="1"/>
      <w:marLeft w:val="0"/>
      <w:marRight w:val="0"/>
      <w:marTop w:val="0"/>
      <w:marBottom w:val="0"/>
      <w:divBdr>
        <w:top w:val="none" w:sz="0" w:space="0" w:color="auto"/>
        <w:left w:val="none" w:sz="0" w:space="0" w:color="auto"/>
        <w:bottom w:val="none" w:sz="0" w:space="0" w:color="auto"/>
        <w:right w:val="none" w:sz="0" w:space="0" w:color="auto"/>
      </w:divBdr>
      <w:divsChild>
        <w:div w:id="873928938">
          <w:marLeft w:val="0"/>
          <w:marRight w:val="0"/>
          <w:marTop w:val="0"/>
          <w:marBottom w:val="200"/>
          <w:divBdr>
            <w:top w:val="none" w:sz="0" w:space="0" w:color="auto"/>
            <w:left w:val="none" w:sz="0" w:space="0" w:color="auto"/>
            <w:bottom w:val="none" w:sz="0" w:space="0" w:color="auto"/>
            <w:right w:val="none" w:sz="0" w:space="0" w:color="auto"/>
          </w:divBdr>
        </w:div>
        <w:div w:id="1618871644">
          <w:marLeft w:val="851"/>
          <w:marRight w:val="760"/>
          <w:marTop w:val="0"/>
          <w:marBottom w:val="200"/>
          <w:divBdr>
            <w:top w:val="none" w:sz="0" w:space="0" w:color="auto"/>
            <w:left w:val="none" w:sz="0" w:space="0" w:color="auto"/>
            <w:bottom w:val="none" w:sz="0" w:space="0" w:color="auto"/>
            <w:right w:val="none" w:sz="0" w:space="0" w:color="auto"/>
          </w:divBdr>
        </w:div>
        <w:div w:id="413093237">
          <w:marLeft w:val="851"/>
          <w:marRight w:val="760"/>
          <w:marTop w:val="0"/>
          <w:marBottom w:val="200"/>
          <w:divBdr>
            <w:top w:val="none" w:sz="0" w:space="0" w:color="auto"/>
            <w:left w:val="none" w:sz="0" w:space="0" w:color="auto"/>
            <w:bottom w:val="none" w:sz="0" w:space="0" w:color="auto"/>
            <w:right w:val="none" w:sz="0" w:space="0" w:color="auto"/>
          </w:divBdr>
        </w:div>
        <w:div w:id="769011352">
          <w:marLeft w:val="0"/>
          <w:marRight w:val="0"/>
          <w:marTop w:val="0"/>
          <w:marBottom w:val="200"/>
          <w:divBdr>
            <w:top w:val="none" w:sz="0" w:space="0" w:color="auto"/>
            <w:left w:val="none" w:sz="0" w:space="0" w:color="auto"/>
            <w:bottom w:val="none" w:sz="0" w:space="0" w:color="auto"/>
            <w:right w:val="none" w:sz="0" w:space="0" w:color="auto"/>
          </w:divBdr>
        </w:div>
        <w:div w:id="470828699">
          <w:marLeft w:val="851"/>
          <w:marRight w:val="760"/>
          <w:marTop w:val="0"/>
          <w:marBottom w:val="200"/>
          <w:divBdr>
            <w:top w:val="none" w:sz="0" w:space="0" w:color="auto"/>
            <w:left w:val="none" w:sz="0" w:space="0" w:color="auto"/>
            <w:bottom w:val="none" w:sz="0" w:space="0" w:color="auto"/>
            <w:right w:val="none" w:sz="0" w:space="0" w:color="auto"/>
          </w:divBdr>
        </w:div>
        <w:div w:id="1379865757">
          <w:marLeft w:val="851"/>
          <w:marRight w:val="760"/>
          <w:marTop w:val="0"/>
          <w:marBottom w:val="200"/>
          <w:divBdr>
            <w:top w:val="none" w:sz="0" w:space="0" w:color="auto"/>
            <w:left w:val="none" w:sz="0" w:space="0" w:color="auto"/>
            <w:bottom w:val="none" w:sz="0" w:space="0" w:color="auto"/>
            <w:right w:val="none" w:sz="0" w:space="0" w:color="auto"/>
          </w:divBdr>
        </w:div>
        <w:div w:id="1487359580">
          <w:marLeft w:val="0"/>
          <w:marRight w:val="0"/>
          <w:marTop w:val="0"/>
          <w:marBottom w:val="0"/>
          <w:divBdr>
            <w:top w:val="none" w:sz="0" w:space="0" w:color="auto"/>
            <w:left w:val="none" w:sz="0" w:space="0" w:color="auto"/>
            <w:bottom w:val="none" w:sz="0" w:space="0" w:color="auto"/>
            <w:right w:val="none" w:sz="0" w:space="0" w:color="auto"/>
          </w:divBdr>
        </w:div>
      </w:divsChild>
    </w:div>
    <w:div w:id="1284462073">
      <w:bodyDiv w:val="1"/>
      <w:marLeft w:val="0"/>
      <w:marRight w:val="0"/>
      <w:marTop w:val="0"/>
      <w:marBottom w:val="0"/>
      <w:divBdr>
        <w:top w:val="none" w:sz="0" w:space="0" w:color="auto"/>
        <w:left w:val="none" w:sz="0" w:space="0" w:color="auto"/>
        <w:bottom w:val="none" w:sz="0" w:space="0" w:color="auto"/>
        <w:right w:val="none" w:sz="0" w:space="0" w:color="auto"/>
      </w:divBdr>
      <w:divsChild>
        <w:div w:id="180167487">
          <w:marLeft w:val="567"/>
          <w:marRight w:val="567"/>
          <w:marTop w:val="0"/>
          <w:marBottom w:val="0"/>
          <w:divBdr>
            <w:top w:val="none" w:sz="0" w:space="0" w:color="auto"/>
            <w:left w:val="none" w:sz="0" w:space="0" w:color="auto"/>
            <w:bottom w:val="none" w:sz="0" w:space="0" w:color="auto"/>
            <w:right w:val="none" w:sz="0" w:space="0" w:color="auto"/>
          </w:divBdr>
        </w:div>
        <w:div w:id="973800785">
          <w:marLeft w:val="567"/>
          <w:marRight w:val="567"/>
          <w:marTop w:val="0"/>
          <w:marBottom w:val="0"/>
          <w:divBdr>
            <w:top w:val="none" w:sz="0" w:space="0" w:color="auto"/>
            <w:left w:val="none" w:sz="0" w:space="0" w:color="auto"/>
            <w:bottom w:val="none" w:sz="0" w:space="0" w:color="auto"/>
            <w:right w:val="none" w:sz="0" w:space="0" w:color="auto"/>
          </w:divBdr>
        </w:div>
        <w:div w:id="1807041913">
          <w:marLeft w:val="0"/>
          <w:marRight w:val="0"/>
          <w:marTop w:val="0"/>
          <w:marBottom w:val="0"/>
          <w:divBdr>
            <w:top w:val="none" w:sz="0" w:space="0" w:color="auto"/>
            <w:left w:val="none" w:sz="0" w:space="0" w:color="auto"/>
            <w:bottom w:val="none" w:sz="0" w:space="0" w:color="auto"/>
            <w:right w:val="none" w:sz="0" w:space="0" w:color="auto"/>
          </w:divBdr>
        </w:div>
      </w:divsChild>
    </w:div>
    <w:div w:id="1306279054">
      <w:bodyDiv w:val="1"/>
      <w:marLeft w:val="0"/>
      <w:marRight w:val="0"/>
      <w:marTop w:val="0"/>
      <w:marBottom w:val="0"/>
      <w:divBdr>
        <w:top w:val="none" w:sz="0" w:space="0" w:color="auto"/>
        <w:left w:val="none" w:sz="0" w:space="0" w:color="auto"/>
        <w:bottom w:val="none" w:sz="0" w:space="0" w:color="auto"/>
        <w:right w:val="none" w:sz="0" w:space="0" w:color="auto"/>
      </w:divBdr>
    </w:div>
    <w:div w:id="1336762045">
      <w:bodyDiv w:val="1"/>
      <w:marLeft w:val="0"/>
      <w:marRight w:val="0"/>
      <w:marTop w:val="0"/>
      <w:marBottom w:val="0"/>
      <w:divBdr>
        <w:top w:val="none" w:sz="0" w:space="0" w:color="auto"/>
        <w:left w:val="none" w:sz="0" w:space="0" w:color="auto"/>
        <w:bottom w:val="none" w:sz="0" w:space="0" w:color="auto"/>
        <w:right w:val="none" w:sz="0" w:space="0" w:color="auto"/>
      </w:divBdr>
      <w:divsChild>
        <w:div w:id="953026236">
          <w:marLeft w:val="0"/>
          <w:marRight w:val="49"/>
          <w:marTop w:val="0"/>
          <w:marBottom w:val="0"/>
          <w:divBdr>
            <w:top w:val="none" w:sz="0" w:space="0" w:color="auto"/>
            <w:left w:val="none" w:sz="0" w:space="0" w:color="auto"/>
            <w:bottom w:val="none" w:sz="0" w:space="0" w:color="auto"/>
            <w:right w:val="none" w:sz="0" w:space="0" w:color="auto"/>
          </w:divBdr>
        </w:div>
        <w:div w:id="1661349817">
          <w:marLeft w:val="0"/>
          <w:marRight w:val="49"/>
          <w:marTop w:val="0"/>
          <w:marBottom w:val="0"/>
          <w:divBdr>
            <w:top w:val="none" w:sz="0" w:space="0" w:color="auto"/>
            <w:left w:val="none" w:sz="0" w:space="0" w:color="auto"/>
            <w:bottom w:val="none" w:sz="0" w:space="0" w:color="auto"/>
            <w:right w:val="none" w:sz="0" w:space="0" w:color="auto"/>
          </w:divBdr>
        </w:div>
      </w:divsChild>
    </w:div>
    <w:div w:id="1367293347">
      <w:bodyDiv w:val="1"/>
      <w:marLeft w:val="0"/>
      <w:marRight w:val="0"/>
      <w:marTop w:val="0"/>
      <w:marBottom w:val="0"/>
      <w:divBdr>
        <w:top w:val="none" w:sz="0" w:space="0" w:color="auto"/>
        <w:left w:val="none" w:sz="0" w:space="0" w:color="auto"/>
        <w:bottom w:val="none" w:sz="0" w:space="0" w:color="auto"/>
        <w:right w:val="none" w:sz="0" w:space="0" w:color="auto"/>
      </w:divBdr>
    </w:div>
    <w:div w:id="1459571939">
      <w:bodyDiv w:val="1"/>
      <w:marLeft w:val="0"/>
      <w:marRight w:val="0"/>
      <w:marTop w:val="0"/>
      <w:marBottom w:val="0"/>
      <w:divBdr>
        <w:top w:val="none" w:sz="0" w:space="0" w:color="auto"/>
        <w:left w:val="none" w:sz="0" w:space="0" w:color="auto"/>
        <w:bottom w:val="none" w:sz="0" w:space="0" w:color="auto"/>
        <w:right w:val="none" w:sz="0" w:space="0" w:color="auto"/>
      </w:divBdr>
    </w:div>
    <w:div w:id="1492016505">
      <w:bodyDiv w:val="1"/>
      <w:marLeft w:val="0"/>
      <w:marRight w:val="0"/>
      <w:marTop w:val="0"/>
      <w:marBottom w:val="0"/>
      <w:divBdr>
        <w:top w:val="none" w:sz="0" w:space="0" w:color="auto"/>
        <w:left w:val="none" w:sz="0" w:space="0" w:color="auto"/>
        <w:bottom w:val="none" w:sz="0" w:space="0" w:color="auto"/>
        <w:right w:val="none" w:sz="0" w:space="0" w:color="auto"/>
      </w:divBdr>
    </w:div>
    <w:div w:id="1746535477">
      <w:bodyDiv w:val="1"/>
      <w:marLeft w:val="0"/>
      <w:marRight w:val="0"/>
      <w:marTop w:val="0"/>
      <w:marBottom w:val="0"/>
      <w:divBdr>
        <w:top w:val="none" w:sz="0" w:space="0" w:color="auto"/>
        <w:left w:val="none" w:sz="0" w:space="0" w:color="auto"/>
        <w:bottom w:val="none" w:sz="0" w:space="0" w:color="auto"/>
        <w:right w:val="none" w:sz="0" w:space="0" w:color="auto"/>
      </w:divBdr>
    </w:div>
    <w:div w:id="1769933992">
      <w:bodyDiv w:val="1"/>
      <w:marLeft w:val="0"/>
      <w:marRight w:val="0"/>
      <w:marTop w:val="0"/>
      <w:marBottom w:val="0"/>
      <w:divBdr>
        <w:top w:val="none" w:sz="0" w:space="0" w:color="auto"/>
        <w:left w:val="none" w:sz="0" w:space="0" w:color="auto"/>
        <w:bottom w:val="none" w:sz="0" w:space="0" w:color="auto"/>
        <w:right w:val="none" w:sz="0" w:space="0" w:color="auto"/>
      </w:divBdr>
    </w:div>
    <w:div w:id="1901749903">
      <w:bodyDiv w:val="1"/>
      <w:marLeft w:val="0"/>
      <w:marRight w:val="0"/>
      <w:marTop w:val="0"/>
      <w:marBottom w:val="0"/>
      <w:divBdr>
        <w:top w:val="none" w:sz="0" w:space="0" w:color="auto"/>
        <w:left w:val="none" w:sz="0" w:space="0" w:color="auto"/>
        <w:bottom w:val="none" w:sz="0" w:space="0" w:color="auto"/>
        <w:right w:val="none" w:sz="0" w:space="0" w:color="auto"/>
      </w:divBdr>
    </w:div>
    <w:div w:id="1978683659">
      <w:bodyDiv w:val="1"/>
      <w:marLeft w:val="0"/>
      <w:marRight w:val="0"/>
      <w:marTop w:val="0"/>
      <w:marBottom w:val="0"/>
      <w:divBdr>
        <w:top w:val="none" w:sz="0" w:space="0" w:color="auto"/>
        <w:left w:val="none" w:sz="0" w:space="0" w:color="auto"/>
        <w:bottom w:val="none" w:sz="0" w:space="0" w:color="auto"/>
        <w:right w:val="none" w:sz="0" w:space="0" w:color="auto"/>
      </w:divBdr>
    </w:div>
    <w:div w:id="2011567448">
      <w:bodyDiv w:val="1"/>
      <w:marLeft w:val="0"/>
      <w:marRight w:val="0"/>
      <w:marTop w:val="0"/>
      <w:marBottom w:val="0"/>
      <w:divBdr>
        <w:top w:val="none" w:sz="0" w:space="0" w:color="auto"/>
        <w:left w:val="none" w:sz="0" w:space="0" w:color="auto"/>
        <w:bottom w:val="none" w:sz="0" w:space="0" w:color="auto"/>
        <w:right w:val="none" w:sz="0" w:space="0" w:color="auto"/>
      </w:divBdr>
    </w:div>
    <w:div w:id="2027511733">
      <w:bodyDiv w:val="1"/>
      <w:marLeft w:val="0"/>
      <w:marRight w:val="0"/>
      <w:marTop w:val="0"/>
      <w:marBottom w:val="0"/>
      <w:divBdr>
        <w:top w:val="none" w:sz="0" w:space="0" w:color="auto"/>
        <w:left w:val="none" w:sz="0" w:space="0" w:color="auto"/>
        <w:bottom w:val="none" w:sz="0" w:space="0" w:color="auto"/>
        <w:right w:val="none" w:sz="0" w:space="0" w:color="auto"/>
      </w:divBdr>
    </w:div>
    <w:div w:id="2036736003">
      <w:bodyDiv w:val="1"/>
      <w:marLeft w:val="0"/>
      <w:marRight w:val="0"/>
      <w:marTop w:val="0"/>
      <w:marBottom w:val="0"/>
      <w:divBdr>
        <w:top w:val="none" w:sz="0" w:space="0" w:color="auto"/>
        <w:left w:val="none" w:sz="0" w:space="0" w:color="auto"/>
        <w:bottom w:val="none" w:sz="0" w:space="0" w:color="auto"/>
        <w:right w:val="none" w:sz="0" w:space="0" w:color="auto"/>
      </w:divBdr>
    </w:div>
    <w:div w:id="2094087896">
      <w:bodyDiv w:val="1"/>
      <w:marLeft w:val="0"/>
      <w:marRight w:val="0"/>
      <w:marTop w:val="0"/>
      <w:marBottom w:val="0"/>
      <w:divBdr>
        <w:top w:val="none" w:sz="0" w:space="0" w:color="auto"/>
        <w:left w:val="none" w:sz="0" w:space="0" w:color="auto"/>
        <w:bottom w:val="none" w:sz="0" w:space="0" w:color="auto"/>
        <w:right w:val="none" w:sz="0" w:space="0" w:color="auto"/>
      </w:divBdr>
    </w:div>
    <w:div w:id="2099906409">
      <w:bodyDiv w:val="1"/>
      <w:marLeft w:val="0"/>
      <w:marRight w:val="0"/>
      <w:marTop w:val="0"/>
      <w:marBottom w:val="0"/>
      <w:divBdr>
        <w:top w:val="none" w:sz="0" w:space="0" w:color="auto"/>
        <w:left w:val="none" w:sz="0" w:space="0" w:color="auto"/>
        <w:bottom w:val="none" w:sz="0" w:space="0" w:color="auto"/>
        <w:right w:val="none" w:sz="0" w:space="0" w:color="auto"/>
      </w:divBdr>
      <w:divsChild>
        <w:div w:id="170075363">
          <w:marLeft w:val="0"/>
          <w:marRight w:val="0"/>
          <w:marTop w:val="0"/>
          <w:marBottom w:val="200"/>
          <w:divBdr>
            <w:top w:val="none" w:sz="0" w:space="0" w:color="auto"/>
            <w:left w:val="none" w:sz="0" w:space="0" w:color="auto"/>
            <w:bottom w:val="none" w:sz="0" w:space="0" w:color="auto"/>
            <w:right w:val="none" w:sz="0" w:space="0" w:color="auto"/>
          </w:divBdr>
        </w:div>
        <w:div w:id="720255539">
          <w:marLeft w:val="0"/>
          <w:marRight w:val="0"/>
          <w:marTop w:val="0"/>
          <w:marBottom w:val="200"/>
          <w:divBdr>
            <w:top w:val="none" w:sz="0" w:space="0" w:color="auto"/>
            <w:left w:val="none" w:sz="0" w:space="0" w:color="auto"/>
            <w:bottom w:val="none" w:sz="0" w:space="0" w:color="auto"/>
            <w:right w:val="none" w:sz="0" w:space="0" w:color="auto"/>
          </w:divBdr>
        </w:div>
        <w:div w:id="1413703382">
          <w:marLeft w:val="851"/>
          <w:marRight w:val="760"/>
          <w:marTop w:val="0"/>
          <w:marBottom w:val="200"/>
          <w:divBdr>
            <w:top w:val="none" w:sz="0" w:space="0" w:color="auto"/>
            <w:left w:val="none" w:sz="0" w:space="0" w:color="auto"/>
            <w:bottom w:val="none" w:sz="0" w:space="0" w:color="auto"/>
            <w:right w:val="none" w:sz="0" w:space="0" w:color="auto"/>
          </w:divBdr>
        </w:div>
        <w:div w:id="883105888">
          <w:marLeft w:val="851"/>
          <w:marRight w:val="760"/>
          <w:marTop w:val="0"/>
          <w:marBottom w:val="200"/>
          <w:divBdr>
            <w:top w:val="none" w:sz="0" w:space="0" w:color="auto"/>
            <w:left w:val="none" w:sz="0" w:space="0" w:color="auto"/>
            <w:bottom w:val="none" w:sz="0" w:space="0" w:color="auto"/>
            <w:right w:val="none" w:sz="0" w:space="0" w:color="auto"/>
          </w:divBdr>
        </w:div>
        <w:div w:id="461508170">
          <w:marLeft w:val="851"/>
          <w:marRight w:val="760"/>
          <w:marTop w:val="0"/>
          <w:marBottom w:val="200"/>
          <w:divBdr>
            <w:top w:val="none" w:sz="0" w:space="0" w:color="auto"/>
            <w:left w:val="none" w:sz="0" w:space="0" w:color="auto"/>
            <w:bottom w:val="none" w:sz="0" w:space="0" w:color="auto"/>
            <w:right w:val="none" w:sz="0" w:space="0" w:color="auto"/>
          </w:divBdr>
        </w:div>
        <w:div w:id="826365668">
          <w:marLeft w:val="0"/>
          <w:marRight w:val="0"/>
          <w:marTop w:val="0"/>
          <w:marBottom w:val="200"/>
          <w:divBdr>
            <w:top w:val="none" w:sz="0" w:space="0" w:color="auto"/>
            <w:left w:val="none" w:sz="0" w:space="0" w:color="auto"/>
            <w:bottom w:val="none" w:sz="0" w:space="0" w:color="auto"/>
            <w:right w:val="none" w:sz="0" w:space="0" w:color="auto"/>
          </w:divBdr>
        </w:div>
        <w:div w:id="404181575">
          <w:marLeft w:val="0"/>
          <w:marRight w:val="0"/>
          <w:marTop w:val="0"/>
          <w:marBottom w:val="200"/>
          <w:divBdr>
            <w:top w:val="none" w:sz="0" w:space="0" w:color="auto"/>
            <w:left w:val="none" w:sz="0" w:space="0" w:color="auto"/>
            <w:bottom w:val="none" w:sz="0" w:space="0" w:color="auto"/>
            <w:right w:val="none" w:sz="0" w:space="0" w:color="auto"/>
          </w:divBdr>
        </w:div>
        <w:div w:id="459810335">
          <w:marLeft w:val="0"/>
          <w:marRight w:val="0"/>
          <w:marTop w:val="0"/>
          <w:marBottom w:val="200"/>
          <w:divBdr>
            <w:top w:val="none" w:sz="0" w:space="0" w:color="auto"/>
            <w:left w:val="none" w:sz="0" w:space="0" w:color="auto"/>
            <w:bottom w:val="none" w:sz="0" w:space="0" w:color="auto"/>
            <w:right w:val="none" w:sz="0" w:space="0" w:color="auto"/>
          </w:divBdr>
        </w:div>
        <w:div w:id="2040352564">
          <w:marLeft w:val="0"/>
          <w:marRight w:val="0"/>
          <w:marTop w:val="0"/>
          <w:marBottom w:val="200"/>
          <w:divBdr>
            <w:top w:val="none" w:sz="0" w:space="0" w:color="auto"/>
            <w:left w:val="none" w:sz="0" w:space="0" w:color="auto"/>
            <w:bottom w:val="none" w:sz="0" w:space="0" w:color="auto"/>
            <w:right w:val="none" w:sz="0" w:space="0" w:color="auto"/>
          </w:divBdr>
        </w:div>
        <w:div w:id="667639478">
          <w:marLeft w:val="0"/>
          <w:marRight w:val="0"/>
          <w:marTop w:val="0"/>
          <w:marBottom w:val="200"/>
          <w:divBdr>
            <w:top w:val="none" w:sz="0" w:space="0" w:color="auto"/>
            <w:left w:val="none" w:sz="0" w:space="0" w:color="auto"/>
            <w:bottom w:val="none" w:sz="0" w:space="0" w:color="auto"/>
            <w:right w:val="none" w:sz="0" w:space="0" w:color="auto"/>
          </w:divBdr>
        </w:div>
        <w:div w:id="350575472">
          <w:marLeft w:val="0"/>
          <w:marRight w:val="0"/>
          <w:marTop w:val="0"/>
          <w:marBottom w:val="200"/>
          <w:divBdr>
            <w:top w:val="none" w:sz="0" w:space="0" w:color="auto"/>
            <w:left w:val="none" w:sz="0" w:space="0" w:color="auto"/>
            <w:bottom w:val="none" w:sz="0" w:space="0" w:color="auto"/>
            <w:right w:val="none" w:sz="0" w:space="0" w:color="auto"/>
          </w:divBdr>
        </w:div>
      </w:divsChild>
    </w:div>
    <w:div w:id="214423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wmf"/><Relationship Id="rId42" Type="http://schemas.openxmlformats.org/officeDocument/2006/relationships/image" Target="media/image30.wmf"/><Relationship Id="rId47" Type="http://schemas.openxmlformats.org/officeDocument/2006/relationships/image" Target="media/image35.wmf"/><Relationship Id="rId50" Type="http://schemas.openxmlformats.org/officeDocument/2006/relationships/image" Target="media/image38.wmf"/><Relationship Id="rId55" Type="http://schemas.openxmlformats.org/officeDocument/2006/relationships/image" Target="media/image43.wmf"/><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png"/><Relationship Id="rId45" Type="http://schemas.openxmlformats.org/officeDocument/2006/relationships/image" Target="media/image33.jpg"/><Relationship Id="rId53" Type="http://schemas.openxmlformats.org/officeDocument/2006/relationships/image" Target="media/image41.png"/><Relationship Id="rId58" Type="http://schemas.openxmlformats.org/officeDocument/2006/relationships/image" Target="media/image46.w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49.jpg"/><Relationship Id="rId19" Type="http://schemas.openxmlformats.org/officeDocument/2006/relationships/image" Target="media/image7.png"/><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png"/><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image" Target="media/image39.wmf"/><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png"/><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emf"/><Relationship Id="rId59" Type="http://schemas.openxmlformats.org/officeDocument/2006/relationships/image" Target="media/image47.wmf"/><Relationship Id="rId67" Type="http://schemas.microsoft.com/office/2016/09/relationships/commentsIds" Target="commentsIds.xml"/><Relationship Id="rId20" Type="http://schemas.openxmlformats.org/officeDocument/2006/relationships/image" Target="media/image8.e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jp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endnotes" Target="endnotes.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jp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image" Target="media/image6.emf"/><Relationship Id="rId39" Type="http://schemas.openxmlformats.org/officeDocument/2006/relationships/image" Target="media/image27.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aa9e511fcafbab5f2ef084e2d0bfd3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7EB86-902F-4E87-BA57-95A75C91E47A}">
  <ds:schemaRefs>
    <ds:schemaRef ds:uri="http://schemas.microsoft.com/sharepoint/v3/contenttype/forms"/>
  </ds:schemaRefs>
</ds:datastoreItem>
</file>

<file path=customXml/itemProps2.xml><?xml version="1.0" encoding="utf-8"?>
<ds:datastoreItem xmlns:ds="http://schemas.openxmlformats.org/officeDocument/2006/customXml" ds:itemID="{36463AB4-5C73-405A-B8CD-0FF68FE4F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2FA6733-1F8F-4E0F-8017-1F30999280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AF26A2D9-3EE1-495D-8322-D4424F41D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157</Pages>
  <Words>36461</Words>
  <Characters>200541</Characters>
  <Application>Microsoft Office Word</Application>
  <DocSecurity>0</DocSecurity>
  <Lines>1671</Lines>
  <Paragraphs>473</Paragraphs>
  <ScaleCrop>false</ScaleCrop>
  <HeadingPairs>
    <vt:vector size="2" baseType="variant">
      <vt:variant>
        <vt:lpstr>Título</vt:lpstr>
      </vt:variant>
      <vt:variant>
        <vt:i4>1</vt:i4>
      </vt:variant>
    </vt:vector>
  </HeadingPairs>
  <TitlesOfParts>
    <vt:vector size="1" baseType="lpstr">
      <vt:lpstr/>
    </vt:vector>
  </TitlesOfParts>
  <Company>Analysys Mason</Company>
  <LinksUpToDate>false</LinksUpToDate>
  <CharactersWithSpaces>236529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Pablo Vinicio Gonzalez Rodriguez</dc:creator>
  <cp:lastModifiedBy>Cesar Vicente Perez Gaytan</cp:lastModifiedBy>
  <cp:revision>8</cp:revision>
  <cp:lastPrinted>2015-11-26T04:00:00Z</cp:lastPrinted>
  <dcterms:created xsi:type="dcterms:W3CDTF">2017-10-24T03:02:00Z</dcterms:created>
  <dcterms:modified xsi:type="dcterms:W3CDTF">2018-03-09T17:48:00Z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