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A" w:rsidRPr="00850C3A" w:rsidRDefault="00606E07" w:rsidP="00850C3A">
      <w:pPr>
        <w:pStyle w:val="1TitPrin"/>
        <w:spacing w:afterLines="120" w:after="288"/>
      </w:pPr>
      <w:r w:rsidRPr="00850C3A">
        <w:t>RESOLUCIÓN MEDIANTE</w:t>
      </w:r>
      <w:r w:rsidR="00A21167" w:rsidRPr="00850C3A">
        <w:t xml:space="preserve"> LA CUAL EL PLENO DEL INSTITUTO FEDERAL DE TELECOMUNICACIONES </w:t>
      </w:r>
      <w:r w:rsidR="006D2D8F" w:rsidRPr="00850C3A">
        <w:t xml:space="preserve">DETERMINA PROCEDENTE </w:t>
      </w:r>
      <w:r w:rsidR="006C3758" w:rsidRPr="00850C3A">
        <w:t>LA PRESTACIÓN DE</w:t>
      </w:r>
      <w:r w:rsidR="00FB24F6" w:rsidRPr="00850C3A">
        <w:t xml:space="preserve"> SERVICIOS ADICIONALES EN </w:t>
      </w:r>
      <w:r w:rsidR="006C3758" w:rsidRPr="00850C3A">
        <w:t xml:space="preserve">LOS </w:t>
      </w:r>
      <w:r w:rsidR="00273D4E" w:rsidRPr="00850C3A">
        <w:t>DOS</w:t>
      </w:r>
      <w:r w:rsidR="0048026D" w:rsidRPr="00850C3A">
        <w:t xml:space="preserve"> </w:t>
      </w:r>
      <w:r w:rsidR="00FB24F6" w:rsidRPr="00850C3A">
        <w:t>TÍTULO</w:t>
      </w:r>
      <w:r w:rsidR="00C6712B" w:rsidRPr="00850C3A">
        <w:t>S</w:t>
      </w:r>
      <w:r w:rsidR="00FB24F6" w:rsidRPr="00850C3A">
        <w:t xml:space="preserve"> DE CONCESIÓN </w:t>
      </w:r>
      <w:r w:rsidR="00C6712B" w:rsidRPr="00850C3A">
        <w:t>PARA USAR, APROVECHAR Y EXPLOTAR BANDAS DE FRECUENCIAS DEL ESPECTRO RADIOELÉCTRICO PARA USOS DETERMINADOS</w:t>
      </w:r>
      <w:r w:rsidR="005B771E" w:rsidRPr="00850C3A">
        <w:t>, MODIFICADOS Y PRORROGADOS EL 6 DE SEPTIEMBRE DE 2013</w:t>
      </w:r>
      <w:r w:rsidR="006C3758" w:rsidRPr="00850C3A">
        <w:t xml:space="preserve"> POR LA SECRETARÍA DE COMUNICACIONES Y TRANSPORTES</w:t>
      </w:r>
      <w:r w:rsidR="00DA77DE" w:rsidRPr="00850C3A">
        <w:t>,</w:t>
      </w:r>
      <w:r w:rsidR="006C3758" w:rsidRPr="00850C3A">
        <w:t xml:space="preserve"> </w:t>
      </w:r>
      <w:r w:rsidR="00273D4E" w:rsidRPr="00850C3A">
        <w:t>A FAVOR DE LOS CC. ADRIÁN ESPER CÁRDENAS Y ALFONSO ESPER CÁRDENAS</w:t>
      </w:r>
      <w:r w:rsidR="006C3758" w:rsidRPr="00850C3A">
        <w:t>.</w:t>
      </w:r>
    </w:p>
    <w:p w:rsidR="00850C3A" w:rsidRPr="00850C3A" w:rsidRDefault="00A21167" w:rsidP="00850C3A">
      <w:pPr>
        <w:pStyle w:val="Ttulo2"/>
        <w:spacing w:afterLines="120" w:after="288" w:line="276" w:lineRule="auto"/>
        <w:ind w:firstLine="0"/>
        <w:jc w:val="center"/>
        <w:rPr>
          <w:rFonts w:ascii="ITC Avant Garde" w:hAnsi="ITC Avant Garde" w:cs="Arial"/>
          <w:bCs/>
          <w:sz w:val="22"/>
          <w:szCs w:val="22"/>
          <w:lang w:eastAsia="en-US"/>
        </w:rPr>
      </w:pPr>
      <w:r w:rsidRPr="00850C3A">
        <w:rPr>
          <w:rFonts w:ascii="ITC Avant Garde" w:hAnsi="ITC Avant Garde" w:cs="Arial"/>
          <w:bCs/>
          <w:sz w:val="22"/>
          <w:szCs w:val="22"/>
          <w:lang w:eastAsia="en-US"/>
        </w:rPr>
        <w:t>ANTECEDENTES</w:t>
      </w:r>
    </w:p>
    <w:p w:rsidR="00850C3A" w:rsidRDefault="009A5E55" w:rsidP="00850C3A">
      <w:pPr>
        <w:numPr>
          <w:ilvl w:val="0"/>
          <w:numId w:val="1"/>
        </w:numPr>
        <w:spacing w:afterLines="120" w:after="288" w:line="240" w:lineRule="auto"/>
        <w:ind w:left="567" w:hanging="709"/>
        <w:jc w:val="both"/>
        <w:rPr>
          <w:rFonts w:ascii="ITC Avant Garde" w:hAnsi="ITC Avant Garde"/>
          <w:bCs/>
          <w:color w:val="000000"/>
          <w:lang w:eastAsia="es-MX"/>
        </w:rPr>
      </w:pPr>
      <w:r w:rsidRPr="00A61D6E">
        <w:rPr>
          <w:rFonts w:ascii="ITC Avant Garde" w:hAnsi="ITC Avant Garde"/>
          <w:b/>
          <w:bCs/>
          <w:color w:val="000000"/>
          <w:lang w:eastAsia="es-MX"/>
        </w:rPr>
        <w:t xml:space="preserve">Decreto de Reforma Constitucional. </w:t>
      </w:r>
      <w:r w:rsidRPr="00A61D6E">
        <w:rPr>
          <w:rFonts w:ascii="ITC Avant Garde" w:hAnsi="ITC Avant Garde"/>
          <w:bCs/>
          <w:color w:val="000000"/>
          <w:lang w:eastAsia="es-MX"/>
        </w:rPr>
        <w:t>Con fecha 11 de junio de 2013, se publicó en el Diario Oficial de la Federación el “</w:t>
      </w:r>
      <w:r w:rsidRPr="00A61D6E">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61D6E">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2750A8" w:rsidRDefault="00DE16A4" w:rsidP="00850C3A">
      <w:pPr>
        <w:numPr>
          <w:ilvl w:val="0"/>
          <w:numId w:val="1"/>
        </w:numPr>
        <w:spacing w:afterLines="120" w:after="288" w:line="240" w:lineRule="auto"/>
        <w:ind w:left="567" w:hanging="709"/>
        <w:jc w:val="both"/>
        <w:rPr>
          <w:rFonts w:ascii="ITC Avant Garde" w:hAnsi="ITC Avant Garde"/>
          <w:bCs/>
          <w:color w:val="000000"/>
          <w:lang w:eastAsia="es-MX"/>
        </w:rPr>
      </w:pPr>
      <w:r w:rsidRPr="005B771E">
        <w:rPr>
          <w:rFonts w:ascii="ITC Avant Garde" w:hAnsi="ITC Avant Garde"/>
          <w:b/>
          <w:bCs/>
          <w:color w:val="000000"/>
          <w:lang w:eastAsia="es-MX"/>
        </w:rPr>
        <w:t>Otorgamiento de la</w:t>
      </w:r>
      <w:r w:rsidR="007E2DB6" w:rsidRPr="005B771E">
        <w:rPr>
          <w:rFonts w:ascii="ITC Avant Garde" w:hAnsi="ITC Avant Garde"/>
          <w:b/>
          <w:bCs/>
          <w:color w:val="000000"/>
          <w:lang w:eastAsia="es-MX"/>
        </w:rPr>
        <w:t>s Concesiones</w:t>
      </w:r>
      <w:r w:rsidRPr="005B771E">
        <w:rPr>
          <w:rFonts w:ascii="ITC Avant Garde" w:hAnsi="ITC Avant Garde"/>
          <w:b/>
          <w:bCs/>
          <w:color w:val="000000"/>
          <w:lang w:eastAsia="es-MX"/>
        </w:rPr>
        <w:t>.</w:t>
      </w:r>
      <w:r w:rsidRPr="005B771E">
        <w:rPr>
          <w:rFonts w:ascii="ITC Avant Garde" w:hAnsi="ITC Avant Garde"/>
          <w:bCs/>
          <w:color w:val="000000"/>
          <w:lang w:eastAsia="es-MX"/>
        </w:rPr>
        <w:t xml:space="preserve"> El 6 de septiembre de 2013, la Secretaría </w:t>
      </w:r>
      <w:r w:rsidR="00D355D6" w:rsidRPr="005B771E">
        <w:rPr>
          <w:rFonts w:ascii="ITC Avant Garde" w:hAnsi="ITC Avant Garde"/>
          <w:bCs/>
          <w:color w:val="000000"/>
          <w:lang w:eastAsia="es-MX"/>
        </w:rPr>
        <w:t xml:space="preserve">de Comunicaciones y Transportes </w:t>
      </w:r>
      <w:r w:rsidR="00273D4E" w:rsidRPr="008D738A">
        <w:rPr>
          <w:rFonts w:ascii="ITC Avant Garde" w:hAnsi="ITC Avant Garde"/>
          <w:bCs/>
          <w:color w:val="000000"/>
          <w:lang w:eastAsia="es-MX"/>
        </w:rPr>
        <w:t xml:space="preserve">otorgó a favor de </w:t>
      </w:r>
      <w:r w:rsidR="00273D4E">
        <w:rPr>
          <w:rFonts w:ascii="ITC Avant Garde" w:hAnsi="ITC Avant Garde"/>
          <w:bCs/>
          <w:color w:val="000000"/>
          <w:lang w:eastAsia="es-MX"/>
        </w:rPr>
        <w:t>los CC. Adrián Esper Cárdenas y Alfonso Esper Cárdenas, 2 (dos)</w:t>
      </w:r>
      <w:r w:rsidR="00273D4E" w:rsidRPr="008D738A">
        <w:rPr>
          <w:rFonts w:ascii="ITC Avant Garde" w:hAnsi="ITC Avant Garde"/>
          <w:bCs/>
          <w:color w:val="000000"/>
          <w:lang w:eastAsia="es-MX"/>
        </w:rPr>
        <w:t xml:space="preserve"> Modificaci</w:t>
      </w:r>
      <w:r w:rsidR="00273D4E">
        <w:rPr>
          <w:rFonts w:ascii="ITC Avant Garde" w:hAnsi="ITC Avant Garde"/>
          <w:bCs/>
          <w:color w:val="000000"/>
          <w:lang w:eastAsia="es-MX"/>
        </w:rPr>
        <w:t>ones</w:t>
      </w:r>
      <w:r w:rsidRPr="005B771E">
        <w:rPr>
          <w:rFonts w:ascii="ITC Avant Garde" w:hAnsi="ITC Avant Garde"/>
          <w:bCs/>
          <w:color w:val="000000"/>
          <w:lang w:eastAsia="es-MX"/>
        </w:rPr>
        <w:t xml:space="preserve"> y Prórrogas de las Concesiones para usar, aprovechar y explotar bandas de frecuencias del espectro radioeléctrico para usos determinad</w:t>
      </w:r>
      <w:r w:rsidR="008A0F7C">
        <w:rPr>
          <w:rFonts w:ascii="ITC Avant Garde" w:hAnsi="ITC Avant Garde"/>
          <w:bCs/>
          <w:color w:val="000000"/>
          <w:lang w:eastAsia="es-MX"/>
        </w:rPr>
        <w:t>os (las “Concesiones de Bandas</w:t>
      </w:r>
      <w:r w:rsidRPr="005B771E">
        <w:rPr>
          <w:rFonts w:ascii="ITC Avant Garde" w:hAnsi="ITC Avant Garde"/>
          <w:bCs/>
          <w:color w:val="000000"/>
          <w:lang w:eastAsia="es-MX"/>
        </w:rPr>
        <w:t>”)</w:t>
      </w:r>
      <w:r w:rsidR="008A0F7C">
        <w:rPr>
          <w:rFonts w:ascii="ITC Avant Garde" w:hAnsi="ITC Avant Garde"/>
          <w:bCs/>
          <w:color w:val="000000"/>
          <w:lang w:eastAsia="es-MX"/>
        </w:rPr>
        <w:t>,</w:t>
      </w:r>
      <w:r w:rsidRPr="005B771E">
        <w:rPr>
          <w:rFonts w:ascii="ITC Avant Garde" w:hAnsi="ITC Avant Garde"/>
          <w:bCs/>
          <w:color w:val="000000"/>
          <w:lang w:eastAsia="es-MX"/>
        </w:rPr>
        <w:t xml:space="preserve"> y </w:t>
      </w:r>
      <w:r w:rsidR="003B0310">
        <w:rPr>
          <w:rFonts w:ascii="ITC Avant Garde" w:hAnsi="ITC Avant Garde"/>
          <w:bCs/>
          <w:color w:val="000000"/>
          <w:lang w:eastAsia="es-MX"/>
        </w:rPr>
        <w:t>2</w:t>
      </w:r>
      <w:r w:rsidRPr="005B771E">
        <w:rPr>
          <w:rFonts w:ascii="ITC Avant Garde" w:hAnsi="ITC Avant Garde"/>
          <w:bCs/>
          <w:color w:val="000000"/>
          <w:lang w:eastAsia="es-MX"/>
        </w:rPr>
        <w:t xml:space="preserve"> (</w:t>
      </w:r>
      <w:r w:rsidR="003B0310">
        <w:rPr>
          <w:rFonts w:ascii="ITC Avant Garde" w:hAnsi="ITC Avant Garde"/>
          <w:bCs/>
          <w:color w:val="000000"/>
          <w:lang w:eastAsia="es-MX"/>
        </w:rPr>
        <w:t>dos</w:t>
      </w:r>
      <w:r w:rsidRPr="005B771E">
        <w:rPr>
          <w:rFonts w:ascii="ITC Avant Garde" w:hAnsi="ITC Avant Garde"/>
          <w:bCs/>
          <w:color w:val="000000"/>
          <w:lang w:eastAsia="es-MX"/>
        </w:rPr>
        <w:t>) Modificaciones y Prórrogas de las Concesiones para instalar, operar y explotar una red pública de telecomunicaciones, (las “Concesiones de Red”),</w:t>
      </w:r>
      <w:r w:rsidR="00624DF7">
        <w:rPr>
          <w:rFonts w:ascii="ITC Avant Garde" w:hAnsi="ITC Avant Garde"/>
          <w:bCs/>
          <w:color w:val="000000"/>
          <w:lang w:eastAsia="es-MX"/>
        </w:rPr>
        <w:t xml:space="preserve"> </w:t>
      </w:r>
      <w:r w:rsidR="005B771E" w:rsidRPr="00A61D6E">
        <w:rPr>
          <w:rFonts w:ascii="ITC Avant Garde" w:hAnsi="ITC Avant Garde"/>
          <w:bCs/>
          <w:color w:val="000000"/>
          <w:lang w:eastAsia="es-MX"/>
        </w:rPr>
        <w:t>de conformidad con la siguiente tabla</w:t>
      </w:r>
      <w:r w:rsidR="005B771E">
        <w:rPr>
          <w:rFonts w:ascii="ITC Avant Garde" w:hAnsi="ITC Avant Garde"/>
          <w:bCs/>
          <w:color w:val="000000"/>
          <w:lang w:eastAsia="es-MX"/>
        </w:rPr>
        <w:t>:</w:t>
      </w:r>
    </w:p>
    <w:tbl>
      <w:tblPr>
        <w:tblStyle w:val="Tablaconcuadrcula"/>
        <w:tblW w:w="5206" w:type="pct"/>
        <w:tblLook w:val="04A0" w:firstRow="1" w:lastRow="0" w:firstColumn="1" w:lastColumn="0" w:noHBand="0" w:noVBand="1"/>
        <w:tblCaption w:val="Otorgamiento de concesiones."/>
        <w:tblDescription w:val="Tabla de 7 columnas que proporciona información relativa a la modificación y prórroga de las Concesiones para usar, aprovechar y explotar bandas de frecuencias del espectro radioeléctrico para usos determinados, y  Modificación y Prórroga de las Concesiones para instalar, operar y explotar una red pública de telecomunicaciones."/>
      </w:tblPr>
      <w:tblGrid>
        <w:gridCol w:w="467"/>
        <w:gridCol w:w="1657"/>
        <w:gridCol w:w="1344"/>
        <w:gridCol w:w="1440"/>
        <w:gridCol w:w="1301"/>
        <w:gridCol w:w="2597"/>
        <w:gridCol w:w="1153"/>
      </w:tblGrid>
      <w:tr w:rsidR="00EE7138" w:rsidRPr="00143E9E" w:rsidTr="00850C3A">
        <w:trPr>
          <w:tblHeader/>
        </w:trPr>
        <w:tc>
          <w:tcPr>
            <w:tcW w:w="234" w:type="pct"/>
            <w:vAlign w:val="center"/>
          </w:tcPr>
          <w:p w:rsidR="005A4316" w:rsidRPr="00143E9E" w:rsidRDefault="005A4316" w:rsidP="00850C3A">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b/>
                <w:sz w:val="14"/>
                <w:szCs w:val="14"/>
                <w:lang w:eastAsia="es-MX"/>
              </w:rPr>
              <w:t>No.</w:t>
            </w:r>
          </w:p>
        </w:tc>
        <w:tc>
          <w:tcPr>
            <w:tcW w:w="832" w:type="pct"/>
            <w:vAlign w:val="center"/>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Título</w:t>
            </w:r>
          </w:p>
        </w:tc>
        <w:tc>
          <w:tcPr>
            <w:tcW w:w="675" w:type="pct"/>
            <w:vAlign w:val="center"/>
          </w:tcPr>
          <w:p w:rsidR="005A4316" w:rsidRPr="00143E9E" w:rsidRDefault="005A4316" w:rsidP="00850C3A">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b/>
                <w:sz w:val="14"/>
                <w:szCs w:val="14"/>
                <w:lang w:eastAsia="es-MX"/>
              </w:rPr>
              <w:t>Bandas de frecuencias</w:t>
            </w:r>
          </w:p>
        </w:tc>
        <w:tc>
          <w:tcPr>
            <w:tcW w:w="723" w:type="pct"/>
            <w:tcBorders>
              <w:bottom w:val="single" w:sz="4" w:space="0" w:color="auto"/>
            </w:tcBorders>
            <w:vAlign w:val="center"/>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sidRPr="00911D48">
              <w:rPr>
                <w:rFonts w:ascii="ITC Avant Garde" w:eastAsia="Times New Roman" w:hAnsi="ITC Avant Garde"/>
                <w:b/>
                <w:sz w:val="14"/>
                <w:szCs w:val="14"/>
                <w:lang w:eastAsia="es-MX"/>
              </w:rPr>
              <w:t>Fecha de Otorgamiento y vigencia</w:t>
            </w:r>
          </w:p>
        </w:tc>
        <w:tc>
          <w:tcPr>
            <w:tcW w:w="653" w:type="pct"/>
            <w:tcBorders>
              <w:bottom w:val="single" w:sz="4" w:space="0" w:color="auto"/>
            </w:tcBorders>
            <w:vAlign w:val="center"/>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sidRPr="00911D48">
              <w:rPr>
                <w:rFonts w:ascii="ITC Avant Garde" w:eastAsia="Times New Roman" w:hAnsi="ITC Avant Garde"/>
                <w:b/>
                <w:sz w:val="14"/>
                <w:szCs w:val="14"/>
                <w:lang w:eastAsia="es-MX"/>
              </w:rPr>
              <w:t>Prórroga y vigencia</w:t>
            </w:r>
          </w:p>
        </w:tc>
        <w:tc>
          <w:tcPr>
            <w:tcW w:w="1304" w:type="pct"/>
            <w:tcBorders>
              <w:bottom w:val="single" w:sz="4" w:space="0" w:color="auto"/>
            </w:tcBorders>
            <w:vAlign w:val="center"/>
          </w:tcPr>
          <w:p w:rsidR="005A4316" w:rsidRPr="00143E9E" w:rsidRDefault="005A4316" w:rsidP="00850C3A">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b/>
                <w:sz w:val="14"/>
                <w:szCs w:val="14"/>
                <w:lang w:eastAsia="es-MX"/>
              </w:rPr>
              <w:t>Cobertura</w:t>
            </w:r>
          </w:p>
        </w:tc>
        <w:tc>
          <w:tcPr>
            <w:tcW w:w="579" w:type="pct"/>
            <w:tcBorders>
              <w:bottom w:val="single" w:sz="4" w:space="0" w:color="auto"/>
            </w:tcBorders>
            <w:vAlign w:val="center"/>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Servicios</w:t>
            </w:r>
          </w:p>
        </w:tc>
      </w:tr>
      <w:tr w:rsidR="00850C3A" w:rsidRPr="00143E9E" w:rsidTr="00850C3A">
        <w:tc>
          <w:tcPr>
            <w:tcW w:w="234" w:type="pct"/>
          </w:tcPr>
          <w:p w:rsidR="00850C3A" w:rsidRPr="00143E9E" w:rsidRDefault="00850C3A" w:rsidP="00850C3A">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w:t>
            </w:r>
          </w:p>
        </w:tc>
        <w:tc>
          <w:tcPr>
            <w:tcW w:w="832" w:type="pct"/>
          </w:tcPr>
          <w:p w:rsidR="00850C3A" w:rsidRPr="00143E9E" w:rsidRDefault="00850C3A"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850C3A" w:rsidRPr="00143E9E" w:rsidRDefault="00850C3A" w:rsidP="00850C3A">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2500-2530 MHz / 2620</w:t>
            </w:r>
            <w:r w:rsidRPr="00143E9E">
              <w:rPr>
                <w:rFonts w:ascii="ITC Avant Garde" w:eastAsia="Times New Roman" w:hAnsi="ITC Avant Garde"/>
                <w:sz w:val="14"/>
                <w:szCs w:val="14"/>
                <w:lang w:eastAsia="es-MX"/>
              </w:rPr>
              <w:t>-2650 MHz</w:t>
            </w:r>
          </w:p>
        </w:tc>
        <w:tc>
          <w:tcPr>
            <w:tcW w:w="723" w:type="pct"/>
            <w:tcBorders>
              <w:bottom w:val="nil"/>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24 de marzo de 1999, por 20 (veinte) años. </w:t>
            </w:r>
          </w:p>
        </w:tc>
        <w:tc>
          <w:tcPr>
            <w:tcW w:w="653" w:type="pct"/>
            <w:tcBorders>
              <w:bottom w:val="nil"/>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9 (nueve) años contados a partir del 25 de marzo de 2019.</w:t>
            </w:r>
          </w:p>
        </w:tc>
        <w:tc>
          <w:tcPr>
            <w:tcW w:w="1304" w:type="pct"/>
            <w:tcBorders>
              <w:bottom w:val="nil"/>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Valles, Ebano, Tamazunchale, Tamuín, Tanquián de Escobedo, Axtla de Terrazas, San Vicente Tancuayalab, Xilitla, Tamasopo, San Martín Chalchicuautla, Tancanhuitz de Santos, Tampamolón Corona, Coxcatlán, Aquismón, Tampacán, Tanlajás, Huehuetlán y San Antonio, en el Estado de San Luis Potosí. </w:t>
            </w:r>
          </w:p>
        </w:tc>
        <w:tc>
          <w:tcPr>
            <w:tcW w:w="579" w:type="pct"/>
            <w:tcBorders>
              <w:bottom w:val="nil"/>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Televisión </w:t>
            </w:r>
            <w:r>
              <w:rPr>
                <w:rFonts w:ascii="ITC Avant Garde" w:eastAsia="Times New Roman" w:hAnsi="ITC Avant Garde"/>
                <w:sz w:val="14"/>
                <w:szCs w:val="14"/>
                <w:lang w:eastAsia="es-MX"/>
              </w:rPr>
              <w:t>y audio restringidos</w:t>
            </w:r>
            <w:r w:rsidRPr="00143E9E">
              <w:rPr>
                <w:rFonts w:ascii="ITC Avant Garde" w:eastAsia="Times New Roman" w:hAnsi="ITC Avant Garde"/>
                <w:sz w:val="14"/>
                <w:szCs w:val="14"/>
                <w:lang w:eastAsia="es-MX"/>
              </w:rPr>
              <w:t>.</w:t>
            </w:r>
          </w:p>
        </w:tc>
      </w:tr>
      <w:tr w:rsidR="00850C3A" w:rsidRPr="00143E9E" w:rsidTr="00850C3A">
        <w:trPr>
          <w:trHeight w:val="511"/>
        </w:trPr>
        <w:tc>
          <w:tcPr>
            <w:tcW w:w="234" w:type="pct"/>
          </w:tcPr>
          <w:p w:rsidR="00850C3A" w:rsidRPr="00143E9E" w:rsidRDefault="00850C3A" w:rsidP="00850C3A">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w:t>
            </w:r>
          </w:p>
        </w:tc>
        <w:tc>
          <w:tcPr>
            <w:tcW w:w="832" w:type="pct"/>
          </w:tcPr>
          <w:p w:rsidR="00850C3A" w:rsidRPr="00143E9E" w:rsidRDefault="00850C3A"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850C3A" w:rsidRPr="00143E9E" w:rsidRDefault="00850C3A"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p>
        </w:tc>
        <w:tc>
          <w:tcPr>
            <w:tcW w:w="579" w:type="pct"/>
            <w:tcBorders>
              <w:top w:val="nil"/>
              <w:bottom w:val="single" w:sz="4" w:space="0" w:color="auto"/>
            </w:tcBorders>
          </w:tcPr>
          <w:p w:rsidR="00850C3A" w:rsidRPr="00143E9E" w:rsidRDefault="00850C3A" w:rsidP="00850C3A">
            <w:pPr>
              <w:spacing w:after="0" w:line="240" w:lineRule="auto"/>
              <w:jc w:val="both"/>
              <w:rPr>
                <w:rFonts w:ascii="ITC Avant Garde" w:eastAsia="Times New Roman" w:hAnsi="ITC Avant Garde"/>
                <w:sz w:val="14"/>
                <w:szCs w:val="14"/>
                <w:lang w:eastAsia="es-MX"/>
              </w:rPr>
            </w:pPr>
          </w:p>
        </w:tc>
      </w:tr>
      <w:tr w:rsidR="005A4316" w:rsidRPr="00143E9E" w:rsidTr="00850C3A">
        <w:trPr>
          <w:trHeight w:val="711"/>
        </w:trPr>
        <w:tc>
          <w:tcPr>
            <w:tcW w:w="234" w:type="pct"/>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3</w:t>
            </w:r>
          </w:p>
        </w:tc>
        <w:tc>
          <w:tcPr>
            <w:tcW w:w="832" w:type="pct"/>
          </w:tcPr>
          <w:p w:rsidR="005A4316" w:rsidRPr="00143E9E" w:rsidRDefault="005A4316"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5A4316" w:rsidRPr="00143E9E" w:rsidRDefault="005A4316" w:rsidP="00850C3A">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2500-2530 MHz / 2620</w:t>
            </w:r>
            <w:r w:rsidRPr="00143E9E">
              <w:rPr>
                <w:rFonts w:ascii="ITC Avant Garde" w:eastAsia="Times New Roman" w:hAnsi="ITC Avant Garde"/>
                <w:sz w:val="14"/>
                <w:szCs w:val="14"/>
                <w:lang w:eastAsia="es-MX"/>
              </w:rPr>
              <w:t>-2650 MHz</w:t>
            </w:r>
          </w:p>
        </w:tc>
        <w:tc>
          <w:tcPr>
            <w:tcW w:w="723" w:type="pct"/>
            <w:tcBorders>
              <w:bottom w:val="nil"/>
            </w:tcBorders>
          </w:tcPr>
          <w:p w:rsidR="005A4316" w:rsidRPr="00143E9E" w:rsidRDefault="005A4316"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 2000, por 20 (años) años. </w:t>
            </w:r>
          </w:p>
        </w:tc>
        <w:tc>
          <w:tcPr>
            <w:tcW w:w="653" w:type="pct"/>
            <w:tcBorders>
              <w:bottom w:val="nil"/>
            </w:tcBorders>
          </w:tcPr>
          <w:p w:rsidR="005A4316" w:rsidRPr="00143E9E" w:rsidRDefault="005A4316"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8 (ocho) años contados partir del 7 de octubre de 2020. </w:t>
            </w:r>
          </w:p>
        </w:tc>
        <w:tc>
          <w:tcPr>
            <w:tcW w:w="1304" w:type="pct"/>
            <w:tcBorders>
              <w:bottom w:val="nil"/>
            </w:tcBorders>
          </w:tcPr>
          <w:p w:rsidR="005A4316" w:rsidRPr="00143E9E" w:rsidRDefault="005A4316" w:rsidP="00850C3A">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Cd. Victoria, Tula, Soto la Marina, Abasolo, Padilla, Jiménez, Hidalgo, Llera, Jaumave, Güémez, Miquihuana, Bustamante, Villagrán, San Carlos, Palmillas, Mainero, Casas, Doctor Arroyo, Aramberri, Gral. Zaragoza, Mier y Noriega, y San Nicolás, de los Estados de Tamaulipas y Nuevo León.  </w:t>
            </w:r>
          </w:p>
        </w:tc>
        <w:tc>
          <w:tcPr>
            <w:tcW w:w="579" w:type="pct"/>
            <w:tcBorders>
              <w:bottom w:val="nil"/>
            </w:tcBorders>
          </w:tcPr>
          <w:p w:rsidR="005A4316" w:rsidRPr="00143E9E" w:rsidRDefault="005A4316" w:rsidP="00850C3A">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Televisión </w:t>
            </w:r>
            <w:r>
              <w:rPr>
                <w:rFonts w:ascii="ITC Avant Garde" w:eastAsia="Times New Roman" w:hAnsi="ITC Avant Garde"/>
                <w:sz w:val="14"/>
                <w:szCs w:val="14"/>
                <w:lang w:eastAsia="es-MX"/>
              </w:rPr>
              <w:t>y audio restringidos</w:t>
            </w:r>
            <w:r w:rsidRPr="00143E9E">
              <w:rPr>
                <w:rFonts w:ascii="ITC Avant Garde" w:eastAsia="Times New Roman" w:hAnsi="ITC Avant Garde"/>
                <w:sz w:val="14"/>
                <w:szCs w:val="14"/>
                <w:lang w:eastAsia="es-MX"/>
              </w:rPr>
              <w:t>.</w:t>
            </w:r>
          </w:p>
        </w:tc>
      </w:tr>
      <w:tr w:rsidR="005A4316" w:rsidRPr="00143E9E" w:rsidTr="00850C3A">
        <w:trPr>
          <w:trHeight w:val="82"/>
        </w:trPr>
        <w:tc>
          <w:tcPr>
            <w:tcW w:w="234" w:type="pct"/>
          </w:tcPr>
          <w:p w:rsidR="005A4316" w:rsidRPr="00143E9E" w:rsidRDefault="005A4316" w:rsidP="00850C3A">
            <w:pPr>
              <w:spacing w:after="0" w:line="240" w:lineRule="auto"/>
              <w:jc w:val="center"/>
              <w:rPr>
                <w:rFonts w:ascii="ITC Avant Garde" w:eastAsia="Times New Roman" w:hAnsi="ITC Avant Garde"/>
                <w:b/>
                <w:sz w:val="14"/>
                <w:szCs w:val="14"/>
                <w:lang w:eastAsia="es-MX"/>
              </w:rPr>
            </w:pPr>
            <w:r>
              <w:rPr>
                <w:rFonts w:ascii="ITC Avant Garde" w:eastAsia="Times New Roman" w:hAnsi="ITC Avant Garde"/>
                <w:b/>
                <w:sz w:val="14"/>
                <w:szCs w:val="14"/>
                <w:lang w:eastAsia="es-MX"/>
              </w:rPr>
              <w:t>4</w:t>
            </w:r>
          </w:p>
        </w:tc>
        <w:tc>
          <w:tcPr>
            <w:tcW w:w="832" w:type="pct"/>
          </w:tcPr>
          <w:p w:rsidR="005A4316" w:rsidRPr="00143E9E" w:rsidRDefault="005A4316"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5A4316" w:rsidRPr="00143E9E" w:rsidRDefault="005A4316" w:rsidP="00850C3A">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tcBorders>
          </w:tcPr>
          <w:p w:rsidR="005A4316" w:rsidRDefault="005A4316" w:rsidP="00850C3A">
            <w:pPr>
              <w:spacing w:after="0" w:line="240" w:lineRule="auto"/>
              <w:jc w:val="both"/>
              <w:rPr>
                <w:rFonts w:ascii="ITC Avant Garde" w:eastAsia="Times New Roman" w:hAnsi="ITC Avant Garde"/>
                <w:sz w:val="14"/>
                <w:szCs w:val="14"/>
                <w:lang w:eastAsia="es-MX"/>
              </w:rPr>
            </w:pPr>
          </w:p>
        </w:tc>
        <w:tc>
          <w:tcPr>
            <w:tcW w:w="653" w:type="pct"/>
            <w:tcBorders>
              <w:top w:val="nil"/>
            </w:tcBorders>
          </w:tcPr>
          <w:p w:rsidR="005A4316" w:rsidRDefault="005A4316" w:rsidP="00850C3A">
            <w:pPr>
              <w:spacing w:after="0" w:line="240" w:lineRule="auto"/>
              <w:jc w:val="both"/>
              <w:rPr>
                <w:rFonts w:ascii="ITC Avant Garde" w:eastAsia="Times New Roman" w:hAnsi="ITC Avant Garde"/>
                <w:sz w:val="14"/>
                <w:szCs w:val="14"/>
                <w:lang w:eastAsia="es-MX"/>
              </w:rPr>
            </w:pPr>
          </w:p>
        </w:tc>
        <w:tc>
          <w:tcPr>
            <w:tcW w:w="1304" w:type="pct"/>
            <w:tcBorders>
              <w:top w:val="nil"/>
            </w:tcBorders>
          </w:tcPr>
          <w:p w:rsidR="005A4316" w:rsidRDefault="005A4316" w:rsidP="00850C3A">
            <w:pPr>
              <w:spacing w:after="0" w:line="240" w:lineRule="auto"/>
              <w:jc w:val="both"/>
              <w:rPr>
                <w:rFonts w:ascii="ITC Avant Garde" w:eastAsia="Times New Roman" w:hAnsi="ITC Avant Garde"/>
                <w:sz w:val="14"/>
                <w:szCs w:val="14"/>
                <w:lang w:eastAsia="es-MX"/>
              </w:rPr>
            </w:pPr>
          </w:p>
        </w:tc>
        <w:tc>
          <w:tcPr>
            <w:tcW w:w="579" w:type="pct"/>
            <w:tcBorders>
              <w:top w:val="nil"/>
            </w:tcBorders>
          </w:tcPr>
          <w:p w:rsidR="005A4316" w:rsidRPr="00143E9E" w:rsidRDefault="005A4316" w:rsidP="00850C3A">
            <w:pPr>
              <w:spacing w:after="0" w:line="240" w:lineRule="auto"/>
              <w:jc w:val="both"/>
              <w:rPr>
                <w:rFonts w:ascii="ITC Avant Garde" w:eastAsia="Times New Roman" w:hAnsi="ITC Avant Garde"/>
                <w:sz w:val="14"/>
                <w:szCs w:val="14"/>
                <w:lang w:eastAsia="es-MX"/>
              </w:rPr>
            </w:pPr>
          </w:p>
        </w:tc>
      </w:tr>
    </w:tbl>
    <w:p w:rsidR="00850C3A" w:rsidRDefault="00C63292" w:rsidP="00850C3A">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lastRenderedPageBreak/>
        <w:t>En ese sentido</w:t>
      </w:r>
      <w:r w:rsidR="00CD0F26" w:rsidRPr="00A61D6E">
        <w:rPr>
          <w:rFonts w:ascii="ITC Avant Garde" w:hAnsi="ITC Avant Garde"/>
          <w:bCs/>
          <w:color w:val="000000"/>
          <w:lang w:eastAsia="es-MX"/>
        </w:rPr>
        <w:t>, la Condición 2.1 de las Concesiones de Bandas estableció lo siguiente:</w:t>
      </w:r>
    </w:p>
    <w:p w:rsidR="00850C3A" w:rsidRDefault="00050C7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850C3A" w:rsidRDefault="00050C7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850C3A" w:rsidRDefault="00050C7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850C3A" w:rsidRDefault="00050C7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850C3A" w:rsidRDefault="00050C7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w:t>
      </w:r>
      <w:r w:rsidR="005A4316">
        <w:rPr>
          <w:rFonts w:ascii="ITC Avant Garde" w:hAnsi="ITC Avant Garde"/>
          <w:bCs/>
          <w:i/>
          <w:color w:val="000000"/>
          <w:sz w:val="18"/>
          <w:szCs w:val="18"/>
          <w:lang w:eastAsia="es-MX"/>
        </w:rPr>
        <w:t>aprestación alguna a favor del c</w:t>
      </w:r>
      <w:r w:rsidRPr="00A61D6E">
        <w:rPr>
          <w:rFonts w:ascii="ITC Avant Garde" w:hAnsi="ITC Avant Garde"/>
          <w:bCs/>
          <w:i/>
          <w:color w:val="000000"/>
          <w:sz w:val="18"/>
          <w:szCs w:val="18"/>
          <w:lang w:eastAsia="es-MX"/>
        </w:rPr>
        <w:t>oncesionario” [sic].</w:t>
      </w:r>
    </w:p>
    <w:p w:rsidR="00850C3A" w:rsidRDefault="00CD0F26" w:rsidP="00850C3A">
      <w:pPr>
        <w:spacing w:afterLines="120" w:after="288"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igual forma, la Condición 1.3 de las Concesiones de Red estableció lo s</w:t>
      </w:r>
      <w:r w:rsidR="00EF42A9">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850C3A" w:rsidRDefault="0046058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850C3A" w:rsidRDefault="0046058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850C3A" w:rsidRDefault="0046058C" w:rsidP="00850C3A">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lastRenderedPageBreak/>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Pr="00A61D6E">
        <w:rPr>
          <w:rFonts w:ascii="ITC Avant Garde" w:hAnsi="ITC Avant Garde"/>
          <w:bCs/>
          <w:i/>
          <w:color w:val="000000"/>
          <w:sz w:val="18"/>
          <w:szCs w:val="18"/>
          <w:lang w:eastAsia="es-MX"/>
        </w:rPr>
        <w:t>.</w:t>
      </w:r>
    </w:p>
    <w:p w:rsidR="00850C3A" w:rsidRDefault="00B42FD8" w:rsidP="00850C3A">
      <w:pPr>
        <w:numPr>
          <w:ilvl w:val="0"/>
          <w:numId w:val="1"/>
        </w:numPr>
        <w:spacing w:afterLines="120" w:after="288" w:line="240" w:lineRule="auto"/>
        <w:ind w:left="567" w:hanging="709"/>
        <w:jc w:val="both"/>
        <w:rPr>
          <w:rFonts w:ascii="ITC Avant Garde" w:hAnsi="ITC Avant Garde"/>
          <w:bCs/>
          <w:color w:val="000000"/>
          <w:lang w:eastAsia="es-MX"/>
        </w:rPr>
      </w:pPr>
      <w:r w:rsidRPr="00A61D6E">
        <w:rPr>
          <w:rFonts w:ascii="ITC Avant Garde" w:hAnsi="ITC Avant Garde"/>
          <w:b/>
          <w:bCs/>
          <w:color w:val="000000"/>
          <w:lang w:eastAsia="es-MX"/>
        </w:rPr>
        <w:t>Lineamientos para la prestación de servicios adicionales.</w:t>
      </w:r>
      <w:r w:rsidRPr="00A61D6E">
        <w:rPr>
          <w:rFonts w:ascii="ITC Avant Garde" w:hAnsi="ITC Avant Garde"/>
          <w:bCs/>
          <w:color w:val="000000"/>
          <w:lang w:eastAsia="es-MX"/>
        </w:rPr>
        <w:t xml:space="preserve"> El 28 de mayo de 2014, el Instituto, en cumplimiento</w:t>
      </w:r>
      <w:r w:rsidR="00CD279E">
        <w:rPr>
          <w:rFonts w:ascii="ITC Avant Garde" w:hAnsi="ITC Avant Garde"/>
          <w:b/>
          <w:bCs/>
          <w:color w:val="000000"/>
          <w:lang w:eastAsia="es-MX"/>
        </w:rPr>
        <w:t xml:space="preserve"> </w:t>
      </w:r>
      <w:r w:rsidRPr="00A61D6E">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A61D6E">
        <w:rPr>
          <w:rFonts w:ascii="ITC Avant Garde" w:hAnsi="ITC Avant Garde"/>
          <w:bCs/>
          <w:color w:val="000000"/>
          <w:lang w:eastAsia="es-MX"/>
        </w:rPr>
        <w:t>el</w:t>
      </w:r>
      <w:r w:rsidRPr="00A61D6E">
        <w:rPr>
          <w:rFonts w:ascii="ITC Avant Garde" w:hAnsi="ITC Avant Garde"/>
          <w:bCs/>
          <w:color w:val="000000"/>
          <w:lang w:eastAsia="es-MX"/>
        </w:rPr>
        <w:t xml:space="preserve"> </w:t>
      </w:r>
      <w:r w:rsidRPr="00A61D6E">
        <w:rPr>
          <w:rFonts w:ascii="ITC Avant Garde" w:hAnsi="ITC Avant Garde"/>
          <w:bCs/>
          <w:i/>
          <w:color w:val="000000"/>
          <w:lang w:eastAsia="es-MX"/>
        </w:rPr>
        <w:t>“</w:t>
      </w:r>
      <w:r w:rsidR="00CD0F26" w:rsidRPr="00A61D6E">
        <w:rPr>
          <w:rFonts w:ascii="ITC Avant Garde" w:hAnsi="ITC Avant Garde"/>
          <w:bCs/>
          <w:i/>
          <w:color w:val="000000"/>
          <w:lang w:eastAsia="es-MX"/>
        </w:rPr>
        <w:t xml:space="preserve">Acuerdo mediante el cual el Pleno del Instituto Federal de Telecomunicaciones emite los </w:t>
      </w:r>
      <w:r w:rsidRPr="00A61D6E">
        <w:rPr>
          <w:rFonts w:ascii="ITC Avant Garde" w:hAnsi="ITC Avant Garde"/>
          <w:bCs/>
          <w:i/>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A61D6E">
        <w:rPr>
          <w:rFonts w:ascii="ITC Avant Garde" w:hAnsi="ITC Avant Garde"/>
          <w:bCs/>
          <w:color w:val="000000"/>
          <w:lang w:eastAsia="es-MX"/>
        </w:rPr>
        <w:t xml:space="preserve"> (los “Lineamientos”).</w:t>
      </w:r>
    </w:p>
    <w:p w:rsidR="00850C3A" w:rsidRDefault="00B42FD8" w:rsidP="00850C3A">
      <w:pPr>
        <w:numPr>
          <w:ilvl w:val="0"/>
          <w:numId w:val="1"/>
        </w:numPr>
        <w:spacing w:afterLines="120" w:after="288" w:line="240" w:lineRule="auto"/>
        <w:ind w:left="567" w:hanging="709"/>
        <w:jc w:val="both"/>
        <w:rPr>
          <w:rFonts w:ascii="ITC Avant Garde" w:hAnsi="ITC Avant Garde"/>
          <w:bCs/>
          <w:color w:val="000000"/>
          <w:lang w:eastAsia="es-MX"/>
        </w:rPr>
      </w:pPr>
      <w:r w:rsidRPr="00A61D6E">
        <w:rPr>
          <w:rFonts w:ascii="ITC Avant Garde" w:hAnsi="ITC Avant Garde"/>
          <w:b/>
          <w:bCs/>
          <w:color w:val="000000" w:themeColor="text1"/>
          <w:lang w:eastAsia="es-MX"/>
        </w:rPr>
        <w:t xml:space="preserve">Decreto de Ley. </w:t>
      </w:r>
      <w:r w:rsidRPr="00A61D6E">
        <w:rPr>
          <w:rFonts w:ascii="ITC Avant Garde" w:hAnsi="ITC Avant Garde"/>
          <w:bCs/>
          <w:color w:val="000000" w:themeColor="text1"/>
          <w:lang w:eastAsia="es-MX"/>
        </w:rPr>
        <w:t>El 14 de julio de 2014, se publicó en el Diario Oficial de la Federación el “</w:t>
      </w:r>
      <w:r w:rsidRPr="00A61D6E">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61D6E">
        <w:rPr>
          <w:rFonts w:ascii="ITC Avant Garde" w:hAnsi="ITC Avant Garde"/>
          <w:bCs/>
          <w:color w:val="000000" w:themeColor="text1"/>
          <w:lang w:eastAsia="es-MX"/>
        </w:rPr>
        <w:t>” (el “Decreto de Ley”), mismo que entró en vigor el 13 de agosto de 2014.</w:t>
      </w:r>
    </w:p>
    <w:p w:rsidR="00850C3A" w:rsidRDefault="009A5E55" w:rsidP="00850C3A">
      <w:pPr>
        <w:numPr>
          <w:ilvl w:val="0"/>
          <w:numId w:val="1"/>
        </w:numPr>
        <w:spacing w:afterLines="120" w:after="288" w:line="240" w:lineRule="auto"/>
        <w:ind w:left="567"/>
        <w:jc w:val="both"/>
        <w:rPr>
          <w:rFonts w:ascii="ITC Avant Garde" w:hAnsi="ITC Avant Garde"/>
          <w:bCs/>
          <w:color w:val="000000"/>
          <w:lang w:eastAsia="es-MX"/>
        </w:rPr>
      </w:pPr>
      <w:r w:rsidRPr="00A61D6E">
        <w:rPr>
          <w:rFonts w:ascii="ITC Avant Garde" w:hAnsi="ITC Avant Garde" w:cs="Arial"/>
          <w:b/>
          <w:bCs/>
          <w:color w:val="000000"/>
          <w:shd w:val="clear" w:color="auto" w:fill="FFFFFF"/>
        </w:rPr>
        <w:t>Estatuto Orgánico.</w:t>
      </w:r>
      <w:r w:rsidRPr="00A61D6E">
        <w:rPr>
          <w:rStyle w:val="Refdecomentario"/>
          <w:rFonts w:ascii="ITC Avant Garde" w:hAnsi="ITC Avant Garde" w:cs="Arial"/>
          <w:b/>
          <w:bCs/>
          <w:color w:val="000000"/>
          <w:shd w:val="clear" w:color="auto" w:fill="FFFFFF"/>
        </w:rPr>
        <w:t xml:space="preserve"> </w:t>
      </w:r>
      <w:r w:rsidRPr="00A61D6E">
        <w:rPr>
          <w:rFonts w:ascii="ITC Avant Garde" w:hAnsi="ITC Avant Garde"/>
          <w:color w:val="000000"/>
          <w:shd w:val="clear" w:color="auto" w:fill="FFFFFF"/>
        </w:rPr>
        <w:t>El 4 de septiembre de 2014, se publicó en el Diario Oficial de la Federación el “</w:t>
      </w:r>
      <w:r w:rsidRPr="00A61D6E">
        <w:rPr>
          <w:rFonts w:ascii="ITC Avant Garde" w:hAnsi="ITC Avant Garde"/>
          <w:i/>
          <w:color w:val="000000"/>
          <w:shd w:val="clear" w:color="auto" w:fill="FFFFFF"/>
        </w:rPr>
        <w:t>Estatuto Orgánico del Instituto Federal de Telecomunicaciones</w:t>
      </w:r>
      <w:r w:rsidRPr="00A61D6E">
        <w:rPr>
          <w:rFonts w:ascii="ITC Avant Garde" w:hAnsi="ITC Avant Garde"/>
          <w:color w:val="000000"/>
          <w:shd w:val="clear" w:color="auto" w:fill="FFFFFF"/>
        </w:rPr>
        <w:t xml:space="preserve">” (el “Estatuto Orgánico”), mismo que entró en vigor el 26 de septiembre de 2014, y fue modificado </w:t>
      </w:r>
      <w:r w:rsidR="00D661E7" w:rsidRPr="00A61D6E">
        <w:rPr>
          <w:rFonts w:ascii="ITC Avant Garde" w:hAnsi="ITC Avant Garde"/>
          <w:color w:val="000000"/>
          <w:shd w:val="clear" w:color="auto" w:fill="FFFFFF"/>
        </w:rPr>
        <w:t xml:space="preserve">por última vez </w:t>
      </w:r>
      <w:r w:rsidRPr="00A61D6E">
        <w:rPr>
          <w:rFonts w:ascii="ITC Avant Garde" w:hAnsi="ITC Avant Garde"/>
          <w:color w:val="000000"/>
          <w:shd w:val="clear" w:color="auto" w:fill="FFFFFF"/>
        </w:rPr>
        <w:t xml:space="preserve">el </w:t>
      </w:r>
      <w:r w:rsidR="00A300AA">
        <w:rPr>
          <w:rFonts w:ascii="ITC Avant Garde" w:hAnsi="ITC Avant Garde"/>
          <w:color w:val="000000"/>
          <w:shd w:val="clear" w:color="auto" w:fill="FFFFFF"/>
        </w:rPr>
        <w:t>20 de julio de 2017</w:t>
      </w:r>
      <w:r w:rsidRPr="00A61D6E">
        <w:rPr>
          <w:rFonts w:ascii="ITC Avant Garde" w:hAnsi="ITC Avant Garde"/>
          <w:color w:val="000000"/>
          <w:shd w:val="clear" w:color="auto" w:fill="FFFFFF"/>
        </w:rPr>
        <w:t>.</w:t>
      </w:r>
    </w:p>
    <w:p w:rsidR="00850C3A" w:rsidRDefault="00CA5C0C" w:rsidP="00850C3A">
      <w:pPr>
        <w:numPr>
          <w:ilvl w:val="0"/>
          <w:numId w:val="1"/>
        </w:numPr>
        <w:spacing w:afterLines="120" w:after="288" w:line="240" w:lineRule="auto"/>
        <w:ind w:left="567"/>
        <w:jc w:val="both"/>
        <w:rPr>
          <w:rFonts w:ascii="ITC Avant Garde" w:hAnsi="ITC Avant Garde"/>
          <w:bCs/>
          <w:color w:val="000000"/>
          <w:lang w:eastAsia="es-MX"/>
        </w:rPr>
      </w:pPr>
      <w:r w:rsidRPr="00CA5C0C">
        <w:rPr>
          <w:rFonts w:ascii="ITC Avant Garde" w:hAnsi="ITC Avant Garde"/>
          <w:b/>
          <w:bCs/>
        </w:rPr>
        <w:t>Sol</w:t>
      </w:r>
      <w:r w:rsidR="00E8770C">
        <w:rPr>
          <w:rFonts w:ascii="ITC Avant Garde" w:hAnsi="ITC Avant Garde"/>
          <w:b/>
          <w:bCs/>
        </w:rPr>
        <w:t>i</w:t>
      </w:r>
      <w:r w:rsidRPr="00CA5C0C">
        <w:rPr>
          <w:rFonts w:ascii="ITC Avant Garde" w:hAnsi="ITC Avant Garde"/>
          <w:b/>
          <w:bCs/>
        </w:rPr>
        <w:t xml:space="preserve">citud de </w:t>
      </w:r>
      <w:r w:rsidRPr="00A61D6E">
        <w:rPr>
          <w:rFonts w:ascii="ITC Avant Garde" w:hAnsi="ITC Avant Garde"/>
          <w:b/>
          <w:bCs/>
        </w:rPr>
        <w:t>ampliación de plazo para dar cumplimiento</w:t>
      </w:r>
      <w:r>
        <w:rPr>
          <w:rFonts w:ascii="ITC Avant Garde" w:hAnsi="ITC Avant Garde"/>
          <w:b/>
          <w:bCs/>
        </w:rPr>
        <w:t xml:space="preserve"> a la C</w:t>
      </w:r>
      <w:r w:rsidRPr="00A61D6E">
        <w:rPr>
          <w:rFonts w:ascii="ITC Avant Garde" w:hAnsi="ITC Avant Garde"/>
          <w:b/>
          <w:bCs/>
        </w:rPr>
        <w:t xml:space="preserve">ondición 2.1 de las Concesiones de </w:t>
      </w:r>
      <w:r>
        <w:rPr>
          <w:rFonts w:ascii="ITC Avant Garde" w:hAnsi="ITC Avant Garde"/>
          <w:b/>
          <w:bCs/>
        </w:rPr>
        <w:t>Bandas, y a la C</w:t>
      </w:r>
      <w:r w:rsidRPr="00A61D6E">
        <w:rPr>
          <w:rFonts w:ascii="ITC Avant Garde" w:hAnsi="ITC Avant Garde"/>
          <w:b/>
          <w:bCs/>
        </w:rPr>
        <w:t>ondición 1.3 de las Concesiones de Red</w:t>
      </w:r>
      <w:r>
        <w:rPr>
          <w:rFonts w:ascii="ITC Avant Garde" w:hAnsi="ITC Avant Garde"/>
          <w:b/>
          <w:bCs/>
        </w:rPr>
        <w:t xml:space="preserve">. </w:t>
      </w:r>
      <w:r w:rsidR="00A4756A">
        <w:rPr>
          <w:rFonts w:ascii="ITC Avant Garde" w:hAnsi="ITC Avant Garde"/>
          <w:color w:val="000000"/>
          <w:shd w:val="clear" w:color="auto" w:fill="FFFFFF"/>
        </w:rPr>
        <w:t>Los días 25 de abril y 16 de mayo</w:t>
      </w:r>
      <w:r w:rsidR="00A4756A">
        <w:rPr>
          <w:rFonts w:ascii="ITC Avant Garde" w:hAnsi="ITC Avant Garde"/>
          <w:bCs/>
        </w:rPr>
        <w:t xml:space="preserve"> de 2016, </w:t>
      </w:r>
      <w:r w:rsidR="00A4756A">
        <w:rPr>
          <w:rFonts w:ascii="ITC Avant Garde" w:hAnsi="ITC Avant Garde"/>
          <w:bCs/>
          <w:color w:val="000000"/>
          <w:lang w:eastAsia="es-MX"/>
        </w:rPr>
        <w:t>los CC. Adrián Esper Cárdenas y Alfonso Esper Cárdenas</w:t>
      </w:r>
      <w:r w:rsidR="00A4756A">
        <w:rPr>
          <w:rFonts w:ascii="ITC Avant Garde" w:hAnsi="ITC Avant Garde" w:cs="Arial"/>
          <w:bCs/>
          <w:color w:val="000000"/>
          <w:shd w:val="clear" w:color="auto" w:fill="FFFFFF"/>
        </w:rPr>
        <w:t xml:space="preserve"> solicitaron</w:t>
      </w:r>
      <w:r w:rsidR="00A4756A" w:rsidRPr="002469AA">
        <w:rPr>
          <w:rFonts w:ascii="ITC Avant Garde" w:hAnsi="ITC Avant Garde" w:cs="Arial"/>
          <w:bCs/>
          <w:color w:val="000000"/>
          <w:shd w:val="clear" w:color="auto" w:fill="FFFFFF"/>
        </w:rPr>
        <w:t xml:space="preserve"> ampliar el plazo para transitar a la concesión única y/u obtener autorización para prestar servicios adicionales, en términos de lo establecido </w:t>
      </w:r>
      <w:r w:rsidR="00A4756A">
        <w:rPr>
          <w:rFonts w:ascii="ITC Avant Garde" w:hAnsi="ITC Avant Garde"/>
          <w:color w:val="000000"/>
          <w:lang w:eastAsia="es-MX"/>
        </w:rPr>
        <w:t>en la C</w:t>
      </w:r>
      <w:r w:rsidR="00A4756A" w:rsidRPr="00A61D6E">
        <w:rPr>
          <w:rFonts w:ascii="ITC Avant Garde" w:hAnsi="ITC Avant Garde"/>
          <w:color w:val="000000"/>
          <w:lang w:eastAsia="es-MX"/>
        </w:rPr>
        <w:t>ondición 2.1 de las Concesiones de Bandas</w:t>
      </w:r>
      <w:r w:rsidR="00A4756A">
        <w:rPr>
          <w:rFonts w:ascii="ITC Avant Garde" w:hAnsi="ITC Avant Garde"/>
          <w:color w:val="000000"/>
          <w:lang w:eastAsia="es-MX"/>
        </w:rPr>
        <w:t>, así como en la C</w:t>
      </w:r>
      <w:r w:rsidR="00A4756A" w:rsidRPr="00A61D6E">
        <w:rPr>
          <w:rFonts w:ascii="ITC Avant Garde" w:hAnsi="ITC Avant Garde"/>
          <w:color w:val="000000"/>
          <w:lang w:eastAsia="es-MX"/>
        </w:rPr>
        <w:t>ondición 1.3 de las Concesiones de Red</w:t>
      </w:r>
      <w:r>
        <w:rPr>
          <w:rFonts w:ascii="ITC Avant Garde" w:hAnsi="ITC Avant Garde"/>
          <w:color w:val="000000"/>
          <w:lang w:eastAsia="es-MX"/>
        </w:rPr>
        <w:t>.</w:t>
      </w:r>
    </w:p>
    <w:p w:rsidR="00850C3A" w:rsidRDefault="00AB2F54" w:rsidP="00850C3A">
      <w:pPr>
        <w:numPr>
          <w:ilvl w:val="0"/>
          <w:numId w:val="1"/>
        </w:numPr>
        <w:spacing w:afterLines="120" w:after="288" w:line="240" w:lineRule="auto"/>
        <w:ind w:left="567"/>
        <w:jc w:val="both"/>
        <w:rPr>
          <w:rFonts w:ascii="ITC Avant Garde" w:hAnsi="ITC Avant Garde"/>
          <w:bCs/>
          <w:color w:val="000000"/>
          <w:lang w:eastAsia="es-MX"/>
        </w:rPr>
      </w:pPr>
      <w:r w:rsidRPr="00A61D6E">
        <w:rPr>
          <w:rFonts w:ascii="ITC Avant Garde" w:hAnsi="ITC Avant Garde"/>
          <w:b/>
          <w:bCs/>
        </w:rPr>
        <w:t xml:space="preserve">Autorización de </w:t>
      </w:r>
      <w:r w:rsidR="00CD0F26" w:rsidRPr="00A61D6E">
        <w:rPr>
          <w:rFonts w:ascii="ITC Avant Garde" w:hAnsi="ITC Avant Garde"/>
          <w:b/>
          <w:bCs/>
        </w:rPr>
        <w:t>ampliación de plazo para dar cumplimiento</w:t>
      </w:r>
      <w:r w:rsidR="000528C6">
        <w:rPr>
          <w:rFonts w:ascii="ITC Avant Garde" w:hAnsi="ITC Avant Garde"/>
          <w:b/>
          <w:bCs/>
        </w:rPr>
        <w:t xml:space="preserve"> a</w:t>
      </w:r>
      <w:r w:rsidR="001B730B">
        <w:rPr>
          <w:rFonts w:ascii="ITC Avant Garde" w:hAnsi="ITC Avant Garde"/>
          <w:b/>
          <w:bCs/>
        </w:rPr>
        <w:t xml:space="preserve"> la C</w:t>
      </w:r>
      <w:r w:rsidR="006E36E2" w:rsidRPr="00A61D6E">
        <w:rPr>
          <w:rFonts w:ascii="ITC Avant Garde" w:hAnsi="ITC Avant Garde"/>
          <w:b/>
          <w:bCs/>
        </w:rPr>
        <w:t xml:space="preserve">ondición </w:t>
      </w:r>
      <w:r w:rsidR="001E7FC5" w:rsidRPr="00A61D6E">
        <w:rPr>
          <w:rFonts w:ascii="ITC Avant Garde" w:hAnsi="ITC Avant Garde"/>
          <w:b/>
          <w:bCs/>
        </w:rPr>
        <w:t xml:space="preserve">2.1 de las Concesiones de </w:t>
      </w:r>
      <w:r w:rsidR="001B730B">
        <w:rPr>
          <w:rFonts w:ascii="ITC Avant Garde" w:hAnsi="ITC Avant Garde"/>
          <w:b/>
          <w:bCs/>
        </w:rPr>
        <w:t>Bandas, y</w:t>
      </w:r>
      <w:r w:rsidR="000528C6">
        <w:rPr>
          <w:rFonts w:ascii="ITC Avant Garde" w:hAnsi="ITC Avant Garde"/>
          <w:b/>
          <w:bCs/>
        </w:rPr>
        <w:t xml:space="preserve"> a</w:t>
      </w:r>
      <w:r w:rsidR="001B730B">
        <w:rPr>
          <w:rFonts w:ascii="ITC Avant Garde" w:hAnsi="ITC Avant Garde"/>
          <w:b/>
          <w:bCs/>
        </w:rPr>
        <w:t xml:space="preserve"> la C</w:t>
      </w:r>
      <w:r w:rsidR="001E7FC5" w:rsidRPr="00A61D6E">
        <w:rPr>
          <w:rFonts w:ascii="ITC Avant Garde" w:hAnsi="ITC Avant Garde"/>
          <w:b/>
          <w:bCs/>
        </w:rPr>
        <w:t>ondición 1.3 de las Concesiones de Red</w:t>
      </w:r>
      <w:r w:rsidR="00AD5139" w:rsidRPr="00A61D6E">
        <w:rPr>
          <w:rFonts w:ascii="ITC Avant Garde" w:hAnsi="ITC Avant Garde"/>
          <w:bCs/>
        </w:rPr>
        <w:t xml:space="preserve">. </w:t>
      </w:r>
      <w:r w:rsidR="008B0398" w:rsidRPr="00A61D6E">
        <w:rPr>
          <w:rFonts w:ascii="ITC Avant Garde" w:hAnsi="ITC Avant Garde"/>
          <w:bCs/>
        </w:rPr>
        <w:t>Mediante oficio IFT/223/UCS/253</w:t>
      </w:r>
      <w:r w:rsidR="00A4756A">
        <w:rPr>
          <w:rFonts w:ascii="ITC Avant Garde" w:hAnsi="ITC Avant Garde"/>
          <w:bCs/>
        </w:rPr>
        <w:t>9</w:t>
      </w:r>
      <w:r w:rsidR="008B0398" w:rsidRPr="00A61D6E">
        <w:rPr>
          <w:rFonts w:ascii="ITC Avant Garde" w:hAnsi="ITC Avant Garde"/>
          <w:bCs/>
        </w:rPr>
        <w:t>/2016</w:t>
      </w:r>
      <w:r w:rsidR="008B0398" w:rsidRPr="00A61D6E">
        <w:rPr>
          <w:rFonts w:ascii="ITC Avant Garde" w:hAnsi="ITC Avant Garde"/>
          <w:b/>
          <w:bCs/>
        </w:rPr>
        <w:t xml:space="preserve"> </w:t>
      </w:r>
      <w:r w:rsidR="008B0398" w:rsidRPr="00A61D6E">
        <w:rPr>
          <w:rFonts w:ascii="ITC Avant Garde" w:hAnsi="ITC Avant Garde"/>
          <w:bCs/>
        </w:rPr>
        <w:t>de</w:t>
      </w:r>
      <w:r w:rsidR="00001EC5" w:rsidRPr="00A61D6E">
        <w:rPr>
          <w:rFonts w:ascii="ITC Avant Garde" w:hAnsi="ITC Avant Garde"/>
          <w:bCs/>
        </w:rPr>
        <w:t xml:space="preserve"> fecha </w:t>
      </w:r>
      <w:r w:rsidR="00165E2E" w:rsidRPr="00A61D6E">
        <w:rPr>
          <w:rFonts w:ascii="ITC Avant Garde" w:hAnsi="ITC Avant Garde"/>
          <w:bCs/>
        </w:rPr>
        <w:t>24</w:t>
      </w:r>
      <w:r w:rsidR="00001EC5" w:rsidRPr="00A61D6E">
        <w:rPr>
          <w:rFonts w:ascii="ITC Avant Garde" w:hAnsi="ITC Avant Garde"/>
          <w:bCs/>
        </w:rPr>
        <w:t xml:space="preserve"> de </w:t>
      </w:r>
      <w:r w:rsidR="00165E2E" w:rsidRPr="00A61D6E">
        <w:rPr>
          <w:rFonts w:ascii="ITC Avant Garde" w:hAnsi="ITC Avant Garde"/>
          <w:bCs/>
        </w:rPr>
        <w:t>novi</w:t>
      </w:r>
      <w:r w:rsidR="00001EC5" w:rsidRPr="00A61D6E">
        <w:rPr>
          <w:rFonts w:ascii="ITC Avant Garde" w:hAnsi="ITC Avant Garde"/>
          <w:bCs/>
        </w:rPr>
        <w:t>embre de 2016, e</w:t>
      </w:r>
      <w:r w:rsidR="007A2AC7" w:rsidRPr="00A61D6E">
        <w:rPr>
          <w:rFonts w:ascii="ITC Avant Garde" w:hAnsi="ITC Avant Garde"/>
          <w:bCs/>
        </w:rPr>
        <w:t>l Instituto auto</w:t>
      </w:r>
      <w:r w:rsidR="002957A5">
        <w:rPr>
          <w:rFonts w:ascii="ITC Avant Garde" w:hAnsi="ITC Avant Garde"/>
          <w:bCs/>
        </w:rPr>
        <w:t>r</w:t>
      </w:r>
      <w:r w:rsidR="007A2AC7" w:rsidRPr="00A61D6E">
        <w:rPr>
          <w:rFonts w:ascii="ITC Avant Garde" w:hAnsi="ITC Avant Garde"/>
          <w:bCs/>
        </w:rPr>
        <w:t>izó</w:t>
      </w:r>
      <w:r w:rsidR="00165E2E" w:rsidRPr="00A61D6E">
        <w:rPr>
          <w:rFonts w:ascii="ITC Avant Garde" w:hAnsi="ITC Avant Garde"/>
          <w:bCs/>
        </w:rPr>
        <w:t xml:space="preserve"> </w:t>
      </w:r>
      <w:r w:rsidR="00A4756A">
        <w:rPr>
          <w:rFonts w:ascii="ITC Avant Garde" w:hAnsi="ITC Avant Garde"/>
          <w:bCs/>
        </w:rPr>
        <w:t xml:space="preserve">a </w:t>
      </w:r>
      <w:r w:rsidR="00A4756A">
        <w:rPr>
          <w:rFonts w:ascii="ITC Avant Garde" w:hAnsi="ITC Avant Garde"/>
          <w:bCs/>
          <w:color w:val="000000"/>
          <w:lang w:eastAsia="es-MX"/>
        </w:rPr>
        <w:t>los CC. Adrián Esper Cárdenas y Alfonso Esper Cárdenas</w:t>
      </w:r>
      <w:r w:rsidR="00A4756A" w:rsidRPr="005B771E">
        <w:rPr>
          <w:rFonts w:ascii="ITC Avant Garde" w:hAnsi="ITC Avant Garde"/>
          <w:bCs/>
          <w:color w:val="000000"/>
          <w:lang w:eastAsia="es-MX"/>
        </w:rPr>
        <w:t xml:space="preserve"> </w:t>
      </w:r>
      <w:r w:rsidR="00A4756A" w:rsidRPr="00A61D6E">
        <w:rPr>
          <w:rFonts w:ascii="ITC Avant Garde" w:hAnsi="ITC Avant Garde"/>
        </w:rPr>
        <w:t>la</w:t>
      </w:r>
      <w:r w:rsidR="00A4756A">
        <w:rPr>
          <w:rFonts w:ascii="ITC Avant Garde" w:hAnsi="ITC Avant Garde"/>
        </w:rPr>
        <w:t xml:space="preserve"> ampliación del plazo solicitada</w:t>
      </w:r>
      <w:r w:rsidR="00A4756A" w:rsidRPr="00A61D6E">
        <w:rPr>
          <w:rFonts w:ascii="ITC Avant Garde" w:hAnsi="ITC Avant Garde"/>
        </w:rPr>
        <w:t xml:space="preserve">, en atención a lo </w:t>
      </w:r>
      <w:r w:rsidR="00A4756A">
        <w:rPr>
          <w:rFonts w:ascii="ITC Avant Garde" w:hAnsi="ITC Avant Garde"/>
          <w:color w:val="000000"/>
          <w:lang w:eastAsia="es-MX"/>
        </w:rPr>
        <w:t xml:space="preserve">señalado en las condiciones </w:t>
      </w:r>
      <w:r w:rsidR="00A4756A" w:rsidRPr="00A61D6E">
        <w:rPr>
          <w:rFonts w:ascii="ITC Avant Garde" w:hAnsi="ITC Avant Garde"/>
          <w:color w:val="000000"/>
          <w:lang w:eastAsia="es-MX"/>
        </w:rPr>
        <w:t>2.1 de las Concesiones de Bandas</w:t>
      </w:r>
      <w:r w:rsidR="00A4756A">
        <w:rPr>
          <w:rFonts w:ascii="ITC Avant Garde" w:hAnsi="ITC Avant Garde"/>
          <w:color w:val="000000"/>
          <w:lang w:eastAsia="es-MX"/>
        </w:rPr>
        <w:t xml:space="preserve"> y</w:t>
      </w:r>
      <w:r w:rsidR="00A4756A" w:rsidRPr="00A61D6E">
        <w:rPr>
          <w:rFonts w:ascii="ITC Avant Garde" w:hAnsi="ITC Avant Garde"/>
          <w:color w:val="000000"/>
          <w:lang w:eastAsia="es-MX"/>
        </w:rPr>
        <w:t xml:space="preserve"> 1.3 de las Concesiones de Red</w:t>
      </w:r>
      <w:r w:rsidR="00F51CF7">
        <w:rPr>
          <w:rFonts w:ascii="ITC Avant Garde" w:hAnsi="ITC Avant Garde"/>
          <w:bCs/>
        </w:rPr>
        <w:t>, hasta el 31 de diciembre de 2017.</w:t>
      </w:r>
    </w:p>
    <w:p w:rsidR="00850C3A" w:rsidRDefault="009A5E55" w:rsidP="00850C3A">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rPr>
        <w:t xml:space="preserve">Solicitud de </w:t>
      </w:r>
      <w:r w:rsidR="0048765D" w:rsidRPr="00DE559F">
        <w:rPr>
          <w:rFonts w:ascii="ITC Avant Garde" w:hAnsi="ITC Avant Garde"/>
          <w:b/>
          <w:bCs/>
        </w:rPr>
        <w:t>A</w:t>
      </w:r>
      <w:r w:rsidR="00250695" w:rsidRPr="00DE559F">
        <w:rPr>
          <w:rFonts w:ascii="ITC Avant Garde" w:hAnsi="ITC Avant Garde"/>
          <w:b/>
          <w:bCs/>
        </w:rPr>
        <w:t xml:space="preserve">utorización para prestar </w:t>
      </w:r>
      <w:r w:rsidR="00CB7618">
        <w:rPr>
          <w:rFonts w:ascii="ITC Avant Garde" w:hAnsi="ITC Avant Garde"/>
          <w:b/>
          <w:bCs/>
        </w:rPr>
        <w:t>servicios a</w:t>
      </w:r>
      <w:r w:rsidR="00250695" w:rsidRPr="00DE559F">
        <w:rPr>
          <w:rFonts w:ascii="ITC Avant Garde" w:hAnsi="ITC Avant Garde"/>
          <w:b/>
          <w:bCs/>
        </w:rPr>
        <w:t>dicionales</w:t>
      </w:r>
      <w:r w:rsidRPr="00DE559F">
        <w:rPr>
          <w:rFonts w:ascii="ITC Avant Garde" w:hAnsi="ITC Avant Garde"/>
          <w:b/>
          <w:bCs/>
        </w:rPr>
        <w:t xml:space="preserve">. </w:t>
      </w:r>
      <w:r w:rsidR="009E6EE1">
        <w:rPr>
          <w:rFonts w:ascii="ITC Avant Garde" w:hAnsi="ITC Avant Garde"/>
          <w:bCs/>
        </w:rPr>
        <w:t>El</w:t>
      </w:r>
      <w:r w:rsidRPr="00DE559F">
        <w:rPr>
          <w:rFonts w:ascii="ITC Avant Garde" w:hAnsi="ITC Avant Garde"/>
          <w:color w:val="000000"/>
          <w:lang w:eastAsia="es-MX"/>
        </w:rPr>
        <w:t xml:space="preserve"> </w:t>
      </w:r>
      <w:r w:rsidR="008A6E92">
        <w:rPr>
          <w:rFonts w:ascii="ITC Avant Garde" w:hAnsi="ITC Avant Garde"/>
          <w:color w:val="000000"/>
          <w:lang w:eastAsia="es-MX"/>
        </w:rPr>
        <w:t>29 de septiembre</w:t>
      </w:r>
      <w:r w:rsidR="009E6EE1">
        <w:rPr>
          <w:rFonts w:ascii="ITC Avant Garde" w:hAnsi="ITC Avant Garde"/>
          <w:color w:val="000000"/>
          <w:lang w:eastAsia="es-MX"/>
        </w:rPr>
        <w:t xml:space="preserve"> </w:t>
      </w:r>
      <w:r w:rsidR="001B730B">
        <w:rPr>
          <w:rFonts w:ascii="ITC Avant Garde" w:hAnsi="ITC Avant Garde"/>
          <w:color w:val="000000"/>
          <w:lang w:eastAsia="es-MX"/>
        </w:rPr>
        <w:t>de</w:t>
      </w:r>
      <w:r w:rsidR="001B730B">
        <w:rPr>
          <w:rFonts w:ascii="ITC Avant Garde" w:hAnsi="ITC Avant Garde"/>
        </w:rPr>
        <w:t xml:space="preserve"> 2017</w:t>
      </w:r>
      <w:r w:rsidRPr="00DE559F">
        <w:rPr>
          <w:rFonts w:ascii="ITC Avant Garde" w:hAnsi="ITC Avant Garde"/>
        </w:rPr>
        <w:t>,</w:t>
      </w:r>
      <w:r w:rsidR="00CB52BC" w:rsidRPr="00DE559F">
        <w:rPr>
          <w:rFonts w:ascii="ITC Avant Garde" w:hAnsi="ITC Avant Garde"/>
        </w:rPr>
        <w:t xml:space="preserve"> </w:t>
      </w:r>
      <w:r w:rsidR="008A6E92" w:rsidRPr="008A6E92">
        <w:rPr>
          <w:rFonts w:ascii="ITC Avant Garde" w:hAnsi="ITC Avant Garde"/>
          <w:bCs/>
          <w:color w:val="000000"/>
          <w:lang w:eastAsia="es-MX"/>
        </w:rPr>
        <w:t>los CC. Adrián Esper Cárdenas y Alfonso Esper Cárdenas, a través de su representante legal,</w:t>
      </w:r>
      <w:r w:rsidR="009E6EE1" w:rsidRPr="00DE559F">
        <w:rPr>
          <w:rFonts w:ascii="ITC Avant Garde" w:hAnsi="ITC Avant Garde"/>
          <w:color w:val="000000"/>
          <w:lang w:eastAsia="es-MX"/>
        </w:rPr>
        <w:t xml:space="preserve"> </w:t>
      </w:r>
      <w:r w:rsidR="008A6E92">
        <w:rPr>
          <w:rFonts w:ascii="ITC Avant Garde" w:hAnsi="ITC Avant Garde"/>
          <w:color w:val="000000"/>
          <w:lang w:eastAsia="es-MX"/>
        </w:rPr>
        <w:t>solicitaron</w:t>
      </w:r>
      <w:r w:rsidR="00950E13" w:rsidRPr="00DE559F">
        <w:rPr>
          <w:rFonts w:ascii="ITC Avant Garde" w:hAnsi="ITC Avant Garde"/>
          <w:color w:val="000000"/>
          <w:lang w:eastAsia="es-MX"/>
        </w:rPr>
        <w:t xml:space="preserve"> autorización </w:t>
      </w:r>
      <w:r w:rsidR="002C60C7" w:rsidRPr="00DE559F">
        <w:rPr>
          <w:rFonts w:ascii="ITC Avant Garde" w:hAnsi="ITC Avant Garde"/>
          <w:color w:val="000000"/>
          <w:lang w:eastAsia="es-MX"/>
        </w:rPr>
        <w:t xml:space="preserve">para prestar </w:t>
      </w:r>
      <w:r w:rsidR="002C60C7" w:rsidRPr="00DE559F">
        <w:rPr>
          <w:rFonts w:ascii="ITC Avant Garde" w:hAnsi="ITC Avant Garde"/>
          <w:bCs/>
          <w:color w:val="000000"/>
          <w:lang w:eastAsia="es-MX"/>
        </w:rPr>
        <w:t xml:space="preserve">servicios adicionales respecto de </w:t>
      </w:r>
      <w:r w:rsidR="00D355D6" w:rsidRPr="00DE559F">
        <w:rPr>
          <w:rFonts w:ascii="ITC Avant Garde" w:hAnsi="ITC Avant Garde"/>
          <w:bCs/>
          <w:color w:val="000000"/>
          <w:lang w:eastAsia="es-MX"/>
        </w:rPr>
        <w:t>las</w:t>
      </w:r>
      <w:r w:rsidR="008A6E92">
        <w:rPr>
          <w:rFonts w:ascii="ITC Avant Garde" w:hAnsi="ITC Avant Garde"/>
          <w:bCs/>
          <w:color w:val="000000"/>
          <w:lang w:eastAsia="es-MX"/>
        </w:rPr>
        <w:t xml:space="preserve"> Concesiones de Bandas</w:t>
      </w:r>
      <w:r w:rsidR="002C60C7" w:rsidRPr="00DE559F">
        <w:rPr>
          <w:rFonts w:ascii="ITC Avant Garde" w:hAnsi="ITC Avant Garde"/>
          <w:bCs/>
          <w:color w:val="000000"/>
          <w:lang w:eastAsia="es-MX"/>
        </w:rPr>
        <w:t>. Lo anterior</w:t>
      </w:r>
      <w:r w:rsidR="004132A6" w:rsidRPr="00DE559F">
        <w:rPr>
          <w:rFonts w:ascii="ITC Avant Garde" w:hAnsi="ITC Avant Garde"/>
          <w:bCs/>
          <w:color w:val="000000"/>
          <w:lang w:eastAsia="es-MX"/>
        </w:rPr>
        <w:t>,</w:t>
      </w:r>
      <w:r w:rsidR="002C60C7" w:rsidRPr="00DE559F">
        <w:rPr>
          <w:rFonts w:ascii="ITC Avant Garde" w:hAnsi="ITC Avant Garde"/>
          <w:bCs/>
          <w:color w:val="000000"/>
          <w:lang w:eastAsia="es-MX"/>
        </w:rPr>
        <w:t xml:space="preserve"> en </w:t>
      </w:r>
      <w:r w:rsidR="004132A6" w:rsidRPr="00DE559F">
        <w:rPr>
          <w:rFonts w:ascii="ITC Avant Garde" w:hAnsi="ITC Avant Garde"/>
          <w:bCs/>
          <w:color w:val="000000"/>
          <w:lang w:eastAsia="es-MX"/>
        </w:rPr>
        <w:t>términos de</w:t>
      </w:r>
      <w:r w:rsidR="002C60C7" w:rsidRPr="00DE559F">
        <w:rPr>
          <w:rFonts w:ascii="ITC Avant Garde" w:hAnsi="ITC Avant Garde"/>
          <w:bCs/>
          <w:color w:val="000000"/>
          <w:lang w:eastAsia="es-MX"/>
        </w:rPr>
        <w:t xml:space="preserve"> </w:t>
      </w:r>
      <w:r w:rsidR="001B730B">
        <w:rPr>
          <w:rFonts w:ascii="ITC Avant Garde" w:hAnsi="ITC Avant Garde"/>
          <w:bCs/>
          <w:color w:val="000000"/>
          <w:lang w:eastAsia="es-MX"/>
        </w:rPr>
        <w:t xml:space="preserve">lo establecido </w:t>
      </w:r>
      <w:r w:rsidR="001B730B">
        <w:rPr>
          <w:rFonts w:ascii="ITC Avant Garde" w:hAnsi="ITC Avant Garde"/>
          <w:bCs/>
          <w:color w:val="000000"/>
          <w:lang w:eastAsia="es-MX"/>
        </w:rPr>
        <w:lastRenderedPageBreak/>
        <w:t>en la C</w:t>
      </w:r>
      <w:r w:rsidR="004132A6" w:rsidRPr="00DE559F">
        <w:rPr>
          <w:rFonts w:ascii="ITC Avant Garde" w:hAnsi="ITC Avant Garde"/>
          <w:bCs/>
          <w:color w:val="000000"/>
          <w:lang w:eastAsia="es-MX"/>
        </w:rPr>
        <w:t xml:space="preserve">ondición </w:t>
      </w:r>
      <w:r w:rsidR="001B730B">
        <w:rPr>
          <w:rFonts w:ascii="ITC Avant Garde" w:hAnsi="ITC Avant Garde"/>
          <w:bCs/>
          <w:color w:val="000000"/>
          <w:lang w:eastAsia="es-MX"/>
        </w:rPr>
        <w:t>2.1</w:t>
      </w:r>
      <w:r w:rsidR="002C60C7" w:rsidRPr="00DE559F">
        <w:rPr>
          <w:rFonts w:ascii="ITC Avant Garde" w:hAnsi="ITC Avant Garde"/>
          <w:bCs/>
          <w:color w:val="000000"/>
          <w:lang w:eastAsia="es-MX"/>
        </w:rPr>
        <w:t xml:space="preserve"> </w:t>
      </w:r>
      <w:r w:rsidR="004132A6" w:rsidRPr="00DE559F">
        <w:rPr>
          <w:rFonts w:ascii="ITC Avant Garde" w:hAnsi="ITC Avant Garde"/>
          <w:bCs/>
          <w:color w:val="000000"/>
          <w:lang w:eastAsia="es-MX"/>
        </w:rPr>
        <w:t>“</w:t>
      </w:r>
      <w:r w:rsidR="002C60C7" w:rsidRPr="00DE559F">
        <w:rPr>
          <w:rFonts w:ascii="ITC Avant Garde" w:hAnsi="ITC Avant Garde"/>
          <w:bCs/>
          <w:i/>
          <w:color w:val="000000"/>
          <w:lang w:eastAsia="es-MX"/>
        </w:rPr>
        <w:t>Servicios Adicionales</w:t>
      </w:r>
      <w:r w:rsidR="002C60C7" w:rsidRPr="00DE559F">
        <w:rPr>
          <w:rFonts w:ascii="ITC Avant Garde" w:hAnsi="ITC Avant Garde"/>
          <w:bCs/>
          <w:color w:val="000000"/>
          <w:lang w:eastAsia="es-MX"/>
        </w:rPr>
        <w:t xml:space="preserve">” de </w:t>
      </w:r>
      <w:r w:rsidR="004132A6" w:rsidRPr="00DE559F">
        <w:rPr>
          <w:rFonts w:ascii="ITC Avant Garde" w:hAnsi="ITC Avant Garde"/>
          <w:bCs/>
          <w:color w:val="000000"/>
          <w:lang w:eastAsia="es-MX"/>
        </w:rPr>
        <w:t xml:space="preserve">dichas </w:t>
      </w:r>
      <w:r w:rsidR="00A94A20" w:rsidRPr="00DE559F">
        <w:rPr>
          <w:rFonts w:ascii="ITC Avant Garde" w:hAnsi="ITC Avant Garde"/>
          <w:bCs/>
          <w:color w:val="000000"/>
          <w:lang w:eastAsia="es-MX"/>
        </w:rPr>
        <w:t>c</w:t>
      </w:r>
      <w:r w:rsidR="004132A6" w:rsidRPr="00DE559F">
        <w:rPr>
          <w:rFonts w:ascii="ITC Avant Garde" w:hAnsi="ITC Avant Garde"/>
          <w:bCs/>
          <w:color w:val="000000"/>
          <w:lang w:eastAsia="es-MX"/>
        </w:rPr>
        <w:t xml:space="preserve">oncesiones </w:t>
      </w:r>
      <w:r w:rsidR="00950E13" w:rsidRPr="00DE559F">
        <w:rPr>
          <w:rFonts w:ascii="ITC Avant Garde" w:hAnsi="ITC Avant Garde"/>
        </w:rPr>
        <w:t xml:space="preserve">(la “Solicitud de </w:t>
      </w:r>
      <w:r w:rsidR="001A7CEA" w:rsidRPr="00DE559F">
        <w:rPr>
          <w:rFonts w:ascii="ITC Avant Garde" w:hAnsi="ITC Avant Garde"/>
        </w:rPr>
        <w:t>Servicio</w:t>
      </w:r>
      <w:r w:rsidR="007F7A48" w:rsidRPr="00DE559F">
        <w:rPr>
          <w:rFonts w:ascii="ITC Avant Garde" w:hAnsi="ITC Avant Garde"/>
        </w:rPr>
        <w:t>s</w:t>
      </w:r>
      <w:r w:rsidR="001A7CEA" w:rsidRPr="00DE559F">
        <w:rPr>
          <w:rFonts w:ascii="ITC Avant Garde" w:hAnsi="ITC Avant Garde"/>
        </w:rPr>
        <w:t xml:space="preserve"> Adicional</w:t>
      </w:r>
      <w:r w:rsidR="007F7A48" w:rsidRPr="00DE559F">
        <w:rPr>
          <w:rFonts w:ascii="ITC Avant Garde" w:hAnsi="ITC Avant Garde"/>
        </w:rPr>
        <w:t>es</w:t>
      </w:r>
      <w:r w:rsidR="00950E13" w:rsidRPr="00DE559F">
        <w:rPr>
          <w:rFonts w:ascii="ITC Avant Garde" w:hAnsi="ITC Avant Garde"/>
        </w:rPr>
        <w:t>”).</w:t>
      </w:r>
    </w:p>
    <w:p w:rsidR="00850C3A" w:rsidRDefault="00D84F9E" w:rsidP="00850C3A">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color w:val="000000"/>
          <w:shd w:val="clear" w:color="auto" w:fill="FFFFFF"/>
        </w:rPr>
        <w:t>Solicitud de Opinión a la</w:t>
      </w:r>
      <w:r>
        <w:rPr>
          <w:rFonts w:ascii="ITC Avant Garde" w:hAnsi="ITC Avant Garde"/>
          <w:b/>
          <w:bCs/>
          <w:color w:val="000000"/>
          <w:shd w:val="clear" w:color="auto" w:fill="FFFFFF"/>
        </w:rPr>
        <w:t xml:space="preserve"> Unidad de Espectro Radioeléctrico</w:t>
      </w:r>
      <w:r w:rsidRPr="00D84F9E">
        <w:rPr>
          <w:rFonts w:ascii="ITC Avant Garde" w:hAnsi="ITC Avant Garde"/>
          <w:b/>
          <w:bCs/>
          <w:color w:val="000000"/>
          <w:shd w:val="clear" w:color="auto" w:fill="FFFFFF"/>
        </w:rPr>
        <w:t>.</w:t>
      </w:r>
      <w:r w:rsidRPr="00DE559F">
        <w:rPr>
          <w:rFonts w:ascii="ITC Avant Garde" w:hAnsi="ITC Avant Garde"/>
          <w:b/>
          <w:bCs/>
          <w:color w:val="000000"/>
          <w:shd w:val="clear" w:color="auto" w:fill="FFFFFF"/>
        </w:rPr>
        <w:t xml:space="preserve"> </w:t>
      </w:r>
      <w:r w:rsidRPr="00DE559F">
        <w:rPr>
          <w:rFonts w:ascii="ITC Avant Garde" w:hAnsi="ITC Avant Garde"/>
          <w:color w:val="000000"/>
          <w:shd w:val="clear" w:color="auto" w:fill="FFFFFF"/>
        </w:rPr>
        <w:t>Mediante</w:t>
      </w:r>
      <w:r w:rsidR="00382168">
        <w:rPr>
          <w:rFonts w:ascii="ITC Avant Garde" w:hAnsi="ITC Avant Garde"/>
          <w:color w:val="000000"/>
          <w:shd w:val="clear" w:color="auto" w:fill="FFFFFF"/>
        </w:rPr>
        <w:t xml:space="preserve"> oficio IFT/223/UCS/DG-CTEL/1883</w:t>
      </w:r>
      <w:r w:rsidRPr="00DE559F">
        <w:rPr>
          <w:rFonts w:ascii="ITC Avant Garde" w:hAnsi="ITC Avant Garde"/>
          <w:color w:val="000000"/>
          <w:shd w:val="clear" w:color="auto" w:fill="FFFFFF"/>
        </w:rPr>
        <w:t>/201</w:t>
      </w:r>
      <w:r>
        <w:rPr>
          <w:rFonts w:ascii="ITC Avant Garde" w:hAnsi="ITC Avant Garde"/>
          <w:color w:val="000000"/>
          <w:shd w:val="clear" w:color="auto" w:fill="FFFFFF"/>
        </w:rPr>
        <w:t>7</w:t>
      </w:r>
      <w:r w:rsidRPr="00DA77DE">
        <w:rPr>
          <w:rFonts w:ascii="ITC Avant Garde" w:hAnsi="ITC Avant Garde"/>
          <w:color w:val="000000"/>
          <w:shd w:val="clear" w:color="auto" w:fill="FFFFFF"/>
        </w:rPr>
        <w:t xml:space="preserve"> </w:t>
      </w:r>
      <w:r w:rsidRPr="00DE559F">
        <w:rPr>
          <w:rFonts w:ascii="ITC Avant Garde" w:hAnsi="ITC Avant Garde"/>
          <w:color w:val="000000"/>
          <w:shd w:val="clear" w:color="auto" w:fill="FFFFFF"/>
        </w:rPr>
        <w:t xml:space="preserve">de fecha </w:t>
      </w:r>
      <w:r w:rsidR="00382168">
        <w:rPr>
          <w:rFonts w:ascii="ITC Avant Garde" w:hAnsi="ITC Avant Garde"/>
          <w:color w:val="000000"/>
          <w:shd w:val="clear" w:color="auto" w:fill="FFFFFF"/>
        </w:rPr>
        <w:t>3 de octubre</w:t>
      </w:r>
      <w:r>
        <w:rPr>
          <w:rFonts w:ascii="ITC Avant Garde" w:hAnsi="ITC Avant Garde"/>
          <w:color w:val="000000"/>
          <w:shd w:val="clear" w:color="auto" w:fill="FFFFFF"/>
        </w:rPr>
        <w:t xml:space="preserve"> de 2017, </w:t>
      </w:r>
      <w:r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Pr>
          <w:rFonts w:ascii="ITC Avant Garde" w:hAnsi="ITC Avant Garde"/>
          <w:color w:val="000000"/>
          <w:shd w:val="clear" w:color="auto" w:fill="FFFFFF"/>
        </w:rPr>
        <w:t>Espectro Radioeléctrico</w:t>
      </w:r>
      <w:r w:rsidRPr="00DE559F">
        <w:rPr>
          <w:rFonts w:ascii="ITC Avant Garde" w:hAnsi="ITC Avant Garde"/>
          <w:color w:val="000000"/>
          <w:shd w:val="clear" w:color="auto" w:fill="FFFFFF"/>
        </w:rPr>
        <w:t xml:space="preserve"> de este Instituto</w:t>
      </w:r>
      <w:r>
        <w:rPr>
          <w:rFonts w:ascii="ITC Avant Garde" w:hAnsi="ITC Avant Garde"/>
          <w:color w:val="000000"/>
          <w:shd w:val="clear" w:color="auto" w:fill="FFFFFF"/>
        </w:rPr>
        <w:t>, entre otras,</w:t>
      </w:r>
      <w:r w:rsidRPr="00DE559F">
        <w:rPr>
          <w:rFonts w:ascii="ITC Avant Garde" w:hAnsi="ITC Avant Garde"/>
          <w:color w:val="000000"/>
          <w:shd w:val="clear" w:color="auto" w:fill="FFFFFF"/>
        </w:rPr>
        <w:t xml:space="preserve"> la opinión </w:t>
      </w:r>
      <w:r>
        <w:rPr>
          <w:rFonts w:ascii="ITC Avant Garde" w:hAnsi="ITC Avant Garde"/>
          <w:color w:val="000000"/>
          <w:shd w:val="clear" w:color="auto" w:fill="FFFFFF"/>
        </w:rPr>
        <w:t xml:space="preserve">respecto de la viabilidad de </w:t>
      </w:r>
      <w:r w:rsidRPr="00DE559F">
        <w:rPr>
          <w:rFonts w:ascii="ITC Avant Garde" w:hAnsi="ITC Avant Garde"/>
          <w:color w:val="000000"/>
          <w:shd w:val="clear" w:color="auto" w:fill="FFFFFF"/>
        </w:rPr>
        <w:t xml:space="preserve">la Solicitud de Servicios </w:t>
      </w:r>
      <w:r w:rsidRPr="00D84F9E">
        <w:rPr>
          <w:rFonts w:ascii="ITC Avant Garde" w:hAnsi="ITC Avant Garde"/>
          <w:color w:val="000000"/>
          <w:shd w:val="clear" w:color="auto" w:fill="FFFFFF"/>
        </w:rPr>
        <w:t>Adicionales, as</w:t>
      </w:r>
      <w:r w:rsidR="009B3817">
        <w:rPr>
          <w:rFonts w:ascii="ITC Avant Garde" w:hAnsi="ITC Avant Garde"/>
          <w:color w:val="000000"/>
          <w:shd w:val="clear" w:color="auto" w:fill="FFFFFF"/>
        </w:rPr>
        <w:t>í como las condiciones técnico-</w:t>
      </w:r>
      <w:r w:rsidRPr="00D84F9E">
        <w:rPr>
          <w:rFonts w:ascii="ITC Avant Garde" w:hAnsi="ITC Avant Garde"/>
          <w:color w:val="000000"/>
          <w:shd w:val="clear" w:color="auto" w:fill="FFFFFF"/>
        </w:rPr>
        <w:t xml:space="preserve">operativas que busquen evitar </w:t>
      </w:r>
      <w:r>
        <w:rPr>
          <w:rFonts w:ascii="ITC Avant Garde" w:hAnsi="ITC Avant Garde"/>
          <w:color w:val="000000"/>
          <w:shd w:val="clear" w:color="auto" w:fill="FFFFFF"/>
        </w:rPr>
        <w:t>o minimizar el riesgo de interferencias perjudiciales</w:t>
      </w:r>
      <w:r w:rsidRPr="00DE559F">
        <w:rPr>
          <w:rFonts w:ascii="ITC Avant Garde" w:hAnsi="ITC Avant Garde"/>
          <w:color w:val="000000"/>
          <w:shd w:val="clear" w:color="auto" w:fill="FFFFFF"/>
        </w:rPr>
        <w:t>.</w:t>
      </w:r>
    </w:p>
    <w:p w:rsidR="00850C3A" w:rsidRDefault="00D84F9E" w:rsidP="00850C3A">
      <w:pPr>
        <w:numPr>
          <w:ilvl w:val="0"/>
          <w:numId w:val="1"/>
        </w:numPr>
        <w:spacing w:afterLines="120" w:after="288" w:line="240" w:lineRule="auto"/>
        <w:ind w:left="567"/>
        <w:jc w:val="both"/>
        <w:rPr>
          <w:rFonts w:ascii="ITC Avant Garde" w:hAnsi="ITC Avant Garde"/>
          <w:bCs/>
          <w:color w:val="000000"/>
          <w:lang w:eastAsia="es-MX"/>
        </w:rPr>
      </w:pPr>
      <w:r>
        <w:rPr>
          <w:rFonts w:ascii="ITC Avant Garde" w:hAnsi="ITC Avant Garde"/>
          <w:b/>
          <w:bCs/>
          <w:color w:val="000000"/>
          <w:shd w:val="clear" w:color="auto" w:fill="FFFFFF"/>
        </w:rPr>
        <w:t>Solicitud de Dictamen</w:t>
      </w:r>
      <w:r w:rsidRPr="00DE559F">
        <w:rPr>
          <w:rFonts w:ascii="ITC Avant Garde" w:hAnsi="ITC Avant Garde"/>
          <w:b/>
          <w:bCs/>
          <w:color w:val="000000"/>
          <w:shd w:val="clear" w:color="auto" w:fill="FFFFFF"/>
        </w:rPr>
        <w:t xml:space="preserve"> a la</w:t>
      </w:r>
      <w:r>
        <w:rPr>
          <w:rFonts w:ascii="ITC Avant Garde" w:hAnsi="ITC Avant Garde"/>
          <w:b/>
          <w:bCs/>
          <w:color w:val="000000"/>
          <w:shd w:val="clear" w:color="auto" w:fill="FFFFFF"/>
        </w:rPr>
        <w:t xml:space="preserve"> Unidad de Cumplimiento</w:t>
      </w:r>
      <w:r w:rsidRPr="00DE559F">
        <w:rPr>
          <w:rFonts w:ascii="ITC Avant Garde" w:hAnsi="ITC Avant Garde"/>
          <w:b/>
          <w:bCs/>
          <w:color w:val="000000"/>
          <w:shd w:val="clear" w:color="auto" w:fill="FFFFFF"/>
        </w:rPr>
        <w:t xml:space="preserve">. </w:t>
      </w:r>
      <w:r w:rsidRPr="00DE559F">
        <w:rPr>
          <w:rFonts w:ascii="ITC Avant Garde" w:hAnsi="ITC Avant Garde"/>
          <w:color w:val="000000"/>
          <w:shd w:val="clear" w:color="auto" w:fill="FFFFFF"/>
        </w:rPr>
        <w:t>Mediante</w:t>
      </w:r>
      <w:r>
        <w:rPr>
          <w:rFonts w:ascii="ITC Avant Garde" w:hAnsi="ITC Avant Garde"/>
          <w:color w:val="000000"/>
          <w:shd w:val="clear" w:color="auto" w:fill="FFFFFF"/>
        </w:rPr>
        <w:t xml:space="preserve"> oficio IFT/223/UCS/DG-CTEL/</w:t>
      </w:r>
      <w:r w:rsidR="00382168">
        <w:rPr>
          <w:rFonts w:ascii="ITC Avant Garde" w:hAnsi="ITC Avant Garde"/>
          <w:color w:val="000000"/>
          <w:shd w:val="clear" w:color="auto" w:fill="FFFFFF"/>
        </w:rPr>
        <w:t>1884</w:t>
      </w:r>
      <w:r w:rsidRPr="00DE559F">
        <w:rPr>
          <w:rFonts w:ascii="ITC Avant Garde" w:hAnsi="ITC Avant Garde"/>
          <w:color w:val="000000"/>
          <w:shd w:val="clear" w:color="auto" w:fill="FFFFFF"/>
        </w:rPr>
        <w:t>/201</w:t>
      </w:r>
      <w:r>
        <w:rPr>
          <w:rFonts w:ascii="ITC Avant Garde" w:hAnsi="ITC Avant Garde"/>
          <w:color w:val="000000"/>
          <w:shd w:val="clear" w:color="auto" w:fill="FFFFFF"/>
        </w:rPr>
        <w:t xml:space="preserve">7 </w:t>
      </w:r>
      <w:r w:rsidRPr="00DE559F">
        <w:rPr>
          <w:rFonts w:ascii="ITC Avant Garde" w:hAnsi="ITC Avant Garde"/>
          <w:color w:val="000000"/>
          <w:shd w:val="clear" w:color="auto" w:fill="FFFFFF"/>
        </w:rPr>
        <w:t xml:space="preserve">de fecha </w:t>
      </w:r>
      <w:r w:rsidR="00E3441A">
        <w:rPr>
          <w:rFonts w:ascii="ITC Avant Garde" w:hAnsi="ITC Avant Garde"/>
          <w:color w:val="000000"/>
          <w:shd w:val="clear" w:color="auto" w:fill="FFFFFF"/>
        </w:rPr>
        <w:t>3 de octubre</w:t>
      </w:r>
      <w:r>
        <w:rPr>
          <w:rFonts w:ascii="ITC Avant Garde" w:hAnsi="ITC Avant Garde"/>
          <w:color w:val="000000"/>
          <w:shd w:val="clear" w:color="auto" w:fill="FFFFFF"/>
        </w:rPr>
        <w:t xml:space="preserve"> de 2017, </w:t>
      </w:r>
      <w:r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Pr>
          <w:rFonts w:ascii="ITC Avant Garde" w:hAnsi="ITC Avant Garde"/>
          <w:color w:val="000000"/>
          <w:shd w:val="clear" w:color="auto" w:fill="FFFFFF"/>
        </w:rPr>
        <w:t>Cumplimiento</w:t>
      </w:r>
      <w:r w:rsidRPr="00DE559F">
        <w:rPr>
          <w:rFonts w:ascii="ITC Avant Garde" w:hAnsi="ITC Avant Garde"/>
          <w:color w:val="000000"/>
          <w:shd w:val="clear" w:color="auto" w:fill="FFFFFF"/>
        </w:rPr>
        <w:t xml:space="preserve"> de este Instituto, </w:t>
      </w:r>
      <w:r>
        <w:rPr>
          <w:rFonts w:ascii="ITC Avant Garde" w:hAnsi="ITC Avant Garde"/>
          <w:color w:val="000000"/>
          <w:shd w:val="clear" w:color="auto" w:fill="FFFFFF"/>
        </w:rPr>
        <w:t xml:space="preserve">el dictamen en materia de cumplimiento de obligaciones respecto </w:t>
      </w:r>
      <w:r w:rsidRPr="00D84F9E">
        <w:rPr>
          <w:rFonts w:ascii="ITC Avant Garde" w:hAnsi="ITC Avant Garde"/>
          <w:color w:val="000000"/>
          <w:shd w:val="clear" w:color="auto" w:fill="FFFFFF"/>
        </w:rPr>
        <w:t xml:space="preserve">de </w:t>
      </w:r>
      <w:r w:rsidRPr="00D84F9E">
        <w:rPr>
          <w:rFonts w:ascii="ITC Avant Garde" w:hAnsi="ITC Avant Garde"/>
          <w:bCs/>
          <w:color w:val="000000"/>
          <w:shd w:val="clear" w:color="auto" w:fill="FFFFFF"/>
        </w:rPr>
        <w:t xml:space="preserve">la </w:t>
      </w:r>
      <w:r w:rsidRPr="00D84F9E">
        <w:rPr>
          <w:rFonts w:ascii="ITC Avant Garde" w:hAnsi="ITC Avant Garde"/>
        </w:rPr>
        <w:t>Solicitud de Servicios Adicionales</w:t>
      </w:r>
      <w:r w:rsidRPr="00D84F9E">
        <w:rPr>
          <w:rFonts w:ascii="ITC Avant Garde" w:hAnsi="ITC Avant Garde"/>
          <w:color w:val="000000"/>
          <w:shd w:val="clear" w:color="auto" w:fill="FFFFFF"/>
        </w:rPr>
        <w:t>.</w:t>
      </w:r>
    </w:p>
    <w:p w:rsidR="00850C3A" w:rsidRDefault="00264202" w:rsidP="00850C3A">
      <w:pPr>
        <w:numPr>
          <w:ilvl w:val="0"/>
          <w:numId w:val="1"/>
        </w:numPr>
        <w:spacing w:afterLines="120" w:after="288" w:line="240" w:lineRule="auto"/>
        <w:ind w:left="567"/>
        <w:jc w:val="both"/>
        <w:rPr>
          <w:rFonts w:ascii="ITC Avant Garde" w:hAnsi="ITC Avant Garde"/>
          <w:bCs/>
          <w:color w:val="000000"/>
          <w:lang w:eastAsia="es-MX"/>
        </w:rPr>
      </w:pPr>
      <w:r>
        <w:rPr>
          <w:rFonts w:ascii="ITC Avant Garde" w:hAnsi="ITC Avant Garde"/>
          <w:b/>
          <w:bCs/>
        </w:rPr>
        <w:t>Dictá</w:t>
      </w:r>
      <w:r w:rsidRPr="00A94A20">
        <w:rPr>
          <w:rFonts w:ascii="ITC Avant Garde" w:hAnsi="ITC Avant Garde"/>
          <w:b/>
          <w:bCs/>
        </w:rPr>
        <w:t>men</w:t>
      </w:r>
      <w:r>
        <w:rPr>
          <w:rFonts w:ascii="ITC Avant Garde" w:hAnsi="ITC Avant Garde"/>
          <w:b/>
          <w:bCs/>
        </w:rPr>
        <w:t>es</w:t>
      </w:r>
      <w:r w:rsidRPr="00A94A20">
        <w:rPr>
          <w:rFonts w:ascii="ITC Avant Garde" w:hAnsi="ITC Avant Garde"/>
          <w:b/>
          <w:bCs/>
        </w:rPr>
        <w:t xml:space="preserve"> en Materia de Cumplimiento de Obligaciones.</w:t>
      </w:r>
      <w:r w:rsidRPr="00A94A20">
        <w:rPr>
          <w:rFonts w:ascii="ITC Avant Garde" w:hAnsi="ITC Avant Garde"/>
          <w:b/>
          <w:bCs/>
          <w:color w:val="000000"/>
          <w:lang w:eastAsia="es-MX"/>
        </w:rPr>
        <w:t xml:space="preserve"> </w:t>
      </w:r>
      <w:r w:rsidRPr="00A94A20">
        <w:rPr>
          <w:rFonts w:ascii="ITC Avant Garde" w:hAnsi="ITC Avant Garde"/>
          <w:bCs/>
          <w:color w:val="000000"/>
          <w:lang w:eastAsia="es-MX"/>
        </w:rPr>
        <w:t>Mediante oficio</w:t>
      </w:r>
      <w:r>
        <w:rPr>
          <w:rFonts w:ascii="ITC Avant Garde" w:hAnsi="ITC Avant Garde"/>
          <w:bCs/>
          <w:color w:val="000000"/>
          <w:lang w:eastAsia="es-MX"/>
        </w:rPr>
        <w:t>s</w:t>
      </w:r>
      <w:r w:rsidRPr="00A94A20">
        <w:rPr>
          <w:rFonts w:ascii="ITC Avant Garde" w:hAnsi="ITC Avant Garde"/>
          <w:bCs/>
          <w:color w:val="000000"/>
          <w:lang w:eastAsia="es-MX"/>
        </w:rPr>
        <w:t xml:space="preserve"> IFT/225/UC/DG-SUV/</w:t>
      </w:r>
      <w:r w:rsidR="006D324C">
        <w:rPr>
          <w:rFonts w:ascii="ITC Avant Garde" w:hAnsi="ITC Avant Garde"/>
          <w:bCs/>
          <w:color w:val="000000"/>
          <w:lang w:eastAsia="es-MX"/>
        </w:rPr>
        <w:t>03723</w:t>
      </w:r>
      <w:r w:rsidRPr="00A94A20">
        <w:rPr>
          <w:rFonts w:ascii="ITC Avant Garde" w:hAnsi="ITC Avant Garde"/>
          <w:bCs/>
          <w:color w:val="000000"/>
          <w:lang w:eastAsia="es-MX"/>
        </w:rPr>
        <w:t>/2017</w:t>
      </w:r>
      <w:r>
        <w:rPr>
          <w:rFonts w:ascii="ITC Avant Garde" w:hAnsi="ITC Avant Garde"/>
          <w:bCs/>
          <w:color w:val="000000"/>
          <w:lang w:eastAsia="es-MX"/>
        </w:rPr>
        <w:t xml:space="preserve"> </w:t>
      </w:r>
      <w:r w:rsidR="006D324C">
        <w:rPr>
          <w:rFonts w:ascii="ITC Avant Garde" w:hAnsi="ITC Avant Garde"/>
          <w:bCs/>
          <w:color w:val="000000"/>
          <w:lang w:eastAsia="es-MX"/>
        </w:rPr>
        <w:t xml:space="preserve">e </w:t>
      </w:r>
      <w:r w:rsidR="006D324C" w:rsidRPr="00A94A20">
        <w:rPr>
          <w:rFonts w:ascii="ITC Avant Garde" w:hAnsi="ITC Avant Garde"/>
          <w:bCs/>
          <w:color w:val="000000"/>
          <w:lang w:eastAsia="es-MX"/>
        </w:rPr>
        <w:t>IFT/225/UC/DG-SUV/</w:t>
      </w:r>
      <w:r w:rsidR="006D324C">
        <w:rPr>
          <w:rFonts w:ascii="ITC Avant Garde" w:hAnsi="ITC Avant Garde"/>
          <w:bCs/>
          <w:color w:val="000000"/>
          <w:lang w:eastAsia="es-MX"/>
        </w:rPr>
        <w:t>03725</w:t>
      </w:r>
      <w:r w:rsidR="006D324C" w:rsidRPr="00A94A20">
        <w:rPr>
          <w:rFonts w:ascii="ITC Avant Garde" w:hAnsi="ITC Avant Garde"/>
          <w:bCs/>
          <w:color w:val="000000"/>
          <w:lang w:eastAsia="es-MX"/>
        </w:rPr>
        <w:t>/2017</w:t>
      </w:r>
      <w:r w:rsidR="006D324C">
        <w:rPr>
          <w:rFonts w:ascii="ITC Avant Garde" w:hAnsi="ITC Avant Garde"/>
          <w:bCs/>
          <w:color w:val="000000"/>
          <w:lang w:eastAsia="es-MX"/>
        </w:rPr>
        <w:t xml:space="preserve">, ambos </w:t>
      </w:r>
      <w:r>
        <w:rPr>
          <w:rFonts w:ascii="ITC Avant Garde" w:hAnsi="ITC Avant Garde"/>
          <w:bCs/>
          <w:color w:val="000000"/>
          <w:lang w:eastAsia="es-MX"/>
        </w:rPr>
        <w:t>de</w:t>
      </w:r>
      <w:r w:rsidRPr="00A94A20">
        <w:rPr>
          <w:rFonts w:ascii="ITC Avant Garde" w:hAnsi="ITC Avant Garde"/>
          <w:bCs/>
          <w:color w:val="000000"/>
          <w:lang w:eastAsia="es-MX"/>
        </w:rPr>
        <w:t xml:space="preserve"> fecha </w:t>
      </w:r>
      <w:r w:rsidR="006D324C">
        <w:rPr>
          <w:rFonts w:ascii="ITC Avant Garde" w:hAnsi="ITC Avant Garde"/>
          <w:bCs/>
          <w:color w:val="000000"/>
          <w:lang w:eastAsia="es-MX"/>
        </w:rPr>
        <w:t>23 de noviembre</w:t>
      </w:r>
      <w:r w:rsidRPr="00A94A20">
        <w:rPr>
          <w:rFonts w:ascii="ITC Avant Garde" w:hAnsi="ITC Avant Garde"/>
          <w:bCs/>
          <w:color w:val="000000"/>
          <w:lang w:eastAsia="es-MX"/>
        </w:rPr>
        <w:t xml:space="preserve"> de 2017</w:t>
      </w:r>
      <w:r w:rsidRPr="00A94A20">
        <w:rPr>
          <w:rFonts w:ascii="ITC Avant Garde" w:hAnsi="ITC Avant Garde"/>
          <w:bCs/>
          <w:lang w:eastAsia="es-MX"/>
        </w:rPr>
        <w:t xml:space="preserve">, la Dirección General de Supervisión, </w:t>
      </w:r>
      <w:r w:rsidRPr="00427B7D">
        <w:rPr>
          <w:rFonts w:ascii="ITC Avant Garde" w:hAnsi="ITC Avant Garde"/>
          <w:bCs/>
          <w:lang w:eastAsia="es-MX"/>
        </w:rPr>
        <w:t xml:space="preserve">adscrita a la Unidad de Cumplimiento, remitió </w:t>
      </w:r>
      <w:r>
        <w:rPr>
          <w:rFonts w:ascii="ITC Avant Garde" w:hAnsi="ITC Avant Garde"/>
          <w:bCs/>
          <w:lang w:eastAsia="es-MX"/>
        </w:rPr>
        <w:t>los dictá</w:t>
      </w:r>
      <w:r w:rsidRPr="00427B7D">
        <w:rPr>
          <w:rFonts w:ascii="ITC Avant Garde" w:hAnsi="ITC Avant Garde"/>
          <w:bCs/>
          <w:lang w:eastAsia="es-MX"/>
        </w:rPr>
        <w:t>men</w:t>
      </w:r>
      <w:r>
        <w:rPr>
          <w:rFonts w:ascii="ITC Avant Garde" w:hAnsi="ITC Avant Garde"/>
          <w:bCs/>
          <w:lang w:eastAsia="es-MX"/>
        </w:rPr>
        <w:t>es</w:t>
      </w:r>
      <w:r w:rsidRPr="00427B7D">
        <w:rPr>
          <w:rFonts w:ascii="ITC Avant Garde" w:hAnsi="ITC Avant Garde"/>
          <w:bCs/>
          <w:lang w:eastAsia="es-MX"/>
        </w:rPr>
        <w:t xml:space="preserve"> correspondiente</w:t>
      </w:r>
      <w:r>
        <w:rPr>
          <w:rFonts w:ascii="ITC Avant Garde" w:hAnsi="ITC Avant Garde"/>
          <w:bCs/>
          <w:lang w:eastAsia="es-MX"/>
        </w:rPr>
        <w:t>s</w:t>
      </w:r>
      <w:r w:rsidR="006D324C">
        <w:rPr>
          <w:rFonts w:ascii="ITC Avant Garde" w:hAnsi="ITC Avant Garde"/>
          <w:bCs/>
          <w:lang w:eastAsia="es-MX"/>
        </w:rPr>
        <w:t xml:space="preserve"> a la</w:t>
      </w:r>
      <w:r w:rsidRPr="00427B7D">
        <w:rPr>
          <w:rFonts w:ascii="ITC Avant Garde" w:hAnsi="ITC Avant Garde"/>
          <w:bCs/>
          <w:lang w:eastAsia="es-MX"/>
        </w:rPr>
        <w:t xml:space="preserve"> </w:t>
      </w:r>
      <w:r w:rsidRPr="008219F4">
        <w:rPr>
          <w:rFonts w:ascii="ITC Avant Garde" w:hAnsi="ITC Avant Garde"/>
        </w:rPr>
        <w:t>Solicitud de Servicios Adicionales.</w:t>
      </w:r>
    </w:p>
    <w:p w:rsidR="00850C3A" w:rsidRDefault="006672DF" w:rsidP="00850C3A">
      <w:pPr>
        <w:numPr>
          <w:ilvl w:val="0"/>
          <w:numId w:val="1"/>
        </w:numPr>
        <w:spacing w:afterLines="120" w:after="288" w:line="240" w:lineRule="auto"/>
        <w:ind w:left="567"/>
        <w:jc w:val="both"/>
        <w:rPr>
          <w:rFonts w:ascii="ITC Avant Garde" w:hAnsi="ITC Avant Garde"/>
          <w:b/>
          <w:bCs/>
          <w:color w:val="000000"/>
          <w:lang w:eastAsia="es-MX"/>
        </w:rPr>
      </w:pPr>
      <w:r w:rsidRPr="00A61D6E">
        <w:rPr>
          <w:rFonts w:ascii="ITC Avant Garde" w:hAnsi="ITC Avant Garde"/>
          <w:b/>
          <w:bCs/>
          <w:color w:val="000000"/>
          <w:lang w:eastAsia="es-MX"/>
        </w:rPr>
        <w:t xml:space="preserve">Opinión </w:t>
      </w:r>
      <w:r w:rsidR="00696270">
        <w:rPr>
          <w:rFonts w:ascii="ITC Avant Garde" w:hAnsi="ITC Avant Garde" w:cs="Arial"/>
          <w:b/>
          <w:bCs/>
          <w:color w:val="000000"/>
          <w:shd w:val="clear" w:color="auto" w:fill="FFFFFF"/>
        </w:rPr>
        <w:t>de la Unidad de</w:t>
      </w:r>
      <w:r w:rsidRPr="00A61D6E">
        <w:rPr>
          <w:rFonts w:ascii="ITC Avant Garde" w:hAnsi="ITC Avant Garde" w:cs="Arial"/>
          <w:b/>
          <w:bCs/>
          <w:color w:val="000000"/>
          <w:shd w:val="clear" w:color="auto" w:fill="FFFFFF"/>
        </w:rPr>
        <w:t xml:space="preserve"> Espectro Radioeléctrico.</w:t>
      </w:r>
      <w:r w:rsidRPr="00A61D6E">
        <w:rPr>
          <w:rFonts w:ascii="ITC Avant Garde" w:hAnsi="ITC Avant Garde" w:cs="Arial"/>
          <w:bCs/>
          <w:color w:val="000000"/>
          <w:shd w:val="clear" w:color="auto" w:fill="FFFFFF"/>
        </w:rPr>
        <w:t xml:space="preserve"> Mediante oficio IFT/222/UER/DG</w:t>
      </w:r>
      <w:r w:rsidR="00773D5A">
        <w:rPr>
          <w:rFonts w:ascii="ITC Avant Garde" w:hAnsi="ITC Avant Garde" w:cs="Arial"/>
          <w:bCs/>
          <w:color w:val="000000"/>
          <w:shd w:val="clear" w:color="auto" w:fill="FFFFFF"/>
        </w:rPr>
        <w:t>-</w:t>
      </w:r>
      <w:r w:rsidRPr="00A61D6E">
        <w:rPr>
          <w:rFonts w:ascii="ITC Avant Garde" w:hAnsi="ITC Avant Garde" w:cs="Arial"/>
          <w:bCs/>
          <w:color w:val="000000"/>
          <w:shd w:val="clear" w:color="auto" w:fill="FFFFFF"/>
        </w:rPr>
        <w:t>P</w:t>
      </w:r>
      <w:r w:rsidR="00773D5A">
        <w:rPr>
          <w:rFonts w:ascii="ITC Avant Garde" w:hAnsi="ITC Avant Garde" w:cs="Arial"/>
          <w:bCs/>
          <w:color w:val="000000"/>
          <w:shd w:val="clear" w:color="auto" w:fill="FFFFFF"/>
        </w:rPr>
        <w:t>L</w:t>
      </w:r>
      <w:r w:rsidRPr="00A61D6E">
        <w:rPr>
          <w:rFonts w:ascii="ITC Avant Garde" w:hAnsi="ITC Avant Garde" w:cs="Arial"/>
          <w:bCs/>
          <w:color w:val="000000"/>
          <w:shd w:val="clear" w:color="auto" w:fill="FFFFFF"/>
        </w:rPr>
        <w:t>E</w:t>
      </w:r>
      <w:r w:rsidR="00773D5A">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w:t>
      </w:r>
      <w:r w:rsidR="00794162">
        <w:rPr>
          <w:rFonts w:ascii="ITC Avant Garde" w:hAnsi="ITC Avant Garde" w:cs="Arial"/>
          <w:bCs/>
          <w:color w:val="000000"/>
          <w:shd w:val="clear" w:color="auto" w:fill="FFFFFF"/>
        </w:rPr>
        <w:t>045</w:t>
      </w:r>
      <w:r w:rsidR="00CC56EE" w:rsidRPr="00A61D6E">
        <w:rPr>
          <w:rFonts w:ascii="ITC Avant Garde" w:hAnsi="ITC Avant Garde" w:cs="Arial"/>
          <w:bCs/>
          <w:color w:val="000000"/>
          <w:shd w:val="clear" w:color="auto" w:fill="FFFFFF"/>
        </w:rPr>
        <w:t>/2017</w:t>
      </w:r>
      <w:r w:rsidR="008B6B17" w:rsidRPr="00A61D6E">
        <w:rPr>
          <w:rFonts w:ascii="ITC Avant Garde" w:hAnsi="ITC Avant Garde" w:cs="Arial"/>
          <w:bCs/>
          <w:color w:val="000000"/>
          <w:shd w:val="clear" w:color="auto" w:fill="FFFFFF"/>
        </w:rPr>
        <w:t xml:space="preserve"> de fecha </w:t>
      </w:r>
      <w:r w:rsidR="00794162">
        <w:rPr>
          <w:rFonts w:ascii="ITC Avant Garde" w:hAnsi="ITC Avant Garde" w:cs="Arial"/>
          <w:bCs/>
          <w:color w:val="000000"/>
          <w:shd w:val="clear" w:color="auto" w:fill="FFFFFF"/>
        </w:rPr>
        <w:t>29 de noviembre</w:t>
      </w:r>
      <w:r w:rsidR="00CC56EE" w:rsidRPr="00A61D6E">
        <w:rPr>
          <w:rFonts w:ascii="ITC Avant Garde" w:hAnsi="ITC Avant Garde" w:cs="Arial"/>
          <w:bCs/>
          <w:color w:val="000000"/>
          <w:shd w:val="clear" w:color="auto" w:fill="FFFFFF"/>
        </w:rPr>
        <w:t xml:space="preserve"> de 2017</w:t>
      </w:r>
      <w:r w:rsidRPr="00A61D6E">
        <w:rPr>
          <w:rFonts w:ascii="ITC Avant Garde" w:hAnsi="ITC Avant Garde" w:cs="Arial"/>
          <w:bCs/>
          <w:color w:val="000000"/>
          <w:shd w:val="clear" w:color="auto" w:fill="FFFFFF"/>
        </w:rPr>
        <w:t>, la Unidad de Espectro Radioeléctrico del Instituto, a través de la Dirección General de Planeación</w:t>
      </w:r>
      <w:r w:rsidR="007F7A48" w:rsidRPr="00A61D6E">
        <w:rPr>
          <w:rFonts w:ascii="ITC Avant Garde" w:hAnsi="ITC Avant Garde" w:cs="Arial"/>
          <w:bCs/>
          <w:color w:val="000000"/>
          <w:shd w:val="clear" w:color="auto" w:fill="FFFFFF"/>
        </w:rPr>
        <w:t xml:space="preserve"> del Espectro</w:t>
      </w:r>
      <w:r w:rsidRPr="00A61D6E">
        <w:rPr>
          <w:rFonts w:ascii="ITC Avant Garde" w:hAnsi="ITC Avant Garde" w:cs="Arial"/>
          <w:bCs/>
          <w:color w:val="000000"/>
          <w:shd w:val="clear" w:color="auto" w:fill="FFFFFF"/>
        </w:rPr>
        <w:t>, emitió el dictamen de planificación espectral</w:t>
      </w:r>
      <w:r w:rsidR="007F7A48" w:rsidRPr="00A61D6E">
        <w:rPr>
          <w:rFonts w:ascii="ITC Avant Garde" w:hAnsi="ITC Avant Garde" w:cs="Arial"/>
          <w:bCs/>
          <w:color w:val="000000"/>
          <w:shd w:val="clear" w:color="auto" w:fill="FFFFFF"/>
        </w:rPr>
        <w:t xml:space="preserve"> y</w:t>
      </w:r>
      <w:r w:rsidRPr="00A61D6E">
        <w:rPr>
          <w:rFonts w:ascii="ITC Avant Garde" w:hAnsi="ITC Avant Garde" w:cs="Arial"/>
          <w:bCs/>
          <w:color w:val="000000"/>
          <w:shd w:val="clear" w:color="auto" w:fill="FFFFFF"/>
        </w:rPr>
        <w:t xml:space="preserve"> las medidas técnico–operativas, respecto </w:t>
      </w:r>
      <w:r w:rsidR="00794162">
        <w:rPr>
          <w:rFonts w:ascii="ITC Avant Garde" w:hAnsi="ITC Avant Garde" w:cs="Arial"/>
          <w:bCs/>
          <w:color w:val="000000"/>
          <w:shd w:val="clear" w:color="auto" w:fill="FFFFFF"/>
        </w:rPr>
        <w:t>de la</w:t>
      </w:r>
      <w:r w:rsidRPr="00A61D6E">
        <w:rPr>
          <w:rFonts w:ascii="ITC Avant Garde" w:hAnsi="ITC Avant Garde" w:cs="Arial"/>
          <w:bCs/>
          <w:color w:val="000000"/>
          <w:shd w:val="clear" w:color="auto" w:fill="FFFFFF"/>
        </w:rPr>
        <w:t xml:space="preserve"> </w:t>
      </w:r>
      <w:r w:rsidR="00794162">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 xml:space="preserve">olicitud de </w:t>
      </w:r>
      <w:r w:rsidR="00794162">
        <w:rPr>
          <w:rFonts w:ascii="ITC Avant Garde" w:hAnsi="ITC Avant Garde" w:cs="Arial"/>
          <w:bCs/>
          <w:color w:val="000000"/>
          <w:shd w:val="clear" w:color="auto" w:fill="FFFFFF"/>
        </w:rPr>
        <w:t>S</w:t>
      </w:r>
      <w:r w:rsidR="005209A6" w:rsidRPr="00A61D6E">
        <w:rPr>
          <w:rFonts w:ascii="ITC Avant Garde" w:hAnsi="ITC Avant Garde" w:cs="Arial"/>
          <w:bCs/>
          <w:color w:val="000000"/>
          <w:shd w:val="clear" w:color="auto" w:fill="FFFFFF"/>
        </w:rPr>
        <w:t>ervicio</w:t>
      </w:r>
      <w:r w:rsidR="007F7A48" w:rsidRPr="00A61D6E">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 xml:space="preserve"> </w:t>
      </w:r>
      <w:r w:rsidR="00794162">
        <w:rPr>
          <w:rFonts w:ascii="ITC Avant Garde" w:hAnsi="ITC Avant Garde" w:cs="Arial"/>
          <w:bCs/>
          <w:color w:val="000000"/>
          <w:shd w:val="clear" w:color="auto" w:fill="FFFFFF"/>
        </w:rPr>
        <w:t>A</w:t>
      </w:r>
      <w:r w:rsidR="005209A6" w:rsidRPr="00A61D6E">
        <w:rPr>
          <w:rFonts w:ascii="ITC Avant Garde" w:hAnsi="ITC Avant Garde" w:cs="Arial"/>
          <w:bCs/>
          <w:color w:val="000000"/>
          <w:shd w:val="clear" w:color="auto" w:fill="FFFFFF"/>
        </w:rPr>
        <w:t>dicional</w:t>
      </w:r>
      <w:r w:rsidR="007F7A48" w:rsidRPr="00A61D6E">
        <w:rPr>
          <w:rFonts w:ascii="ITC Avant Garde" w:hAnsi="ITC Avant Garde" w:cs="Arial"/>
          <w:bCs/>
          <w:color w:val="000000"/>
          <w:shd w:val="clear" w:color="auto" w:fill="FFFFFF"/>
        </w:rPr>
        <w:t>es</w:t>
      </w:r>
      <w:r w:rsidRPr="00A61D6E">
        <w:rPr>
          <w:rFonts w:ascii="ITC Avant Garde" w:hAnsi="ITC Avant Garde" w:cs="Arial"/>
          <w:bCs/>
          <w:color w:val="000000"/>
          <w:shd w:val="clear" w:color="auto" w:fill="FFFFFF"/>
        </w:rPr>
        <w:t>.</w:t>
      </w:r>
    </w:p>
    <w:p w:rsidR="00850C3A" w:rsidRDefault="00A21167" w:rsidP="00850C3A">
      <w:pPr>
        <w:spacing w:afterLines="120" w:after="288" w:line="240" w:lineRule="auto"/>
        <w:jc w:val="both"/>
        <w:rPr>
          <w:rFonts w:ascii="ITC Avant Garde" w:hAnsi="ITC Avant Garde"/>
          <w:bCs/>
          <w:color w:val="000000"/>
          <w:lang w:eastAsia="es-MX"/>
        </w:rPr>
      </w:pPr>
      <w:r w:rsidRPr="00A61D6E">
        <w:rPr>
          <w:rFonts w:ascii="ITC Avant Garde" w:hAnsi="ITC Avant Garde"/>
          <w:bCs/>
          <w:color w:val="000000"/>
          <w:lang w:eastAsia="es-MX"/>
        </w:rPr>
        <w:t>En virtud de los Antecedentes referidos y,</w:t>
      </w:r>
    </w:p>
    <w:p w:rsidR="00A21167" w:rsidRPr="00850C3A" w:rsidRDefault="00A21167" w:rsidP="00850C3A">
      <w:pPr>
        <w:pStyle w:val="Ttulo2"/>
        <w:spacing w:afterLines="120" w:after="288" w:line="276" w:lineRule="auto"/>
        <w:ind w:firstLine="0"/>
        <w:jc w:val="center"/>
        <w:rPr>
          <w:rFonts w:ascii="ITC Avant Garde" w:hAnsi="ITC Avant Garde" w:cs="Arial"/>
          <w:bCs/>
          <w:sz w:val="22"/>
          <w:szCs w:val="22"/>
          <w:lang w:eastAsia="en-US"/>
        </w:rPr>
      </w:pPr>
      <w:bookmarkStart w:id="0" w:name="_GoBack"/>
      <w:r w:rsidRPr="00850C3A">
        <w:rPr>
          <w:rFonts w:ascii="ITC Avant Garde" w:hAnsi="ITC Avant Garde" w:cs="Arial"/>
          <w:bCs/>
          <w:sz w:val="22"/>
          <w:szCs w:val="22"/>
          <w:lang w:eastAsia="en-US"/>
        </w:rPr>
        <w:t>CONSIDERANDO</w:t>
      </w:r>
    </w:p>
    <w:bookmarkEnd w:id="0"/>
    <w:p w:rsidR="00912A64" w:rsidRPr="00A61D6E" w:rsidRDefault="00912A64"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
          <w:bCs/>
        </w:rPr>
        <w:t>Primero.- Competencia.</w:t>
      </w:r>
      <w:r w:rsidRPr="00A61D6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A61D6E" w:rsidRDefault="00912A64"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A61D6E" w:rsidRDefault="005B2605"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A61D6E">
        <w:rPr>
          <w:rFonts w:ascii="ITC Avant Garde" w:hAnsi="ITC Avant Garde"/>
          <w:bCs/>
        </w:rPr>
        <w:t xml:space="preserve">radiodifusión, </w:t>
      </w:r>
      <w:r w:rsidRPr="00A61D6E">
        <w:rPr>
          <w:rFonts w:ascii="ITC Avant Garde" w:hAnsi="ITC Avant Garde"/>
          <w:bCs/>
        </w:rPr>
        <w:t>telecomunicaciones y</w:t>
      </w:r>
      <w:r w:rsidR="00B017A6" w:rsidRPr="00A61D6E">
        <w:rPr>
          <w:rFonts w:ascii="ITC Avant Garde" w:hAnsi="ITC Avant Garde"/>
          <w:bCs/>
        </w:rPr>
        <w:t xml:space="preserve"> telefonía</w:t>
      </w:r>
      <w:r w:rsidRPr="00A61D6E">
        <w:rPr>
          <w:rFonts w:ascii="ITC Avant Garde" w:hAnsi="ITC Avant Garde"/>
          <w:bCs/>
        </w:rPr>
        <w:t xml:space="preserve"> deben cumplir para obtener autorización para prestar servicios adicionales a los comprendidos en su título de concesión. </w:t>
      </w:r>
    </w:p>
    <w:p w:rsidR="00850C3A" w:rsidRDefault="002A5C57" w:rsidP="00850C3A">
      <w:pPr>
        <w:autoSpaceDE w:val="0"/>
        <w:autoSpaceDN w:val="0"/>
        <w:adjustRightInd w:val="0"/>
        <w:spacing w:afterLines="120" w:after="288" w:line="240" w:lineRule="auto"/>
        <w:jc w:val="both"/>
        <w:rPr>
          <w:rFonts w:ascii="ITC Avant Garde" w:hAnsi="ITC Avant Garde"/>
          <w:bCs/>
        </w:rPr>
      </w:pPr>
      <w:r w:rsidRPr="00C65132">
        <w:rPr>
          <w:rFonts w:ascii="ITC Avant Garde" w:hAnsi="ITC Avant Garde"/>
          <w:bCs/>
        </w:rPr>
        <w:t>Asimismo, el Pleno del Instituto está facultado, conforme a lo estableci</w:t>
      </w:r>
      <w:r>
        <w:rPr>
          <w:rFonts w:ascii="ITC Avant Garde" w:hAnsi="ITC Avant Garde"/>
          <w:bCs/>
        </w:rPr>
        <w:t>do por los artículos 15 fracciones</w:t>
      </w:r>
      <w:r w:rsidRPr="00C65132">
        <w:rPr>
          <w:rFonts w:ascii="ITC Avant Garde" w:hAnsi="ITC Avant Garde"/>
          <w:bCs/>
        </w:rPr>
        <w:t xml:space="preserve"> </w:t>
      </w:r>
      <w:r>
        <w:rPr>
          <w:rFonts w:ascii="ITC Avant Garde" w:hAnsi="ITC Avant Garde"/>
          <w:bCs/>
        </w:rPr>
        <w:t>IV y LVII</w:t>
      </w:r>
      <w:r w:rsidRPr="00C65132">
        <w:rPr>
          <w:rFonts w:ascii="ITC Avant Garde" w:hAnsi="ITC Avant Garde"/>
          <w:bCs/>
        </w:rPr>
        <w:t>, 16 y 17 fracción I de la Ley</w:t>
      </w:r>
      <w:r>
        <w:rPr>
          <w:rFonts w:ascii="ITC Avant Garde" w:hAnsi="ITC Avant Garde"/>
          <w:bCs/>
        </w:rPr>
        <w:t xml:space="preserve"> Federal de Telecomunicaciones y Radiodifusión (la “Ley”)</w:t>
      </w:r>
      <w:r w:rsidRPr="00C65132">
        <w:rPr>
          <w:rFonts w:ascii="ITC Avant Garde" w:hAnsi="ITC Avant Garde"/>
          <w:bCs/>
        </w:rPr>
        <w:t xml:space="preserve">, </w:t>
      </w:r>
      <w:r>
        <w:rPr>
          <w:rFonts w:ascii="ITC Avant Garde" w:hAnsi="ITC Avant Garde"/>
          <w:bCs/>
        </w:rPr>
        <w:t>para resolver, entre otras, sobre las modificaciones de las concesiones y para interpretar la Ley, así como las disposiciones administrativas en materia de telecomunicaciones y radiodifusión, en el ámbito de sus atribuciones</w:t>
      </w:r>
      <w:r w:rsidRPr="00C65132">
        <w:rPr>
          <w:rFonts w:ascii="ITC Avant Garde" w:hAnsi="ITC Avant Garde"/>
          <w:bCs/>
        </w:rPr>
        <w:t>.</w:t>
      </w:r>
    </w:p>
    <w:p w:rsidR="00850C3A" w:rsidRDefault="002A5C57" w:rsidP="00850C3A">
      <w:pPr>
        <w:autoSpaceDE w:val="0"/>
        <w:autoSpaceDN w:val="0"/>
        <w:adjustRightInd w:val="0"/>
        <w:spacing w:afterLines="120" w:after="288" w:line="240" w:lineRule="auto"/>
        <w:jc w:val="both"/>
        <w:rPr>
          <w:rFonts w:ascii="ITC Avant Garde" w:hAnsi="ITC Avant Garde"/>
          <w:bCs/>
        </w:rPr>
      </w:pPr>
      <w:r w:rsidRPr="00C65132">
        <w:rPr>
          <w:rFonts w:ascii="ITC Avant Garde" w:hAnsi="ITC Avant Garde"/>
          <w:bCs/>
        </w:rPr>
        <w:t>Por ot</w:t>
      </w:r>
      <w:r>
        <w:rPr>
          <w:rFonts w:ascii="ITC Avant Garde" w:hAnsi="ITC Avant Garde"/>
          <w:bCs/>
        </w:rPr>
        <w:t>ra parte, el artículo 6 fracciones</w:t>
      </w:r>
      <w:r w:rsidRPr="00C65132">
        <w:rPr>
          <w:rFonts w:ascii="ITC Avant Garde" w:hAnsi="ITC Avant Garde"/>
          <w:bCs/>
        </w:rPr>
        <w:t xml:space="preserve"> XV </w:t>
      </w:r>
      <w:r>
        <w:rPr>
          <w:rFonts w:ascii="ITC Avant Garde" w:hAnsi="ITC Avant Garde"/>
          <w:bCs/>
        </w:rPr>
        <w:t xml:space="preserve">y XVIII </w:t>
      </w:r>
      <w:r w:rsidRPr="00C65132">
        <w:rPr>
          <w:rFonts w:ascii="ITC Avant Garde" w:hAnsi="ITC Avant Garde"/>
          <w:bCs/>
        </w:rPr>
        <w:t xml:space="preserve">del Estatuto Orgánico, establece que corresponde al Pleno, además de las atribuciones establecidas como indelegables en la Ley, </w:t>
      </w:r>
      <w:r>
        <w:rPr>
          <w:rFonts w:ascii="ITC Avant Garde" w:hAnsi="ITC Avant Garde"/>
          <w:bCs/>
        </w:rPr>
        <w:t xml:space="preserve">entre otras, </w:t>
      </w:r>
      <w:r w:rsidRPr="00C65132">
        <w:rPr>
          <w:rFonts w:ascii="ITC Avant Garde" w:hAnsi="ITC Avant Garde"/>
          <w:bCs/>
        </w:rPr>
        <w:t>la atribución de autorizar las solicitudes de servicios adicionales a los originalmente contemplados en las concesiones otorgadas que utilicen bandas de frecuencias del espectro radioeléctrico</w:t>
      </w:r>
      <w:r w:rsidR="00FB03CB">
        <w:rPr>
          <w:rFonts w:ascii="ITC Avant Garde" w:hAnsi="ITC Avant Garde"/>
          <w:bCs/>
        </w:rPr>
        <w:t xml:space="preserve"> e </w:t>
      </w:r>
      <w:r>
        <w:rPr>
          <w:rFonts w:ascii="ITC Avant Garde" w:hAnsi="ITC Avant Garde"/>
          <w:bCs/>
        </w:rPr>
        <w:t>interpretar, en su caso, la Ley, así como las disposiciones administrativas en materia de telecomunicaciones y radiodifusión, en el ámbito de sus atribuciones.</w:t>
      </w:r>
    </w:p>
    <w:p w:rsidR="00583D11" w:rsidRPr="00A61D6E" w:rsidRDefault="008D0CA6"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Finalmente, c</w:t>
      </w:r>
      <w:r w:rsidR="00583D11" w:rsidRPr="00A61D6E">
        <w:rPr>
          <w:rFonts w:ascii="ITC Avant Garde" w:hAnsi="ITC Avant Garde"/>
          <w:bCs/>
        </w:rPr>
        <w:t xml:space="preserve">onforme a </w:t>
      </w:r>
      <w:r w:rsidR="00DA6040" w:rsidRPr="00A61D6E">
        <w:rPr>
          <w:rFonts w:ascii="ITC Avant Garde" w:hAnsi="ITC Avant Garde"/>
          <w:bCs/>
        </w:rPr>
        <w:t>los artículos 3</w:t>
      </w:r>
      <w:r w:rsidR="00696270">
        <w:rPr>
          <w:rFonts w:ascii="ITC Avant Garde" w:hAnsi="ITC Avant Garde"/>
          <w:bCs/>
        </w:rPr>
        <w:t>2 y 33 fracci</w:t>
      </w:r>
      <w:r w:rsidR="00DA6040" w:rsidRPr="00A61D6E">
        <w:rPr>
          <w:rFonts w:ascii="ITC Avant Garde" w:hAnsi="ITC Avant Garde"/>
          <w:bCs/>
        </w:rPr>
        <w:t>ón</w:t>
      </w:r>
      <w:r w:rsidR="00583D11" w:rsidRPr="00A61D6E">
        <w:rPr>
          <w:rFonts w:ascii="ITC Avant Garde" w:hAnsi="ITC Avant Garde"/>
          <w:bCs/>
        </w:rPr>
        <w:t xml:space="preserve"> VII del Estatuto Orgánico, corresponde a la Unidad de Concesiones y Servicios, a través de la Dirección General de Concesiones de Telecomunicaciones, tramitar y evaluar, </w:t>
      </w:r>
      <w:r w:rsidR="00912033">
        <w:rPr>
          <w:rFonts w:ascii="ITC Avant Garde" w:hAnsi="ITC Avant Garde"/>
          <w:bCs/>
        </w:rPr>
        <w:t>con la</w:t>
      </w:r>
      <w:r w:rsidR="00583D11" w:rsidRPr="00A61D6E">
        <w:rPr>
          <w:rFonts w:ascii="ITC Avant Garde" w:hAnsi="ITC Avant Garde"/>
          <w:bCs/>
        </w:rPr>
        <w:t xml:space="preserve"> opinión de la Unidad de Espectro Radioeléctrico, las solicitudes de autorización para prestar servicios adicionales de las concesiones que hagan uso del espectro radioeléctrico</w:t>
      </w:r>
      <w:r w:rsidR="002F5806" w:rsidRPr="00A61D6E">
        <w:rPr>
          <w:rFonts w:ascii="ITC Avant Garde" w:hAnsi="ITC Avant Garde"/>
          <w:bCs/>
        </w:rPr>
        <w:t>,</w:t>
      </w:r>
      <w:r w:rsidR="00583D11" w:rsidRPr="00A61D6E">
        <w:rPr>
          <w:rFonts w:ascii="ITC Avant Garde" w:hAnsi="ITC Avant Garde"/>
          <w:bCs/>
        </w:rPr>
        <w:t xml:space="preserve"> así como proponer al Pleno la resolución que corresponda</w:t>
      </w:r>
      <w:r w:rsidR="00D839C5" w:rsidRPr="00A61D6E">
        <w:rPr>
          <w:rFonts w:ascii="ITC Avant Garde" w:hAnsi="ITC Avant Garde"/>
          <w:bCs/>
        </w:rPr>
        <w:t>.</w:t>
      </w:r>
    </w:p>
    <w:p w:rsidR="00850C3A" w:rsidRDefault="001A7CEA" w:rsidP="00850C3A">
      <w:pPr>
        <w:pStyle w:val="NormalWeb"/>
        <w:spacing w:afterLines="120" w:after="288"/>
        <w:jc w:val="both"/>
        <w:rPr>
          <w:rFonts w:ascii="ITC Avant Garde" w:hAnsi="ITC Avant Garde"/>
          <w:bCs/>
          <w:color w:val="000000"/>
          <w:sz w:val="22"/>
          <w:szCs w:val="22"/>
          <w:lang w:val="es-MX"/>
        </w:rPr>
      </w:pPr>
      <w:r w:rsidRPr="00A61D6E">
        <w:rPr>
          <w:rFonts w:ascii="ITC Avant Garde" w:hAnsi="ITC Avant Garde"/>
          <w:color w:val="000000"/>
          <w:sz w:val="22"/>
          <w:szCs w:val="22"/>
          <w:lang w:val="es-MX"/>
        </w:rPr>
        <w:t xml:space="preserve">En este orden de ideas, </w:t>
      </w:r>
      <w:r w:rsidR="002B5B76" w:rsidRPr="00A61D6E">
        <w:rPr>
          <w:rFonts w:ascii="ITC Avant Garde" w:hAnsi="ITC Avant Garde"/>
          <w:bCs/>
          <w:color w:val="000000"/>
          <w:sz w:val="22"/>
          <w:szCs w:val="22"/>
          <w:lang w:val="es-MX"/>
        </w:rPr>
        <w:t>el Instituto</w:t>
      </w:r>
      <w:r w:rsidR="00916ABA" w:rsidRPr="00A61D6E">
        <w:rPr>
          <w:rFonts w:ascii="ITC Avant Garde" w:hAnsi="ITC Avant Garde"/>
          <w:bCs/>
          <w:color w:val="000000"/>
          <w:sz w:val="22"/>
          <w:szCs w:val="22"/>
          <w:lang w:val="es-MX"/>
        </w:rPr>
        <w:t xml:space="preserve"> </w:t>
      </w:r>
      <w:r w:rsidR="00364883" w:rsidRPr="00A61D6E">
        <w:rPr>
          <w:rFonts w:ascii="ITC Avant Garde" w:hAnsi="ITC Avant Garde"/>
          <w:bCs/>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A61D6E">
        <w:rPr>
          <w:rFonts w:ascii="ITC Avant Garde" w:hAnsi="ITC Avant Garde"/>
          <w:bCs/>
          <w:color w:val="000000"/>
          <w:sz w:val="22"/>
          <w:szCs w:val="22"/>
          <w:lang w:val="es-MX"/>
        </w:rPr>
        <w:t xml:space="preserve"> el acceso a infraestructura activa, pasiva e insumos esenciales, así como resolver sobre las solicitudes de autorización de servicios adicionales</w:t>
      </w:r>
      <w:r w:rsidR="00A8334E" w:rsidRPr="00A61D6E">
        <w:rPr>
          <w:rFonts w:ascii="ITC Avant Garde" w:hAnsi="ITC Avant Garde"/>
          <w:bCs/>
          <w:color w:val="000000"/>
          <w:sz w:val="22"/>
          <w:szCs w:val="22"/>
          <w:lang w:val="es-MX"/>
        </w:rPr>
        <w:t xml:space="preserve"> respecto</w:t>
      </w:r>
      <w:r w:rsidR="006B1E2F" w:rsidRPr="00A61D6E">
        <w:rPr>
          <w:rFonts w:ascii="ITC Avant Garde" w:hAnsi="ITC Avant Garde"/>
          <w:bCs/>
          <w:color w:val="000000"/>
          <w:sz w:val="22"/>
          <w:szCs w:val="22"/>
          <w:lang w:val="es-MX"/>
        </w:rPr>
        <w:t xml:space="preserve"> </w:t>
      </w:r>
      <w:r w:rsidR="00A8334E" w:rsidRPr="00A61D6E">
        <w:rPr>
          <w:rFonts w:ascii="ITC Avant Garde" w:hAnsi="ITC Avant Garde"/>
          <w:bCs/>
          <w:color w:val="000000"/>
          <w:sz w:val="22"/>
          <w:szCs w:val="22"/>
          <w:lang w:val="es-MX"/>
        </w:rPr>
        <w:t>de las concesiones para usar, aprovechar y explotar bandas de frecuencias del espectro r</w:t>
      </w:r>
      <w:r w:rsidR="00284675" w:rsidRPr="00A61D6E">
        <w:rPr>
          <w:rFonts w:ascii="ITC Avant Garde" w:hAnsi="ITC Avant Garde"/>
          <w:bCs/>
          <w:color w:val="000000"/>
          <w:sz w:val="22"/>
          <w:szCs w:val="22"/>
          <w:lang w:val="es-MX"/>
        </w:rPr>
        <w:t>adioeléctrico</w:t>
      </w:r>
      <w:r w:rsidR="0089347D" w:rsidRPr="00A61D6E">
        <w:rPr>
          <w:rFonts w:ascii="ITC Avant Garde" w:hAnsi="ITC Avant Garde"/>
          <w:bCs/>
          <w:color w:val="000000"/>
          <w:sz w:val="22"/>
          <w:szCs w:val="22"/>
          <w:lang w:val="es-MX"/>
        </w:rPr>
        <w:t>. En relación con lo anterior, el Pleno, como órgano máximo de gobierno y decisión del Instituto, se encuentra plenamente facultado para resolver la</w:t>
      </w:r>
      <w:r w:rsidR="007D6B0A">
        <w:rPr>
          <w:rFonts w:ascii="ITC Avant Garde" w:hAnsi="ITC Avant Garde"/>
          <w:bCs/>
          <w:color w:val="000000"/>
          <w:sz w:val="22"/>
          <w:szCs w:val="22"/>
          <w:lang w:val="es-MX"/>
        </w:rPr>
        <w:t>s</w:t>
      </w:r>
      <w:r w:rsidR="00640E2C">
        <w:rPr>
          <w:rFonts w:ascii="ITC Avant Garde" w:hAnsi="ITC Avant Garde"/>
          <w:bCs/>
          <w:color w:val="000000"/>
          <w:sz w:val="22"/>
          <w:szCs w:val="22"/>
          <w:lang w:val="es-MX"/>
        </w:rPr>
        <w:t xml:space="preserve"> s</w:t>
      </w:r>
      <w:r w:rsidR="0089347D" w:rsidRPr="00A61D6E">
        <w:rPr>
          <w:rFonts w:ascii="ITC Avant Garde" w:hAnsi="ITC Avant Garde"/>
          <w:bCs/>
          <w:color w:val="000000"/>
          <w:sz w:val="22"/>
          <w:szCs w:val="22"/>
          <w:lang w:val="es-MX"/>
        </w:rPr>
        <w:t>olicitud</w:t>
      </w:r>
      <w:r w:rsidR="007D6B0A">
        <w:rPr>
          <w:rFonts w:ascii="ITC Avant Garde" w:hAnsi="ITC Avant Garde"/>
          <w:bCs/>
          <w:color w:val="000000"/>
          <w:sz w:val="22"/>
          <w:szCs w:val="22"/>
          <w:lang w:val="es-MX"/>
        </w:rPr>
        <w:t>es</w:t>
      </w:r>
      <w:r w:rsidR="0089347D" w:rsidRPr="00A61D6E">
        <w:rPr>
          <w:rFonts w:ascii="ITC Avant Garde" w:hAnsi="ITC Avant Garde"/>
          <w:bCs/>
          <w:color w:val="000000"/>
          <w:sz w:val="22"/>
          <w:szCs w:val="22"/>
          <w:lang w:val="es-MX"/>
        </w:rPr>
        <w:t xml:space="preserve"> de </w:t>
      </w:r>
      <w:r w:rsidR="00640E2C">
        <w:rPr>
          <w:rFonts w:ascii="ITC Avant Garde" w:hAnsi="ITC Avant Garde"/>
          <w:bCs/>
          <w:color w:val="000000"/>
          <w:sz w:val="22"/>
          <w:szCs w:val="22"/>
          <w:lang w:val="es-MX"/>
        </w:rPr>
        <w:t>s</w:t>
      </w:r>
      <w:r w:rsidR="00284675" w:rsidRPr="00A61D6E">
        <w:rPr>
          <w:rFonts w:ascii="ITC Avant Garde" w:hAnsi="ITC Avant Garde"/>
          <w:bCs/>
          <w:color w:val="000000"/>
          <w:sz w:val="22"/>
          <w:szCs w:val="22"/>
          <w:lang w:val="es-MX"/>
        </w:rPr>
        <w:t xml:space="preserve">ervicios </w:t>
      </w:r>
      <w:r w:rsidR="00640E2C">
        <w:rPr>
          <w:rFonts w:ascii="ITC Avant Garde" w:hAnsi="ITC Avant Garde"/>
          <w:bCs/>
          <w:color w:val="000000"/>
          <w:sz w:val="22"/>
          <w:szCs w:val="22"/>
          <w:lang w:val="es-MX"/>
        </w:rPr>
        <w:t>a</w:t>
      </w:r>
      <w:r w:rsidR="00284675" w:rsidRPr="00A61D6E">
        <w:rPr>
          <w:rFonts w:ascii="ITC Avant Garde" w:hAnsi="ITC Avant Garde"/>
          <w:bCs/>
          <w:color w:val="000000"/>
          <w:sz w:val="22"/>
          <w:szCs w:val="22"/>
          <w:lang w:val="es-MX"/>
        </w:rPr>
        <w:t>dicionales</w:t>
      </w:r>
      <w:r w:rsidR="00640E2C">
        <w:rPr>
          <w:rFonts w:ascii="ITC Avant Garde" w:hAnsi="ITC Avant Garde"/>
          <w:bCs/>
          <w:color w:val="000000"/>
          <w:sz w:val="22"/>
          <w:szCs w:val="22"/>
          <w:lang w:val="es-MX"/>
        </w:rPr>
        <w:t xml:space="preserve"> que nos ocupan</w:t>
      </w:r>
      <w:r w:rsidR="0089347D" w:rsidRPr="00A61D6E">
        <w:rPr>
          <w:rFonts w:ascii="ITC Avant Garde" w:hAnsi="ITC Avant Garde"/>
          <w:bCs/>
          <w:color w:val="000000"/>
          <w:sz w:val="22"/>
          <w:szCs w:val="22"/>
          <w:lang w:val="es-MX"/>
        </w:rPr>
        <w:t>.</w:t>
      </w:r>
    </w:p>
    <w:p w:rsidR="00850C3A" w:rsidRDefault="00A21167"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
          <w:bCs/>
        </w:rPr>
        <w:lastRenderedPageBreak/>
        <w:t>Segundo.- Marco normativo general aplicable a la</w:t>
      </w:r>
      <w:r w:rsidR="00C10075">
        <w:rPr>
          <w:rFonts w:ascii="ITC Avant Garde" w:hAnsi="ITC Avant Garde"/>
          <w:b/>
          <w:bCs/>
        </w:rPr>
        <w:t>s</w:t>
      </w:r>
      <w:r w:rsidRPr="00A61D6E">
        <w:rPr>
          <w:rFonts w:ascii="ITC Avant Garde" w:hAnsi="ITC Avant Garde"/>
          <w:b/>
          <w:bCs/>
        </w:rPr>
        <w:t xml:space="preserve"> </w:t>
      </w:r>
      <w:r w:rsidR="00C10075">
        <w:rPr>
          <w:rFonts w:ascii="ITC Avant Garde" w:hAnsi="ITC Avant Garde"/>
          <w:b/>
          <w:bCs/>
        </w:rPr>
        <w:t>s</w:t>
      </w:r>
      <w:r w:rsidR="00B017A6" w:rsidRPr="00A61D6E">
        <w:rPr>
          <w:rFonts w:ascii="ITC Avant Garde" w:hAnsi="ITC Avant Garde"/>
          <w:b/>
          <w:bCs/>
        </w:rPr>
        <w:t>olicitud</w:t>
      </w:r>
      <w:r w:rsidR="00C10075">
        <w:rPr>
          <w:rFonts w:ascii="ITC Avant Garde" w:hAnsi="ITC Avant Garde"/>
          <w:b/>
          <w:bCs/>
        </w:rPr>
        <w:t>es</w:t>
      </w:r>
      <w:r w:rsidR="00B017A6" w:rsidRPr="00A61D6E">
        <w:rPr>
          <w:rFonts w:ascii="ITC Avant Garde" w:hAnsi="ITC Avant Garde"/>
          <w:b/>
          <w:bCs/>
        </w:rPr>
        <w:t xml:space="preserve"> de </w:t>
      </w:r>
      <w:r w:rsidR="00C10075">
        <w:rPr>
          <w:rFonts w:ascii="ITC Avant Garde" w:hAnsi="ITC Avant Garde"/>
          <w:b/>
          <w:bCs/>
        </w:rPr>
        <w:t>s</w:t>
      </w:r>
      <w:r w:rsidR="00B017A6" w:rsidRPr="00A61D6E">
        <w:rPr>
          <w:rFonts w:ascii="ITC Avant Garde" w:hAnsi="ITC Avant Garde"/>
          <w:b/>
          <w:bCs/>
        </w:rPr>
        <w:t xml:space="preserve">ervicios </w:t>
      </w:r>
      <w:r w:rsidR="00C10075">
        <w:rPr>
          <w:rFonts w:ascii="ITC Avant Garde" w:hAnsi="ITC Avant Garde"/>
          <w:b/>
          <w:bCs/>
        </w:rPr>
        <w:t>ad</w:t>
      </w:r>
      <w:r w:rsidR="002F62AB" w:rsidRPr="00A61D6E">
        <w:rPr>
          <w:rFonts w:ascii="ITC Avant Garde" w:hAnsi="ITC Avant Garde"/>
          <w:b/>
          <w:bCs/>
        </w:rPr>
        <w:t>icionales</w:t>
      </w:r>
      <w:r w:rsidRPr="00A61D6E">
        <w:rPr>
          <w:rFonts w:ascii="ITC Avant Garde" w:hAnsi="ITC Avant Garde"/>
          <w:b/>
          <w:bCs/>
        </w:rPr>
        <w:t>.</w:t>
      </w:r>
      <w:r w:rsidRPr="00A61D6E">
        <w:rPr>
          <w:rFonts w:ascii="ITC Avant Garde" w:hAnsi="ITC Avant Garde"/>
          <w:bCs/>
        </w:rPr>
        <w:t xml:space="preserve"> </w:t>
      </w:r>
      <w:r w:rsidR="00AF6ED2"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850C3A" w:rsidRDefault="00AF6ED2"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sidR="00D30A11">
        <w:rPr>
          <w:rFonts w:ascii="ITC Avant Garde" w:hAnsi="ITC Avant Garde"/>
          <w:bCs/>
        </w:rPr>
        <w:t>s Concesiones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Pr="00A61D6E">
        <w:rPr>
          <w:rFonts w:ascii="ITC Avant Garde" w:hAnsi="ITC Avant Garde"/>
          <w:bCs/>
        </w:rPr>
        <w:t xml:space="preserve"> establecen lo siguiente:</w:t>
      </w:r>
    </w:p>
    <w:p w:rsidR="00850C3A" w:rsidRDefault="00AF6ED2" w:rsidP="00850C3A">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y/o obtener autorización para prestar servicios adicionales a los previstos en la presente Concesión, a efecto de estar prestando efectivamente servicios de acceso inalámbrico</w:t>
      </w:r>
      <w:r w:rsidRPr="00A61D6E">
        <w:rPr>
          <w:rFonts w:ascii="ITC Avant Garde" w:hAnsi="ITC Avant Garde"/>
          <w:bCs/>
          <w:i/>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850C3A" w:rsidRDefault="00AF6ED2" w:rsidP="00850C3A">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850C3A" w:rsidRDefault="00AF6ED2" w:rsidP="00850C3A">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850C3A" w:rsidRDefault="00AF6ED2" w:rsidP="00850C3A">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A61D6E" w:rsidRDefault="00AF6ED2" w:rsidP="00850C3A">
      <w:pPr>
        <w:autoSpaceDE w:val="0"/>
        <w:autoSpaceDN w:val="0"/>
        <w:adjustRightInd w:val="0"/>
        <w:spacing w:afterLines="120" w:after="288" w:line="240" w:lineRule="auto"/>
        <w:ind w:left="708" w:right="757"/>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Pr="00A61D6E">
        <w:rPr>
          <w:rFonts w:ascii="ITC Avant Garde" w:hAnsi="ITC Avant Garde"/>
          <w:bCs/>
          <w:i/>
          <w:sz w:val="18"/>
        </w:rPr>
        <w:t>.</w:t>
      </w:r>
    </w:p>
    <w:p w:rsidR="00850C3A" w:rsidRDefault="00AF6ED2" w:rsidP="00850C3A">
      <w:pPr>
        <w:autoSpaceDE w:val="0"/>
        <w:autoSpaceDN w:val="0"/>
        <w:adjustRightInd w:val="0"/>
        <w:spacing w:afterLines="120" w:after="288" w:line="240" w:lineRule="auto"/>
        <w:ind w:left="708" w:right="757"/>
        <w:jc w:val="right"/>
        <w:rPr>
          <w:rFonts w:ascii="ITC Avant Garde" w:hAnsi="ITC Avant Garde"/>
          <w:bCs/>
          <w:sz w:val="18"/>
        </w:rPr>
      </w:pPr>
      <w:r w:rsidRPr="00A61D6E">
        <w:rPr>
          <w:rFonts w:ascii="ITC Avant Garde" w:hAnsi="ITC Avant Garde"/>
          <w:bCs/>
          <w:iCs/>
          <w:sz w:val="18"/>
        </w:rPr>
        <w:t>[Énfasis añadido]</w:t>
      </w:r>
    </w:p>
    <w:p w:rsidR="00850C3A" w:rsidRDefault="00AF6ED2"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Por otro lado, e</w:t>
      </w:r>
      <w:r w:rsidR="00A21167" w:rsidRPr="00A61D6E">
        <w:rPr>
          <w:rFonts w:ascii="ITC Avant Garde" w:hAnsi="ITC Avant Garde"/>
          <w:bCs/>
        </w:rPr>
        <w:t>l</w:t>
      </w:r>
      <w:r w:rsidR="002E1633" w:rsidRPr="00A61D6E">
        <w:rPr>
          <w:rFonts w:ascii="ITC Avant Garde" w:hAnsi="ITC Avant Garde"/>
          <w:bCs/>
        </w:rPr>
        <w:t xml:space="preserve"> párrafo </w:t>
      </w:r>
      <w:r w:rsidR="00957C15" w:rsidRPr="00A61D6E">
        <w:rPr>
          <w:rFonts w:ascii="ITC Avant Garde" w:hAnsi="ITC Avant Garde"/>
          <w:bCs/>
        </w:rPr>
        <w:t>tercero</w:t>
      </w:r>
      <w:r w:rsidR="002E1633" w:rsidRPr="00A61D6E">
        <w:rPr>
          <w:rFonts w:ascii="ITC Avant Garde" w:hAnsi="ITC Avant Garde"/>
          <w:bCs/>
        </w:rPr>
        <w:t xml:space="preserve"> del</w:t>
      </w:r>
      <w:r w:rsidR="00E94E04" w:rsidRPr="00A61D6E">
        <w:rPr>
          <w:rFonts w:ascii="ITC Avant Garde" w:hAnsi="ITC Avant Garde"/>
          <w:bCs/>
        </w:rPr>
        <w:t xml:space="preserve"> artículo C</w:t>
      </w:r>
      <w:r w:rsidR="00A21167" w:rsidRPr="00A61D6E">
        <w:rPr>
          <w:rFonts w:ascii="ITC Avant Garde" w:hAnsi="ITC Avant Garde"/>
          <w:bCs/>
        </w:rPr>
        <w:t xml:space="preserve">uarto </w:t>
      </w:r>
      <w:r w:rsidR="00E94E04" w:rsidRPr="00A61D6E">
        <w:rPr>
          <w:rFonts w:ascii="ITC Avant Garde" w:hAnsi="ITC Avant Garde"/>
          <w:bCs/>
        </w:rPr>
        <w:t xml:space="preserve">Transitorio </w:t>
      </w:r>
      <w:r w:rsidR="00A21167" w:rsidRPr="00A61D6E">
        <w:rPr>
          <w:rFonts w:ascii="ITC Avant Garde" w:hAnsi="ITC Avant Garde"/>
          <w:bCs/>
        </w:rPr>
        <w:t xml:space="preserve">del Decreto de Reforma Constitucional señala </w:t>
      </w:r>
      <w:r w:rsidR="00AB6ABA" w:rsidRPr="00A61D6E">
        <w:rPr>
          <w:rFonts w:ascii="ITC Avant Garde" w:hAnsi="ITC Avant Garde"/>
          <w:bCs/>
        </w:rPr>
        <w:t xml:space="preserve">la obligación del </w:t>
      </w:r>
      <w:r w:rsidR="00A21167" w:rsidRPr="00A61D6E">
        <w:rPr>
          <w:rFonts w:ascii="ITC Avant Garde" w:hAnsi="ITC Avant Garde"/>
          <w:bCs/>
        </w:rPr>
        <w:t xml:space="preserve">Instituto </w:t>
      </w:r>
      <w:r w:rsidR="00B2042D" w:rsidRPr="00A61D6E">
        <w:rPr>
          <w:rFonts w:ascii="ITC Avant Garde" w:hAnsi="ITC Avant Garde"/>
          <w:bCs/>
        </w:rPr>
        <w:t xml:space="preserve">de </w:t>
      </w:r>
      <w:r w:rsidR="00A21167" w:rsidRPr="00A61D6E">
        <w:rPr>
          <w:rFonts w:ascii="ITC Avant Garde" w:hAnsi="ITC Avant Garde"/>
          <w:bCs/>
        </w:rPr>
        <w:t>establecer</w:t>
      </w:r>
      <w:r w:rsidR="00130E78">
        <w:rPr>
          <w:rFonts w:ascii="ITC Avant Garde" w:hAnsi="ITC Avant Garde"/>
          <w:bCs/>
        </w:rPr>
        <w:t>,</w:t>
      </w:r>
      <w:r w:rsidR="00A21167" w:rsidRPr="00A61D6E">
        <w:rPr>
          <w:rFonts w:ascii="ITC Avant Garde" w:hAnsi="ITC Avant Garde"/>
          <w:bCs/>
        </w:rPr>
        <w:t xml:space="preserve"> mediante lineamientos de carácter general</w:t>
      </w:r>
      <w:r w:rsidR="00B2042D" w:rsidRPr="00A61D6E">
        <w:rPr>
          <w:rFonts w:ascii="ITC Avant Garde" w:hAnsi="ITC Avant Garde"/>
          <w:bCs/>
        </w:rPr>
        <w:t>,</w:t>
      </w:r>
      <w:r w:rsidR="00A21167" w:rsidRPr="00A61D6E">
        <w:rPr>
          <w:rFonts w:ascii="ITC Avant Garde" w:hAnsi="ITC Avant Garde"/>
          <w:bCs/>
        </w:rPr>
        <w:t xml:space="preserve"> los requisitos, términos y condiciones </w:t>
      </w:r>
      <w:r w:rsidR="00FF2D99" w:rsidRPr="00A61D6E">
        <w:rPr>
          <w:rFonts w:ascii="ITC Avant Garde" w:hAnsi="ITC Avant Garde"/>
          <w:bCs/>
        </w:rPr>
        <w:t>que</w:t>
      </w:r>
      <w:r w:rsidR="00A21167" w:rsidRPr="00A61D6E">
        <w:rPr>
          <w:rFonts w:ascii="ITC Avant Garde" w:hAnsi="ITC Avant Garde"/>
          <w:bCs/>
        </w:rPr>
        <w:t xml:space="preserve"> los actuales concesionarios de radiodifusión, telecomunicaciones y telefonía deberá</w:t>
      </w:r>
      <w:r w:rsidR="00FF2D99" w:rsidRPr="00A61D6E">
        <w:rPr>
          <w:rFonts w:ascii="ITC Avant Garde" w:hAnsi="ITC Avant Garde"/>
          <w:bCs/>
        </w:rPr>
        <w:t>n</w:t>
      </w:r>
      <w:r w:rsidR="00A21167" w:rsidRPr="00A61D6E">
        <w:rPr>
          <w:rFonts w:ascii="ITC Avant Garde" w:hAnsi="ITC Avant Garde"/>
          <w:bCs/>
        </w:rPr>
        <w:t xml:space="preserve"> cumplir para que se le</w:t>
      </w:r>
      <w:r w:rsidR="00FF2D99" w:rsidRPr="00A61D6E">
        <w:rPr>
          <w:rFonts w:ascii="ITC Avant Garde" w:hAnsi="ITC Avant Garde"/>
          <w:bCs/>
        </w:rPr>
        <w:t>s</w:t>
      </w:r>
      <w:r w:rsidR="00A21167" w:rsidRPr="00A61D6E">
        <w:rPr>
          <w:rFonts w:ascii="ITC Avant Garde" w:hAnsi="ITC Avant Garde"/>
          <w:bCs/>
        </w:rPr>
        <w:t xml:space="preserve"> autorice</w:t>
      </w:r>
      <w:r w:rsidR="004C1E47" w:rsidRPr="00A61D6E">
        <w:rPr>
          <w:rFonts w:ascii="ITC Avant Garde" w:hAnsi="ITC Avant Garde"/>
          <w:bCs/>
        </w:rPr>
        <w:t>,</w:t>
      </w:r>
      <w:r w:rsidR="00B2042D" w:rsidRPr="00A61D6E">
        <w:rPr>
          <w:rFonts w:ascii="ITC Avant Garde" w:hAnsi="ITC Avant Garde"/>
          <w:bCs/>
        </w:rPr>
        <w:t xml:space="preserve"> en</w:t>
      </w:r>
      <w:r w:rsidR="00C017A4" w:rsidRPr="00A61D6E">
        <w:rPr>
          <w:rFonts w:ascii="ITC Avant Garde" w:hAnsi="ITC Avant Garde"/>
          <w:bCs/>
        </w:rPr>
        <w:t>tre</w:t>
      </w:r>
      <w:r w:rsidR="00B2042D" w:rsidRPr="00A61D6E">
        <w:rPr>
          <w:rFonts w:ascii="ITC Avant Garde" w:hAnsi="ITC Avant Garde"/>
          <w:bCs/>
        </w:rPr>
        <w:t xml:space="preserve"> otros,</w:t>
      </w:r>
      <w:r w:rsidR="00A21167" w:rsidRPr="00A61D6E">
        <w:rPr>
          <w:rFonts w:ascii="ITC Avant Garde" w:hAnsi="ITC Avant Garde"/>
          <w:bCs/>
        </w:rPr>
        <w:t xml:space="preserve"> </w:t>
      </w:r>
      <w:r w:rsidR="00B05A4B" w:rsidRPr="00A61D6E">
        <w:rPr>
          <w:rFonts w:ascii="ITC Avant Garde" w:hAnsi="ITC Avant Garde"/>
          <w:color w:val="000000"/>
        </w:rPr>
        <w:t>prestar servicios adicionales a los comprendidos en su título de concesión</w:t>
      </w:r>
      <w:r w:rsidR="00A21167" w:rsidRPr="00A61D6E">
        <w:rPr>
          <w:rFonts w:ascii="ITC Avant Garde" w:hAnsi="ITC Avant Garde"/>
          <w:bCs/>
        </w:rPr>
        <w:t xml:space="preserve">, </w:t>
      </w:r>
      <w:r w:rsidR="00A21167" w:rsidRPr="00A61D6E">
        <w:rPr>
          <w:rFonts w:ascii="ITC Avant Garde" w:hAnsi="ITC Avant Garde"/>
          <w:bCs/>
        </w:rPr>
        <w:lastRenderedPageBreak/>
        <w:t xml:space="preserve">siempre que se encuentren en cumplimiento de las obligaciones previstas en las leyes y en </w:t>
      </w:r>
      <w:r w:rsidR="00B017A6" w:rsidRPr="00A61D6E">
        <w:rPr>
          <w:rFonts w:ascii="ITC Avant Garde" w:hAnsi="ITC Avant Garde"/>
          <w:bCs/>
        </w:rPr>
        <w:t>dichos</w:t>
      </w:r>
      <w:r w:rsidR="00A21167" w:rsidRPr="00A61D6E">
        <w:rPr>
          <w:rFonts w:ascii="ITC Avant Garde" w:hAnsi="ITC Avant Garde"/>
          <w:bCs/>
        </w:rPr>
        <w:t xml:space="preserve"> títulos de concesión.</w:t>
      </w:r>
    </w:p>
    <w:p w:rsidR="00850C3A" w:rsidRDefault="00A21167"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ese sentido, </w:t>
      </w:r>
      <w:r w:rsidR="00013458" w:rsidRPr="00A61D6E">
        <w:rPr>
          <w:rFonts w:ascii="ITC Avant Garde" w:hAnsi="ITC Avant Garde"/>
          <w:bCs/>
        </w:rPr>
        <w:t>en cumplimiento a lo</w:t>
      </w:r>
      <w:r w:rsidR="00C017A4" w:rsidRPr="00A61D6E">
        <w:rPr>
          <w:rFonts w:ascii="ITC Avant Garde" w:hAnsi="ITC Avant Garde"/>
          <w:bCs/>
        </w:rPr>
        <w:t xml:space="preserve"> dispuesto por el artículo Cuarto Transitorio del Decreto de Reforma Co</w:t>
      </w:r>
      <w:r w:rsidR="003435D0" w:rsidRPr="00A61D6E">
        <w:rPr>
          <w:rFonts w:ascii="ITC Avant Garde" w:hAnsi="ITC Avant Garde"/>
          <w:bCs/>
        </w:rPr>
        <w:t xml:space="preserve">nstitucional, </w:t>
      </w:r>
      <w:r w:rsidRPr="00A61D6E">
        <w:rPr>
          <w:rFonts w:ascii="ITC Avant Garde" w:hAnsi="ITC Avant Garde"/>
          <w:bCs/>
        </w:rPr>
        <w:t>el 2</w:t>
      </w:r>
      <w:r w:rsidR="00F528A9" w:rsidRPr="00A61D6E">
        <w:rPr>
          <w:rFonts w:ascii="ITC Avant Garde" w:hAnsi="ITC Avant Garde"/>
          <w:bCs/>
        </w:rPr>
        <w:t>8</w:t>
      </w:r>
      <w:r w:rsidRPr="00A61D6E">
        <w:rPr>
          <w:rFonts w:ascii="ITC Avant Garde" w:hAnsi="ITC Avant Garde"/>
          <w:bCs/>
        </w:rPr>
        <w:t xml:space="preserve"> de </w:t>
      </w:r>
      <w:r w:rsidR="00F528A9" w:rsidRPr="00A61D6E">
        <w:rPr>
          <w:rFonts w:ascii="ITC Avant Garde" w:hAnsi="ITC Avant Garde"/>
          <w:bCs/>
        </w:rPr>
        <w:t>may</w:t>
      </w:r>
      <w:r w:rsidRPr="00A61D6E">
        <w:rPr>
          <w:rFonts w:ascii="ITC Avant Garde" w:hAnsi="ITC Avant Garde"/>
          <w:bCs/>
        </w:rPr>
        <w:t xml:space="preserve">o </w:t>
      </w:r>
      <w:r w:rsidR="002C48EB" w:rsidRPr="00A61D6E">
        <w:rPr>
          <w:rFonts w:ascii="ITC Avant Garde" w:hAnsi="ITC Avant Garde"/>
          <w:bCs/>
        </w:rPr>
        <w:t>de 201</w:t>
      </w:r>
      <w:r w:rsidR="00F528A9" w:rsidRPr="00A61D6E">
        <w:rPr>
          <w:rFonts w:ascii="ITC Avant Garde" w:hAnsi="ITC Avant Garde"/>
          <w:bCs/>
        </w:rPr>
        <w:t>4</w:t>
      </w:r>
      <w:r w:rsidR="002C48EB" w:rsidRPr="00A61D6E">
        <w:rPr>
          <w:rFonts w:ascii="ITC Avant Garde" w:hAnsi="ITC Avant Garde"/>
          <w:bCs/>
        </w:rPr>
        <w:t xml:space="preserve"> </w:t>
      </w:r>
      <w:r w:rsidRPr="00A61D6E">
        <w:rPr>
          <w:rFonts w:ascii="ITC Avant Garde" w:hAnsi="ITC Avant Garde"/>
          <w:bCs/>
        </w:rPr>
        <w:t xml:space="preserve">se publicaron en el Diario Oficial de </w:t>
      </w:r>
      <w:r w:rsidR="003435D0" w:rsidRPr="00A61D6E">
        <w:rPr>
          <w:rFonts w:ascii="ITC Avant Garde" w:hAnsi="ITC Avant Garde"/>
          <w:bCs/>
        </w:rPr>
        <w:t xml:space="preserve">la Federación los Lineamientos, que tienen por objeto, entre otros, especificar </w:t>
      </w:r>
      <w:r w:rsidRPr="00A61D6E">
        <w:rPr>
          <w:rFonts w:ascii="ITC Avant Garde" w:hAnsi="ITC Avant Garde"/>
          <w:bCs/>
        </w:rPr>
        <w:t>los</w:t>
      </w:r>
      <w:r w:rsidR="0099707D" w:rsidRPr="00A61D6E">
        <w:rPr>
          <w:rFonts w:ascii="ITC Avant Garde" w:hAnsi="ITC Avant Garde"/>
          <w:bCs/>
        </w:rPr>
        <w:t xml:space="preserve"> requisitos,</w:t>
      </w:r>
      <w:r w:rsidRPr="00A61D6E">
        <w:rPr>
          <w:rFonts w:ascii="ITC Avant Garde" w:hAnsi="ITC Avant Garde"/>
          <w:bCs/>
        </w:rPr>
        <w:t xml:space="preserve"> términos y </w:t>
      </w:r>
      <w:r w:rsidR="00115B23" w:rsidRPr="00A61D6E">
        <w:rPr>
          <w:rFonts w:ascii="ITC Avant Garde" w:hAnsi="ITC Avant Garde"/>
          <w:bCs/>
        </w:rPr>
        <w:t>condiciones</w:t>
      </w:r>
      <w:r w:rsidRPr="00A61D6E">
        <w:rPr>
          <w:rFonts w:ascii="ITC Avant Garde" w:hAnsi="ITC Avant Garde"/>
          <w:bCs/>
        </w:rPr>
        <w:t xml:space="preserve"> </w:t>
      </w:r>
      <w:r w:rsidR="00FA3571" w:rsidRPr="00A61D6E">
        <w:rPr>
          <w:rFonts w:ascii="ITC Avant Garde" w:hAnsi="ITC Avant Garde"/>
          <w:bCs/>
        </w:rPr>
        <w:t xml:space="preserve">que los actuales concesionarios </w:t>
      </w:r>
      <w:r w:rsidR="0099707D" w:rsidRPr="00A61D6E">
        <w:rPr>
          <w:rFonts w:ascii="ITC Avant Garde" w:hAnsi="ITC Avant Garde"/>
          <w:bCs/>
        </w:rPr>
        <w:t>deberán cumplir para que se les autorice la prestación de servicios adicionales a los que son objeto de su concesión</w:t>
      </w:r>
      <w:r w:rsidR="00F02152" w:rsidRPr="00A61D6E">
        <w:rPr>
          <w:rFonts w:ascii="ITC Avant Garde" w:hAnsi="ITC Avant Garde"/>
          <w:bCs/>
        </w:rPr>
        <w:t>.</w:t>
      </w:r>
    </w:p>
    <w:p w:rsidR="00850C3A" w:rsidRDefault="00D30A11" w:rsidP="00850C3A">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numeral II.</w:t>
      </w:r>
      <w:r w:rsidR="00F95603" w:rsidRPr="00A61D6E">
        <w:rPr>
          <w:rFonts w:ascii="ITC Avant Garde" w:hAnsi="ITC Avant Garde"/>
          <w:bCs/>
        </w:rPr>
        <w:t xml:space="preserve"> “</w:t>
      </w:r>
      <w:r w:rsidR="00F95603" w:rsidRPr="00A61D6E">
        <w:rPr>
          <w:rFonts w:ascii="ITC Avant Garde" w:hAnsi="ITC Avant Garde"/>
          <w:bCs/>
          <w:i/>
        </w:rPr>
        <w:t>Requisitos generales e información”</w:t>
      </w:r>
      <w:r w:rsidR="00F95603" w:rsidRPr="00A61D6E">
        <w:rPr>
          <w:rFonts w:ascii="ITC Avant Garde" w:hAnsi="ITC Avant Garde"/>
          <w:bCs/>
        </w:rPr>
        <w:t xml:space="preserve"> de los Lineamientos, establece lo siguiente:</w:t>
      </w:r>
    </w:p>
    <w:p w:rsidR="00850C3A" w:rsidRDefault="00A21167" w:rsidP="00850C3A">
      <w:pPr>
        <w:spacing w:afterLines="120" w:after="288" w:line="240" w:lineRule="auto"/>
        <w:ind w:left="709" w:right="757"/>
        <w:jc w:val="both"/>
        <w:rPr>
          <w:rFonts w:ascii="ITC Avant Garde" w:hAnsi="ITC Avant Garde"/>
          <w:bCs/>
          <w:i/>
          <w:iCs/>
          <w:color w:val="000000"/>
          <w:sz w:val="18"/>
          <w:szCs w:val="18"/>
          <w:lang w:eastAsia="es-MX"/>
        </w:rPr>
      </w:pPr>
      <w:r w:rsidRPr="00A61D6E">
        <w:rPr>
          <w:rFonts w:ascii="ITC Avant Garde" w:hAnsi="ITC Avant Garde"/>
          <w:b/>
          <w:i/>
          <w:iCs/>
          <w:color w:val="000000" w:themeColor="text1"/>
          <w:sz w:val="18"/>
          <w:szCs w:val="18"/>
          <w:lang w:eastAsia="es-MX"/>
        </w:rPr>
        <w:t>“</w:t>
      </w:r>
      <w:r w:rsidR="00533B65" w:rsidRPr="00A61D6E">
        <w:rPr>
          <w:rFonts w:ascii="ITC Avant Garde" w:hAnsi="ITC Avant Garde"/>
          <w:b/>
          <w:bCs/>
          <w:i/>
          <w:iCs/>
          <w:color w:val="000000"/>
          <w:sz w:val="18"/>
          <w:szCs w:val="18"/>
          <w:lang w:eastAsia="es-MX"/>
        </w:rPr>
        <w:t xml:space="preserve">II. </w:t>
      </w:r>
      <w:r w:rsidR="00533B65" w:rsidRPr="00A61D6E">
        <w:rPr>
          <w:rFonts w:ascii="ITC Avant Garde" w:hAnsi="ITC Avant Garde"/>
          <w:b/>
          <w:bCs/>
          <w:i/>
          <w:iCs/>
          <w:color w:val="000000"/>
          <w:sz w:val="18"/>
          <w:szCs w:val="18"/>
          <w:u w:val="single"/>
          <w:lang w:eastAsia="es-MX"/>
        </w:rPr>
        <w:t>Requisitos generales e información</w:t>
      </w:r>
    </w:p>
    <w:p w:rsidR="00533B65" w:rsidRPr="00A61D6E" w:rsidRDefault="00533B65" w:rsidP="00850C3A">
      <w:pPr>
        <w:spacing w:afterLines="120" w:after="288" w:line="240" w:lineRule="auto"/>
        <w:ind w:left="709" w:right="757"/>
        <w:jc w:val="both"/>
        <w:rPr>
          <w:rFonts w:ascii="ITC Avant Garde" w:hAnsi="ITC Avant Garde"/>
          <w:b/>
          <w:bCs/>
          <w:i/>
          <w:iCs/>
          <w:color w:val="000000"/>
          <w:sz w:val="18"/>
          <w:szCs w:val="18"/>
          <w:lang w:eastAsia="es-MX"/>
        </w:rPr>
      </w:pPr>
      <w:r w:rsidRPr="00A61D6E">
        <w:rPr>
          <w:rFonts w:ascii="ITC Avant Garde" w:hAnsi="ITC Avant Garde"/>
          <w:b/>
          <w:bCs/>
          <w:i/>
          <w:iCs/>
          <w:color w:val="000000"/>
          <w:sz w:val="18"/>
          <w:szCs w:val="18"/>
          <w:lang w:eastAsia="es-MX"/>
        </w:rPr>
        <w:t xml:space="preserve">II.1. </w:t>
      </w:r>
      <w:r w:rsidRPr="00A61D6E">
        <w:rPr>
          <w:rFonts w:ascii="ITC Avant Garde" w:hAnsi="ITC Avant Garde"/>
          <w:bCs/>
          <w:i/>
          <w:iCs/>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p>
    <w:p w:rsidR="00850C3A" w:rsidRDefault="00533B65" w:rsidP="00850C3A">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a) Presentar debidamente requisitado el Formato de Solicitud que se agrega como Anexo I a los Lineamientos, suscrito por el concesionario o representante legal debidamente acreditado ante este órgano constitucional, sin alteraciones, tachaduras, enmendaduras o cambios.</w:t>
      </w:r>
    </w:p>
    <w:p w:rsidR="00850C3A" w:rsidRDefault="00533B65" w:rsidP="00850C3A">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850C3A" w:rsidRDefault="00533B65" w:rsidP="00850C3A">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850C3A" w:rsidRDefault="00533B65" w:rsidP="00850C3A">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850C3A" w:rsidRDefault="00533B65" w:rsidP="00850C3A">
      <w:pPr>
        <w:spacing w:afterLines="120" w:after="288" w:line="240" w:lineRule="auto"/>
        <w:ind w:left="709"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La supervisión de las obligaciones aplicables será realizada por el Instituto, a través de la un</w:t>
      </w:r>
      <w:r w:rsidR="00013458" w:rsidRPr="00A61D6E">
        <w:rPr>
          <w:rFonts w:ascii="ITC Avant Garde" w:hAnsi="ITC Avant Garde"/>
          <w:bCs/>
          <w:i/>
          <w:iCs/>
          <w:color w:val="000000"/>
          <w:sz w:val="18"/>
          <w:szCs w:val="18"/>
          <w:lang w:eastAsia="es-MX"/>
        </w:rPr>
        <w:t>idad administrativa competente.</w:t>
      </w:r>
    </w:p>
    <w:p w:rsidR="00850C3A" w:rsidRDefault="00E014D0" w:rsidP="00850C3A">
      <w:pPr>
        <w:spacing w:afterLines="120" w:after="288" w:line="240" w:lineRule="auto"/>
        <w:ind w:left="709" w:right="618"/>
        <w:jc w:val="both"/>
        <w:rPr>
          <w:rFonts w:ascii="ITC Avant Garde" w:hAnsi="ITC Avant Garde"/>
          <w:i/>
          <w:iCs/>
          <w:color w:val="000000"/>
          <w:sz w:val="18"/>
          <w:szCs w:val="18"/>
          <w:lang w:eastAsia="es-MX"/>
        </w:rPr>
      </w:pPr>
      <w:r w:rsidRPr="00A61D6E">
        <w:rPr>
          <w:rFonts w:ascii="ITC Avant Garde" w:hAnsi="ITC Avant Garde"/>
          <w:i/>
          <w:iCs/>
          <w:color w:val="000000"/>
          <w:sz w:val="18"/>
          <w:szCs w:val="18"/>
          <w:lang w:eastAsia="es-MX"/>
        </w:rPr>
        <w:t>[…]</w:t>
      </w:r>
      <w:r w:rsidR="0085247A" w:rsidRPr="00A61D6E">
        <w:rPr>
          <w:rFonts w:ascii="ITC Avant Garde" w:hAnsi="ITC Avant Garde"/>
          <w:i/>
          <w:iCs/>
          <w:color w:val="000000"/>
          <w:sz w:val="18"/>
          <w:szCs w:val="18"/>
          <w:lang w:eastAsia="es-MX"/>
        </w:rPr>
        <w:t>”</w:t>
      </w:r>
    </w:p>
    <w:p w:rsidR="00850C3A" w:rsidRDefault="003C2907"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Derivado de l</w:t>
      </w:r>
      <w:r w:rsidR="00F044FA">
        <w:rPr>
          <w:rFonts w:ascii="ITC Avant Garde" w:hAnsi="ITC Avant Garde"/>
          <w:bCs/>
        </w:rPr>
        <w:t xml:space="preserve">o anterior, se concluye que, entre otros, los concesionarios que presten servicios de telecomunicaciones </w:t>
      </w:r>
      <w:r w:rsidRPr="00A61D6E">
        <w:rPr>
          <w:rFonts w:ascii="ITC Avant Garde" w:hAnsi="ITC Avant Garde"/>
          <w:bCs/>
        </w:rPr>
        <w:t>que hagan uso de bandas de frecuenc</w:t>
      </w:r>
      <w:r w:rsidR="00EE5250">
        <w:rPr>
          <w:rFonts w:ascii="ITC Avant Garde" w:hAnsi="ITC Avant Garde"/>
          <w:bCs/>
        </w:rPr>
        <w:t>ias del espectro radioeléctrico</w:t>
      </w:r>
      <w:r w:rsidRPr="00A61D6E">
        <w:rPr>
          <w:rFonts w:ascii="ITC Avant Garde" w:hAnsi="ITC Avant Garde"/>
          <w:bCs/>
        </w:rPr>
        <w:t xml:space="preserve"> </w:t>
      </w:r>
      <w:r w:rsidR="00EE5250">
        <w:rPr>
          <w:rFonts w:ascii="ITC Avant Garde" w:hAnsi="ITC Avant Garde"/>
          <w:bCs/>
        </w:rPr>
        <w:t>deberán: (a</w:t>
      </w:r>
      <w:r w:rsidRPr="00A61D6E">
        <w:rPr>
          <w:rFonts w:ascii="ITC Avant Garde" w:hAnsi="ITC Avant Garde"/>
          <w:bCs/>
        </w:rPr>
        <w:t>) presentar debidamente requisitado el formato de solicitud, suscrito por el concesionario o representante legal debidamente acr</w:t>
      </w:r>
      <w:r w:rsidR="00EE5250">
        <w:rPr>
          <w:rFonts w:ascii="ITC Avant Garde" w:hAnsi="ITC Avant Garde"/>
          <w:bCs/>
        </w:rPr>
        <w:t>editado ante este Instituto; (b</w:t>
      </w:r>
      <w:r w:rsidRPr="00A61D6E">
        <w:rPr>
          <w:rFonts w:ascii="ITC Avant Garde" w:hAnsi="ITC Avant Garde"/>
          <w:bCs/>
        </w:rPr>
        <w:t xml:space="preserve">) presentar las especificaciones técnicas de los servicios adicionales que pretende prestar en las que se incluya, en su caso, la banda de frecuencias, el ancho de banda o capacidad de red que destinará para la prestación de dichos servicios, así como </w:t>
      </w:r>
      <w:r w:rsidRPr="00A61D6E">
        <w:rPr>
          <w:rFonts w:ascii="ITC Avant Garde" w:hAnsi="ITC Avant Garde"/>
          <w:bCs/>
        </w:rPr>
        <w:lastRenderedPageBreak/>
        <w:t xml:space="preserve">la cobertura geográfica en que prestará los mismos, la cual no deberá exceder la cobertura autorizada </w:t>
      </w:r>
      <w:r w:rsidR="00EE5250">
        <w:rPr>
          <w:rFonts w:ascii="ITC Avant Garde" w:hAnsi="ITC Avant Garde"/>
          <w:bCs/>
        </w:rPr>
        <w:t>en la concesión respectiva; (c</w:t>
      </w:r>
      <w:r w:rsidRPr="00A61D6E">
        <w:rPr>
          <w:rFonts w:ascii="ITC Avant Garde" w:hAnsi="ITC Avant Garde"/>
          <w:bCs/>
        </w:rPr>
        <w:t>) exhibir el comprobante de pago de derechos que resulte aplicable respecto al estudio de la solicitud de autorización de servicios adicionales, en términos de lo dispuesto por l</w:t>
      </w:r>
      <w:r w:rsidR="00EE5250">
        <w:rPr>
          <w:rFonts w:ascii="ITC Avant Garde" w:hAnsi="ITC Avant Garde"/>
          <w:bCs/>
        </w:rPr>
        <w:t>a Ley Federal de Derechos, y (d</w:t>
      </w:r>
      <w:r w:rsidRPr="00A61D6E">
        <w:rPr>
          <w:rFonts w:ascii="ITC Avant Garde" w:hAnsi="ITC Avant Garde"/>
          <w:bCs/>
        </w:rPr>
        <w:t>) estar en cumplimiento de las obligaciones previstas en sus respectivos títulos de concesión y las obligaciones derivadas de las leyes en materia de telecomunicaciones, radiodifusión y competencia económica.</w:t>
      </w:r>
    </w:p>
    <w:p w:rsidR="00850C3A" w:rsidRDefault="002D2E8F"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Por otra parte, el numeral III. “</w:t>
      </w:r>
      <w:r w:rsidRPr="00A61D6E">
        <w:rPr>
          <w:rFonts w:ascii="ITC Avant Garde" w:hAnsi="ITC Avant Garde"/>
          <w:bCs/>
          <w:i/>
        </w:rPr>
        <w:t>De las concesiones de bandas de frecuencias del espectro radioeléctrico”</w:t>
      </w:r>
      <w:r w:rsidRPr="00A61D6E">
        <w:rPr>
          <w:rFonts w:ascii="ITC Avant Garde" w:hAnsi="ITC Avant Garde"/>
          <w:bCs/>
        </w:rPr>
        <w:t xml:space="preserve"> de los Lineamientos, establece lo siguiente:</w:t>
      </w:r>
    </w:p>
    <w:p w:rsidR="00850C3A" w:rsidRDefault="0085247A" w:rsidP="00850C3A">
      <w:pPr>
        <w:spacing w:afterLines="120" w:after="288" w:line="240" w:lineRule="auto"/>
        <w:ind w:left="709" w:right="757"/>
        <w:jc w:val="both"/>
        <w:rPr>
          <w:rFonts w:ascii="ITC Avant Garde" w:hAnsi="ITC Avant Garde"/>
          <w:i/>
          <w:iCs/>
          <w:color w:val="000000"/>
          <w:sz w:val="18"/>
          <w:szCs w:val="18"/>
          <w:lang w:eastAsia="es-MX"/>
        </w:rPr>
      </w:pPr>
      <w:r w:rsidRPr="00A61D6E">
        <w:rPr>
          <w:rFonts w:ascii="ITC Avant Garde" w:hAnsi="ITC Avant Garde"/>
          <w:b/>
          <w:i/>
          <w:iCs/>
          <w:color w:val="000000"/>
          <w:sz w:val="18"/>
          <w:szCs w:val="18"/>
          <w:lang w:eastAsia="es-MX"/>
        </w:rPr>
        <w:t>“</w:t>
      </w:r>
      <w:r w:rsidR="002D2E8F" w:rsidRPr="00A61D6E">
        <w:rPr>
          <w:rFonts w:ascii="ITC Avant Garde" w:hAnsi="ITC Avant Garde"/>
          <w:b/>
          <w:i/>
          <w:iCs/>
          <w:color w:val="000000"/>
          <w:sz w:val="18"/>
          <w:szCs w:val="18"/>
          <w:lang w:eastAsia="es-MX"/>
        </w:rPr>
        <w:t>III.1.</w:t>
      </w:r>
      <w:r w:rsidR="002D2E8F" w:rsidRPr="00A61D6E">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A61D6E">
        <w:rPr>
          <w:rFonts w:ascii="ITC Avant Garde" w:hAnsi="ITC Avant Garde"/>
          <w:b/>
          <w:i/>
          <w:iCs/>
          <w:color w:val="000000"/>
          <w:sz w:val="18"/>
          <w:szCs w:val="18"/>
          <w:lang w:eastAsia="es-MX"/>
        </w:rPr>
        <w:t>emitirá pronunciamiento sobre la procedencia o improcedencia de la misma, considerando su viabilidad técnica</w:t>
      </w:r>
      <w:r w:rsidR="002D2E8F" w:rsidRPr="00A61D6E">
        <w:rPr>
          <w:rFonts w:ascii="ITC Avant Garde" w:hAnsi="ITC Avant Garde"/>
          <w:i/>
          <w:iCs/>
          <w:color w:val="000000"/>
          <w:sz w:val="18"/>
          <w:szCs w:val="18"/>
          <w:lang w:eastAsia="es-MX"/>
        </w:rPr>
        <w:t>.</w:t>
      </w:r>
    </w:p>
    <w:p w:rsidR="00850C3A" w:rsidRDefault="00E16D72" w:rsidP="00850C3A">
      <w:pPr>
        <w:spacing w:afterLines="120" w:after="288" w:line="240" w:lineRule="auto"/>
        <w:ind w:left="709" w:right="757"/>
        <w:jc w:val="both"/>
        <w:rPr>
          <w:rFonts w:ascii="ITC Avant Garde" w:hAnsi="ITC Avant Garde"/>
          <w:i/>
          <w:iCs/>
          <w:color w:val="000000"/>
          <w:sz w:val="18"/>
          <w:szCs w:val="18"/>
          <w:lang w:eastAsia="es-MX"/>
        </w:rPr>
      </w:pPr>
      <w:r w:rsidRPr="00E8258E">
        <w:rPr>
          <w:rFonts w:ascii="ITC Avant Garde" w:hAnsi="ITC Avant Garde"/>
          <w:b/>
          <w:i/>
          <w:iCs/>
          <w:color w:val="000000"/>
          <w:sz w:val="18"/>
          <w:szCs w:val="18"/>
          <w:lang w:eastAsia="es-MX"/>
        </w:rPr>
        <w:t>III.2.</w:t>
      </w:r>
      <w:r w:rsidR="006F44F1" w:rsidRPr="00A61D6E">
        <w:rPr>
          <w:rFonts w:ascii="Arial" w:eastAsiaTheme="minorHAnsi" w:hAnsi="Arial" w:cs="Arial"/>
          <w:color w:val="000000"/>
          <w:sz w:val="18"/>
          <w:szCs w:val="18"/>
        </w:rPr>
        <w:t xml:space="preserve"> </w:t>
      </w:r>
      <w:r w:rsidR="006F44F1" w:rsidRPr="00A61D6E">
        <w:rPr>
          <w:rFonts w:ascii="ITC Avant Garde" w:hAnsi="ITC Avant Garde"/>
          <w:i/>
          <w:iCs/>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Default="002D2E8F" w:rsidP="00850C3A">
      <w:pPr>
        <w:tabs>
          <w:tab w:val="left" w:pos="3633"/>
        </w:tabs>
        <w:spacing w:afterLines="120" w:after="288" w:line="240" w:lineRule="auto"/>
        <w:ind w:left="709" w:right="757"/>
        <w:jc w:val="both"/>
        <w:rPr>
          <w:rFonts w:ascii="ITC Avant Garde" w:hAnsi="ITC Avant Garde"/>
          <w:i/>
          <w:iCs/>
          <w:color w:val="000000"/>
          <w:sz w:val="18"/>
          <w:szCs w:val="18"/>
          <w:lang w:eastAsia="es-MX"/>
        </w:rPr>
      </w:pPr>
      <w:r w:rsidRPr="00A61D6E">
        <w:rPr>
          <w:rFonts w:ascii="ITC Avant Garde" w:hAnsi="ITC Avant Garde"/>
          <w:i/>
          <w:iCs/>
          <w:color w:val="000000"/>
          <w:sz w:val="18"/>
          <w:szCs w:val="18"/>
          <w:lang w:eastAsia="es-MX"/>
        </w:rPr>
        <w:t>[…]</w:t>
      </w:r>
      <w:r w:rsidR="00E16D72" w:rsidRPr="00A61D6E">
        <w:rPr>
          <w:rFonts w:ascii="ITC Avant Garde" w:hAnsi="ITC Avant Garde"/>
          <w:i/>
          <w:iCs/>
          <w:color w:val="000000"/>
          <w:sz w:val="18"/>
          <w:szCs w:val="18"/>
          <w:lang w:eastAsia="es-MX"/>
        </w:rPr>
        <w:t>”</w:t>
      </w:r>
    </w:p>
    <w:p w:rsidR="00850C3A" w:rsidRDefault="00E74E2A" w:rsidP="00850C3A">
      <w:pPr>
        <w:tabs>
          <w:tab w:val="left" w:pos="3633"/>
        </w:tabs>
        <w:spacing w:afterLines="120" w:after="288" w:line="240" w:lineRule="auto"/>
        <w:ind w:left="709" w:right="757"/>
        <w:jc w:val="right"/>
        <w:rPr>
          <w:rFonts w:ascii="ITC Avant Garde" w:hAnsi="ITC Avant Garde"/>
          <w:iCs/>
          <w:color w:val="000000"/>
          <w:sz w:val="18"/>
          <w:szCs w:val="18"/>
          <w:lang w:eastAsia="es-MX"/>
        </w:rPr>
      </w:pPr>
      <w:r>
        <w:rPr>
          <w:rFonts w:ascii="ITC Avant Garde" w:hAnsi="ITC Avant Garde"/>
          <w:i/>
          <w:iCs/>
          <w:color w:val="000000"/>
          <w:sz w:val="18"/>
          <w:szCs w:val="18"/>
          <w:lang w:eastAsia="es-MX"/>
        </w:rPr>
        <w:t>[</w:t>
      </w:r>
      <w:r>
        <w:rPr>
          <w:rFonts w:ascii="ITC Avant Garde" w:hAnsi="ITC Avant Garde"/>
          <w:iCs/>
          <w:color w:val="000000"/>
          <w:sz w:val="18"/>
          <w:szCs w:val="18"/>
          <w:lang w:eastAsia="es-MX"/>
        </w:rPr>
        <w:t>Énfasis añadido]</w:t>
      </w:r>
    </w:p>
    <w:p w:rsidR="00850C3A" w:rsidRDefault="00A31B46"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este sentido</w:t>
      </w:r>
      <w:r w:rsidR="003C2907" w:rsidRPr="00A61D6E">
        <w:rPr>
          <w:rFonts w:ascii="ITC Avant Garde" w:hAnsi="ITC Avant Garde"/>
          <w:bCs/>
        </w:rPr>
        <w:t xml:space="preserve">, </w:t>
      </w:r>
      <w:r w:rsidR="0023268A" w:rsidRPr="00A61D6E">
        <w:rPr>
          <w:rFonts w:ascii="ITC Avant Garde" w:hAnsi="ITC Avant Garde"/>
          <w:bCs/>
        </w:rPr>
        <w:t xml:space="preserve">el </w:t>
      </w:r>
      <w:r w:rsidR="003C2907" w:rsidRPr="00A61D6E">
        <w:rPr>
          <w:rFonts w:ascii="ITC Avant Garde" w:hAnsi="ITC Avant Garde"/>
          <w:bCs/>
        </w:rPr>
        <w:t xml:space="preserve">Instituto </w:t>
      </w:r>
      <w:r w:rsidR="0023268A" w:rsidRPr="00A61D6E">
        <w:rPr>
          <w:rFonts w:ascii="ITC Avant Garde" w:hAnsi="ITC Avant Garde"/>
          <w:bCs/>
        </w:rPr>
        <w:t>emiti</w:t>
      </w:r>
      <w:r w:rsidR="003C2907" w:rsidRPr="00A61D6E">
        <w:rPr>
          <w:rFonts w:ascii="ITC Avant Garde" w:hAnsi="ITC Avant Garde"/>
          <w:bCs/>
        </w:rPr>
        <w:t xml:space="preserve">rá </w:t>
      </w:r>
      <w:r w:rsidR="0023268A" w:rsidRPr="00A61D6E">
        <w:rPr>
          <w:rFonts w:ascii="ITC Avant Garde" w:hAnsi="ITC Avant Garde"/>
          <w:bCs/>
        </w:rPr>
        <w:t xml:space="preserve">pronunciamiento </w:t>
      </w:r>
      <w:r w:rsidR="003C2907" w:rsidRPr="00A61D6E">
        <w:rPr>
          <w:rFonts w:ascii="ITC Avant Garde" w:hAnsi="ITC Avant Garde"/>
          <w:bCs/>
        </w:rPr>
        <w:t xml:space="preserve">sobre </w:t>
      </w:r>
      <w:r w:rsidR="0023268A" w:rsidRPr="00A61D6E">
        <w:rPr>
          <w:rFonts w:ascii="ITC Avant Garde" w:hAnsi="ITC Avant Garde"/>
          <w:bCs/>
        </w:rPr>
        <w:t>la procedencia o improcedencia de la</w:t>
      </w:r>
      <w:r w:rsidR="0067127E" w:rsidRPr="00A61D6E">
        <w:rPr>
          <w:rFonts w:ascii="ITC Avant Garde" w:hAnsi="ITC Avant Garde"/>
          <w:bCs/>
        </w:rPr>
        <w:t>s</w:t>
      </w:r>
      <w:r w:rsidR="0023268A" w:rsidRPr="00A61D6E">
        <w:rPr>
          <w:rFonts w:ascii="ITC Avant Garde" w:hAnsi="ITC Avant Garde"/>
          <w:bCs/>
        </w:rPr>
        <w:t xml:space="preserve"> </w:t>
      </w:r>
      <w:r w:rsidR="00040B35" w:rsidRPr="00A61D6E">
        <w:rPr>
          <w:rFonts w:ascii="ITC Avant Garde" w:hAnsi="ITC Avant Garde"/>
          <w:bCs/>
        </w:rPr>
        <w:t>solicitud</w:t>
      </w:r>
      <w:r w:rsidR="0067127E" w:rsidRPr="00A61D6E">
        <w:rPr>
          <w:rFonts w:ascii="ITC Avant Garde" w:hAnsi="ITC Avant Garde"/>
          <w:bCs/>
        </w:rPr>
        <w:t>es</w:t>
      </w:r>
      <w:r w:rsidR="00040B35" w:rsidRPr="00A61D6E">
        <w:rPr>
          <w:rFonts w:ascii="ITC Avant Garde" w:hAnsi="ITC Avant Garde"/>
          <w:bCs/>
        </w:rPr>
        <w:t xml:space="preserve"> de servicio</w:t>
      </w:r>
      <w:r w:rsidR="00EF4795" w:rsidRPr="00A61D6E">
        <w:rPr>
          <w:rFonts w:ascii="ITC Avant Garde" w:hAnsi="ITC Avant Garde"/>
          <w:bCs/>
        </w:rPr>
        <w:t>s</w:t>
      </w:r>
      <w:r w:rsidR="00040B35" w:rsidRPr="00A61D6E">
        <w:rPr>
          <w:rFonts w:ascii="ITC Avant Garde" w:hAnsi="ITC Avant Garde"/>
          <w:bCs/>
        </w:rPr>
        <w:t xml:space="preserve"> adicional</w:t>
      </w:r>
      <w:r w:rsidR="00EF4795" w:rsidRPr="00A61D6E">
        <w:rPr>
          <w:rFonts w:ascii="ITC Avant Garde" w:hAnsi="ITC Avant Garde"/>
          <w:bCs/>
        </w:rPr>
        <w:t xml:space="preserve">es </w:t>
      </w:r>
      <w:r w:rsidR="00AD1506" w:rsidRPr="00A61D6E">
        <w:rPr>
          <w:rFonts w:ascii="ITC Avant Garde" w:hAnsi="ITC Avant Garde"/>
          <w:bCs/>
        </w:rPr>
        <w:t xml:space="preserve">presentadas por titulares de </w:t>
      </w:r>
      <w:r w:rsidR="00B52D99" w:rsidRPr="00A61D6E">
        <w:rPr>
          <w:rFonts w:ascii="ITC Avant Garde" w:hAnsi="ITC Avant Garde"/>
          <w:bCs/>
        </w:rPr>
        <w:t>concesiones</w:t>
      </w:r>
      <w:r w:rsidR="00AD1506" w:rsidRPr="00A61D6E">
        <w:rPr>
          <w:rFonts w:ascii="ITC Avant Garde" w:hAnsi="ITC Avant Garde"/>
          <w:bCs/>
        </w:rPr>
        <w:t xml:space="preserve"> que implique</w:t>
      </w:r>
      <w:r w:rsidR="00BB7F95" w:rsidRPr="00A61D6E">
        <w:rPr>
          <w:rFonts w:ascii="ITC Avant Garde" w:hAnsi="ITC Avant Garde"/>
          <w:bCs/>
        </w:rPr>
        <w:t>n</w:t>
      </w:r>
      <w:r w:rsidR="00AD1506" w:rsidRPr="00A61D6E">
        <w:rPr>
          <w:rFonts w:ascii="ITC Avant Garde" w:hAnsi="ITC Avant Garde"/>
          <w:bCs/>
        </w:rPr>
        <w:t xml:space="preserve"> la explotación de bandas de frecuencias del espectro radioeléctrico</w:t>
      </w:r>
      <w:r w:rsidR="0023268A" w:rsidRPr="00A61D6E">
        <w:rPr>
          <w:rFonts w:ascii="ITC Avant Garde" w:hAnsi="ITC Avant Garde"/>
          <w:bCs/>
        </w:rPr>
        <w:t>, considerando su viabilidad técnica,</w:t>
      </w:r>
      <w:r w:rsidR="003C2907" w:rsidRPr="00A61D6E">
        <w:rPr>
          <w:rFonts w:ascii="ITC Avant Garde" w:hAnsi="ITC Avant Garde"/>
          <w:bCs/>
        </w:rPr>
        <w:t xml:space="preserve"> dentro del plazo de 60 (sesenta) días naturales posteriores a la presentación de la solicitud y, para el caso en que </w:t>
      </w:r>
      <w:r w:rsidR="007E32D2" w:rsidRPr="00A61D6E">
        <w:rPr>
          <w:rFonts w:ascii="ITC Avant Garde" w:hAnsi="ITC Avant Garde"/>
          <w:bCs/>
        </w:rPr>
        <w:t xml:space="preserve">el Instituto emita </w:t>
      </w:r>
      <w:r w:rsidR="003C2907" w:rsidRPr="00A61D6E">
        <w:rPr>
          <w:rFonts w:ascii="ITC Avant Garde" w:hAnsi="ITC Avant Garde"/>
          <w:bCs/>
        </w:rPr>
        <w:t xml:space="preserve">la resolución </w:t>
      </w:r>
      <w:r w:rsidR="00C85C06" w:rsidRPr="00A61D6E">
        <w:rPr>
          <w:rFonts w:ascii="ITC Avant Garde" w:hAnsi="ITC Avant Garde"/>
          <w:bCs/>
        </w:rPr>
        <w:t>procedente</w:t>
      </w:r>
      <w:r w:rsidR="003C2907" w:rsidRPr="00A61D6E">
        <w:rPr>
          <w:rFonts w:ascii="ITC Avant Garde" w:hAnsi="ITC Avant Garde"/>
          <w:bCs/>
        </w:rPr>
        <w:t xml:space="preserve">, </w:t>
      </w:r>
      <w:r w:rsidR="00A152F5">
        <w:rPr>
          <w:rFonts w:ascii="ITC Avant Garde" w:hAnsi="ITC Avant Garde"/>
          <w:bCs/>
        </w:rPr>
        <w:t xml:space="preserve">con </w:t>
      </w:r>
      <w:r w:rsidR="00B132CD" w:rsidRPr="00A61D6E">
        <w:rPr>
          <w:rFonts w:ascii="ITC Avant Garde" w:hAnsi="ITC Avant Garde"/>
          <w:bCs/>
        </w:rPr>
        <w:t>la opinión respecto del monto de la contraprestación aplicable a la autorización del(os) servicio(s) adicional(es) solicitado(s)</w:t>
      </w:r>
      <w:r w:rsidR="00AF61C4" w:rsidRPr="00A61D6E">
        <w:rPr>
          <w:rFonts w:ascii="ITC Avant Garde" w:hAnsi="ITC Avant Garde"/>
          <w:bCs/>
        </w:rPr>
        <w:t xml:space="preserve">, </w:t>
      </w:r>
      <w:r w:rsidR="00A152F5">
        <w:rPr>
          <w:rFonts w:ascii="ITC Avant Garde" w:hAnsi="ITC Avant Garde"/>
          <w:bCs/>
        </w:rPr>
        <w:t xml:space="preserve">emitida por la Secretaría de Hacienda y Crédito Público, </w:t>
      </w:r>
      <w:r w:rsidR="00AF61C4" w:rsidRPr="00A61D6E">
        <w:rPr>
          <w:rFonts w:ascii="ITC Avant Garde" w:hAnsi="ITC Avant Garde"/>
          <w:bCs/>
        </w:rPr>
        <w:t xml:space="preserve">el Instituto, </w:t>
      </w:r>
      <w:r w:rsidR="00A152F5">
        <w:rPr>
          <w:rFonts w:ascii="ITC Avant Garde" w:hAnsi="ITC Avant Garde"/>
          <w:bCs/>
        </w:rPr>
        <w:t>mediante acto diverso</w:t>
      </w:r>
      <w:r w:rsidR="00AF61C4" w:rsidRPr="00A61D6E">
        <w:rPr>
          <w:rFonts w:ascii="ITC Avant Garde" w:hAnsi="ITC Avant Garde"/>
          <w:bCs/>
        </w:rPr>
        <w:t>, notificará al concesionario el monto de la contraprestación, cuyo pago será condición para el otorgamiento de la autorización respectiva.</w:t>
      </w:r>
      <w:r w:rsidR="00B42700" w:rsidRPr="00A61D6E">
        <w:rPr>
          <w:rFonts w:ascii="ITC Avant Garde" w:hAnsi="ITC Avant Garde"/>
          <w:bCs/>
        </w:rPr>
        <w:t xml:space="preserve"> </w:t>
      </w:r>
      <w:r w:rsidR="00E16087" w:rsidRPr="00A61D6E">
        <w:rPr>
          <w:rFonts w:ascii="ITC Avant Garde" w:hAnsi="ITC Avant Garde"/>
          <w:bCs/>
        </w:rPr>
        <w:t>Una vez</w:t>
      </w:r>
      <w:r w:rsidR="003C2907" w:rsidRPr="00A61D6E">
        <w:rPr>
          <w:rFonts w:ascii="ITC Avant Garde" w:hAnsi="ITC Avant Garde"/>
          <w:bCs/>
        </w:rPr>
        <w:t xml:space="preserve"> </w:t>
      </w:r>
      <w:r w:rsidR="00D43A75" w:rsidRPr="00A61D6E">
        <w:rPr>
          <w:rFonts w:ascii="ITC Avant Garde" w:hAnsi="ITC Avant Garde"/>
          <w:bCs/>
        </w:rPr>
        <w:t>acreditados</w:t>
      </w:r>
      <w:r w:rsidR="003C2907" w:rsidRPr="00A61D6E">
        <w:rPr>
          <w:rFonts w:ascii="ITC Avant Garde" w:hAnsi="ITC Avant Garde"/>
          <w:bCs/>
        </w:rPr>
        <w:t xml:space="preserve"> </w:t>
      </w:r>
      <w:r w:rsidR="00D43A75" w:rsidRPr="00A61D6E">
        <w:rPr>
          <w:rFonts w:ascii="ITC Avant Garde" w:hAnsi="ITC Avant Garde"/>
          <w:bCs/>
        </w:rPr>
        <w:t xml:space="preserve">los pagos de la contraprestación antes mencionada, </w:t>
      </w:r>
      <w:r w:rsidR="003C2907" w:rsidRPr="00A61D6E">
        <w:rPr>
          <w:rFonts w:ascii="ITC Avant Garde" w:hAnsi="ITC Avant Garde"/>
          <w:bCs/>
        </w:rPr>
        <w:t>el Instituto, dentro de los 5 (cinco) días naturales siguientes notifi</w:t>
      </w:r>
      <w:r w:rsidR="00C328DB" w:rsidRPr="00A61D6E">
        <w:rPr>
          <w:rFonts w:ascii="ITC Avant Garde" w:hAnsi="ITC Avant Garde"/>
          <w:bCs/>
        </w:rPr>
        <w:t>cará</w:t>
      </w:r>
      <w:r w:rsidR="003C2907" w:rsidRPr="00A61D6E">
        <w:rPr>
          <w:rFonts w:ascii="ITC Avant Garde" w:hAnsi="ITC Avant Garde"/>
          <w:bCs/>
        </w:rPr>
        <w:t xml:space="preserve"> la autorización correspondiente.</w:t>
      </w:r>
    </w:p>
    <w:p w:rsidR="00850C3A" w:rsidRDefault="00AF6ED2"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Fi</w:t>
      </w:r>
      <w:r w:rsidR="003133ED" w:rsidRPr="00A61D6E">
        <w:rPr>
          <w:rFonts w:ascii="ITC Avant Garde" w:hAnsi="ITC Avant Garde"/>
          <w:bCs/>
        </w:rPr>
        <w:t>nalmente, cabe destacar que los Lineamientos establecieron que este tipo de solicitudes deberían acompañarse del comprobante de pago de derechos establecido en el numeral II de los Lineamientos, mismo que se refería al estudio de la solicitud de autorización de servicios adicionales. Sin embargo, el 1 de enero de 2016 entró en vigor el “</w:t>
      </w:r>
      <w:r w:rsidR="003133ED" w:rsidRPr="00A61D6E">
        <w:rPr>
          <w:rFonts w:ascii="ITC Avant Garde" w:hAnsi="ITC Avant Garde"/>
          <w:bCs/>
          <w:i/>
        </w:rPr>
        <w:t>Decreto por el que se reforman, adicionan y derogan diversas disposiciones de la Ley Federal de Derechos</w:t>
      </w:r>
      <w:r w:rsidR="003133ED" w:rsidRPr="00A61D6E">
        <w:rPr>
          <w:rFonts w:ascii="ITC Avant Garde" w:hAnsi="ITC Avant Garde"/>
          <w:bCs/>
        </w:rPr>
        <w:t xml:space="preserve">”, publicado en el Diario Oficial de la Federación el 18 de noviembre </w:t>
      </w:r>
      <w:r w:rsidR="003133ED" w:rsidRPr="00A61D6E">
        <w:rPr>
          <w:rFonts w:ascii="ITC Avant Garde" w:hAnsi="ITC Avant Garde"/>
          <w:bCs/>
        </w:rPr>
        <w:lastRenderedPageBreak/>
        <w:t>de 2015, por el cual se adiciona, entre otros, el Capítulo IX del Título I, denominado “</w:t>
      </w:r>
      <w:r w:rsidR="003133ED" w:rsidRPr="00A61D6E">
        <w:rPr>
          <w:rFonts w:ascii="ITC Avant Garde" w:hAnsi="ITC Avant Garde"/>
          <w:bCs/>
          <w:i/>
        </w:rPr>
        <w:t>Del Instituto Federal de Telecomunicaciones</w:t>
      </w:r>
      <w:r w:rsidR="003133ED" w:rsidRPr="00A61D6E">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850C3A" w:rsidRDefault="003133ED"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850C3A" w:rsidRDefault="003133ED"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este orden de ideas, dado que la normatividad vigente es el artículo 174-C fracción IV de la Ley Federal de Derechos, este único pago ampara el estudio y, en caso de que este Instituto resuelva favorablemente </w:t>
      </w:r>
      <w:r w:rsidR="00182721">
        <w:rPr>
          <w:rFonts w:ascii="ITC Avant Garde" w:hAnsi="ITC Avant Garde"/>
          <w:bCs/>
        </w:rPr>
        <w:t>l</w:t>
      </w:r>
      <w:r w:rsidRPr="00A61D6E">
        <w:rPr>
          <w:rFonts w:ascii="ITC Avant Garde" w:hAnsi="ITC Avant Garde"/>
          <w:bCs/>
        </w:rPr>
        <w:t>a</w:t>
      </w:r>
      <w:r w:rsidR="00EB133E">
        <w:rPr>
          <w:rFonts w:ascii="ITC Avant Garde" w:hAnsi="ITC Avant Garde"/>
          <w:bCs/>
        </w:rPr>
        <w:t>s</w:t>
      </w:r>
      <w:r w:rsidR="00182721">
        <w:rPr>
          <w:rFonts w:ascii="ITC Avant Garde" w:hAnsi="ITC Avant Garde"/>
          <w:bCs/>
        </w:rPr>
        <w:t xml:space="preserve"> s</w:t>
      </w:r>
      <w:r w:rsidRPr="00A61D6E">
        <w:rPr>
          <w:rFonts w:ascii="ITC Avant Garde" w:hAnsi="ITC Avant Garde"/>
          <w:bCs/>
        </w:rPr>
        <w:t>olicitud</w:t>
      </w:r>
      <w:r w:rsidR="00EB133E">
        <w:rPr>
          <w:rFonts w:ascii="ITC Avant Garde" w:hAnsi="ITC Avant Garde"/>
          <w:bCs/>
        </w:rPr>
        <w:t>es</w:t>
      </w:r>
      <w:r w:rsidR="00182721">
        <w:rPr>
          <w:rFonts w:ascii="ITC Avant Garde" w:hAnsi="ITC Avant Garde"/>
          <w:bCs/>
        </w:rPr>
        <w:t xml:space="preserve"> de servicios a</w:t>
      </w:r>
      <w:r w:rsidRPr="00A61D6E">
        <w:rPr>
          <w:rFonts w:ascii="ITC Avant Garde" w:hAnsi="ITC Avant Garde"/>
          <w:bCs/>
        </w:rPr>
        <w:t>dicionales</w:t>
      </w:r>
      <w:r w:rsidR="00182721">
        <w:rPr>
          <w:rFonts w:ascii="ITC Avant Garde" w:hAnsi="ITC Avant Garde"/>
          <w:bCs/>
        </w:rPr>
        <w:t xml:space="preserve"> que nos ocupan</w:t>
      </w:r>
      <w:r w:rsidRPr="00A61D6E">
        <w:rPr>
          <w:rFonts w:ascii="ITC Avant Garde" w:hAnsi="ITC Avant Garde"/>
          <w:bCs/>
        </w:rPr>
        <w:t>, la autorización correspondiente.</w:t>
      </w:r>
    </w:p>
    <w:p w:rsidR="00850C3A" w:rsidRDefault="00A21167"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
          <w:bCs/>
        </w:rPr>
        <w:t>Tercero.- Análisis de la</w:t>
      </w:r>
      <w:r w:rsidR="0056408C">
        <w:rPr>
          <w:rFonts w:ascii="ITC Avant Garde" w:hAnsi="ITC Avant Garde"/>
          <w:b/>
          <w:bCs/>
        </w:rPr>
        <w:t xml:space="preserve"> </w:t>
      </w:r>
      <w:r w:rsidR="00C10075">
        <w:rPr>
          <w:rFonts w:ascii="ITC Avant Garde" w:hAnsi="ITC Avant Garde"/>
          <w:b/>
          <w:bCs/>
        </w:rPr>
        <w:t>S</w:t>
      </w:r>
      <w:r w:rsidRPr="00A61D6E">
        <w:rPr>
          <w:rFonts w:ascii="ITC Avant Garde" w:hAnsi="ITC Avant Garde"/>
          <w:b/>
          <w:bCs/>
        </w:rPr>
        <w:t xml:space="preserve">olicitud de </w:t>
      </w:r>
      <w:r w:rsidR="00C10075">
        <w:rPr>
          <w:rFonts w:ascii="ITC Avant Garde" w:hAnsi="ITC Avant Garde"/>
          <w:b/>
          <w:bCs/>
        </w:rPr>
        <w:t>S</w:t>
      </w:r>
      <w:r w:rsidR="00927AA7" w:rsidRPr="00A61D6E">
        <w:rPr>
          <w:rFonts w:ascii="ITC Avant Garde" w:hAnsi="ITC Avant Garde"/>
          <w:b/>
          <w:bCs/>
        </w:rPr>
        <w:t>ervicio</w:t>
      </w:r>
      <w:r w:rsidR="00AF6ED2" w:rsidRPr="00A61D6E">
        <w:rPr>
          <w:rFonts w:ascii="ITC Avant Garde" w:hAnsi="ITC Avant Garde"/>
          <w:b/>
          <w:bCs/>
        </w:rPr>
        <w:t>s</w:t>
      </w:r>
      <w:r w:rsidR="0056408C">
        <w:rPr>
          <w:rFonts w:ascii="ITC Avant Garde" w:hAnsi="ITC Avant Garde"/>
          <w:b/>
          <w:bCs/>
        </w:rPr>
        <w:t xml:space="preserve"> </w:t>
      </w:r>
      <w:r w:rsidR="00C10075">
        <w:rPr>
          <w:rFonts w:ascii="ITC Avant Garde" w:hAnsi="ITC Avant Garde"/>
          <w:b/>
          <w:bCs/>
        </w:rPr>
        <w:t>A</w:t>
      </w:r>
      <w:r w:rsidR="00927AA7" w:rsidRPr="00A61D6E">
        <w:rPr>
          <w:rFonts w:ascii="ITC Avant Garde" w:hAnsi="ITC Avant Garde"/>
          <w:b/>
          <w:bCs/>
        </w:rPr>
        <w:t>dicional</w:t>
      </w:r>
      <w:r w:rsidR="00AF6ED2" w:rsidRPr="00A61D6E">
        <w:rPr>
          <w:rFonts w:ascii="ITC Avant Garde" w:hAnsi="ITC Avant Garde"/>
          <w:b/>
          <w:bCs/>
        </w:rPr>
        <w:t>es</w:t>
      </w:r>
      <w:r w:rsidRPr="00A61D6E">
        <w:rPr>
          <w:rFonts w:ascii="ITC Avant Garde" w:hAnsi="ITC Avant Garde"/>
          <w:b/>
          <w:bCs/>
        </w:rPr>
        <w:t>.</w:t>
      </w:r>
      <w:r w:rsidRPr="00A61D6E">
        <w:rPr>
          <w:rFonts w:ascii="ITC Avant Garde" w:hAnsi="ITC Avant Garde"/>
          <w:bCs/>
        </w:rPr>
        <w:t xml:space="preserve"> </w:t>
      </w:r>
      <w:r w:rsidR="00733DF7">
        <w:rPr>
          <w:rFonts w:ascii="ITC Avant Garde" w:hAnsi="ITC Avant Garde"/>
          <w:bCs/>
        </w:rPr>
        <w:t>Tal como se señaló en el Considerando Segundo</w:t>
      </w:r>
      <w:r w:rsidR="00AF6ED2" w:rsidRPr="00A61D6E">
        <w:rPr>
          <w:rFonts w:ascii="ITC Avant Garde" w:hAnsi="ITC Avant Garde"/>
          <w:bCs/>
        </w:rPr>
        <w:t>, la Condición 2.1. “</w:t>
      </w:r>
      <w:r w:rsidR="00AF6ED2" w:rsidRPr="00A61D6E">
        <w:rPr>
          <w:rFonts w:ascii="ITC Avant Garde" w:hAnsi="ITC Avant Garde"/>
          <w:bCs/>
          <w:i/>
        </w:rPr>
        <w:t>Servicios Adicionales</w:t>
      </w:r>
      <w:r w:rsidR="00AF6ED2" w:rsidRPr="00A61D6E">
        <w:rPr>
          <w:rFonts w:ascii="ITC Avant Garde" w:hAnsi="ITC Avant Garde"/>
          <w:bCs/>
        </w:rPr>
        <w:t xml:space="preserve">” de las Concesiones de Bandas estableció </w:t>
      </w:r>
      <w:r w:rsidR="00643C2B" w:rsidRPr="00D032CA">
        <w:rPr>
          <w:rFonts w:ascii="ITC Avant Garde" w:hAnsi="ITC Avant Garde"/>
          <w:bCs/>
        </w:rPr>
        <w:t xml:space="preserve">que </w:t>
      </w:r>
      <w:r w:rsidR="00643C2B">
        <w:rPr>
          <w:rFonts w:ascii="ITC Avant Garde" w:hAnsi="ITC Avant Garde"/>
          <w:bCs/>
          <w:color w:val="000000"/>
          <w:lang w:eastAsia="es-MX"/>
        </w:rPr>
        <w:t>los CC. Adrián Esper Cárdenas y Alfonso Esper Cárdenas</w:t>
      </w:r>
      <w:r w:rsidR="00643C2B" w:rsidRPr="002469AA">
        <w:rPr>
          <w:rFonts w:ascii="ITC Avant Garde" w:hAnsi="ITC Avant Garde" w:cs="Arial"/>
          <w:bCs/>
          <w:color w:val="000000"/>
          <w:shd w:val="clear" w:color="auto" w:fill="FFFFFF"/>
        </w:rPr>
        <w:t>,</w:t>
      </w:r>
      <w:r w:rsidR="00643C2B" w:rsidRPr="00D032CA">
        <w:rPr>
          <w:rFonts w:ascii="ITC Avant Garde" w:hAnsi="ITC Avant Garde"/>
          <w:bCs/>
        </w:rPr>
        <w:t xml:space="preserve"> debería</w:t>
      </w:r>
      <w:r w:rsidR="00643C2B">
        <w:rPr>
          <w:rFonts w:ascii="ITC Avant Garde" w:hAnsi="ITC Avant Garde"/>
          <w:bCs/>
        </w:rPr>
        <w:t>n</w:t>
      </w:r>
      <w:r w:rsidR="00643C2B" w:rsidRPr="00D032CA">
        <w:rPr>
          <w:rFonts w:ascii="ITC Avant Garde" w:hAnsi="ITC Avant Garde"/>
          <w:bCs/>
        </w:rPr>
        <w:t>, a más tardar el 31 de diciembre de 2016, entre otras</w:t>
      </w:r>
      <w:r w:rsidR="00AF6ED2" w:rsidRPr="00A61D6E">
        <w:rPr>
          <w:rFonts w:ascii="ITC Avant Garde" w:hAnsi="ITC Avant Garde"/>
          <w:bCs/>
        </w:rPr>
        <w:t xml:space="preserve">, obtener autorización para prestar servicios adicionales a los previstos en dichas concesiones, a efecto de estar prestando efectivamente servicios de acceso inalámbrico. </w:t>
      </w:r>
    </w:p>
    <w:p w:rsidR="00850C3A" w:rsidRDefault="00AF6ED2"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No obstante, dicha Condición también señalaba que el plazo </w:t>
      </w:r>
      <w:r w:rsidR="00FB580D" w:rsidRPr="00A61D6E">
        <w:rPr>
          <w:rFonts w:ascii="ITC Avant Garde" w:hAnsi="ITC Avant Garde"/>
          <w:bCs/>
        </w:rPr>
        <w:t>referido</w:t>
      </w:r>
      <w:r w:rsidRPr="00A61D6E">
        <w:rPr>
          <w:rFonts w:ascii="ITC Avant Garde" w:hAnsi="ITC Avant Garde"/>
          <w:bCs/>
        </w:rPr>
        <w:t xml:space="preserve"> anteriormente podría ampliarse hasta por un año más por única ocasión, </w:t>
      </w:r>
      <w:r w:rsidR="00757A9D">
        <w:rPr>
          <w:rFonts w:ascii="ITC Avant Garde" w:hAnsi="ITC Avant Garde"/>
          <w:bCs/>
        </w:rPr>
        <w:t xml:space="preserve">una vez realizada la </w:t>
      </w:r>
      <w:r w:rsidRPr="00A61D6E">
        <w:rPr>
          <w:rFonts w:ascii="ITC Avant Garde" w:hAnsi="ITC Avant Garde"/>
          <w:bCs/>
        </w:rPr>
        <w:t>solicitud del concesionario y aprobación del Instituto</w:t>
      </w:r>
      <w:r w:rsidR="00FB580D" w:rsidRPr="00A61D6E">
        <w:rPr>
          <w:rFonts w:ascii="ITC Avant Garde" w:hAnsi="ITC Avant Garde"/>
          <w:bCs/>
        </w:rPr>
        <w:t>;</w:t>
      </w:r>
      <w:r w:rsidRPr="00A61D6E">
        <w:rPr>
          <w:rFonts w:ascii="ITC Avant Garde" w:hAnsi="ITC Avant Garde"/>
          <w:bCs/>
        </w:rPr>
        <w:t xml:space="preserve"> supuesto que se actualiz</w:t>
      </w:r>
      <w:r w:rsidR="00F331E7">
        <w:rPr>
          <w:rFonts w:ascii="ITC Avant Garde" w:hAnsi="ITC Avant Garde"/>
          <w:bCs/>
        </w:rPr>
        <w:t>ó con el oficio IFT/223/UCS/253</w:t>
      </w:r>
      <w:r w:rsidR="009C77AA">
        <w:rPr>
          <w:rFonts w:ascii="ITC Avant Garde" w:hAnsi="ITC Avant Garde"/>
          <w:bCs/>
        </w:rPr>
        <w:t>9</w:t>
      </w:r>
      <w:r w:rsidRPr="00A61D6E">
        <w:rPr>
          <w:rFonts w:ascii="ITC Avant Garde" w:hAnsi="ITC Avant Garde"/>
          <w:bCs/>
        </w:rPr>
        <w:t>/2016</w:t>
      </w:r>
      <w:r w:rsidRPr="00A61D6E">
        <w:rPr>
          <w:rFonts w:ascii="ITC Avant Garde" w:hAnsi="ITC Avant Garde"/>
          <w:b/>
          <w:bCs/>
        </w:rPr>
        <w:t xml:space="preserve"> </w:t>
      </w:r>
      <w:r w:rsidRPr="00A61D6E">
        <w:rPr>
          <w:rFonts w:ascii="ITC Avant Garde" w:hAnsi="ITC Avant Garde"/>
          <w:bCs/>
        </w:rPr>
        <w:t xml:space="preserve">de fecha 24 de noviembre de 2016, mediante el cual el Instituto autorizó </w:t>
      </w:r>
      <w:r w:rsidR="009C77AA">
        <w:rPr>
          <w:rFonts w:ascii="ITC Avant Garde" w:hAnsi="ITC Avant Garde"/>
          <w:bCs/>
        </w:rPr>
        <w:t xml:space="preserve">a </w:t>
      </w:r>
      <w:r w:rsidR="009C77AA">
        <w:rPr>
          <w:rFonts w:ascii="ITC Avant Garde" w:hAnsi="ITC Avant Garde"/>
          <w:bCs/>
          <w:color w:val="000000"/>
          <w:lang w:eastAsia="es-MX"/>
        </w:rPr>
        <w:t xml:space="preserve">los CC. Adrián Esper Cárdenas y Alfonso Esper Cárdenas </w:t>
      </w:r>
      <w:r w:rsidR="009C77AA" w:rsidRPr="00D032CA">
        <w:rPr>
          <w:rFonts w:ascii="ITC Avant Garde" w:hAnsi="ITC Avant Garde"/>
          <w:bCs/>
        </w:rPr>
        <w:t xml:space="preserve">la ampliación del plazo solicitado, resolviendo que </w:t>
      </w:r>
      <w:r w:rsidR="009C77AA">
        <w:rPr>
          <w:rFonts w:ascii="ITC Avant Garde" w:hAnsi="ITC Avant Garde"/>
          <w:bCs/>
        </w:rPr>
        <w:t>dichos concesionarios</w:t>
      </w:r>
      <w:r w:rsidR="009C77AA" w:rsidRPr="00D032CA">
        <w:rPr>
          <w:rFonts w:ascii="ITC Avant Garde" w:hAnsi="ITC Avant Garde"/>
          <w:bCs/>
        </w:rPr>
        <w:t xml:space="preserve"> debería</w:t>
      </w:r>
      <w:r w:rsidR="009C77AA">
        <w:rPr>
          <w:rFonts w:ascii="ITC Avant Garde" w:hAnsi="ITC Avant Garde"/>
          <w:bCs/>
        </w:rPr>
        <w:t>n</w:t>
      </w:r>
      <w:r w:rsidR="00FB580D" w:rsidRPr="006C3758">
        <w:rPr>
          <w:rFonts w:ascii="ITC Avant Garde" w:hAnsi="ITC Avant Garde"/>
        </w:rPr>
        <w:t>, entre otras cosas, obtener autorización del Instituto para prestar servicios adicionales a los previstos en las Concesiones de Bandas</w:t>
      </w:r>
      <w:r w:rsidR="006C3758" w:rsidRPr="006C3758">
        <w:rPr>
          <w:rFonts w:ascii="ITC Avant Garde" w:hAnsi="ITC Avant Garde"/>
        </w:rPr>
        <w:t>, a efecto de estar prestando efectivamente servicios de acceso inalámbrico.</w:t>
      </w:r>
      <w:r w:rsidRPr="00A61D6E">
        <w:rPr>
          <w:rFonts w:ascii="ITC Avant Garde" w:hAnsi="ITC Avant Garde"/>
          <w:color w:val="000000"/>
          <w:lang w:eastAsia="es-MX"/>
        </w:rPr>
        <w:t xml:space="preserve"> </w:t>
      </w:r>
    </w:p>
    <w:p w:rsidR="00850C3A" w:rsidRDefault="00FB580D" w:rsidP="00850C3A">
      <w:pPr>
        <w:spacing w:afterLines="120" w:after="288" w:line="240" w:lineRule="auto"/>
        <w:jc w:val="both"/>
        <w:rPr>
          <w:rFonts w:ascii="ITC Avant Garde" w:hAnsi="ITC Avant Garde"/>
          <w:bCs/>
        </w:rPr>
      </w:pPr>
      <w:r w:rsidRPr="00A61D6E">
        <w:rPr>
          <w:rFonts w:ascii="ITC Avant Garde" w:hAnsi="ITC Avant Garde"/>
          <w:bCs/>
        </w:rPr>
        <w:t>En cumplimiento a lo an</w:t>
      </w:r>
      <w:r w:rsidR="00520F32">
        <w:rPr>
          <w:rFonts w:ascii="ITC Avant Garde" w:hAnsi="ITC Avant Garde"/>
          <w:bCs/>
        </w:rPr>
        <w:t xml:space="preserve">terior, tal como se indicó en </w:t>
      </w:r>
      <w:r w:rsidR="00BA3C94">
        <w:rPr>
          <w:rFonts w:ascii="ITC Avant Garde" w:hAnsi="ITC Avant Garde"/>
          <w:bCs/>
        </w:rPr>
        <w:t>el</w:t>
      </w:r>
      <w:r w:rsidRPr="00A61D6E">
        <w:rPr>
          <w:rFonts w:ascii="ITC Avant Garde" w:hAnsi="ITC Avant Garde"/>
          <w:bCs/>
        </w:rPr>
        <w:t xml:space="preserve"> Antecedente</w:t>
      </w:r>
      <w:r w:rsidR="00F331E7">
        <w:rPr>
          <w:rFonts w:ascii="ITC Avant Garde" w:hAnsi="ITC Avant Garde"/>
          <w:bCs/>
        </w:rPr>
        <w:t xml:space="preserve"> </w:t>
      </w:r>
      <w:r w:rsidR="005E2514">
        <w:rPr>
          <w:rFonts w:ascii="ITC Avant Garde" w:hAnsi="ITC Avant Garde"/>
          <w:bCs/>
        </w:rPr>
        <w:t>VIII</w:t>
      </w:r>
      <w:r w:rsidRPr="00A61D6E">
        <w:rPr>
          <w:rFonts w:ascii="ITC Avant Garde" w:hAnsi="ITC Avant Garde"/>
          <w:bCs/>
        </w:rPr>
        <w:t xml:space="preserve"> de la presente Resolución, </w:t>
      </w:r>
      <w:r w:rsidR="00BA3C94">
        <w:rPr>
          <w:rFonts w:ascii="ITC Avant Garde" w:hAnsi="ITC Avant Garde"/>
          <w:bCs/>
        </w:rPr>
        <w:t>el 29 de septiembre</w:t>
      </w:r>
      <w:r w:rsidR="00F331E7" w:rsidRPr="00DE559F">
        <w:rPr>
          <w:rFonts w:ascii="ITC Avant Garde" w:hAnsi="ITC Avant Garde"/>
          <w:color w:val="000000"/>
          <w:lang w:eastAsia="es-MX"/>
        </w:rPr>
        <w:t xml:space="preserve"> </w:t>
      </w:r>
      <w:r w:rsidR="00F331E7">
        <w:rPr>
          <w:rFonts w:ascii="ITC Avant Garde" w:hAnsi="ITC Avant Garde"/>
          <w:color w:val="000000"/>
          <w:lang w:eastAsia="es-MX"/>
        </w:rPr>
        <w:t>de</w:t>
      </w:r>
      <w:r w:rsidR="00F331E7">
        <w:rPr>
          <w:rFonts w:ascii="ITC Avant Garde" w:hAnsi="ITC Avant Garde"/>
        </w:rPr>
        <w:t xml:space="preserve"> 2017,</w:t>
      </w:r>
      <w:r w:rsidRPr="00A61D6E">
        <w:rPr>
          <w:rFonts w:ascii="ITC Avant Garde" w:hAnsi="ITC Avant Garde"/>
        </w:rPr>
        <w:t xml:space="preserve"> </w:t>
      </w:r>
      <w:r w:rsidR="00553013">
        <w:rPr>
          <w:rFonts w:ascii="ITC Avant Garde" w:hAnsi="ITC Avant Garde"/>
          <w:bCs/>
          <w:color w:val="000000"/>
          <w:lang w:eastAsia="es-MX"/>
        </w:rPr>
        <w:t>los CC. Adrián Esper Cárdenas y Alfonso Esper Cárdenas,</w:t>
      </w:r>
      <w:r w:rsidR="00553013" w:rsidRPr="005B771E">
        <w:rPr>
          <w:rFonts w:ascii="ITC Avant Garde" w:hAnsi="ITC Avant Garde"/>
          <w:bCs/>
          <w:color w:val="000000"/>
          <w:lang w:eastAsia="es-MX"/>
        </w:rPr>
        <w:t xml:space="preserve"> </w:t>
      </w:r>
      <w:r w:rsidR="00553013" w:rsidRPr="002469AA">
        <w:rPr>
          <w:rFonts w:ascii="ITC Avant Garde" w:hAnsi="ITC Avant Garde" w:cs="Arial"/>
          <w:bCs/>
          <w:color w:val="000000"/>
          <w:shd w:val="clear" w:color="auto" w:fill="FFFFFF"/>
        </w:rPr>
        <w:t>por conducto de su representante legal,</w:t>
      </w:r>
      <w:r w:rsidR="00553013">
        <w:rPr>
          <w:rFonts w:ascii="ITC Avant Garde" w:hAnsi="ITC Avant Garde" w:cs="Arial"/>
          <w:bCs/>
          <w:color w:val="000000"/>
          <w:shd w:val="clear" w:color="auto" w:fill="FFFFFF"/>
        </w:rPr>
        <w:t xml:space="preserve"> </w:t>
      </w:r>
      <w:r w:rsidR="00553013">
        <w:rPr>
          <w:rFonts w:ascii="ITC Avant Garde" w:hAnsi="ITC Avant Garde"/>
          <w:color w:val="000000"/>
          <w:lang w:eastAsia="es-MX"/>
        </w:rPr>
        <w:t>presentaron</w:t>
      </w:r>
      <w:r w:rsidRPr="00A61D6E">
        <w:rPr>
          <w:rFonts w:ascii="ITC Avant Garde" w:hAnsi="ITC Avant Garde"/>
          <w:color w:val="000000"/>
          <w:lang w:eastAsia="es-MX"/>
        </w:rPr>
        <w:t xml:space="preserve"> </w:t>
      </w:r>
      <w:r w:rsidR="00553013">
        <w:rPr>
          <w:rFonts w:ascii="ITC Avant Garde" w:hAnsi="ITC Avant Garde"/>
        </w:rPr>
        <w:t>la S</w:t>
      </w:r>
      <w:r w:rsidRPr="00A61D6E">
        <w:rPr>
          <w:rFonts w:ascii="ITC Avant Garde" w:hAnsi="ITC Avant Garde"/>
        </w:rPr>
        <w:t xml:space="preserve">olicitud de </w:t>
      </w:r>
      <w:r w:rsidR="00553013">
        <w:rPr>
          <w:rFonts w:ascii="ITC Avant Garde" w:hAnsi="ITC Avant Garde"/>
        </w:rPr>
        <w:t>Servicios A</w:t>
      </w:r>
      <w:r w:rsidRPr="00A61D6E">
        <w:rPr>
          <w:rFonts w:ascii="ITC Avant Garde" w:hAnsi="ITC Avant Garde"/>
        </w:rPr>
        <w:t xml:space="preserve">dicionales, </w:t>
      </w:r>
      <w:r w:rsidR="00142818" w:rsidRPr="00A61D6E">
        <w:rPr>
          <w:rFonts w:ascii="ITC Avant Garde" w:hAnsi="ITC Avant Garde"/>
        </w:rPr>
        <w:t>a la que le</w:t>
      </w:r>
      <w:r w:rsidR="00553013">
        <w:rPr>
          <w:rFonts w:ascii="ITC Avant Garde" w:hAnsi="ITC Avant Garde"/>
        </w:rPr>
        <w:t xml:space="preserve"> es</w:t>
      </w:r>
      <w:r w:rsidR="00142818" w:rsidRPr="00A61D6E">
        <w:rPr>
          <w:rFonts w:ascii="ITC Avant Garde" w:hAnsi="ITC Avant Garde"/>
        </w:rPr>
        <w:t xml:space="preserve"> aplicable</w:t>
      </w:r>
      <w:r w:rsidRPr="00A61D6E">
        <w:rPr>
          <w:rFonts w:ascii="ITC Avant Garde" w:hAnsi="ITC Avant Garde"/>
        </w:rPr>
        <w:t xml:space="preserve"> los</w:t>
      </w:r>
      <w:r w:rsidR="009F36E7" w:rsidRPr="00A61D6E">
        <w:rPr>
          <w:rFonts w:ascii="ITC Avant Garde" w:hAnsi="ITC Avant Garde"/>
          <w:bCs/>
        </w:rPr>
        <w:t xml:space="preserve"> requisitos señalados en el</w:t>
      </w:r>
      <w:r w:rsidRPr="00A61D6E">
        <w:rPr>
          <w:rFonts w:ascii="ITC Avant Garde" w:hAnsi="ITC Avant Garde"/>
          <w:bCs/>
        </w:rPr>
        <w:t xml:space="preserve"> numeral II de los Lineamientos. Para lo anterior, </w:t>
      </w:r>
      <w:r w:rsidR="009F36E7" w:rsidRPr="00A61D6E">
        <w:rPr>
          <w:rFonts w:ascii="ITC Avant Garde" w:hAnsi="ITC Avant Garde"/>
          <w:bCs/>
        </w:rPr>
        <w:t>la Unidad de Concesiones y Servicios, a través de la Dirección General de Concesiones de Telec</w:t>
      </w:r>
      <w:r w:rsidR="00892768">
        <w:rPr>
          <w:rFonts w:ascii="ITC Avant Garde" w:hAnsi="ITC Avant Garde"/>
          <w:bCs/>
        </w:rPr>
        <w:t>omunicaciones, revisó y evaluó tal so</w:t>
      </w:r>
      <w:r w:rsidR="009F36E7" w:rsidRPr="00A61D6E">
        <w:rPr>
          <w:rFonts w:ascii="ITC Avant Garde" w:hAnsi="ITC Avant Garde"/>
          <w:bCs/>
        </w:rPr>
        <w:t xml:space="preserve">licitud de </w:t>
      </w:r>
      <w:r w:rsidR="00892768">
        <w:rPr>
          <w:rFonts w:ascii="ITC Avant Garde" w:hAnsi="ITC Avant Garde"/>
          <w:bCs/>
        </w:rPr>
        <w:t>s</w:t>
      </w:r>
      <w:r w:rsidR="00D82F2A" w:rsidRPr="00A61D6E">
        <w:rPr>
          <w:rFonts w:ascii="ITC Avant Garde" w:hAnsi="ITC Avant Garde"/>
          <w:bCs/>
        </w:rPr>
        <w:t>ervicio</w:t>
      </w:r>
      <w:r w:rsidRPr="00A61D6E">
        <w:rPr>
          <w:rFonts w:ascii="ITC Avant Garde" w:hAnsi="ITC Avant Garde"/>
          <w:bCs/>
        </w:rPr>
        <w:t>s</w:t>
      </w:r>
      <w:r w:rsidR="00D82F2A" w:rsidRPr="00A61D6E">
        <w:rPr>
          <w:rFonts w:ascii="ITC Avant Garde" w:hAnsi="ITC Avant Garde"/>
          <w:bCs/>
        </w:rPr>
        <w:t xml:space="preserve"> </w:t>
      </w:r>
      <w:r w:rsidR="00892768">
        <w:rPr>
          <w:rFonts w:ascii="ITC Avant Garde" w:hAnsi="ITC Avant Garde"/>
          <w:bCs/>
        </w:rPr>
        <w:t>a</w:t>
      </w:r>
      <w:r w:rsidR="00D82F2A" w:rsidRPr="00A61D6E">
        <w:rPr>
          <w:rFonts w:ascii="ITC Avant Garde" w:hAnsi="ITC Avant Garde"/>
          <w:bCs/>
        </w:rPr>
        <w:t>dicional</w:t>
      </w:r>
      <w:r w:rsidRPr="00A61D6E">
        <w:rPr>
          <w:rFonts w:ascii="ITC Avant Garde" w:hAnsi="ITC Avant Garde"/>
          <w:bCs/>
        </w:rPr>
        <w:t>es</w:t>
      </w:r>
      <w:r w:rsidR="00D82F2A" w:rsidRPr="00A61D6E">
        <w:rPr>
          <w:rFonts w:ascii="ITC Avant Garde" w:hAnsi="ITC Avant Garde"/>
          <w:bCs/>
        </w:rPr>
        <w:t xml:space="preserve"> </w:t>
      </w:r>
      <w:r w:rsidR="009F36E7" w:rsidRPr="00A61D6E">
        <w:rPr>
          <w:rFonts w:ascii="ITC Avant Garde" w:hAnsi="ITC Avant Garde"/>
          <w:bCs/>
        </w:rPr>
        <w:t xml:space="preserve">observando que la información fue </w:t>
      </w:r>
      <w:r w:rsidR="009807B4" w:rsidRPr="00A61D6E">
        <w:rPr>
          <w:rFonts w:ascii="ITC Avant Garde" w:hAnsi="ITC Avant Garde"/>
          <w:bCs/>
        </w:rPr>
        <w:t>presentada mediante el uso del F</w:t>
      </w:r>
      <w:r w:rsidR="009F36E7" w:rsidRPr="00A61D6E">
        <w:rPr>
          <w:rFonts w:ascii="ITC Avant Garde" w:hAnsi="ITC Avant Garde"/>
          <w:bCs/>
        </w:rPr>
        <w:t xml:space="preserve">ormato </w:t>
      </w:r>
      <w:r w:rsidR="00B51516" w:rsidRPr="00A61D6E">
        <w:rPr>
          <w:rFonts w:ascii="ITC Avant Garde" w:hAnsi="ITC Avant Garde"/>
          <w:bCs/>
        </w:rPr>
        <w:t xml:space="preserve">de </w:t>
      </w:r>
      <w:r w:rsidR="009807B4" w:rsidRPr="00A61D6E">
        <w:rPr>
          <w:rFonts w:ascii="ITC Avant Garde" w:hAnsi="ITC Avant Garde"/>
          <w:bCs/>
        </w:rPr>
        <w:t>S</w:t>
      </w:r>
      <w:r w:rsidR="00B51516" w:rsidRPr="00A61D6E">
        <w:rPr>
          <w:rFonts w:ascii="ITC Avant Garde" w:hAnsi="ITC Avant Garde"/>
          <w:bCs/>
        </w:rPr>
        <w:t xml:space="preserve">olicitud </w:t>
      </w:r>
      <w:r w:rsidR="006E5BF4" w:rsidRPr="00A61D6E">
        <w:rPr>
          <w:rFonts w:ascii="ITC Avant Garde" w:hAnsi="ITC Avant Garde"/>
          <w:bCs/>
        </w:rPr>
        <w:t xml:space="preserve">establecido </w:t>
      </w:r>
      <w:r w:rsidR="00C727D3" w:rsidRPr="00A61D6E">
        <w:rPr>
          <w:rFonts w:ascii="ITC Avant Garde" w:hAnsi="ITC Avant Garde"/>
          <w:bCs/>
        </w:rPr>
        <w:t>en el Anexo I de</w:t>
      </w:r>
      <w:r w:rsidR="006E5BF4" w:rsidRPr="00A61D6E">
        <w:rPr>
          <w:rFonts w:ascii="ITC Avant Garde" w:hAnsi="ITC Avant Garde"/>
          <w:bCs/>
        </w:rPr>
        <w:t xml:space="preserve"> los Lineamientos</w:t>
      </w:r>
      <w:r w:rsidR="009F36E7" w:rsidRPr="00A61D6E">
        <w:rPr>
          <w:rFonts w:ascii="ITC Avant Garde" w:hAnsi="ITC Avant Garde"/>
          <w:bCs/>
        </w:rPr>
        <w:t xml:space="preserve"> y acreditada con la siguiente documentación:</w:t>
      </w:r>
    </w:p>
    <w:p w:rsidR="002959C1" w:rsidRPr="00A61D6E" w:rsidRDefault="009807B4" w:rsidP="00850C3A">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Formato de Solicitud</w:t>
      </w:r>
      <w:r w:rsidR="002959C1" w:rsidRPr="00A61D6E">
        <w:rPr>
          <w:rFonts w:ascii="ITC Avant Garde" w:hAnsi="ITC Avant Garde"/>
          <w:b/>
          <w:bCs/>
          <w:sz w:val="22"/>
          <w:szCs w:val="22"/>
          <w:lang w:val="es-MX"/>
        </w:rPr>
        <w:t>.</w:t>
      </w:r>
    </w:p>
    <w:p w:rsidR="00850C3A" w:rsidRDefault="00553013" w:rsidP="00850C3A">
      <w:pPr>
        <w:autoSpaceDE w:val="0"/>
        <w:autoSpaceDN w:val="0"/>
        <w:adjustRightInd w:val="0"/>
        <w:spacing w:afterLines="120" w:after="288" w:line="240" w:lineRule="auto"/>
        <w:ind w:left="708"/>
        <w:jc w:val="both"/>
        <w:rPr>
          <w:rFonts w:ascii="ITC Avant Garde" w:hAnsi="ITC Avant Garde"/>
          <w:bCs/>
        </w:rPr>
      </w:pPr>
      <w:r>
        <w:rPr>
          <w:rFonts w:ascii="ITC Avant Garde" w:hAnsi="ITC Avant Garde"/>
          <w:bCs/>
          <w:color w:val="000000"/>
          <w:lang w:eastAsia="es-MX"/>
        </w:rPr>
        <w:lastRenderedPageBreak/>
        <w:t>Los CC. Adrián Esper Cárdenas y Alfonso Esper Cárdenas</w:t>
      </w:r>
      <w:r>
        <w:rPr>
          <w:rFonts w:ascii="ITC Avant Garde" w:hAnsi="ITC Avant Garde" w:cs="Arial"/>
          <w:bCs/>
          <w:color w:val="000000"/>
          <w:shd w:val="clear" w:color="auto" w:fill="FFFFFF"/>
        </w:rPr>
        <w:t xml:space="preserve"> </w:t>
      </w:r>
      <w:r>
        <w:rPr>
          <w:rFonts w:ascii="ITC Avant Garde" w:hAnsi="ITC Avant Garde"/>
          <w:color w:val="000000"/>
          <w:lang w:eastAsia="es-MX"/>
        </w:rPr>
        <w:t>presentaron</w:t>
      </w:r>
      <w:r w:rsidRPr="00A61D6E">
        <w:rPr>
          <w:rFonts w:ascii="ITC Avant Garde" w:hAnsi="ITC Avant Garde"/>
          <w:bCs/>
          <w:color w:val="000000"/>
          <w:lang w:eastAsia="es-MX"/>
        </w:rPr>
        <w:t xml:space="preserve"> </w:t>
      </w:r>
      <w:r w:rsidR="000B34C1" w:rsidRPr="00A61D6E">
        <w:rPr>
          <w:rFonts w:ascii="ITC Avant Garde" w:hAnsi="ITC Avant Garde"/>
          <w:bCs/>
          <w:color w:val="000000"/>
          <w:lang w:eastAsia="es-MX"/>
        </w:rPr>
        <w:t xml:space="preserve">ante el Instituto </w:t>
      </w:r>
      <w:r w:rsidR="00A030C0">
        <w:rPr>
          <w:rFonts w:ascii="ITC Avant Garde" w:hAnsi="ITC Avant Garde"/>
          <w:bCs/>
          <w:color w:val="000000"/>
          <w:lang w:eastAsia="es-MX"/>
        </w:rPr>
        <w:t>la Solicitud de Servicio Adicional, señalada</w:t>
      </w:r>
      <w:r w:rsidR="002541C4">
        <w:rPr>
          <w:rFonts w:ascii="ITC Avant Garde" w:hAnsi="ITC Avant Garde"/>
          <w:bCs/>
          <w:color w:val="000000"/>
          <w:lang w:eastAsia="es-MX"/>
        </w:rPr>
        <w:t xml:space="preserve"> en </w:t>
      </w:r>
      <w:r w:rsidR="00A030C0">
        <w:rPr>
          <w:rFonts w:ascii="ITC Avant Garde" w:hAnsi="ITC Avant Garde"/>
          <w:bCs/>
          <w:color w:val="000000"/>
          <w:lang w:eastAsia="es-MX"/>
        </w:rPr>
        <w:t>el</w:t>
      </w:r>
      <w:r w:rsidR="002541C4" w:rsidRPr="00A61D6E">
        <w:rPr>
          <w:rFonts w:ascii="ITC Avant Garde" w:hAnsi="ITC Avant Garde"/>
          <w:bCs/>
        </w:rPr>
        <w:t xml:space="preserve"> Antecedente</w:t>
      </w:r>
      <w:r w:rsidR="002541C4">
        <w:rPr>
          <w:rFonts w:ascii="ITC Avant Garde" w:hAnsi="ITC Avant Garde"/>
          <w:bCs/>
        </w:rPr>
        <w:t xml:space="preserve"> VIII</w:t>
      </w:r>
      <w:r w:rsidR="002541C4" w:rsidRPr="00A61D6E">
        <w:rPr>
          <w:rFonts w:ascii="ITC Avant Garde" w:hAnsi="ITC Avant Garde"/>
          <w:bCs/>
        </w:rPr>
        <w:t xml:space="preserve"> de la presente Resolución</w:t>
      </w:r>
      <w:r w:rsidR="002541C4">
        <w:rPr>
          <w:rFonts w:ascii="ITC Avant Garde" w:hAnsi="ITC Avant Garde"/>
          <w:bCs/>
        </w:rPr>
        <w:t>,</w:t>
      </w:r>
      <w:r w:rsidR="002541C4">
        <w:rPr>
          <w:rFonts w:ascii="ITC Avant Garde" w:hAnsi="ITC Avant Garde"/>
          <w:bCs/>
          <w:color w:val="000000"/>
          <w:lang w:eastAsia="es-MX"/>
        </w:rPr>
        <w:t xml:space="preserve"> </w:t>
      </w:r>
      <w:r w:rsidR="000B34C1" w:rsidRPr="00A61D6E">
        <w:rPr>
          <w:rFonts w:ascii="ITC Avant Garde" w:hAnsi="ITC Avant Garde"/>
          <w:bCs/>
          <w:color w:val="000000"/>
          <w:lang w:eastAsia="es-MX"/>
        </w:rPr>
        <w:t xml:space="preserve">en el formato establecido para tal efecto, por lo que dicho requisito se tiene por cumplido. </w:t>
      </w:r>
    </w:p>
    <w:p w:rsidR="002959C1" w:rsidRPr="00A61D6E" w:rsidRDefault="00A6027A" w:rsidP="00850C3A">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Especificaciones técnicas</w:t>
      </w:r>
      <w:r w:rsidR="002959C1" w:rsidRPr="00A61D6E">
        <w:rPr>
          <w:rFonts w:ascii="ITC Avant Garde" w:hAnsi="ITC Avant Garde"/>
          <w:b/>
          <w:bCs/>
          <w:sz w:val="22"/>
          <w:szCs w:val="22"/>
          <w:lang w:val="es-MX"/>
        </w:rPr>
        <w:t>.</w:t>
      </w:r>
    </w:p>
    <w:p w:rsidR="00850C3A" w:rsidRDefault="00553013" w:rsidP="00850C3A">
      <w:pPr>
        <w:autoSpaceDE w:val="0"/>
        <w:autoSpaceDN w:val="0"/>
        <w:adjustRightInd w:val="0"/>
        <w:spacing w:afterLines="120" w:after="288" w:line="240" w:lineRule="auto"/>
        <w:ind w:left="708"/>
        <w:jc w:val="both"/>
        <w:rPr>
          <w:rFonts w:ascii="ITC Avant Garde" w:hAnsi="ITC Avant Garde"/>
          <w:bCs/>
        </w:rPr>
      </w:pPr>
      <w:r>
        <w:rPr>
          <w:rFonts w:ascii="ITC Avant Garde" w:hAnsi="ITC Avant Garde"/>
          <w:bCs/>
          <w:color w:val="000000"/>
          <w:lang w:eastAsia="es-MX"/>
        </w:rPr>
        <w:t>Los CC. Adrián Esper Cárdenas y Alfonso Esper Cárdenas</w:t>
      </w:r>
      <w:r>
        <w:rPr>
          <w:rFonts w:ascii="ITC Avant Garde" w:hAnsi="ITC Avant Garde" w:cs="Arial"/>
          <w:bCs/>
          <w:color w:val="000000"/>
          <w:shd w:val="clear" w:color="auto" w:fill="FFFFFF"/>
        </w:rPr>
        <w:t xml:space="preserve"> </w:t>
      </w:r>
      <w:r>
        <w:rPr>
          <w:rFonts w:ascii="ITC Avant Garde" w:hAnsi="ITC Avant Garde"/>
          <w:color w:val="000000"/>
          <w:lang w:eastAsia="es-MX"/>
        </w:rPr>
        <w:t>presentaron</w:t>
      </w:r>
      <w:r w:rsidR="00FF01A6" w:rsidRPr="00A61D6E">
        <w:rPr>
          <w:rFonts w:ascii="ITC Avant Garde" w:hAnsi="ITC Avant Garde"/>
          <w:color w:val="000000"/>
          <w:lang w:eastAsia="es-MX"/>
        </w:rPr>
        <w:t xml:space="preserve"> las </w:t>
      </w:r>
      <w:r w:rsidR="00FF01A6" w:rsidRPr="00A61D6E">
        <w:rPr>
          <w:rFonts w:ascii="ITC Avant Garde" w:hAnsi="ITC Avant Garde"/>
          <w:bCs/>
        </w:rPr>
        <w:t xml:space="preserve">especificaciones técnicas del servicio que pretende prestar, </w:t>
      </w:r>
      <w:r w:rsidR="00FF4143">
        <w:rPr>
          <w:rFonts w:ascii="ITC Avant Garde" w:hAnsi="ITC Avant Garde"/>
          <w:bCs/>
        </w:rPr>
        <w:t>el cual c</w:t>
      </w:r>
      <w:r w:rsidR="003D3B2F" w:rsidRPr="00A61D6E">
        <w:rPr>
          <w:rFonts w:ascii="ITC Avant Garde" w:hAnsi="ITC Avant Garde"/>
          <w:bCs/>
        </w:rPr>
        <w:t>onsiste en el servicio de acceso inalámbrico de</w:t>
      </w:r>
      <w:r w:rsidR="00FF4143">
        <w:rPr>
          <w:rFonts w:ascii="ITC Avant Garde" w:hAnsi="ITC Avant Garde"/>
          <w:bCs/>
        </w:rPr>
        <w:t>finido</w:t>
      </w:r>
      <w:r w:rsidR="003D3B2F" w:rsidRPr="00A61D6E">
        <w:rPr>
          <w:rFonts w:ascii="ITC Avant Garde" w:hAnsi="ITC Avant Garde"/>
          <w:bCs/>
        </w:rPr>
        <w:t xml:space="preserve"> en la Condición 1.1.5. de las Concesiones de Bandas como el enlace radioeléctrico bidireccional para la prestación de cualquier servicio de telecomunicaciones terrestre, salvo radiodifusión, conforme al Cuadro Nacional de Atribución de Frecue</w:t>
      </w:r>
      <w:r w:rsidR="00414EEE">
        <w:rPr>
          <w:rFonts w:ascii="ITC Avant Garde" w:hAnsi="ITC Avant Garde"/>
          <w:bCs/>
        </w:rPr>
        <w:t>ncias y podrá ser fijo, móvil o</w:t>
      </w:r>
      <w:r w:rsidR="003D3B2F" w:rsidRPr="00A61D6E">
        <w:rPr>
          <w:rFonts w:ascii="ITC Avant Garde" w:hAnsi="ITC Avant Garde"/>
          <w:bCs/>
        </w:rPr>
        <w:t xml:space="preserve"> en ambas modalidades.</w:t>
      </w:r>
      <w:r w:rsidR="00992080" w:rsidRPr="00A61D6E">
        <w:rPr>
          <w:rFonts w:ascii="ITC Avant Garde" w:hAnsi="ITC Avant Garde"/>
          <w:bCs/>
        </w:rPr>
        <w:t xml:space="preserve"> </w:t>
      </w:r>
    </w:p>
    <w:p w:rsidR="00850C3A" w:rsidRDefault="00992080" w:rsidP="00850C3A">
      <w:pPr>
        <w:autoSpaceDE w:val="0"/>
        <w:autoSpaceDN w:val="0"/>
        <w:adjustRightInd w:val="0"/>
        <w:spacing w:afterLines="120" w:after="288" w:line="240" w:lineRule="auto"/>
        <w:ind w:left="708"/>
        <w:jc w:val="both"/>
        <w:rPr>
          <w:rFonts w:ascii="ITC Avant Garde" w:hAnsi="ITC Avant Garde"/>
          <w:bCs/>
        </w:rPr>
      </w:pPr>
      <w:r w:rsidRPr="0032614D">
        <w:rPr>
          <w:rFonts w:ascii="ITC Avant Garde" w:hAnsi="ITC Avant Garde"/>
          <w:bCs/>
        </w:rPr>
        <w:t xml:space="preserve">Asimismo, </w:t>
      </w:r>
      <w:r w:rsidR="00553013">
        <w:rPr>
          <w:rFonts w:ascii="ITC Avant Garde" w:hAnsi="ITC Avant Garde"/>
          <w:bCs/>
          <w:color w:val="000000"/>
          <w:lang w:eastAsia="es-MX"/>
        </w:rPr>
        <w:t>los CC. Adrián Esper Cárdenas y Alfonso Esper Cárdenas</w:t>
      </w:r>
      <w:r w:rsidR="00553013">
        <w:rPr>
          <w:rFonts w:ascii="ITC Avant Garde" w:hAnsi="ITC Avant Garde" w:cs="Arial"/>
          <w:bCs/>
          <w:color w:val="000000"/>
          <w:shd w:val="clear" w:color="auto" w:fill="FFFFFF"/>
        </w:rPr>
        <w:t xml:space="preserve"> </w:t>
      </w:r>
      <w:r w:rsidR="00553013">
        <w:rPr>
          <w:rFonts w:ascii="ITC Avant Garde" w:hAnsi="ITC Avant Garde"/>
          <w:color w:val="000000"/>
          <w:lang w:eastAsia="es-MX"/>
        </w:rPr>
        <w:t>señalaron</w:t>
      </w:r>
      <w:r w:rsidRPr="0032614D">
        <w:rPr>
          <w:rFonts w:ascii="ITC Avant Garde" w:hAnsi="ITC Avant Garde"/>
          <w:bCs/>
        </w:rPr>
        <w:t xml:space="preserve"> que la</w:t>
      </w:r>
      <w:r w:rsidR="0016174F">
        <w:rPr>
          <w:rFonts w:ascii="ITC Avant Garde" w:hAnsi="ITC Avant Garde"/>
          <w:bCs/>
        </w:rPr>
        <w:t>s</w:t>
      </w:r>
      <w:r w:rsidRPr="0032614D">
        <w:rPr>
          <w:rFonts w:ascii="ITC Avant Garde" w:hAnsi="ITC Avant Garde"/>
          <w:bCs/>
        </w:rPr>
        <w:t xml:space="preserve"> banda</w:t>
      </w:r>
      <w:r w:rsidR="0016174F">
        <w:rPr>
          <w:rFonts w:ascii="ITC Avant Garde" w:hAnsi="ITC Avant Garde"/>
          <w:bCs/>
        </w:rPr>
        <w:t>s</w:t>
      </w:r>
      <w:r w:rsidRPr="0032614D">
        <w:rPr>
          <w:rFonts w:ascii="ITC Avant Garde" w:hAnsi="ITC Avant Garde"/>
          <w:bCs/>
        </w:rPr>
        <w:t xml:space="preserve"> de frecuencias que pretende emplear para tal servicio </w:t>
      </w:r>
      <w:r w:rsidR="0016174F">
        <w:rPr>
          <w:rFonts w:ascii="ITC Avant Garde" w:hAnsi="ITC Avant Garde"/>
          <w:bCs/>
        </w:rPr>
        <w:t>son</w:t>
      </w:r>
      <w:r w:rsidRPr="0032614D">
        <w:rPr>
          <w:rFonts w:ascii="ITC Avant Garde" w:hAnsi="ITC Avant Garde"/>
          <w:bCs/>
        </w:rPr>
        <w:t xml:space="preserve"> la</w:t>
      </w:r>
      <w:r w:rsidR="0016174F">
        <w:rPr>
          <w:rFonts w:ascii="ITC Avant Garde" w:hAnsi="ITC Avant Garde"/>
          <w:bCs/>
        </w:rPr>
        <w:t>s</w:t>
      </w:r>
      <w:r w:rsidRPr="0032614D">
        <w:rPr>
          <w:rFonts w:ascii="ITC Avant Garde" w:hAnsi="ITC Avant Garde"/>
          <w:bCs/>
        </w:rPr>
        <w:t xml:space="preserve"> de 2500-2530/2620-2650 MHz, de conformidad con el ancho de banda y la cobertura geográfica autorizados en las Concesio</w:t>
      </w:r>
      <w:r w:rsidR="00007C21" w:rsidRPr="0032614D">
        <w:rPr>
          <w:rFonts w:ascii="ITC Avant Garde" w:hAnsi="ITC Avant Garde"/>
          <w:bCs/>
        </w:rPr>
        <w:t>n</w:t>
      </w:r>
      <w:r w:rsidRPr="0032614D">
        <w:rPr>
          <w:rFonts w:ascii="ITC Avant Garde" w:hAnsi="ITC Avant Garde"/>
          <w:bCs/>
        </w:rPr>
        <w:t>es</w:t>
      </w:r>
      <w:r w:rsidR="00007C21" w:rsidRPr="0032614D">
        <w:rPr>
          <w:rFonts w:ascii="ITC Avant Garde" w:hAnsi="ITC Avant Garde"/>
          <w:bCs/>
        </w:rPr>
        <w:t xml:space="preserve"> de </w:t>
      </w:r>
      <w:r w:rsidR="00F73E54" w:rsidRPr="0032614D">
        <w:rPr>
          <w:rFonts w:ascii="ITC Avant Garde" w:hAnsi="ITC Avant Garde"/>
          <w:bCs/>
        </w:rPr>
        <w:t>Ban</w:t>
      </w:r>
      <w:r w:rsidR="0032614D" w:rsidRPr="0032614D">
        <w:rPr>
          <w:rFonts w:ascii="ITC Avant Garde" w:hAnsi="ITC Avant Garde"/>
          <w:bCs/>
        </w:rPr>
        <w:t xml:space="preserve">das. </w:t>
      </w:r>
      <w:r w:rsidR="00AA731B" w:rsidRPr="0032614D">
        <w:rPr>
          <w:rFonts w:ascii="ITC Avant Garde" w:hAnsi="ITC Avant Garde"/>
          <w:bCs/>
        </w:rPr>
        <w:t>Derivado de lo anterior, este</w:t>
      </w:r>
      <w:r w:rsidR="00AA731B" w:rsidRPr="0032614D">
        <w:rPr>
          <w:rFonts w:ascii="ITC Avant Garde" w:hAnsi="ITC Avant Garde"/>
          <w:bCs/>
          <w:color w:val="000000"/>
          <w:lang w:eastAsia="es-MX"/>
        </w:rPr>
        <w:t xml:space="preserve"> requisito se tiene por cumplido.</w:t>
      </w:r>
      <w:r w:rsidR="00AA731B" w:rsidRPr="00A61D6E">
        <w:rPr>
          <w:rFonts w:ascii="ITC Avant Garde" w:hAnsi="ITC Avant Garde"/>
          <w:bCs/>
          <w:color w:val="000000"/>
          <w:lang w:eastAsia="es-MX"/>
        </w:rPr>
        <w:t xml:space="preserve"> </w:t>
      </w:r>
    </w:p>
    <w:p w:rsidR="00327891" w:rsidRPr="00A61D6E" w:rsidRDefault="00865981" w:rsidP="00850C3A">
      <w:pPr>
        <w:pStyle w:val="Prrafodelista"/>
        <w:numPr>
          <w:ilvl w:val="0"/>
          <w:numId w:val="9"/>
        </w:numPr>
        <w:autoSpaceDE w:val="0"/>
        <w:autoSpaceDN w:val="0"/>
        <w:adjustRightInd w:val="0"/>
        <w:spacing w:afterLines="120" w:after="288"/>
        <w:jc w:val="both"/>
        <w:rPr>
          <w:rFonts w:ascii="ITC Avant Garde" w:hAnsi="ITC Avant Garde"/>
          <w:bCs/>
          <w:lang w:val="es-MX"/>
        </w:rPr>
      </w:pPr>
      <w:r w:rsidRPr="00A61D6E">
        <w:rPr>
          <w:rFonts w:ascii="ITC Avant Garde" w:hAnsi="ITC Avant Garde"/>
          <w:b/>
          <w:bCs/>
          <w:sz w:val="22"/>
          <w:szCs w:val="22"/>
          <w:lang w:val="es-MX"/>
        </w:rPr>
        <w:t>Pago por el análisis de la</w:t>
      </w:r>
      <w:r w:rsidR="00E13F8C">
        <w:rPr>
          <w:rFonts w:ascii="ITC Avant Garde" w:hAnsi="ITC Avant Garde"/>
          <w:b/>
          <w:bCs/>
          <w:sz w:val="22"/>
          <w:szCs w:val="22"/>
          <w:lang w:val="es-MX"/>
        </w:rPr>
        <w:t>s</w:t>
      </w:r>
      <w:r w:rsidR="002541C4">
        <w:rPr>
          <w:rFonts w:ascii="ITC Avant Garde" w:hAnsi="ITC Avant Garde"/>
          <w:b/>
          <w:bCs/>
          <w:sz w:val="22"/>
          <w:szCs w:val="22"/>
          <w:lang w:val="es-MX"/>
        </w:rPr>
        <w:t xml:space="preserve"> s</w:t>
      </w:r>
      <w:r w:rsidRPr="00A61D6E">
        <w:rPr>
          <w:rFonts w:ascii="ITC Avant Garde" w:hAnsi="ITC Avant Garde"/>
          <w:b/>
          <w:bCs/>
          <w:sz w:val="22"/>
          <w:szCs w:val="22"/>
          <w:lang w:val="es-MX"/>
        </w:rPr>
        <w:t>olicitud</w:t>
      </w:r>
      <w:r w:rsidR="00E13F8C">
        <w:rPr>
          <w:rFonts w:ascii="ITC Avant Garde" w:hAnsi="ITC Avant Garde"/>
          <w:b/>
          <w:bCs/>
          <w:sz w:val="22"/>
          <w:szCs w:val="22"/>
          <w:lang w:val="es-MX"/>
        </w:rPr>
        <w:t>es</w:t>
      </w:r>
      <w:r w:rsidR="002541C4">
        <w:rPr>
          <w:rFonts w:ascii="ITC Avant Garde" w:hAnsi="ITC Avant Garde"/>
          <w:b/>
          <w:bCs/>
          <w:sz w:val="22"/>
          <w:szCs w:val="22"/>
          <w:lang w:val="es-MX"/>
        </w:rPr>
        <w:t xml:space="preserve"> de s</w:t>
      </w:r>
      <w:r w:rsidR="009302C5" w:rsidRPr="00A61D6E">
        <w:rPr>
          <w:rFonts w:ascii="ITC Avant Garde" w:hAnsi="ITC Avant Garde"/>
          <w:b/>
          <w:bCs/>
          <w:sz w:val="22"/>
          <w:szCs w:val="22"/>
          <w:lang w:val="es-MX"/>
        </w:rPr>
        <w:t>ervicio</w:t>
      </w:r>
      <w:r w:rsidRPr="00A61D6E">
        <w:rPr>
          <w:rFonts w:ascii="ITC Avant Garde" w:hAnsi="ITC Avant Garde"/>
          <w:b/>
          <w:bCs/>
          <w:sz w:val="22"/>
          <w:szCs w:val="22"/>
          <w:lang w:val="es-MX"/>
        </w:rPr>
        <w:t>s</w:t>
      </w:r>
      <w:r w:rsidR="009302C5" w:rsidRPr="00A61D6E">
        <w:rPr>
          <w:rFonts w:ascii="ITC Avant Garde" w:hAnsi="ITC Avant Garde"/>
          <w:b/>
          <w:bCs/>
          <w:sz w:val="22"/>
          <w:szCs w:val="22"/>
          <w:lang w:val="es-MX"/>
        </w:rPr>
        <w:t xml:space="preserve"> </w:t>
      </w:r>
      <w:r w:rsidR="002541C4">
        <w:rPr>
          <w:rFonts w:ascii="ITC Avant Garde" w:hAnsi="ITC Avant Garde"/>
          <w:b/>
          <w:bCs/>
          <w:sz w:val="22"/>
          <w:szCs w:val="22"/>
          <w:lang w:val="es-MX"/>
        </w:rPr>
        <w:t>a</w:t>
      </w:r>
      <w:r w:rsidR="009302C5" w:rsidRPr="00A61D6E">
        <w:rPr>
          <w:rFonts w:ascii="ITC Avant Garde" w:hAnsi="ITC Avant Garde"/>
          <w:b/>
          <w:bCs/>
          <w:sz w:val="22"/>
          <w:szCs w:val="22"/>
          <w:lang w:val="es-MX"/>
        </w:rPr>
        <w:t>dicional</w:t>
      </w:r>
      <w:r w:rsidRPr="00A61D6E">
        <w:rPr>
          <w:rFonts w:ascii="ITC Avant Garde" w:hAnsi="ITC Avant Garde"/>
          <w:b/>
          <w:bCs/>
          <w:sz w:val="22"/>
          <w:szCs w:val="22"/>
          <w:lang w:val="es-MX"/>
        </w:rPr>
        <w:t>es</w:t>
      </w:r>
      <w:r w:rsidR="002959C1" w:rsidRPr="00A61D6E">
        <w:rPr>
          <w:rFonts w:ascii="ITC Avant Garde" w:hAnsi="ITC Avant Garde"/>
          <w:b/>
          <w:bCs/>
          <w:sz w:val="22"/>
          <w:szCs w:val="22"/>
          <w:lang w:val="es-MX"/>
        </w:rPr>
        <w:t>.</w:t>
      </w:r>
      <w:r w:rsidRPr="00A61D6E">
        <w:rPr>
          <w:rFonts w:ascii="ITC Avant Garde" w:hAnsi="ITC Avant Garde"/>
          <w:b/>
          <w:bCs/>
          <w:sz w:val="22"/>
          <w:szCs w:val="22"/>
          <w:lang w:val="es-MX"/>
        </w:rPr>
        <w:t xml:space="preserve"> </w:t>
      </w:r>
    </w:p>
    <w:p w:rsidR="00850C3A" w:rsidRDefault="00C07793" w:rsidP="00850C3A">
      <w:pPr>
        <w:autoSpaceDE w:val="0"/>
        <w:autoSpaceDN w:val="0"/>
        <w:adjustRightInd w:val="0"/>
        <w:spacing w:afterLines="120" w:after="288" w:line="240" w:lineRule="auto"/>
        <w:ind w:left="708"/>
        <w:jc w:val="both"/>
        <w:rPr>
          <w:rFonts w:ascii="ITC Avant Garde" w:hAnsi="ITC Avant Garde"/>
          <w:bCs/>
        </w:rPr>
      </w:pPr>
      <w:r w:rsidRPr="00A61D6E">
        <w:rPr>
          <w:rFonts w:ascii="ITC Avant Garde" w:hAnsi="ITC Avant Garde"/>
          <w:bCs/>
        </w:rPr>
        <w:t>P</w:t>
      </w:r>
      <w:r w:rsidR="00865981" w:rsidRPr="00A61D6E">
        <w:rPr>
          <w:rFonts w:ascii="ITC Avant Garde" w:hAnsi="ITC Avant Garde"/>
          <w:bCs/>
        </w:rPr>
        <w:t>or lo que hace a los</w:t>
      </w:r>
      <w:r w:rsidRPr="00A61D6E">
        <w:rPr>
          <w:rFonts w:ascii="ITC Avant Garde" w:hAnsi="ITC Avant Garde"/>
          <w:bCs/>
        </w:rPr>
        <w:t xml:space="preserve"> comprobante</w:t>
      </w:r>
      <w:r w:rsidR="00865981" w:rsidRPr="00A61D6E">
        <w:rPr>
          <w:rFonts w:ascii="ITC Avant Garde" w:hAnsi="ITC Avant Garde"/>
          <w:bCs/>
        </w:rPr>
        <w:t>s</w:t>
      </w:r>
      <w:r w:rsidRPr="00A61D6E">
        <w:rPr>
          <w:rFonts w:ascii="ITC Avant Garde" w:hAnsi="ITC Avant Garde"/>
          <w:bCs/>
        </w:rPr>
        <w:t xml:space="preserve"> de pago</w:t>
      </w:r>
      <w:r w:rsidR="00865981" w:rsidRPr="00A61D6E">
        <w:rPr>
          <w:rFonts w:ascii="ITC Avant Garde" w:hAnsi="ITC Avant Garde"/>
          <w:bCs/>
        </w:rPr>
        <w:t xml:space="preserve"> de derechos por concepto del estudio y, en su caso</w:t>
      </w:r>
      <w:r w:rsidR="0090254D" w:rsidRPr="00A61D6E">
        <w:rPr>
          <w:rFonts w:ascii="ITC Avant Garde" w:hAnsi="ITC Avant Garde"/>
          <w:bCs/>
        </w:rPr>
        <w:t>,</w:t>
      </w:r>
      <w:r w:rsidR="00865981" w:rsidRPr="00A61D6E">
        <w:rPr>
          <w:rFonts w:ascii="ITC Avant Garde" w:hAnsi="ITC Avant Garde"/>
          <w:bCs/>
        </w:rPr>
        <w:t xml:space="preserve"> la autorización de las solicitudes de prestación de un servicio adicional para concesiones que hagan uso del espectro radioeléctrico</w:t>
      </w:r>
      <w:r w:rsidR="0090254D" w:rsidRPr="00A61D6E">
        <w:rPr>
          <w:rFonts w:ascii="ITC Avant Garde" w:hAnsi="ITC Avant Garde"/>
          <w:bCs/>
        </w:rPr>
        <w:t>,</w:t>
      </w:r>
      <w:r w:rsidR="00865981" w:rsidRPr="00A61D6E">
        <w:rPr>
          <w:rFonts w:ascii="ITC Avant Garde" w:hAnsi="ITC Avant Garde"/>
          <w:bCs/>
        </w:rPr>
        <w:t xml:space="preserve"> </w:t>
      </w:r>
      <w:r w:rsidR="0061071A">
        <w:rPr>
          <w:rFonts w:ascii="ITC Avant Garde" w:hAnsi="ITC Avant Garde"/>
          <w:bCs/>
          <w:color w:val="000000"/>
          <w:lang w:eastAsia="es-MX"/>
        </w:rPr>
        <w:t>l</w:t>
      </w:r>
      <w:r w:rsidR="00D02078">
        <w:rPr>
          <w:rFonts w:ascii="ITC Avant Garde" w:hAnsi="ITC Avant Garde"/>
          <w:bCs/>
          <w:color w:val="000000"/>
          <w:lang w:eastAsia="es-MX"/>
        </w:rPr>
        <w:t>os CC. Adrián Esper Cárdenas y Alfonso Esper Cárdenas</w:t>
      </w:r>
      <w:r w:rsidR="00D02078">
        <w:rPr>
          <w:rFonts w:ascii="ITC Avant Garde" w:hAnsi="ITC Avant Garde" w:cs="Arial"/>
          <w:bCs/>
          <w:color w:val="000000"/>
          <w:shd w:val="clear" w:color="auto" w:fill="FFFFFF"/>
        </w:rPr>
        <w:t xml:space="preserve"> </w:t>
      </w:r>
      <w:r w:rsidR="00D02078">
        <w:rPr>
          <w:rFonts w:ascii="ITC Avant Garde" w:hAnsi="ITC Avant Garde"/>
          <w:color w:val="000000"/>
          <w:lang w:eastAsia="es-MX"/>
        </w:rPr>
        <w:t>presentaron</w:t>
      </w:r>
      <w:r w:rsidRPr="00A61D6E">
        <w:rPr>
          <w:rFonts w:ascii="ITC Avant Garde" w:hAnsi="ITC Avant Garde"/>
          <w:bCs/>
        </w:rPr>
        <w:t xml:space="preserve"> </w:t>
      </w:r>
      <w:r w:rsidR="00FF4143">
        <w:rPr>
          <w:rFonts w:ascii="ITC Avant Garde" w:hAnsi="ITC Avant Garde"/>
          <w:bCs/>
        </w:rPr>
        <w:t>lo</w:t>
      </w:r>
      <w:r w:rsidR="0090254D" w:rsidRPr="00A61D6E">
        <w:rPr>
          <w:rFonts w:ascii="ITC Avant Garde" w:hAnsi="ITC Avant Garde"/>
          <w:bCs/>
        </w:rPr>
        <w:t>s</w:t>
      </w:r>
      <w:r w:rsidRPr="00A61D6E">
        <w:rPr>
          <w:rFonts w:ascii="ITC Avant Garde" w:hAnsi="ITC Avant Garde"/>
          <w:bCs/>
        </w:rPr>
        <w:t xml:space="preserve"> </w:t>
      </w:r>
      <w:r w:rsidR="0090254D" w:rsidRPr="00A61D6E">
        <w:rPr>
          <w:rFonts w:ascii="ITC Avant Garde" w:hAnsi="ITC Avant Garde"/>
          <w:bCs/>
        </w:rPr>
        <w:t xml:space="preserve">siguientes </w:t>
      </w:r>
      <w:r w:rsidRPr="00A61D6E">
        <w:rPr>
          <w:rFonts w:ascii="ITC Avant Garde" w:hAnsi="ITC Avant Garde"/>
          <w:bCs/>
        </w:rPr>
        <w:t>pago</w:t>
      </w:r>
      <w:r w:rsidR="0090254D" w:rsidRPr="00A61D6E">
        <w:rPr>
          <w:rFonts w:ascii="ITC Avant Garde" w:hAnsi="ITC Avant Garde"/>
          <w:bCs/>
        </w:rPr>
        <w:t>s</w:t>
      </w:r>
      <w:r w:rsidRPr="00A61D6E">
        <w:rPr>
          <w:rFonts w:ascii="ITC Avant Garde" w:hAnsi="ITC Avant Garde"/>
          <w:bCs/>
        </w:rPr>
        <w:t xml:space="preserve"> de derechos</w:t>
      </w:r>
      <w:r w:rsidR="0090254D" w:rsidRPr="00A61D6E">
        <w:rPr>
          <w:rFonts w:ascii="ITC Avant Garde" w:hAnsi="ITC Avant Garde"/>
          <w:bCs/>
        </w:rPr>
        <w:t>, de conformidad co</w:t>
      </w:r>
      <w:r w:rsidR="0090254D" w:rsidRPr="00730896">
        <w:rPr>
          <w:rFonts w:ascii="ITC Avant Garde" w:hAnsi="ITC Avant Garde"/>
          <w:bCs/>
        </w:rPr>
        <w:t>n el artículo 174-C fracción IV de la Ley Federal de Derechos,</w:t>
      </w:r>
      <w:r w:rsidRPr="00730896">
        <w:rPr>
          <w:rFonts w:ascii="ITC Avant Garde" w:hAnsi="ITC Avant Garde"/>
          <w:bCs/>
        </w:rPr>
        <w:t xml:space="preserve"> con número</w:t>
      </w:r>
      <w:r w:rsidR="00B51AF0" w:rsidRPr="00730896">
        <w:rPr>
          <w:rFonts w:ascii="ITC Avant Garde" w:hAnsi="ITC Avant Garde"/>
          <w:bCs/>
        </w:rPr>
        <w:t>s de factura</w:t>
      </w:r>
      <w:r w:rsidR="0090254D" w:rsidRPr="00730896">
        <w:rPr>
          <w:rFonts w:ascii="ITC Avant Garde" w:hAnsi="ITC Avant Garde"/>
          <w:bCs/>
        </w:rPr>
        <w:t>:</w:t>
      </w:r>
      <w:r w:rsidR="00D02078">
        <w:rPr>
          <w:rFonts w:ascii="ITC Avant Garde" w:hAnsi="ITC Avant Garde"/>
          <w:bCs/>
        </w:rPr>
        <w:t xml:space="preserve"> 170009480 </w:t>
      </w:r>
      <w:r w:rsidR="00414EEE" w:rsidRPr="00730896">
        <w:rPr>
          <w:rFonts w:ascii="ITC Avant Garde" w:hAnsi="ITC Avant Garde"/>
          <w:bCs/>
        </w:rPr>
        <w:t>y</w:t>
      </w:r>
      <w:r w:rsidR="00B51AF0" w:rsidRPr="00730896">
        <w:rPr>
          <w:rFonts w:ascii="ITC Avant Garde" w:hAnsi="ITC Avant Garde"/>
          <w:bCs/>
        </w:rPr>
        <w:t xml:space="preserve"> </w:t>
      </w:r>
      <w:r w:rsidR="00004716" w:rsidRPr="00730896">
        <w:rPr>
          <w:rFonts w:ascii="ITC Avant Garde" w:hAnsi="ITC Avant Garde"/>
          <w:bCs/>
        </w:rPr>
        <w:t>17000</w:t>
      </w:r>
      <w:r w:rsidR="00D02078">
        <w:rPr>
          <w:rFonts w:ascii="ITC Avant Garde" w:hAnsi="ITC Avant Garde"/>
          <w:bCs/>
        </w:rPr>
        <w:t>9491</w:t>
      </w:r>
      <w:r w:rsidR="00004716" w:rsidRPr="00730896">
        <w:rPr>
          <w:rFonts w:ascii="ITC Avant Garde" w:hAnsi="ITC Avant Garde"/>
          <w:bCs/>
        </w:rPr>
        <w:t>.</w:t>
      </w:r>
      <w:r w:rsidRPr="002022F1">
        <w:rPr>
          <w:rFonts w:ascii="ITC Avant Garde" w:hAnsi="ITC Avant Garde"/>
          <w:bCs/>
        </w:rPr>
        <w:t xml:space="preserve"> </w:t>
      </w:r>
    </w:p>
    <w:p w:rsidR="00DF4DF7" w:rsidRPr="00A61D6E" w:rsidRDefault="003D0CC6" w:rsidP="00850C3A">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Cumplimiento de obligaciones</w:t>
      </w:r>
    </w:p>
    <w:p w:rsidR="00850C3A" w:rsidRDefault="0061071A" w:rsidP="00850C3A">
      <w:pPr>
        <w:autoSpaceDE w:val="0"/>
        <w:autoSpaceDN w:val="0"/>
        <w:adjustRightInd w:val="0"/>
        <w:spacing w:afterLines="120" w:after="288" w:line="240" w:lineRule="auto"/>
        <w:ind w:left="708"/>
        <w:jc w:val="both"/>
        <w:rPr>
          <w:rFonts w:ascii="ITC Avant Garde" w:hAnsi="ITC Avant Garde"/>
          <w:bCs/>
        </w:rPr>
      </w:pPr>
      <w:r w:rsidRPr="00A61D6E">
        <w:rPr>
          <w:rFonts w:ascii="ITC Avant Garde" w:hAnsi="ITC Avant Garde"/>
          <w:bCs/>
        </w:rPr>
        <w:t xml:space="preserve">Ahora bien, por lo que hace al cuarto requisito de procedencia, </w:t>
      </w:r>
      <w:r>
        <w:rPr>
          <w:rFonts w:ascii="ITC Avant Garde" w:hAnsi="ITC Avant Garde"/>
          <w:bCs/>
        </w:rPr>
        <w:t>relativo a que los concesionarios</w:t>
      </w:r>
      <w:r w:rsidRPr="00A61D6E">
        <w:rPr>
          <w:rFonts w:ascii="ITC Avant Garde" w:hAnsi="ITC Avant Garde"/>
          <w:bCs/>
        </w:rPr>
        <w:t xml:space="preserve"> hubiere</w:t>
      </w:r>
      <w:r>
        <w:rPr>
          <w:rFonts w:ascii="ITC Avant Garde" w:hAnsi="ITC Avant Garde"/>
          <w:bCs/>
        </w:rPr>
        <w:t>n</w:t>
      </w:r>
      <w:r w:rsidRPr="00A61D6E">
        <w:rPr>
          <w:rFonts w:ascii="ITC Avant Garde" w:hAnsi="ITC Avant Garde"/>
          <w:bCs/>
        </w:rPr>
        <w:t xml:space="preserve"> cumplido con las condiciones previstas en las Concesiones de Bandas, y las obligaciones derivadas de las leyes en materia de telecomunicaciones, radiodifusión y competencia económica, la Dirección General de Concesiones de Telecomunicaciones</w:t>
      </w:r>
      <w:r>
        <w:rPr>
          <w:rFonts w:ascii="ITC Avant Garde" w:hAnsi="ITC Avant Garde"/>
          <w:bCs/>
        </w:rPr>
        <w:t>,</w:t>
      </w:r>
      <w:r w:rsidRPr="00A61D6E">
        <w:rPr>
          <w:rFonts w:ascii="ITC Avant Garde" w:hAnsi="ITC Avant Garde"/>
          <w:bCs/>
        </w:rPr>
        <w:t xml:space="preserve"> adscrita a esta Unidad de Concesiones y Servicios, </w:t>
      </w:r>
      <w:r>
        <w:rPr>
          <w:rFonts w:ascii="ITC Avant Garde" w:hAnsi="ITC Avant Garde"/>
          <w:color w:val="000000"/>
          <w:shd w:val="clear" w:color="auto" w:fill="FFFFFF"/>
        </w:rPr>
        <w:t>m</w:t>
      </w:r>
      <w:r w:rsidRPr="00DE559F">
        <w:rPr>
          <w:rFonts w:ascii="ITC Avant Garde" w:hAnsi="ITC Avant Garde"/>
          <w:color w:val="000000"/>
          <w:shd w:val="clear" w:color="auto" w:fill="FFFFFF"/>
        </w:rPr>
        <w:t>ediante</w:t>
      </w:r>
      <w:r>
        <w:rPr>
          <w:rFonts w:ascii="ITC Avant Garde" w:hAnsi="ITC Avant Garde"/>
          <w:color w:val="000000"/>
          <w:shd w:val="clear" w:color="auto" w:fill="FFFFFF"/>
        </w:rPr>
        <w:t xml:space="preserve"> oficio IFT/223/UCS/DG-CTEL/1884</w:t>
      </w:r>
      <w:r w:rsidRPr="00DE559F">
        <w:rPr>
          <w:rFonts w:ascii="ITC Avant Garde" w:hAnsi="ITC Avant Garde"/>
          <w:color w:val="000000"/>
          <w:shd w:val="clear" w:color="auto" w:fill="FFFFFF"/>
        </w:rPr>
        <w:t>/201</w:t>
      </w:r>
      <w:r>
        <w:rPr>
          <w:rFonts w:ascii="ITC Avant Garde" w:hAnsi="ITC Avant Garde"/>
          <w:color w:val="000000"/>
          <w:shd w:val="clear" w:color="auto" w:fill="FFFFFF"/>
        </w:rPr>
        <w:t xml:space="preserve">7 </w:t>
      </w:r>
      <w:r w:rsidRPr="00DE559F">
        <w:rPr>
          <w:rFonts w:ascii="ITC Avant Garde" w:hAnsi="ITC Avant Garde"/>
          <w:color w:val="000000"/>
          <w:shd w:val="clear" w:color="auto" w:fill="FFFFFF"/>
        </w:rPr>
        <w:t xml:space="preserve">de fecha </w:t>
      </w:r>
      <w:r>
        <w:rPr>
          <w:rFonts w:ascii="ITC Avant Garde" w:hAnsi="ITC Avant Garde"/>
          <w:color w:val="000000"/>
          <w:shd w:val="clear" w:color="auto" w:fill="FFFFFF"/>
        </w:rPr>
        <w:t>3 de octubre de 2017</w:t>
      </w:r>
      <w:r w:rsidRPr="00A61D6E">
        <w:rPr>
          <w:rFonts w:ascii="ITC Avant Garde" w:hAnsi="ITC Avant Garde"/>
          <w:bCs/>
        </w:rPr>
        <w:t xml:space="preserve"> solicitó a la Unidad de Cumplimiento, dictamen respecto el estado que guardaba el cumplimiento de las obligaciones a cargo de</w:t>
      </w:r>
      <w:r>
        <w:rPr>
          <w:rFonts w:ascii="ITC Avant Garde" w:hAnsi="ITC Avant Garde"/>
          <w:bCs/>
        </w:rPr>
        <w:t xml:space="preserve"> los CC. </w:t>
      </w:r>
      <w:r>
        <w:rPr>
          <w:rFonts w:ascii="ITC Avant Garde" w:hAnsi="ITC Avant Garde"/>
          <w:bCs/>
          <w:color w:val="000000"/>
          <w:lang w:eastAsia="es-MX"/>
        </w:rPr>
        <w:t>Adrián Esper Cárdenas y Alfonso Esper Cárdenas</w:t>
      </w:r>
      <w:r w:rsidRPr="00A61D6E">
        <w:rPr>
          <w:rFonts w:ascii="ITC Avant Garde" w:hAnsi="ITC Avant Garde"/>
          <w:bCs/>
        </w:rPr>
        <w:t xml:space="preserve"> previstas en las leyes, las Concesiones de Bandas y demás disposiciones legales, reglamentarias y administrativas aplicables.</w:t>
      </w:r>
    </w:p>
    <w:p w:rsidR="00850C3A" w:rsidRDefault="0061071A" w:rsidP="00850C3A">
      <w:pPr>
        <w:autoSpaceDE w:val="0"/>
        <w:autoSpaceDN w:val="0"/>
        <w:adjustRightInd w:val="0"/>
        <w:spacing w:afterLines="120" w:after="288" w:line="240" w:lineRule="auto"/>
        <w:ind w:left="708"/>
        <w:jc w:val="both"/>
        <w:rPr>
          <w:rFonts w:ascii="ITC Avant Garde" w:hAnsi="ITC Avant Garde"/>
          <w:bCs/>
        </w:rPr>
      </w:pPr>
      <w:r w:rsidRPr="00730896">
        <w:rPr>
          <w:rFonts w:ascii="ITC Avant Garde" w:hAnsi="ITC Avant Garde"/>
          <w:bCs/>
        </w:rPr>
        <w:t xml:space="preserve">En respuesta a lo anterior, mediante </w:t>
      </w:r>
      <w:r w:rsidRPr="00A94A20">
        <w:rPr>
          <w:rFonts w:ascii="ITC Avant Garde" w:hAnsi="ITC Avant Garde"/>
          <w:bCs/>
          <w:color w:val="000000"/>
          <w:lang w:eastAsia="es-MX"/>
        </w:rPr>
        <w:t>oficio</w:t>
      </w:r>
      <w:r>
        <w:rPr>
          <w:rFonts w:ascii="ITC Avant Garde" w:hAnsi="ITC Avant Garde"/>
          <w:bCs/>
          <w:color w:val="000000"/>
          <w:lang w:eastAsia="es-MX"/>
        </w:rPr>
        <w:t>s</w:t>
      </w:r>
      <w:r w:rsidRPr="00A94A20">
        <w:rPr>
          <w:rFonts w:ascii="ITC Avant Garde" w:hAnsi="ITC Avant Garde"/>
          <w:bCs/>
          <w:color w:val="000000"/>
          <w:lang w:eastAsia="es-MX"/>
        </w:rPr>
        <w:t xml:space="preserve"> IFT/225/UC/DG-SUV/</w:t>
      </w:r>
      <w:r>
        <w:rPr>
          <w:rFonts w:ascii="ITC Avant Garde" w:hAnsi="ITC Avant Garde"/>
          <w:bCs/>
          <w:color w:val="000000"/>
          <w:lang w:eastAsia="es-MX"/>
        </w:rPr>
        <w:t>03723</w:t>
      </w:r>
      <w:r w:rsidRPr="00A94A20">
        <w:rPr>
          <w:rFonts w:ascii="ITC Avant Garde" w:hAnsi="ITC Avant Garde"/>
          <w:bCs/>
          <w:color w:val="000000"/>
          <w:lang w:eastAsia="es-MX"/>
        </w:rPr>
        <w:t>/2017</w:t>
      </w:r>
      <w:r>
        <w:rPr>
          <w:rFonts w:ascii="ITC Avant Garde" w:hAnsi="ITC Avant Garde"/>
          <w:bCs/>
          <w:color w:val="000000"/>
          <w:lang w:eastAsia="es-MX"/>
        </w:rPr>
        <w:t xml:space="preserve"> e </w:t>
      </w:r>
      <w:r w:rsidRPr="00A94A20">
        <w:rPr>
          <w:rFonts w:ascii="ITC Avant Garde" w:hAnsi="ITC Avant Garde"/>
          <w:bCs/>
          <w:color w:val="000000"/>
          <w:lang w:eastAsia="es-MX"/>
        </w:rPr>
        <w:t>IFT/225/UC/DG-SUV/</w:t>
      </w:r>
      <w:r>
        <w:rPr>
          <w:rFonts w:ascii="ITC Avant Garde" w:hAnsi="ITC Avant Garde"/>
          <w:bCs/>
          <w:color w:val="000000"/>
          <w:lang w:eastAsia="es-MX"/>
        </w:rPr>
        <w:t>03725</w:t>
      </w:r>
      <w:r w:rsidRPr="00A94A20">
        <w:rPr>
          <w:rFonts w:ascii="ITC Avant Garde" w:hAnsi="ITC Avant Garde"/>
          <w:bCs/>
          <w:color w:val="000000"/>
          <w:lang w:eastAsia="es-MX"/>
        </w:rPr>
        <w:t>/2017</w:t>
      </w:r>
      <w:r>
        <w:rPr>
          <w:rFonts w:ascii="ITC Avant Garde" w:hAnsi="ITC Avant Garde"/>
          <w:bCs/>
          <w:color w:val="000000"/>
          <w:lang w:eastAsia="es-MX"/>
        </w:rPr>
        <w:t>, ambos de</w:t>
      </w:r>
      <w:r w:rsidRPr="00A94A20">
        <w:rPr>
          <w:rFonts w:ascii="ITC Avant Garde" w:hAnsi="ITC Avant Garde"/>
          <w:bCs/>
          <w:color w:val="000000"/>
          <w:lang w:eastAsia="es-MX"/>
        </w:rPr>
        <w:t xml:space="preserve"> fecha </w:t>
      </w:r>
      <w:r>
        <w:rPr>
          <w:rFonts w:ascii="ITC Avant Garde" w:hAnsi="ITC Avant Garde"/>
          <w:bCs/>
          <w:color w:val="000000"/>
          <w:lang w:eastAsia="es-MX"/>
        </w:rPr>
        <w:t>23 de noviembre</w:t>
      </w:r>
      <w:r w:rsidRPr="00A94A20">
        <w:rPr>
          <w:rFonts w:ascii="ITC Avant Garde" w:hAnsi="ITC Avant Garde"/>
          <w:bCs/>
          <w:color w:val="000000"/>
          <w:lang w:eastAsia="es-MX"/>
        </w:rPr>
        <w:t xml:space="preserve"> de 2017</w:t>
      </w:r>
      <w:r w:rsidRPr="0032442F">
        <w:rPr>
          <w:rFonts w:ascii="ITC Avant Garde" w:hAnsi="ITC Avant Garde"/>
          <w:bCs/>
        </w:rPr>
        <w:t xml:space="preserve">, la </w:t>
      </w:r>
      <w:r w:rsidRPr="0032442F">
        <w:rPr>
          <w:rFonts w:ascii="ITC Avant Garde" w:hAnsi="ITC Avant Garde"/>
          <w:bCs/>
        </w:rPr>
        <w:lastRenderedPageBreak/>
        <w:t xml:space="preserve">Unidad de Cumplimiento emitió </w:t>
      </w:r>
      <w:r>
        <w:rPr>
          <w:rFonts w:ascii="ITC Avant Garde" w:hAnsi="ITC Avant Garde"/>
          <w:bCs/>
        </w:rPr>
        <w:t>los dictámenes</w:t>
      </w:r>
      <w:r w:rsidRPr="0032442F">
        <w:rPr>
          <w:rFonts w:ascii="ITC Avant Garde" w:hAnsi="ITC Avant Garde"/>
          <w:bCs/>
        </w:rPr>
        <w:t xml:space="preserve"> respecto al estado que guarda el cumplimiento de las obligaciones establecidas en las Concesiones de Bandas y demás disposiciones legales, r</w:t>
      </w:r>
      <w:r>
        <w:rPr>
          <w:rFonts w:ascii="ITC Avant Garde" w:hAnsi="ITC Avant Garde"/>
          <w:bCs/>
        </w:rPr>
        <w:t>eglamentarias y administrativas</w:t>
      </w:r>
      <w:r w:rsidR="00FE7859">
        <w:rPr>
          <w:rFonts w:ascii="ITC Avant Garde" w:hAnsi="ITC Avant Garde"/>
          <w:bCs/>
        </w:rPr>
        <w:t xml:space="preserve"> aplicables</w:t>
      </w:r>
      <w:r>
        <w:rPr>
          <w:rFonts w:ascii="ITC Avant Garde" w:hAnsi="ITC Avant Garde"/>
          <w:bCs/>
        </w:rPr>
        <w:t xml:space="preserve">, </w:t>
      </w:r>
      <w:r w:rsidRPr="0032442F">
        <w:rPr>
          <w:rFonts w:ascii="ITC Avant Garde" w:hAnsi="ITC Avant Garde"/>
          <w:bCs/>
        </w:rPr>
        <w:t>en los siguientes términos:</w:t>
      </w:r>
    </w:p>
    <w:p w:rsidR="00850C3A" w:rsidRDefault="0061071A" w:rsidP="00850C3A">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r w:rsidR="00087380" w:rsidRPr="0032442F">
        <w:rPr>
          <w:rFonts w:ascii="ITC Avant Garde" w:hAnsi="ITC Avant Garde"/>
          <w:i/>
          <w:iCs/>
          <w:color w:val="000000"/>
          <w:sz w:val="18"/>
          <w:szCs w:val="18"/>
          <w:lang w:eastAsia="es-MX"/>
        </w:rPr>
        <w:t>[…]</w:t>
      </w:r>
    </w:p>
    <w:p w:rsidR="00087380" w:rsidRPr="00B83593" w:rsidRDefault="00087380" w:rsidP="00850C3A">
      <w:pPr>
        <w:spacing w:afterLines="120" w:after="288" w:line="240" w:lineRule="auto"/>
        <w:ind w:left="1134" w:right="757"/>
        <w:jc w:val="both"/>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En atención al citado requerimiento, mediante escrito recibido en oficialía de partes de este Instituto el 7 de noviembre de 2017, LOS CONCESIONARIOS exhibieron diversas documentales correspondientes a obligaciones que les son aplicables y que les fueron requeridas, no obstante lo anterior, de la revisión a la información contenida en el escrito y sus anexos,</w:t>
      </w:r>
      <w:r w:rsidRPr="00B83593">
        <w:rPr>
          <w:rFonts w:ascii="ITC Avant Garde" w:hAnsi="ITC Avant Garde"/>
          <w:b/>
          <w:i/>
          <w:iCs/>
          <w:color w:val="000000"/>
          <w:sz w:val="18"/>
          <w:szCs w:val="18"/>
          <w:lang w:eastAsia="es-MX"/>
        </w:rPr>
        <w:t xml:space="preserve"> se observó que no fue presentada la totalidad de las documentales relativas a las obligaciones requeridas, toda vez que omitieron presentar la información con la cual se acredite el cumplimiento de las siguiente obligación:</w:t>
      </w:r>
    </w:p>
    <w:tbl>
      <w:tblPr>
        <w:tblStyle w:val="Tablaconcuadrcula"/>
        <w:tblW w:w="8544" w:type="dxa"/>
        <w:jc w:val="right"/>
        <w:tblLook w:val="04A0" w:firstRow="1" w:lastRow="0" w:firstColumn="1" w:lastColumn="0" w:noHBand="0" w:noVBand="1"/>
        <w:tblCaption w:val="Obligaciones aplicables no cumplidas"/>
        <w:tblDescription w:val="Tabla de dos columnas que proporciona información relativa a obligaciones aplicables al concesionario y que no fueron acreditadas."/>
      </w:tblPr>
      <w:tblGrid>
        <w:gridCol w:w="3823"/>
        <w:gridCol w:w="4721"/>
      </w:tblGrid>
      <w:tr w:rsidR="00087380" w:rsidRPr="00B83593" w:rsidTr="00850C3A">
        <w:trPr>
          <w:trHeight w:val="255"/>
          <w:tblHeader/>
          <w:jc w:val="right"/>
        </w:trPr>
        <w:tc>
          <w:tcPr>
            <w:tcW w:w="3823" w:type="dxa"/>
          </w:tcPr>
          <w:p w:rsidR="00087380" w:rsidRPr="00B83593" w:rsidRDefault="00087380" w:rsidP="00850C3A">
            <w:pPr>
              <w:tabs>
                <w:tab w:val="left" w:pos="3006"/>
              </w:tabs>
              <w:spacing w:afterLines="120" w:after="288" w:line="240" w:lineRule="auto"/>
              <w:ind w:left="29" w:right="34"/>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Obligación relativa a</w:t>
            </w:r>
          </w:p>
        </w:tc>
        <w:tc>
          <w:tcPr>
            <w:tcW w:w="4721" w:type="dxa"/>
          </w:tcPr>
          <w:p w:rsidR="00087380" w:rsidRPr="00B83593" w:rsidRDefault="00087380" w:rsidP="00850C3A">
            <w:pPr>
              <w:tabs>
                <w:tab w:val="left" w:pos="3577"/>
              </w:tabs>
              <w:spacing w:afterLines="120" w:after="288" w:line="240" w:lineRule="auto"/>
              <w:ind w:left="33" w:right="240"/>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Descripción</w:t>
            </w:r>
          </w:p>
        </w:tc>
      </w:tr>
      <w:tr w:rsidR="00087380" w:rsidRPr="00B83593" w:rsidTr="00850C3A">
        <w:trPr>
          <w:trHeight w:val="1291"/>
          <w:jc w:val="right"/>
        </w:trPr>
        <w:tc>
          <w:tcPr>
            <w:tcW w:w="3823" w:type="dxa"/>
          </w:tcPr>
          <w:p w:rsidR="00087380" w:rsidRPr="00B83593" w:rsidRDefault="00087380"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Condición 4.</w:t>
            </w:r>
          </w:p>
          <w:p w:rsidR="00087380" w:rsidRPr="00B83593" w:rsidRDefault="00087380"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Cobertura y conectividad social y rural.</w:t>
            </w:r>
          </w:p>
          <w:p w:rsidR="00087380" w:rsidRPr="00B83593" w:rsidRDefault="00087380"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Título de Concesión para usar, aprovechar y explotar bandas de frecuencias del espectro radioeléctrico</w:t>
            </w:r>
          </w:p>
        </w:tc>
        <w:tc>
          <w:tcPr>
            <w:tcW w:w="4721" w:type="dxa"/>
          </w:tcPr>
          <w:p w:rsidR="00087380" w:rsidRPr="00B83593" w:rsidRDefault="00087380" w:rsidP="00850C3A">
            <w:pPr>
              <w:spacing w:afterLines="120" w:after="288" w:line="240" w:lineRule="auto"/>
              <w:ind w:left="96" w:right="98"/>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No acreditó la presentación de los programas para establecer los convenios de cobertura y conectividad social y rural correspondientes a los periodos 2014-2015 y 2016-2017.</w:t>
            </w:r>
          </w:p>
        </w:tc>
      </w:tr>
    </w:tbl>
    <w:p w:rsidR="00850C3A" w:rsidRDefault="00087380" w:rsidP="00850C3A">
      <w:pPr>
        <w:spacing w:afterLines="120" w:after="288" w:line="240" w:lineRule="auto"/>
        <w:ind w:left="1134" w:right="757"/>
        <w:jc w:val="both"/>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Respecto de la obligación que LOS CONCESIONARIOS no acreditaron en atención al oficio de requerimiento referido, estos manifestaron lo siguiente:</w:t>
      </w:r>
    </w:p>
    <w:p w:rsidR="00850C3A" w:rsidRDefault="00087380" w:rsidP="00850C3A">
      <w:pPr>
        <w:numPr>
          <w:ilvl w:val="0"/>
          <w:numId w:val="22"/>
        </w:numPr>
        <w:spacing w:afterLines="120" w:after="288" w:line="240" w:lineRule="auto"/>
        <w:ind w:left="1560" w:right="757"/>
        <w:jc w:val="both"/>
        <w:rPr>
          <w:rFonts w:ascii="ITC Avant Garde" w:hAnsi="ITC Avant Garde"/>
          <w:b/>
          <w:i/>
          <w:iCs/>
          <w:color w:val="000000"/>
          <w:sz w:val="18"/>
          <w:szCs w:val="18"/>
          <w:lang w:eastAsia="es-MX"/>
        </w:rPr>
      </w:pPr>
      <w:r w:rsidRPr="00B83593">
        <w:rPr>
          <w:rFonts w:ascii="ITC Avant Garde" w:hAnsi="ITC Avant Garde"/>
          <w:b/>
          <w:i/>
          <w:iCs/>
          <w:color w:val="000000"/>
          <w:sz w:val="18"/>
          <w:szCs w:val="18"/>
          <w:lang w:eastAsia="es-MX"/>
        </w:rPr>
        <w:t>Condición 4. Cobertura y conectividad social y rural.</w:t>
      </w:r>
    </w:p>
    <w:p w:rsidR="00850C3A" w:rsidRDefault="00087380" w:rsidP="00850C3A">
      <w:pPr>
        <w:spacing w:afterLines="120" w:after="288" w:line="240" w:lineRule="auto"/>
        <w:ind w:left="1560" w:right="757"/>
        <w:jc w:val="both"/>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“En relación con la obligación relativa a la Condición 2.7 del Título de Concesión, me permito manifestar que mi representada no presta servicio alguno de conectividad, solo de televisión restringida, razón por la cual, no le aplica el cumplimiento de esta obligación.”</w:t>
      </w:r>
    </w:p>
    <w:p w:rsidR="00850C3A" w:rsidRDefault="00087380" w:rsidP="00850C3A">
      <w:pPr>
        <w:spacing w:afterLines="120" w:after="288" w:line="240" w:lineRule="auto"/>
        <w:ind w:left="1134" w:right="757"/>
        <w:jc w:val="both"/>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De las manifestaciones vertidas por LOS CONCESIONARIOS con relación al convenio de cobertura y conectividad social y rural, se desprende que estos no han llevado a cabo acciones tendientes a dar cumplimiento a la citada obligación, en ese sentido le informo que a la fecha de la emisión del presente dictamen, la DG-SUV no cuenta con información de la cual se pueda dar por cumplida la condición que nos acaece</w:t>
      </w:r>
      <w:r>
        <w:rPr>
          <w:rFonts w:ascii="ITC Avant Garde" w:hAnsi="ITC Avant Garde"/>
          <w:i/>
          <w:iCs/>
          <w:color w:val="000000"/>
          <w:sz w:val="18"/>
          <w:szCs w:val="18"/>
          <w:lang w:eastAsia="es-MX"/>
        </w:rPr>
        <w:t>.</w:t>
      </w:r>
    </w:p>
    <w:p w:rsidR="00850C3A" w:rsidRDefault="00087380" w:rsidP="00850C3A">
      <w:pPr>
        <w:spacing w:afterLines="120" w:after="288" w:line="240" w:lineRule="auto"/>
        <w:ind w:left="1134" w:right="757"/>
        <w:jc w:val="both"/>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w:t>
      </w:r>
    </w:p>
    <w:p w:rsidR="00850C3A" w:rsidRDefault="00552D9D" w:rsidP="00850C3A">
      <w:pPr>
        <w:spacing w:afterLines="120" w:after="288" w:line="240" w:lineRule="auto"/>
        <w:ind w:left="1418" w:right="757"/>
        <w:jc w:val="both"/>
        <w:rPr>
          <w:rFonts w:ascii="ITC Avant Garde" w:hAnsi="ITC Avant Garde" w:cs="Arial"/>
          <w:b/>
          <w:i/>
          <w:sz w:val="18"/>
          <w:szCs w:val="18"/>
        </w:rPr>
      </w:pPr>
      <w:r>
        <w:rPr>
          <w:rFonts w:ascii="ITC Avant Garde" w:hAnsi="ITC Avant Garde" w:cs="Arial"/>
          <w:b/>
          <w:i/>
          <w:sz w:val="18"/>
          <w:szCs w:val="18"/>
        </w:rPr>
        <w:t xml:space="preserve">d) </w:t>
      </w:r>
      <w:r w:rsidRPr="00552D9D">
        <w:rPr>
          <w:rFonts w:ascii="ITC Avant Garde" w:hAnsi="ITC Avant Garde" w:cs="Arial"/>
          <w:b/>
          <w:i/>
          <w:sz w:val="18"/>
          <w:szCs w:val="18"/>
        </w:rPr>
        <w:t>Dictamen</w:t>
      </w:r>
    </w:p>
    <w:p w:rsidR="00850C3A" w:rsidRDefault="00552D9D" w:rsidP="00850C3A">
      <w:pPr>
        <w:spacing w:afterLines="120" w:after="288" w:line="240" w:lineRule="auto"/>
        <w:ind w:left="1134" w:right="757"/>
        <w:jc w:val="both"/>
        <w:rPr>
          <w:rFonts w:ascii="ITC Avant Garde" w:hAnsi="ITC Avant Garde" w:cs="Arial"/>
          <w:i/>
          <w:sz w:val="18"/>
          <w:szCs w:val="18"/>
        </w:rPr>
      </w:pPr>
      <w:r w:rsidRPr="00552D9D">
        <w:rPr>
          <w:rFonts w:ascii="ITC Avant Garde" w:hAnsi="ITC Avant Garde" w:cs="Arial"/>
          <w:i/>
          <w:sz w:val="18"/>
          <w:szCs w:val="18"/>
        </w:rPr>
        <w:t>De la supervisión a las constancias que integran el expediente abierto a nombre de LOS CONCESIONARIOS que nos ocupan, así como de la información proporcionada por la DG-VER y la DG-SAN, se concluye lo siguiente:</w:t>
      </w:r>
    </w:p>
    <w:p w:rsidR="00850C3A" w:rsidRDefault="00552D9D" w:rsidP="00850C3A">
      <w:pPr>
        <w:spacing w:afterLines="120" w:after="288" w:line="240" w:lineRule="auto"/>
        <w:ind w:left="1134" w:right="757"/>
        <w:jc w:val="both"/>
        <w:rPr>
          <w:rFonts w:ascii="ITC Avant Garde" w:hAnsi="ITC Avant Garde" w:cs="Arial"/>
          <w:i/>
          <w:sz w:val="18"/>
          <w:szCs w:val="18"/>
        </w:rPr>
      </w:pPr>
      <w:r w:rsidRPr="00552D9D">
        <w:rPr>
          <w:rFonts w:ascii="ITC Avant Garde" w:hAnsi="ITC Avant Garde" w:cs="Arial"/>
          <w:i/>
          <w:sz w:val="18"/>
          <w:szCs w:val="18"/>
        </w:rPr>
        <w:t>De la revisión documental del expediente 19/0681</w:t>
      </w:r>
      <w:r w:rsidRPr="00552D9D">
        <w:rPr>
          <w:rFonts w:ascii="ITC Avant Garde" w:hAnsi="ITC Avant Garde" w:cs="Arial"/>
          <w:b/>
          <w:i/>
          <w:sz w:val="18"/>
          <w:szCs w:val="18"/>
        </w:rPr>
        <w:t xml:space="preserve"> </w:t>
      </w:r>
      <w:r w:rsidRPr="00552D9D">
        <w:rPr>
          <w:rFonts w:ascii="ITC Avant Garde" w:hAnsi="ITC Avant Garde" w:cs="Arial"/>
          <w:i/>
          <w:sz w:val="18"/>
          <w:szCs w:val="18"/>
        </w:rPr>
        <w:t xml:space="preserve">integrado por la DG-ARMSG de este Instituto, a nombre de Adrián Esper Cardenas y Alfonso Esper Cardenas, se desprende </w:t>
      </w:r>
      <w:r w:rsidRPr="00552D9D">
        <w:rPr>
          <w:rFonts w:ascii="ITC Avant Garde" w:hAnsi="ITC Avant Garde" w:cs="Arial"/>
          <w:i/>
          <w:sz w:val="18"/>
          <w:szCs w:val="18"/>
        </w:rPr>
        <w:lastRenderedPageBreak/>
        <w:t xml:space="preserve">que al 7 de noviembre de 2017, </w:t>
      </w:r>
      <w:r w:rsidRPr="00552D9D">
        <w:rPr>
          <w:rFonts w:ascii="ITC Avant Garde" w:hAnsi="ITC Avant Garde" w:cs="Arial"/>
          <w:b/>
          <w:i/>
          <w:sz w:val="18"/>
          <w:szCs w:val="18"/>
          <w:u w:val="single"/>
        </w:rPr>
        <w:t>LOS CONCESIONARIOS no se encontraron al corriente en la presentación de las documentales derivadas de las obligaciones que tiene a su cargo</w:t>
      </w:r>
      <w:r w:rsidRPr="00552D9D">
        <w:rPr>
          <w:rFonts w:ascii="ITC Avant Garde" w:hAnsi="ITC Avant Garde" w:cs="Arial"/>
          <w:i/>
          <w:sz w:val="18"/>
          <w:szCs w:val="18"/>
        </w:rPr>
        <w:t xml:space="preserve"> y que le son aplicables conforme a su título de concesión para usar, aprovechar y explotar bandas de frecuencias del espectro radioeléctrico, y demás disposiciones legales, reglamentarias y administrativas aplicables.</w:t>
      </w:r>
    </w:p>
    <w:p w:rsidR="00850C3A" w:rsidRDefault="00552D9D" w:rsidP="00850C3A">
      <w:pPr>
        <w:spacing w:afterLines="120" w:after="288" w:line="240" w:lineRule="auto"/>
        <w:ind w:left="1134" w:right="757"/>
        <w:jc w:val="both"/>
        <w:rPr>
          <w:rFonts w:ascii="ITC Avant Garde" w:hAnsi="ITC Avant Garde" w:cs="Arial"/>
          <w:i/>
          <w:sz w:val="18"/>
          <w:szCs w:val="18"/>
        </w:rPr>
      </w:pPr>
      <w:r w:rsidRPr="00552D9D">
        <w:rPr>
          <w:rFonts w:ascii="ITC Avant Garde" w:hAnsi="ITC Avant Garde" w:cs="Arial"/>
          <w:i/>
          <w:sz w:val="18"/>
          <w:szCs w:val="18"/>
        </w:rPr>
        <w:t>El presente dictamen se emite sin perjuicio de la valoración que se haga de las circunstancias señaladas en el presente dictamen sobre la procedencia de la solicitud de servicios adicionales, presentada por Adrián Esper Cárdenas y Alfonso Esper Cárdenas</w:t>
      </w:r>
      <w:r>
        <w:rPr>
          <w:rFonts w:ascii="ITC Avant Garde" w:hAnsi="ITC Avant Garde" w:cs="Arial"/>
          <w:i/>
          <w:sz w:val="18"/>
          <w:szCs w:val="18"/>
        </w:rPr>
        <w:t>.</w:t>
      </w:r>
    </w:p>
    <w:p w:rsidR="00850C3A" w:rsidRDefault="0061071A" w:rsidP="00850C3A">
      <w:pPr>
        <w:spacing w:afterLines="120" w:after="288" w:line="240" w:lineRule="auto"/>
        <w:ind w:left="1134" w:right="757" w:hanging="131"/>
        <w:jc w:val="both"/>
        <w:rPr>
          <w:rFonts w:ascii="ITC Avant Garde" w:hAnsi="ITC Avant Garde"/>
          <w:iCs/>
          <w:color w:val="000000"/>
          <w:sz w:val="18"/>
          <w:szCs w:val="18"/>
          <w:lang w:eastAsia="es-MX"/>
        </w:rPr>
      </w:pPr>
      <w:r w:rsidRPr="0032442F">
        <w:rPr>
          <w:rFonts w:ascii="ITC Avant Garde" w:hAnsi="ITC Avant Garde"/>
          <w:i/>
          <w:iCs/>
          <w:color w:val="000000"/>
          <w:sz w:val="18"/>
          <w:szCs w:val="18"/>
          <w:lang w:eastAsia="es-MX"/>
        </w:rPr>
        <w:t>[…]”</w:t>
      </w:r>
      <w:r w:rsidR="00664649">
        <w:rPr>
          <w:rFonts w:ascii="ITC Avant Garde" w:hAnsi="ITC Avant Garde"/>
          <w:i/>
          <w:iCs/>
          <w:color w:val="000000"/>
          <w:sz w:val="18"/>
          <w:szCs w:val="18"/>
          <w:lang w:eastAsia="es-MX"/>
        </w:rPr>
        <w:t xml:space="preserve"> </w:t>
      </w:r>
      <w:r w:rsidR="00664649">
        <w:rPr>
          <w:rFonts w:ascii="ITC Avant Garde" w:hAnsi="ITC Avant Garde"/>
          <w:iCs/>
          <w:color w:val="000000"/>
          <w:sz w:val="18"/>
          <w:szCs w:val="18"/>
          <w:lang w:eastAsia="es-MX"/>
        </w:rPr>
        <w:t>(sic).</w:t>
      </w:r>
    </w:p>
    <w:p w:rsidR="00850C3A" w:rsidRDefault="003D0506" w:rsidP="00850C3A">
      <w:pPr>
        <w:spacing w:afterLines="120" w:after="288" w:line="240" w:lineRule="auto"/>
        <w:ind w:left="1134" w:right="757" w:hanging="131"/>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3D0506" w:rsidRDefault="003D0506" w:rsidP="00850C3A">
      <w:pPr>
        <w:spacing w:afterLines="120" w:after="288" w:line="240" w:lineRule="auto"/>
        <w:ind w:left="1134" w:right="757"/>
        <w:jc w:val="both"/>
        <w:rPr>
          <w:rFonts w:ascii="ITC Avant Garde" w:hAnsi="ITC Avant Garde"/>
          <w:i/>
          <w:iCs/>
          <w:color w:val="000000"/>
          <w:sz w:val="18"/>
          <w:szCs w:val="18"/>
          <w:lang w:eastAsia="es-MX"/>
        </w:rPr>
      </w:pPr>
      <w:r w:rsidRPr="002A0A79">
        <w:rPr>
          <w:rFonts w:ascii="ITC Avant Garde" w:hAnsi="ITC Avant Garde"/>
          <w:i/>
          <w:iCs/>
          <w:color w:val="000000"/>
          <w:sz w:val="18"/>
          <w:szCs w:val="18"/>
          <w:lang w:eastAsia="es-MX"/>
        </w:rPr>
        <w:t>En atención al citado requerimiento, mediante escrito recibido en oficialía de partes de este Instituto el 7 de noviembre de 2017, LOS CONCESIONARIOS exhibieron diversas documentales correspondientes a obligaciones que les son aplicables y que les fueron requeridas, no obstante lo anterior, de la revisión a la información contenida en el escrito y sus anexos,</w:t>
      </w:r>
      <w:r w:rsidRPr="002A0A79">
        <w:rPr>
          <w:rFonts w:ascii="ITC Avant Garde" w:hAnsi="ITC Avant Garde"/>
          <w:b/>
          <w:i/>
          <w:iCs/>
          <w:color w:val="000000"/>
          <w:sz w:val="18"/>
          <w:szCs w:val="18"/>
          <w:lang w:eastAsia="es-MX"/>
        </w:rPr>
        <w:t xml:space="preserve"> se observó que no fue presentada la totalidad de </w:t>
      </w:r>
      <w:r w:rsidRPr="00EA6E30">
        <w:rPr>
          <w:rFonts w:ascii="ITC Avant Garde" w:hAnsi="ITC Avant Garde"/>
          <w:b/>
          <w:i/>
          <w:iCs/>
          <w:color w:val="000000"/>
          <w:sz w:val="18"/>
          <w:szCs w:val="18"/>
          <w:lang w:eastAsia="es-MX"/>
        </w:rPr>
        <w:t>las</w:t>
      </w:r>
      <w:r w:rsidRPr="002A0A79">
        <w:rPr>
          <w:rFonts w:ascii="ITC Avant Garde" w:hAnsi="ITC Avant Garde"/>
          <w:b/>
          <w:i/>
          <w:iCs/>
          <w:color w:val="000000"/>
          <w:sz w:val="18"/>
          <w:szCs w:val="18"/>
          <w:lang w:eastAsia="es-MX"/>
        </w:rPr>
        <w:t xml:space="preserve"> documentales relativas a las obligaciones requeridas, toda vez que omitieron presentar la información con la cual se acredite el cumplimiento de la siguiente obligación:</w:t>
      </w:r>
    </w:p>
    <w:tbl>
      <w:tblPr>
        <w:tblStyle w:val="Tablaconcuadrcula"/>
        <w:tblW w:w="8544" w:type="dxa"/>
        <w:jc w:val="right"/>
        <w:tblLook w:val="04A0" w:firstRow="1" w:lastRow="0" w:firstColumn="1" w:lastColumn="0" w:noHBand="0" w:noVBand="1"/>
        <w:tblCaption w:val="Obligaciones aplicables"/>
        <w:tblDescription w:val="Tabla de dos columnas que proporciona información relativa a obligaciones aplicables que el concesionario no acredito."/>
      </w:tblPr>
      <w:tblGrid>
        <w:gridCol w:w="3823"/>
        <w:gridCol w:w="4721"/>
      </w:tblGrid>
      <w:tr w:rsidR="003D0506" w:rsidRPr="00B83593" w:rsidTr="00850C3A">
        <w:trPr>
          <w:trHeight w:val="255"/>
          <w:tblHeader/>
          <w:jc w:val="right"/>
        </w:trPr>
        <w:tc>
          <w:tcPr>
            <w:tcW w:w="3823" w:type="dxa"/>
          </w:tcPr>
          <w:p w:rsidR="003D0506" w:rsidRPr="00B83593" w:rsidRDefault="003D0506" w:rsidP="00850C3A">
            <w:pPr>
              <w:tabs>
                <w:tab w:val="left" w:pos="3006"/>
              </w:tabs>
              <w:spacing w:afterLines="120" w:after="288" w:line="240" w:lineRule="auto"/>
              <w:ind w:left="29" w:right="34"/>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Obligación relativa a</w:t>
            </w:r>
          </w:p>
        </w:tc>
        <w:tc>
          <w:tcPr>
            <w:tcW w:w="4721" w:type="dxa"/>
          </w:tcPr>
          <w:p w:rsidR="003D0506" w:rsidRPr="00B83593" w:rsidRDefault="003D0506" w:rsidP="00850C3A">
            <w:pPr>
              <w:tabs>
                <w:tab w:val="left" w:pos="3577"/>
              </w:tabs>
              <w:spacing w:afterLines="120" w:after="288" w:line="240" w:lineRule="auto"/>
              <w:ind w:left="33" w:right="240"/>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Descripción</w:t>
            </w:r>
          </w:p>
        </w:tc>
      </w:tr>
      <w:tr w:rsidR="003D0506" w:rsidRPr="00B83593" w:rsidTr="00850C3A">
        <w:trPr>
          <w:trHeight w:val="1291"/>
          <w:jc w:val="right"/>
        </w:trPr>
        <w:tc>
          <w:tcPr>
            <w:tcW w:w="3823" w:type="dxa"/>
          </w:tcPr>
          <w:p w:rsidR="003D0506" w:rsidRPr="00B83593" w:rsidRDefault="003D0506"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Condición 4.</w:t>
            </w:r>
          </w:p>
          <w:p w:rsidR="003D0506" w:rsidRPr="00B83593" w:rsidRDefault="003D0506"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Cobertura y conectividad social y rural.</w:t>
            </w:r>
          </w:p>
          <w:p w:rsidR="003D0506" w:rsidRPr="00B83593" w:rsidRDefault="003D0506" w:rsidP="00850C3A">
            <w:pPr>
              <w:spacing w:afterLines="120" w:after="288" w:line="240" w:lineRule="auto"/>
              <w:ind w:left="29" w:right="113"/>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Título de Concesión para usar, aprovechar y explotar bandas de frecuencias del espectro radioeléctrico</w:t>
            </w:r>
          </w:p>
        </w:tc>
        <w:tc>
          <w:tcPr>
            <w:tcW w:w="4721" w:type="dxa"/>
          </w:tcPr>
          <w:p w:rsidR="003D0506" w:rsidRPr="00B83593" w:rsidRDefault="003D0506" w:rsidP="00850C3A">
            <w:pPr>
              <w:spacing w:afterLines="120" w:after="288" w:line="240" w:lineRule="auto"/>
              <w:ind w:left="96" w:right="98"/>
              <w:jc w:val="center"/>
              <w:rPr>
                <w:rFonts w:ascii="ITC Avant Garde" w:hAnsi="ITC Avant Garde"/>
                <w:i/>
                <w:iCs/>
                <w:color w:val="000000"/>
                <w:sz w:val="18"/>
                <w:szCs w:val="18"/>
                <w:lang w:eastAsia="es-MX"/>
              </w:rPr>
            </w:pPr>
            <w:r w:rsidRPr="00B83593">
              <w:rPr>
                <w:rFonts w:ascii="ITC Avant Garde" w:hAnsi="ITC Avant Garde"/>
                <w:i/>
                <w:iCs/>
                <w:color w:val="000000"/>
                <w:sz w:val="18"/>
                <w:szCs w:val="18"/>
                <w:lang w:eastAsia="es-MX"/>
              </w:rPr>
              <w:t>No acreditó la presentación de los programas para establecer los convenios de cobertura y conectividad social y rural correspondientes a los periodos 2014-2015 y 2016-2017.</w:t>
            </w:r>
          </w:p>
        </w:tc>
      </w:tr>
    </w:tbl>
    <w:p w:rsidR="00850C3A" w:rsidRDefault="003D0506" w:rsidP="00850C3A">
      <w:pPr>
        <w:spacing w:afterLines="120" w:after="288" w:line="240" w:lineRule="auto"/>
        <w:ind w:left="1134" w:right="757"/>
        <w:jc w:val="both"/>
        <w:rPr>
          <w:rFonts w:ascii="ITC Avant Garde" w:hAnsi="ITC Avant Garde"/>
          <w:i/>
          <w:iCs/>
          <w:color w:val="000000"/>
          <w:sz w:val="18"/>
          <w:szCs w:val="18"/>
          <w:lang w:eastAsia="es-MX"/>
        </w:rPr>
      </w:pPr>
      <w:r w:rsidRPr="00C64E5A">
        <w:rPr>
          <w:rFonts w:ascii="ITC Avant Garde" w:hAnsi="ITC Avant Garde"/>
          <w:i/>
          <w:iCs/>
          <w:color w:val="000000"/>
          <w:sz w:val="18"/>
          <w:szCs w:val="18"/>
          <w:lang w:eastAsia="es-MX"/>
        </w:rPr>
        <w:t>Respecto de la obligación que LOS CONCESIONARIOS no acreditaron en atención al oficio de requerimiento referido, estos manifestaron lo siguiente:</w:t>
      </w:r>
    </w:p>
    <w:p w:rsidR="00850C3A" w:rsidRDefault="003D0506" w:rsidP="00850C3A">
      <w:pPr>
        <w:numPr>
          <w:ilvl w:val="0"/>
          <w:numId w:val="22"/>
        </w:numPr>
        <w:spacing w:afterLines="120" w:after="288" w:line="240" w:lineRule="auto"/>
        <w:ind w:left="1418" w:right="757"/>
        <w:jc w:val="both"/>
        <w:rPr>
          <w:rFonts w:ascii="ITC Avant Garde" w:hAnsi="ITC Avant Garde"/>
          <w:b/>
          <w:i/>
          <w:iCs/>
          <w:color w:val="000000"/>
          <w:sz w:val="18"/>
          <w:szCs w:val="18"/>
          <w:lang w:eastAsia="es-MX"/>
        </w:rPr>
      </w:pPr>
      <w:r w:rsidRPr="00C64E5A">
        <w:rPr>
          <w:rFonts w:ascii="ITC Avant Garde" w:hAnsi="ITC Avant Garde"/>
          <w:b/>
          <w:i/>
          <w:iCs/>
          <w:color w:val="000000"/>
          <w:sz w:val="18"/>
          <w:szCs w:val="18"/>
          <w:lang w:eastAsia="es-MX"/>
        </w:rPr>
        <w:t>Condición 4. Cobertura y conectividad social y rural.</w:t>
      </w:r>
    </w:p>
    <w:p w:rsidR="00850C3A" w:rsidRDefault="003D0506" w:rsidP="00850C3A">
      <w:pPr>
        <w:tabs>
          <w:tab w:val="left" w:pos="1560"/>
          <w:tab w:val="left" w:pos="1701"/>
          <w:tab w:val="left" w:pos="1843"/>
        </w:tabs>
        <w:spacing w:afterLines="120" w:after="288" w:line="240" w:lineRule="auto"/>
        <w:ind w:left="1560" w:right="757"/>
        <w:jc w:val="both"/>
        <w:rPr>
          <w:rFonts w:ascii="ITC Avant Garde" w:hAnsi="ITC Avant Garde"/>
          <w:i/>
          <w:iCs/>
          <w:color w:val="000000"/>
          <w:sz w:val="18"/>
          <w:szCs w:val="18"/>
          <w:lang w:eastAsia="es-MX"/>
        </w:rPr>
      </w:pPr>
      <w:r w:rsidRPr="00C64E5A">
        <w:rPr>
          <w:rFonts w:ascii="ITC Avant Garde" w:hAnsi="ITC Avant Garde"/>
          <w:i/>
          <w:iCs/>
          <w:color w:val="000000"/>
          <w:sz w:val="18"/>
          <w:szCs w:val="18"/>
          <w:lang w:eastAsia="es-MX"/>
        </w:rPr>
        <w:t>“En relación con la obligación relativa a la Condición 2.7 del Título de Concesión, me permito manifestar que mi representada no presta servicio alguno de conectividad, solo de televisión restringida, razón por la cual, no le aplica el cumplimiento de esta obligación.”</w:t>
      </w:r>
    </w:p>
    <w:p w:rsidR="00850C3A" w:rsidRDefault="003D0506" w:rsidP="00850C3A">
      <w:pPr>
        <w:spacing w:afterLines="120" w:after="288" w:line="240" w:lineRule="auto"/>
        <w:ind w:left="1134" w:right="757"/>
        <w:jc w:val="both"/>
        <w:rPr>
          <w:rFonts w:ascii="ITC Avant Garde" w:hAnsi="ITC Avant Garde"/>
          <w:i/>
          <w:iCs/>
          <w:color w:val="000000"/>
          <w:sz w:val="18"/>
          <w:szCs w:val="18"/>
          <w:lang w:eastAsia="es-MX"/>
        </w:rPr>
      </w:pPr>
      <w:r w:rsidRPr="00C64E5A">
        <w:rPr>
          <w:rFonts w:ascii="ITC Avant Garde" w:hAnsi="ITC Avant Garde"/>
          <w:i/>
          <w:iCs/>
          <w:color w:val="000000"/>
          <w:sz w:val="18"/>
          <w:szCs w:val="18"/>
          <w:lang w:eastAsia="es-MX"/>
        </w:rPr>
        <w:t>De las manifestaciones vertidas por LOS CONCESIONARIOS con relación al convenio de cobertura y conectividad social y rural, se desprende que estos no han llevado a cabo acciones tendientes a dar cumplimiento a la citada obligación, en ese sentido le informo que a la fecha de la emisión del presente dictamen, la DG-SUV no cuenta con información de la cual se pueda dar por cumplida la condición que nos acaece.</w:t>
      </w:r>
    </w:p>
    <w:p w:rsidR="003D0506" w:rsidRDefault="003D0506" w:rsidP="00850C3A">
      <w:pPr>
        <w:spacing w:afterLines="120" w:after="288" w:line="240" w:lineRule="auto"/>
        <w:ind w:left="1134" w:right="757" w:hanging="131"/>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850C3A" w:rsidRDefault="00552D9D" w:rsidP="00850C3A">
      <w:pPr>
        <w:spacing w:afterLines="120" w:after="288" w:line="240" w:lineRule="auto"/>
        <w:ind w:left="1418" w:right="757"/>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 xml:space="preserve">d) </w:t>
      </w:r>
      <w:r w:rsidRPr="00552D9D">
        <w:rPr>
          <w:rFonts w:ascii="ITC Avant Garde" w:hAnsi="ITC Avant Garde"/>
          <w:b/>
          <w:i/>
          <w:iCs/>
          <w:color w:val="000000"/>
          <w:sz w:val="18"/>
          <w:szCs w:val="18"/>
          <w:lang w:eastAsia="es-MX"/>
        </w:rPr>
        <w:t>Dictamen</w:t>
      </w:r>
    </w:p>
    <w:p w:rsidR="00850C3A" w:rsidRDefault="00552D9D" w:rsidP="00850C3A">
      <w:pPr>
        <w:spacing w:afterLines="120" w:after="288" w:line="240" w:lineRule="auto"/>
        <w:ind w:left="1134" w:right="757"/>
        <w:jc w:val="both"/>
        <w:rPr>
          <w:rFonts w:ascii="ITC Avant Garde" w:hAnsi="ITC Avant Garde"/>
          <w:i/>
          <w:iCs/>
          <w:color w:val="000000"/>
          <w:sz w:val="18"/>
          <w:szCs w:val="18"/>
          <w:lang w:eastAsia="es-MX"/>
        </w:rPr>
      </w:pPr>
      <w:r w:rsidRPr="00552D9D">
        <w:rPr>
          <w:rFonts w:ascii="ITC Avant Garde" w:hAnsi="ITC Avant Garde" w:cs="Arial"/>
          <w:i/>
          <w:sz w:val="18"/>
          <w:szCs w:val="18"/>
        </w:rPr>
        <w:lastRenderedPageBreak/>
        <w:t>De la supervisión a las constancias que integran el expediente abierto a nombre de la concesionaria que nos ocupa, así como de la información proporcionada por la DG-VER y la DG-SAN, se concluye lo siguiente</w:t>
      </w:r>
      <w:r w:rsidRPr="00552D9D">
        <w:rPr>
          <w:rFonts w:ascii="ITC Avant Garde" w:hAnsi="ITC Avant Garde"/>
          <w:i/>
          <w:iCs/>
          <w:color w:val="000000"/>
          <w:sz w:val="18"/>
          <w:szCs w:val="18"/>
          <w:lang w:eastAsia="es-MX"/>
        </w:rPr>
        <w:t>:</w:t>
      </w:r>
    </w:p>
    <w:p w:rsidR="00850C3A" w:rsidRDefault="00552D9D" w:rsidP="00850C3A">
      <w:pPr>
        <w:spacing w:afterLines="120" w:after="288" w:line="240" w:lineRule="auto"/>
        <w:ind w:left="1134" w:right="757"/>
        <w:jc w:val="both"/>
        <w:rPr>
          <w:rFonts w:ascii="ITC Avant Garde" w:hAnsi="ITC Avant Garde"/>
          <w:i/>
          <w:iCs/>
          <w:color w:val="000000"/>
          <w:sz w:val="18"/>
          <w:szCs w:val="18"/>
          <w:lang w:eastAsia="es-MX"/>
        </w:rPr>
      </w:pPr>
      <w:r w:rsidRPr="00552D9D">
        <w:rPr>
          <w:rFonts w:ascii="ITC Avant Garde" w:hAnsi="ITC Avant Garde"/>
          <w:i/>
          <w:iCs/>
          <w:color w:val="000000"/>
          <w:sz w:val="18"/>
          <w:szCs w:val="18"/>
          <w:lang w:eastAsia="es-MX"/>
        </w:rPr>
        <w:t>De la revisión documental del expediente 19/0726</w:t>
      </w:r>
      <w:r w:rsidRPr="00552D9D">
        <w:rPr>
          <w:rFonts w:ascii="ITC Avant Garde" w:hAnsi="ITC Avant Garde"/>
          <w:b/>
          <w:i/>
          <w:iCs/>
          <w:color w:val="000000"/>
          <w:sz w:val="18"/>
          <w:szCs w:val="18"/>
          <w:lang w:eastAsia="es-MX"/>
        </w:rPr>
        <w:t xml:space="preserve"> </w:t>
      </w:r>
      <w:r w:rsidRPr="00552D9D">
        <w:rPr>
          <w:rFonts w:ascii="ITC Avant Garde" w:hAnsi="ITC Avant Garde"/>
          <w:i/>
          <w:iCs/>
          <w:color w:val="000000"/>
          <w:sz w:val="18"/>
          <w:szCs w:val="18"/>
          <w:lang w:eastAsia="es-MX"/>
        </w:rPr>
        <w:t>integrado por la DG-ARMSG de este Instituto, a nombre de Adrián Esper Cardenas y Alfonso Esper Cardenas</w:t>
      </w:r>
      <w:r w:rsidRPr="00552D9D">
        <w:rPr>
          <w:rFonts w:ascii="ITC Avant Garde" w:hAnsi="ITC Avant Garde"/>
          <w:b/>
          <w:i/>
          <w:iCs/>
          <w:color w:val="000000"/>
          <w:sz w:val="18"/>
          <w:szCs w:val="18"/>
          <w:lang w:eastAsia="es-MX"/>
        </w:rPr>
        <w:t>,</w:t>
      </w:r>
      <w:r w:rsidRPr="00552D9D">
        <w:rPr>
          <w:rFonts w:ascii="ITC Avant Garde" w:hAnsi="ITC Avant Garde"/>
          <w:i/>
          <w:iCs/>
          <w:color w:val="000000"/>
          <w:sz w:val="18"/>
          <w:szCs w:val="18"/>
          <w:lang w:eastAsia="es-MX"/>
        </w:rPr>
        <w:t xml:space="preserve"> se desprende que al 7 de noviembre de 2017, </w:t>
      </w:r>
      <w:r w:rsidRPr="00552D9D">
        <w:rPr>
          <w:rFonts w:ascii="ITC Avant Garde" w:hAnsi="ITC Avant Garde"/>
          <w:b/>
          <w:i/>
          <w:iCs/>
          <w:color w:val="000000"/>
          <w:sz w:val="18"/>
          <w:szCs w:val="18"/>
          <w:u w:val="single"/>
          <w:lang w:eastAsia="es-MX"/>
        </w:rPr>
        <w:t>LOS CONCESIONARIOS no se encontraron al corriente en la presentación de las documentales derivadas de las obligaciones que tiene a su cargo</w:t>
      </w:r>
      <w:r w:rsidRPr="00552D9D">
        <w:rPr>
          <w:rFonts w:ascii="ITC Avant Garde" w:hAnsi="ITC Avant Garde"/>
          <w:i/>
          <w:iCs/>
          <w:color w:val="000000"/>
          <w:sz w:val="18"/>
          <w:szCs w:val="18"/>
          <w:lang w:eastAsia="es-MX"/>
        </w:rPr>
        <w:t xml:space="preserve"> y que le son aplicables conforme a su título de concesión para usar, aprovechar y explotar bandas de frecuencias del espectro radioeléctrico, y demás disposiciones legales, reglamentarias y administrativas aplicables.</w:t>
      </w:r>
    </w:p>
    <w:p w:rsidR="00850C3A" w:rsidRDefault="00552D9D" w:rsidP="00850C3A">
      <w:pPr>
        <w:spacing w:afterLines="120" w:after="288" w:line="240" w:lineRule="auto"/>
        <w:ind w:left="1134" w:right="757"/>
        <w:jc w:val="both"/>
        <w:rPr>
          <w:rFonts w:ascii="ITC Avant Garde" w:hAnsi="ITC Avant Garde"/>
          <w:i/>
          <w:iCs/>
          <w:color w:val="000000"/>
          <w:sz w:val="18"/>
          <w:szCs w:val="18"/>
          <w:lang w:eastAsia="es-MX"/>
        </w:rPr>
      </w:pPr>
      <w:r w:rsidRPr="00552D9D">
        <w:rPr>
          <w:rFonts w:ascii="ITC Avant Garde" w:hAnsi="ITC Avant Garde"/>
          <w:i/>
          <w:iCs/>
          <w:color w:val="000000"/>
          <w:sz w:val="18"/>
          <w:szCs w:val="18"/>
          <w:lang w:eastAsia="es-MX"/>
        </w:rPr>
        <w:t>El presente dictamen se emite sin perjuicio de la valoración que se haga de las circunstancias señaladas en el presente dictamen sobre la procedencia de la solicitud de servicios adicionales, presentada por Adrián Esper Cárdenas y Alfonso Esper Cárdenas</w:t>
      </w:r>
    </w:p>
    <w:p w:rsidR="00850C3A" w:rsidRDefault="00552D9D" w:rsidP="00850C3A">
      <w:pPr>
        <w:spacing w:afterLines="120" w:after="288" w:line="240" w:lineRule="auto"/>
        <w:ind w:left="1134" w:right="757" w:hanging="131"/>
        <w:jc w:val="both"/>
        <w:rPr>
          <w:rFonts w:ascii="ITC Avant Garde" w:hAnsi="ITC Avant Garde"/>
          <w:iCs/>
          <w:color w:val="000000"/>
          <w:sz w:val="18"/>
          <w:szCs w:val="18"/>
          <w:lang w:eastAsia="es-MX"/>
        </w:rPr>
      </w:pPr>
      <w:r>
        <w:rPr>
          <w:rFonts w:ascii="ITC Avant Garde" w:hAnsi="ITC Avant Garde"/>
          <w:i/>
          <w:iCs/>
          <w:color w:val="000000"/>
          <w:sz w:val="18"/>
          <w:szCs w:val="18"/>
          <w:lang w:eastAsia="es-MX"/>
        </w:rPr>
        <w:t>[…]</w:t>
      </w:r>
      <w:r w:rsidR="00D767A0">
        <w:rPr>
          <w:rFonts w:ascii="ITC Avant Garde" w:hAnsi="ITC Avant Garde"/>
          <w:i/>
          <w:iCs/>
          <w:color w:val="000000"/>
          <w:sz w:val="18"/>
          <w:szCs w:val="18"/>
          <w:lang w:eastAsia="es-MX"/>
        </w:rPr>
        <w:t xml:space="preserve">” </w:t>
      </w:r>
      <w:r w:rsidR="00D767A0">
        <w:rPr>
          <w:rFonts w:ascii="ITC Avant Garde" w:hAnsi="ITC Avant Garde"/>
          <w:iCs/>
          <w:color w:val="000000"/>
          <w:sz w:val="18"/>
          <w:szCs w:val="18"/>
          <w:lang w:eastAsia="es-MX"/>
        </w:rPr>
        <w:t>(sic).</w:t>
      </w:r>
    </w:p>
    <w:p w:rsidR="00850C3A" w:rsidRDefault="00D767A0" w:rsidP="00850C3A">
      <w:pPr>
        <w:autoSpaceDE w:val="0"/>
        <w:autoSpaceDN w:val="0"/>
        <w:spacing w:afterLines="120" w:after="288" w:line="240" w:lineRule="auto"/>
        <w:jc w:val="both"/>
        <w:rPr>
          <w:rFonts w:ascii="ITC Avant Garde" w:hAnsi="ITC Avant Garde"/>
        </w:rPr>
      </w:pPr>
      <w:r w:rsidRPr="00D767A0">
        <w:rPr>
          <w:rFonts w:ascii="ITC Avant Garde" w:hAnsi="ITC Avant Garde"/>
        </w:rPr>
        <w:t>Del dictamen emitido por la Dirección General de Supervisión de la Unidad de Cumplimiento, se desprende que a</w:t>
      </w:r>
      <w:r w:rsidR="00777EDF">
        <w:rPr>
          <w:rFonts w:ascii="ITC Avant Garde" w:hAnsi="ITC Avant Garde"/>
        </w:rPr>
        <w:t>l 7 de noviembre de 2017</w:t>
      </w:r>
      <w:r w:rsidRPr="00D767A0">
        <w:rPr>
          <w:rFonts w:ascii="ITC Avant Garde" w:hAnsi="ITC Avant Garde"/>
        </w:rPr>
        <w:t xml:space="preserve">, la citada unidad administrativa no contaba </w:t>
      </w:r>
      <w:r w:rsidR="00287FDD">
        <w:rPr>
          <w:rFonts w:ascii="ITC Avant Garde" w:hAnsi="ITC Avant Garde"/>
        </w:rPr>
        <w:t>con información con la cual se pudiera dar por cumplida la Condición 4 “Cobertura y conectividad social y rural” de las Concesiones de Bandas</w:t>
      </w:r>
      <w:r w:rsidR="008C6CE2">
        <w:rPr>
          <w:rFonts w:ascii="ITC Avant Garde" w:hAnsi="ITC Avant Garde"/>
        </w:rPr>
        <w:t>, en relación con la Condición 2.7 “Cobertura y conectividad social y rural” de las Concesiones de Red</w:t>
      </w:r>
      <w:r w:rsidRPr="00D767A0">
        <w:rPr>
          <w:rFonts w:ascii="ITC Avant Garde" w:hAnsi="ITC Avant Garde"/>
        </w:rPr>
        <w:t xml:space="preserve">. </w:t>
      </w:r>
    </w:p>
    <w:p w:rsidR="00850C3A" w:rsidRDefault="00D767A0" w:rsidP="00850C3A">
      <w:pPr>
        <w:autoSpaceDE w:val="0"/>
        <w:autoSpaceDN w:val="0"/>
        <w:spacing w:afterLines="120" w:after="288" w:line="240" w:lineRule="auto"/>
        <w:jc w:val="both"/>
        <w:rPr>
          <w:rFonts w:ascii="ITC Avant Garde" w:hAnsi="ITC Avant Garde"/>
        </w:rPr>
      </w:pPr>
      <w:r w:rsidRPr="00D767A0">
        <w:rPr>
          <w:rFonts w:ascii="ITC Avant Garde" w:hAnsi="ITC Avant Garde"/>
        </w:rPr>
        <w:t xml:space="preserve">No obstante lo anterior, </w:t>
      </w:r>
      <w:r w:rsidR="00712C22">
        <w:rPr>
          <w:rFonts w:ascii="ITC Avant Garde" w:hAnsi="ITC Avant Garde"/>
        </w:rPr>
        <w:t xml:space="preserve">mediante escritos presentados ante el Instituto </w:t>
      </w:r>
      <w:r w:rsidRPr="00D767A0">
        <w:rPr>
          <w:rFonts w:ascii="ITC Avant Garde" w:hAnsi="ITC Avant Garde"/>
        </w:rPr>
        <w:t xml:space="preserve">el </w:t>
      </w:r>
      <w:r w:rsidR="00287FDD">
        <w:rPr>
          <w:rFonts w:ascii="ITC Avant Garde" w:hAnsi="ITC Avant Garde"/>
        </w:rPr>
        <w:t>4</w:t>
      </w:r>
      <w:r w:rsidRPr="00D767A0">
        <w:rPr>
          <w:rFonts w:ascii="ITC Avant Garde" w:hAnsi="ITC Avant Garde"/>
        </w:rPr>
        <w:t xml:space="preserve"> de </w:t>
      </w:r>
      <w:r w:rsidR="00287FDD">
        <w:rPr>
          <w:rFonts w:ascii="ITC Avant Garde" w:hAnsi="ITC Avant Garde"/>
        </w:rPr>
        <w:t>diciembre</w:t>
      </w:r>
      <w:r w:rsidRPr="00D767A0">
        <w:rPr>
          <w:rFonts w:ascii="ITC Avant Garde" w:hAnsi="ITC Avant Garde"/>
        </w:rPr>
        <w:t xml:space="preserve"> de 2017</w:t>
      </w:r>
      <w:r w:rsidR="00712C22">
        <w:rPr>
          <w:rFonts w:ascii="ITC Avant Garde" w:hAnsi="ITC Avant Garde"/>
        </w:rPr>
        <w:t>,</w:t>
      </w:r>
      <w:r w:rsidRPr="00D767A0">
        <w:rPr>
          <w:rFonts w:ascii="ITC Avant Garde" w:hAnsi="ITC Avant Garde"/>
        </w:rPr>
        <w:t xml:space="preserve"> </w:t>
      </w:r>
      <w:r w:rsidR="00287FDD">
        <w:rPr>
          <w:rFonts w:ascii="ITC Avant Garde" w:hAnsi="ITC Avant Garde"/>
        </w:rPr>
        <w:t>el representante legal de los CC.</w:t>
      </w:r>
      <w:r w:rsidR="00712C22">
        <w:rPr>
          <w:rFonts w:ascii="ITC Avant Garde" w:hAnsi="ITC Avant Garde"/>
        </w:rPr>
        <w:t xml:space="preserve"> Adrián Esper Cárdenas y Alfonso Esper Cárdenas señaló, entre otros aspectos, lo siguiente:</w:t>
      </w:r>
    </w:p>
    <w:p w:rsidR="00850C3A" w:rsidRDefault="00712C22" w:rsidP="00850C3A">
      <w:pPr>
        <w:spacing w:afterLines="120" w:after="288" w:line="240" w:lineRule="auto"/>
        <w:ind w:left="1134" w:right="757"/>
        <w:jc w:val="both"/>
        <w:rPr>
          <w:rFonts w:ascii="ITC Avant Garde" w:hAnsi="ITC Avant Garde"/>
          <w:i/>
          <w:iCs/>
          <w:color w:val="000000"/>
          <w:sz w:val="18"/>
          <w:szCs w:val="18"/>
          <w:lang w:eastAsia="es-MX"/>
        </w:rPr>
      </w:pPr>
      <w:r w:rsidRPr="00712C22">
        <w:rPr>
          <w:rFonts w:ascii="ITC Avant Garde" w:hAnsi="ITC Avant Garde"/>
          <w:i/>
          <w:iCs/>
          <w:color w:val="000000"/>
          <w:sz w:val="18"/>
          <w:szCs w:val="18"/>
          <w:lang w:eastAsia="es-MX"/>
        </w:rPr>
        <w:t>“[…]</w:t>
      </w:r>
    </w:p>
    <w:p w:rsidR="00850C3A" w:rsidRDefault="00712C22" w:rsidP="00850C3A">
      <w:pPr>
        <w:spacing w:afterLines="120" w:after="288" w:line="240" w:lineRule="auto"/>
        <w:ind w:left="1134" w:right="757"/>
        <w:jc w:val="both"/>
        <w:rPr>
          <w:rFonts w:ascii="ITC Avant Garde" w:hAnsi="ITC Avant Garde"/>
          <w:i/>
          <w:iCs/>
          <w:color w:val="000000"/>
          <w:sz w:val="18"/>
          <w:szCs w:val="18"/>
          <w:lang w:eastAsia="es-MX"/>
        </w:rPr>
      </w:pPr>
      <w:r w:rsidRPr="00712C22">
        <w:rPr>
          <w:rFonts w:ascii="ITC Avant Garde" w:hAnsi="ITC Avant Garde"/>
          <w:i/>
          <w:iCs/>
          <w:color w:val="000000"/>
          <w:sz w:val="18"/>
          <w:szCs w:val="18"/>
          <w:lang w:eastAsia="es-MX"/>
        </w:rPr>
        <w:t>1.- En relación a la Condición 2.7 del Título de Concesión otorgado a mi Representada, vengo por medio del presente escrito a manifestar a nombre de esta Red, su adhesión a las disposiciones que al respecto emita o determine ese H. Instituto para prestar los servicios de cobertura y conectividad social y rural así como con los convenios que al respecto emita.</w:t>
      </w:r>
    </w:p>
    <w:p w:rsidR="00850C3A" w:rsidRDefault="00712C22" w:rsidP="00850C3A">
      <w:pPr>
        <w:spacing w:afterLines="120" w:after="288" w:line="240" w:lineRule="auto"/>
        <w:ind w:left="1134" w:right="757"/>
        <w:jc w:val="both"/>
        <w:rPr>
          <w:rFonts w:ascii="ITC Avant Garde" w:hAnsi="ITC Avant Garde"/>
          <w:i/>
          <w:iCs/>
          <w:color w:val="000000"/>
          <w:sz w:val="18"/>
          <w:szCs w:val="18"/>
          <w:lang w:eastAsia="es-MX"/>
        </w:rPr>
      </w:pPr>
      <w:r w:rsidRPr="00712C22">
        <w:rPr>
          <w:rFonts w:ascii="ITC Avant Garde" w:hAnsi="ITC Avant Garde"/>
          <w:i/>
          <w:iCs/>
          <w:color w:val="000000"/>
          <w:sz w:val="18"/>
          <w:szCs w:val="18"/>
          <w:lang w:eastAsia="es-MX"/>
        </w:rPr>
        <w:t>[…]”</w:t>
      </w:r>
    </w:p>
    <w:p w:rsidR="00850C3A" w:rsidRDefault="00D767A0" w:rsidP="00850C3A">
      <w:pPr>
        <w:autoSpaceDE w:val="0"/>
        <w:autoSpaceDN w:val="0"/>
        <w:spacing w:afterLines="120" w:after="288" w:line="240" w:lineRule="auto"/>
        <w:jc w:val="both"/>
        <w:rPr>
          <w:rFonts w:ascii="ITC Avant Garde" w:hAnsi="ITC Avant Garde"/>
        </w:rPr>
      </w:pPr>
      <w:r w:rsidRPr="00D767A0">
        <w:rPr>
          <w:rFonts w:ascii="ITC Avant Garde" w:hAnsi="ITC Avant Garde"/>
        </w:rPr>
        <w:t xml:space="preserve">En ese sentido, este Pleno considera que si bien </w:t>
      </w:r>
      <w:r w:rsidR="00777EDF">
        <w:rPr>
          <w:rFonts w:ascii="ITC Avant Garde" w:hAnsi="ITC Avant Garde"/>
        </w:rPr>
        <w:t>al momento de la emisión del d</w:t>
      </w:r>
      <w:r w:rsidRPr="00D767A0">
        <w:rPr>
          <w:rFonts w:ascii="ITC Avant Garde" w:hAnsi="ITC Avant Garde"/>
        </w:rPr>
        <w:t xml:space="preserve">ictamen </w:t>
      </w:r>
      <w:r w:rsidR="00777EDF">
        <w:rPr>
          <w:rFonts w:ascii="ITC Avant Garde" w:hAnsi="ITC Avant Garde"/>
        </w:rPr>
        <w:t xml:space="preserve">en materia </w:t>
      </w:r>
      <w:r w:rsidRPr="00D767A0">
        <w:rPr>
          <w:rFonts w:ascii="ITC Avant Garde" w:hAnsi="ITC Avant Garde"/>
        </w:rPr>
        <w:t xml:space="preserve">de cumplimiento de obligaciones, </w:t>
      </w:r>
      <w:r w:rsidR="00777EDF">
        <w:rPr>
          <w:rFonts w:ascii="ITC Avant Garde" w:hAnsi="ITC Avant Garde"/>
        </w:rPr>
        <w:t xml:space="preserve">los concesionarios no habían acreditado el cumplimiento de la obligación contenida en la </w:t>
      </w:r>
      <w:r w:rsidR="00712C22">
        <w:rPr>
          <w:rFonts w:ascii="ITC Avant Garde" w:hAnsi="ITC Avant Garde"/>
        </w:rPr>
        <w:t>Condición 4 “Cobertura y conectividad social y rural” de las Concesiones de Bandas, en relación con la Condición 2.7 “Cobertura y conectividad social y rural” de las Concesiones de Red</w:t>
      </w:r>
      <w:r w:rsidRPr="00D767A0">
        <w:rPr>
          <w:rFonts w:ascii="ITC Avant Garde" w:hAnsi="ITC Avant Garde"/>
        </w:rPr>
        <w:t xml:space="preserve">, </w:t>
      </w:r>
      <w:r w:rsidR="00777EDF">
        <w:rPr>
          <w:rFonts w:ascii="ITC Avant Garde" w:hAnsi="ITC Avant Garde"/>
        </w:rPr>
        <w:t>lo cierto es que a la fecha de la presente Resolución, este incumplimiento se encuentra subsanado de manera extemporánea, toda vez que</w:t>
      </w:r>
      <w:r w:rsidR="00AC7BB2">
        <w:rPr>
          <w:rFonts w:ascii="ITC Avant Garde" w:hAnsi="ITC Avant Garde"/>
        </w:rPr>
        <w:t xml:space="preserve"> como ya quedó señalado, el 4 de diciembre de 2017</w:t>
      </w:r>
      <w:r w:rsidR="00777EDF">
        <w:rPr>
          <w:rFonts w:ascii="ITC Avant Garde" w:hAnsi="ITC Avant Garde"/>
        </w:rPr>
        <w:t xml:space="preserve"> los concesionarios </w:t>
      </w:r>
      <w:r w:rsidR="00AC7BB2">
        <w:rPr>
          <w:rFonts w:ascii="ITC Avant Garde" w:hAnsi="ITC Avant Garde"/>
        </w:rPr>
        <w:t>manifestaron</w:t>
      </w:r>
      <w:r w:rsidR="00777EDF">
        <w:rPr>
          <w:rFonts w:ascii="ITC Avant Garde" w:hAnsi="ITC Avant Garde"/>
        </w:rPr>
        <w:t xml:space="preserve"> al Instituto su intención de coadyuvar en la prestación de servicio</w:t>
      </w:r>
      <w:r w:rsidR="00AC7BB2">
        <w:rPr>
          <w:rFonts w:ascii="ITC Avant Garde" w:hAnsi="ITC Avant Garde"/>
        </w:rPr>
        <w:t>s</w:t>
      </w:r>
      <w:r w:rsidR="00777EDF">
        <w:rPr>
          <w:rFonts w:ascii="ITC Avant Garde" w:hAnsi="ITC Avant Garde"/>
        </w:rPr>
        <w:t xml:space="preserve"> de carácter social y rural, en los términos que este órgano autónomo determine en su momento. </w:t>
      </w:r>
    </w:p>
    <w:p w:rsidR="00850C3A" w:rsidRDefault="00D767A0" w:rsidP="00850C3A">
      <w:pPr>
        <w:autoSpaceDE w:val="0"/>
        <w:autoSpaceDN w:val="0"/>
        <w:spacing w:afterLines="120" w:after="288" w:line="240" w:lineRule="auto"/>
        <w:jc w:val="both"/>
        <w:rPr>
          <w:rFonts w:ascii="ITC Avant Garde" w:hAnsi="ITC Avant Garde"/>
        </w:rPr>
      </w:pPr>
      <w:r w:rsidRPr="00D767A0">
        <w:rPr>
          <w:rFonts w:ascii="ITC Avant Garde" w:hAnsi="ITC Avant Garde"/>
        </w:rPr>
        <w:lastRenderedPageBreak/>
        <w:t>Por lo anterior, este Pleno considera procedente favorecer a</w:t>
      </w:r>
      <w:r w:rsidR="00100474">
        <w:rPr>
          <w:rFonts w:ascii="ITC Avant Garde" w:hAnsi="ITC Avant Garde"/>
        </w:rPr>
        <w:t xml:space="preserve"> </w:t>
      </w:r>
      <w:r w:rsidRPr="00D767A0">
        <w:rPr>
          <w:rFonts w:ascii="ITC Avant Garde" w:hAnsi="ITC Avant Garde"/>
        </w:rPr>
        <w:t>l</w:t>
      </w:r>
      <w:r w:rsidR="00100474">
        <w:rPr>
          <w:rFonts w:ascii="ITC Avant Garde" w:hAnsi="ITC Avant Garde"/>
        </w:rPr>
        <w:t>os</w:t>
      </w:r>
      <w:r w:rsidRPr="00D767A0">
        <w:rPr>
          <w:rFonts w:ascii="ITC Avant Garde" w:hAnsi="ITC Avant Garde"/>
        </w:rPr>
        <w:t xml:space="preserve"> concesionario</w:t>
      </w:r>
      <w:r w:rsidR="00100474">
        <w:rPr>
          <w:rFonts w:ascii="ITC Avant Garde" w:hAnsi="ITC Avant Garde"/>
        </w:rPr>
        <w:t>s</w:t>
      </w:r>
      <w:r w:rsidRPr="00D767A0">
        <w:rPr>
          <w:rFonts w:ascii="ITC Avant Garde" w:hAnsi="ITC Avant Garde"/>
        </w:rPr>
        <w:t xml:space="preserve"> con la </w:t>
      </w:r>
      <w:r w:rsidR="00100474">
        <w:rPr>
          <w:rFonts w:ascii="ITC Avant Garde" w:hAnsi="ITC Avant Garde"/>
        </w:rPr>
        <w:t>procedencia de la Solicitud de Servicios Adicionales</w:t>
      </w:r>
      <w:r w:rsidRPr="00D767A0">
        <w:rPr>
          <w:rFonts w:ascii="ITC Avant Garde" w:hAnsi="ITC Avant Garde"/>
        </w:rPr>
        <w:t>, sin perjuicio de que el Instituto inicie el procedimiento sancionatorio que pudiera corresponder por entregas extemporá</w:t>
      </w:r>
      <w:r w:rsidR="00100474">
        <w:rPr>
          <w:rFonts w:ascii="ITC Avant Garde" w:hAnsi="ITC Avant Garde"/>
        </w:rPr>
        <w:t>neas</w:t>
      </w:r>
      <w:r w:rsidRPr="00D767A0">
        <w:rPr>
          <w:rFonts w:ascii="ITC Avant Garde" w:hAnsi="ITC Avant Garde"/>
        </w:rPr>
        <w:t>.</w:t>
      </w:r>
    </w:p>
    <w:p w:rsidR="00850C3A" w:rsidRDefault="0061071A" w:rsidP="00850C3A">
      <w:pPr>
        <w:autoSpaceDE w:val="0"/>
        <w:autoSpaceDN w:val="0"/>
        <w:spacing w:afterLines="120" w:after="288" w:line="240" w:lineRule="auto"/>
        <w:jc w:val="both"/>
        <w:rPr>
          <w:rFonts w:ascii="ITC Avant Garde" w:hAnsi="ITC Avant Garde"/>
        </w:rPr>
      </w:pPr>
      <w:r w:rsidRPr="00F45A2F">
        <w:rPr>
          <w:rFonts w:ascii="ITC Avant Garde" w:hAnsi="ITC Avant Garde"/>
        </w:rPr>
        <w:t>Considerando lo</w:t>
      </w:r>
      <w:r w:rsidR="00F45A2F" w:rsidRPr="00F45A2F">
        <w:rPr>
          <w:rFonts w:ascii="ITC Avant Garde" w:hAnsi="ITC Avant Garde"/>
        </w:rPr>
        <w:t xml:space="preserve"> anterior</w:t>
      </w:r>
      <w:r w:rsidRPr="00F45A2F">
        <w:rPr>
          <w:rFonts w:ascii="ITC Avant Garde" w:hAnsi="ITC Avant Garde"/>
        </w:rPr>
        <w:t>, puede concluirse que a</w:t>
      </w:r>
      <w:r w:rsidR="00F45A2F" w:rsidRPr="00F45A2F">
        <w:rPr>
          <w:rFonts w:ascii="ITC Avant Garde" w:hAnsi="ITC Avant Garde"/>
        </w:rPr>
        <w:t xml:space="preserve"> la fecha de la presente Resolución</w:t>
      </w:r>
      <w:r w:rsidRPr="00F45A2F">
        <w:rPr>
          <w:rFonts w:ascii="ITC Avant Garde" w:hAnsi="ITC Avant Garde"/>
        </w:rPr>
        <w:t>,</w:t>
      </w:r>
      <w:r w:rsidR="005A1573" w:rsidRPr="00F45A2F">
        <w:rPr>
          <w:rFonts w:ascii="ITC Avant Garde" w:hAnsi="ITC Avant Garde"/>
        </w:rPr>
        <w:t xml:space="preserve"> </w:t>
      </w:r>
      <w:r w:rsidR="005A1573" w:rsidRPr="00F45A2F">
        <w:rPr>
          <w:rFonts w:ascii="ITC Avant Garde" w:hAnsi="ITC Avant Garde"/>
          <w:bCs/>
        </w:rPr>
        <w:t>los CC. Adrián Esper Cárdenas y Alfonso Esper Cárdenas</w:t>
      </w:r>
      <w:r w:rsidRPr="00F45A2F">
        <w:rPr>
          <w:rFonts w:ascii="ITC Avant Garde" w:hAnsi="ITC Avant Garde"/>
        </w:rPr>
        <w:t xml:space="preserve"> se encuentra</w:t>
      </w:r>
      <w:r w:rsidR="005A1573" w:rsidRPr="00F45A2F">
        <w:rPr>
          <w:rFonts w:ascii="ITC Avant Garde" w:hAnsi="ITC Avant Garde"/>
        </w:rPr>
        <w:t>n</w:t>
      </w:r>
      <w:r w:rsidRPr="00F45A2F">
        <w:rPr>
          <w:rFonts w:ascii="ITC Avant Garde" w:hAnsi="ITC Avant Garde"/>
        </w:rPr>
        <w:t xml:space="preserve"> al corriente en el cumplimiento de las obligaciones establecidas en las Concesiones de Bandas, así como de las demás disposiciones aplicables. Por lo anterior, se considera que se satisface el requisito establecido en el inciso d) del numeral II.1 de los Lineamientos, relativo a que el concesionario debe encontrarse en cumplimiento de las obligaciones previstas en sus respectivos títulos de concesión, así como de las demás disposiciones aplicables.</w:t>
      </w:r>
    </w:p>
    <w:p w:rsidR="00850C3A" w:rsidRDefault="00E2212B" w:rsidP="00850C3A">
      <w:pPr>
        <w:autoSpaceDE w:val="0"/>
        <w:autoSpaceDN w:val="0"/>
        <w:adjustRightInd w:val="0"/>
        <w:spacing w:afterLines="120" w:after="288" w:line="240" w:lineRule="auto"/>
        <w:jc w:val="both"/>
        <w:rPr>
          <w:rFonts w:ascii="ITC Avant Garde" w:hAnsi="ITC Avant Garde" w:cs="Arial"/>
          <w:bCs/>
          <w:color w:val="000000"/>
          <w:shd w:val="clear" w:color="auto" w:fill="FFFFFF"/>
        </w:rPr>
      </w:pPr>
      <w:r>
        <w:rPr>
          <w:rFonts w:ascii="ITC Avant Garde" w:hAnsi="ITC Avant Garde"/>
          <w:b/>
          <w:bCs/>
        </w:rPr>
        <w:t>Cuarto.- Opinión</w:t>
      </w:r>
      <w:r w:rsidR="00AA731B" w:rsidRPr="00A61D6E">
        <w:rPr>
          <w:rFonts w:ascii="ITC Avant Garde" w:hAnsi="ITC Avant Garde"/>
          <w:b/>
          <w:bCs/>
        </w:rPr>
        <w:t xml:space="preserve"> </w:t>
      </w:r>
      <w:r>
        <w:rPr>
          <w:rFonts w:ascii="ITC Avant Garde" w:hAnsi="ITC Avant Garde"/>
          <w:b/>
          <w:bCs/>
        </w:rPr>
        <w:t>Técnica</w:t>
      </w:r>
      <w:r w:rsidR="00AA731B" w:rsidRPr="00A61D6E">
        <w:rPr>
          <w:rFonts w:ascii="ITC Avant Garde" w:hAnsi="ITC Avant Garde"/>
          <w:b/>
          <w:bCs/>
        </w:rPr>
        <w:t xml:space="preserve"> respecto </w:t>
      </w:r>
      <w:r w:rsidR="0062285B">
        <w:rPr>
          <w:rFonts w:ascii="ITC Avant Garde" w:hAnsi="ITC Avant Garde"/>
          <w:b/>
          <w:bCs/>
        </w:rPr>
        <w:t>de</w:t>
      </w:r>
      <w:r w:rsidR="00AA731B" w:rsidRPr="00A61D6E">
        <w:rPr>
          <w:rFonts w:ascii="ITC Avant Garde" w:hAnsi="ITC Avant Garde"/>
          <w:b/>
          <w:bCs/>
        </w:rPr>
        <w:t xml:space="preserve"> la</w:t>
      </w:r>
      <w:r w:rsidR="00EC7130">
        <w:rPr>
          <w:rFonts w:ascii="ITC Avant Garde" w:hAnsi="ITC Avant Garde"/>
          <w:b/>
          <w:bCs/>
        </w:rPr>
        <w:t xml:space="preserve"> </w:t>
      </w:r>
      <w:r w:rsidR="00A030C0">
        <w:rPr>
          <w:rFonts w:ascii="ITC Avant Garde" w:hAnsi="ITC Avant Garde"/>
          <w:b/>
          <w:bCs/>
        </w:rPr>
        <w:t>S</w:t>
      </w:r>
      <w:r w:rsidR="00AA731B" w:rsidRPr="00A61D6E">
        <w:rPr>
          <w:rFonts w:ascii="ITC Avant Garde" w:hAnsi="ITC Avant Garde"/>
          <w:b/>
          <w:bCs/>
        </w:rPr>
        <w:t xml:space="preserve">olicitud de </w:t>
      </w:r>
      <w:r w:rsidR="00A030C0">
        <w:rPr>
          <w:rFonts w:ascii="ITC Avant Garde" w:hAnsi="ITC Avant Garde"/>
          <w:b/>
          <w:bCs/>
        </w:rPr>
        <w:t>S</w:t>
      </w:r>
      <w:r w:rsidR="0019077C" w:rsidRPr="00A61D6E">
        <w:rPr>
          <w:rFonts w:ascii="ITC Avant Garde" w:hAnsi="ITC Avant Garde"/>
          <w:b/>
          <w:bCs/>
        </w:rPr>
        <w:t xml:space="preserve">ervicios </w:t>
      </w:r>
      <w:r w:rsidR="00A030C0">
        <w:rPr>
          <w:rFonts w:ascii="ITC Avant Garde" w:hAnsi="ITC Avant Garde"/>
          <w:b/>
          <w:bCs/>
        </w:rPr>
        <w:t>A</w:t>
      </w:r>
      <w:r w:rsidR="0019077C" w:rsidRPr="00A61D6E">
        <w:rPr>
          <w:rFonts w:ascii="ITC Avant Garde" w:hAnsi="ITC Avant Garde"/>
          <w:b/>
          <w:bCs/>
        </w:rPr>
        <w:t>dicionales</w:t>
      </w:r>
      <w:r>
        <w:rPr>
          <w:rFonts w:ascii="ITC Avant Garde" w:hAnsi="ITC Avant Garde"/>
          <w:b/>
          <w:bCs/>
        </w:rPr>
        <w:t>.</w:t>
      </w:r>
      <w:r w:rsidR="007E0D2A">
        <w:rPr>
          <w:rFonts w:ascii="ITC Avant Garde" w:hAnsi="ITC Avant Garde"/>
          <w:bCs/>
        </w:rPr>
        <w:t xml:space="preserve"> E</w:t>
      </w:r>
      <w:r w:rsidR="00AD3DA4" w:rsidRPr="00886F27">
        <w:rPr>
          <w:rFonts w:ascii="ITC Avant Garde" w:hAnsi="ITC Avant Garde"/>
          <w:bCs/>
        </w:rPr>
        <w:t>l Instituto</w:t>
      </w:r>
      <w:r w:rsidR="00AD3DA4" w:rsidRPr="00A61D6E">
        <w:rPr>
          <w:rFonts w:ascii="ITC Avant Garde" w:hAnsi="ITC Avant Garde"/>
          <w:bCs/>
        </w:rPr>
        <w:t xml:space="preserve"> debe considerar en su análisis lo previsto en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A61D6E">
        <w:rPr>
          <w:rFonts w:ascii="ITC Avant Garde" w:hAnsi="ITC Avant Garde" w:cs="Arial"/>
          <w:bCs/>
          <w:color w:val="000000"/>
          <w:shd w:val="clear" w:color="auto" w:fill="FFFFFF"/>
        </w:rPr>
        <w:t xml:space="preserve">artículo </w:t>
      </w:r>
      <w:r w:rsidR="00E33FB7" w:rsidRPr="00A61D6E">
        <w:rPr>
          <w:rFonts w:ascii="ITC Avant Garde" w:hAnsi="ITC Avant Garde" w:cs="Arial"/>
          <w:bCs/>
          <w:color w:val="000000"/>
          <w:shd w:val="clear" w:color="auto" w:fill="FFFFFF"/>
        </w:rPr>
        <w:t>56</w:t>
      </w:r>
      <w:r w:rsidR="00F84155" w:rsidRPr="00A61D6E">
        <w:rPr>
          <w:rFonts w:ascii="ITC Avant Garde" w:hAnsi="ITC Avant Garde" w:cs="Arial"/>
          <w:bCs/>
          <w:color w:val="000000"/>
          <w:shd w:val="clear" w:color="auto" w:fill="FFFFFF"/>
        </w:rPr>
        <w:t xml:space="preserve"> de la Ley, </w:t>
      </w:r>
      <w:r w:rsidR="00AD3DA4" w:rsidRPr="00A61D6E">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A61D6E">
        <w:rPr>
          <w:rFonts w:ascii="ITC Avant Garde" w:hAnsi="ITC Avant Garde" w:cs="Arial"/>
          <w:bCs/>
          <w:color w:val="000000"/>
          <w:shd w:val="clear" w:color="auto" w:fill="FFFFFF"/>
        </w:rPr>
        <w:t xml:space="preserve">. Atendiendo a lo anterior, </w:t>
      </w:r>
      <w:r w:rsidR="00F84155" w:rsidRPr="00A61D6E">
        <w:rPr>
          <w:rFonts w:ascii="ITC Avant Garde" w:hAnsi="ITC Avant Garde" w:cs="Arial"/>
          <w:bCs/>
          <w:color w:val="000000"/>
          <w:shd w:val="clear" w:color="auto" w:fill="FFFFFF"/>
        </w:rPr>
        <w:t>m</w:t>
      </w:r>
      <w:r w:rsidR="000D4E32" w:rsidRPr="00A61D6E">
        <w:rPr>
          <w:rFonts w:ascii="ITC Avant Garde" w:hAnsi="ITC Avant Garde" w:cs="Arial"/>
          <w:bCs/>
          <w:color w:val="000000"/>
          <w:shd w:val="clear" w:color="auto" w:fill="FFFFFF"/>
        </w:rPr>
        <w:t xml:space="preserve">ediante </w:t>
      </w:r>
      <w:r w:rsidR="00730896">
        <w:rPr>
          <w:rFonts w:ascii="ITC Avant Garde" w:hAnsi="ITC Avant Garde"/>
          <w:color w:val="000000"/>
          <w:shd w:val="clear" w:color="auto" w:fill="FFFFFF"/>
        </w:rPr>
        <w:t>oficio IFT/223/UCS/DG-CTEL/</w:t>
      </w:r>
      <w:r w:rsidR="00324B0D">
        <w:rPr>
          <w:rFonts w:ascii="ITC Avant Garde" w:hAnsi="ITC Avant Garde"/>
          <w:color w:val="000000"/>
          <w:shd w:val="clear" w:color="auto" w:fill="FFFFFF"/>
        </w:rPr>
        <w:t>1883</w:t>
      </w:r>
      <w:r w:rsidR="00730896" w:rsidRPr="00DE559F">
        <w:rPr>
          <w:rFonts w:ascii="ITC Avant Garde" w:hAnsi="ITC Avant Garde"/>
          <w:color w:val="000000"/>
          <w:shd w:val="clear" w:color="auto" w:fill="FFFFFF"/>
        </w:rPr>
        <w:t>/201</w:t>
      </w:r>
      <w:r w:rsidR="00730896">
        <w:rPr>
          <w:rFonts w:ascii="ITC Avant Garde" w:hAnsi="ITC Avant Garde"/>
          <w:color w:val="000000"/>
          <w:shd w:val="clear" w:color="auto" w:fill="FFFFFF"/>
        </w:rPr>
        <w:t>7</w:t>
      </w:r>
      <w:r w:rsidR="00730896" w:rsidRPr="00DA77DE">
        <w:rPr>
          <w:rFonts w:ascii="ITC Avant Garde" w:hAnsi="ITC Avant Garde"/>
          <w:color w:val="000000"/>
          <w:shd w:val="clear" w:color="auto" w:fill="FFFFFF"/>
        </w:rPr>
        <w:t xml:space="preserve"> </w:t>
      </w:r>
      <w:r w:rsidR="00730896" w:rsidRPr="00DE559F">
        <w:rPr>
          <w:rFonts w:ascii="ITC Avant Garde" w:hAnsi="ITC Avant Garde"/>
          <w:color w:val="000000"/>
          <w:shd w:val="clear" w:color="auto" w:fill="FFFFFF"/>
        </w:rPr>
        <w:t xml:space="preserve">de fecha </w:t>
      </w:r>
      <w:r w:rsidR="00324B0D">
        <w:rPr>
          <w:rFonts w:ascii="ITC Avant Garde" w:hAnsi="ITC Avant Garde"/>
          <w:color w:val="000000"/>
          <w:shd w:val="clear" w:color="auto" w:fill="FFFFFF"/>
        </w:rPr>
        <w:t>3 de octubre de 2017</w:t>
      </w:r>
      <w:r w:rsidR="00730896">
        <w:rPr>
          <w:rFonts w:ascii="ITC Avant Garde" w:hAnsi="ITC Avant Garde"/>
          <w:color w:val="000000"/>
          <w:shd w:val="clear" w:color="auto" w:fill="FFFFFF"/>
        </w:rPr>
        <w:t>,</w:t>
      </w:r>
      <w:r w:rsidR="00F84155" w:rsidRPr="00A61D6E">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A61D6E">
        <w:rPr>
          <w:rFonts w:ascii="ITC Avant Garde" w:hAnsi="ITC Avant Garde"/>
          <w:bCs/>
          <w:color w:val="000000"/>
          <w:lang w:eastAsia="es-MX"/>
        </w:rPr>
        <w:t xml:space="preserve">la Unidad de Espectro Radioeléctrico, respecto </w:t>
      </w:r>
      <w:r>
        <w:rPr>
          <w:rFonts w:ascii="ITC Avant Garde" w:hAnsi="ITC Avant Garde"/>
          <w:bCs/>
          <w:color w:val="000000"/>
          <w:lang w:eastAsia="es-MX"/>
        </w:rPr>
        <w:t>de</w:t>
      </w:r>
      <w:r w:rsidR="00F84155" w:rsidRPr="00A61D6E">
        <w:rPr>
          <w:rFonts w:ascii="ITC Avant Garde" w:hAnsi="ITC Avant Garde"/>
          <w:bCs/>
          <w:color w:val="000000"/>
          <w:lang w:eastAsia="es-MX"/>
        </w:rPr>
        <w:t xml:space="preserve"> la </w:t>
      </w:r>
      <w:r w:rsidR="00324B0D">
        <w:rPr>
          <w:rFonts w:ascii="ITC Avant Garde" w:hAnsi="ITC Avant Garde"/>
          <w:bCs/>
          <w:color w:val="000000"/>
          <w:lang w:eastAsia="es-MX"/>
        </w:rPr>
        <w:t>S</w:t>
      </w:r>
      <w:r w:rsidR="00F84155" w:rsidRPr="00A61D6E">
        <w:rPr>
          <w:rFonts w:ascii="ITC Avant Garde" w:hAnsi="ITC Avant Garde" w:cs="Arial"/>
          <w:bCs/>
          <w:color w:val="000000"/>
          <w:shd w:val="clear" w:color="auto" w:fill="FFFFFF"/>
        </w:rPr>
        <w:t xml:space="preserve">olicitud de </w:t>
      </w:r>
      <w:r w:rsidR="00324B0D">
        <w:rPr>
          <w:rFonts w:ascii="ITC Avant Garde" w:hAnsi="ITC Avant Garde" w:cs="Arial"/>
          <w:bCs/>
          <w:color w:val="000000"/>
          <w:shd w:val="clear" w:color="auto" w:fill="FFFFFF"/>
        </w:rPr>
        <w:t>S</w:t>
      </w:r>
      <w:r w:rsidR="00026886" w:rsidRPr="00A61D6E">
        <w:rPr>
          <w:rFonts w:ascii="ITC Avant Garde" w:hAnsi="ITC Avant Garde" w:cs="Arial"/>
          <w:bCs/>
          <w:color w:val="000000"/>
          <w:shd w:val="clear" w:color="auto" w:fill="FFFFFF"/>
        </w:rPr>
        <w:t>ervicio</w:t>
      </w:r>
      <w:r w:rsidR="000D4E32" w:rsidRPr="00A61D6E">
        <w:rPr>
          <w:rFonts w:ascii="ITC Avant Garde" w:hAnsi="ITC Avant Garde" w:cs="Arial"/>
          <w:bCs/>
          <w:color w:val="000000"/>
          <w:shd w:val="clear" w:color="auto" w:fill="FFFFFF"/>
        </w:rPr>
        <w:t>s</w:t>
      </w:r>
      <w:r w:rsidR="00F84155" w:rsidRPr="00A61D6E">
        <w:rPr>
          <w:rFonts w:ascii="ITC Avant Garde" w:hAnsi="ITC Avant Garde" w:cs="Arial"/>
          <w:bCs/>
          <w:color w:val="000000"/>
          <w:shd w:val="clear" w:color="auto" w:fill="FFFFFF"/>
        </w:rPr>
        <w:t xml:space="preserve"> </w:t>
      </w:r>
      <w:r w:rsidR="00324B0D">
        <w:rPr>
          <w:rFonts w:ascii="ITC Avant Garde" w:hAnsi="ITC Avant Garde" w:cs="Arial"/>
          <w:bCs/>
          <w:color w:val="000000"/>
          <w:shd w:val="clear" w:color="auto" w:fill="FFFFFF"/>
        </w:rPr>
        <w:t>A</w:t>
      </w:r>
      <w:r w:rsidR="00026886" w:rsidRPr="00A61D6E">
        <w:rPr>
          <w:rFonts w:ascii="ITC Avant Garde" w:hAnsi="ITC Avant Garde" w:cs="Arial"/>
          <w:bCs/>
          <w:color w:val="000000"/>
          <w:shd w:val="clear" w:color="auto" w:fill="FFFFFF"/>
        </w:rPr>
        <w:t>dicional</w:t>
      </w:r>
      <w:r w:rsidR="000D4E32" w:rsidRPr="00A61D6E">
        <w:rPr>
          <w:rFonts w:ascii="ITC Avant Garde" w:hAnsi="ITC Avant Garde" w:cs="Arial"/>
          <w:bCs/>
          <w:color w:val="000000"/>
          <w:shd w:val="clear" w:color="auto" w:fill="FFFFFF"/>
        </w:rPr>
        <w:t>es</w:t>
      </w:r>
      <w:r w:rsidR="00F84155" w:rsidRPr="00A61D6E">
        <w:rPr>
          <w:rFonts w:ascii="ITC Avant Garde" w:hAnsi="ITC Avant Garde" w:cs="Arial"/>
          <w:bCs/>
          <w:color w:val="000000"/>
          <w:shd w:val="clear" w:color="auto" w:fill="FFFFFF"/>
        </w:rPr>
        <w:t>.</w:t>
      </w:r>
    </w:p>
    <w:p w:rsidR="00850C3A" w:rsidRDefault="00CF36AE" w:rsidP="00850C3A">
      <w:pPr>
        <w:spacing w:afterLines="120" w:after="288" w:line="240" w:lineRule="auto"/>
        <w:jc w:val="both"/>
        <w:rPr>
          <w:rFonts w:ascii="ITC Avant Garde" w:hAnsi="ITC Avant Garde" w:cs="Arial"/>
          <w:bCs/>
          <w:color w:val="000000"/>
          <w:shd w:val="clear" w:color="auto" w:fill="FFFFFF"/>
        </w:rPr>
      </w:pPr>
      <w:r>
        <w:rPr>
          <w:rFonts w:ascii="ITC Avant Garde" w:hAnsi="ITC Avant Garde" w:cs="Arial"/>
          <w:bCs/>
          <w:color w:val="000000"/>
          <w:shd w:val="clear" w:color="auto" w:fill="FFFFFF"/>
        </w:rPr>
        <w:t>En respuesta al citado</w:t>
      </w:r>
      <w:r w:rsidR="00F84155" w:rsidRPr="00A61D6E">
        <w:rPr>
          <w:rFonts w:ascii="ITC Avant Garde" w:hAnsi="ITC Avant Garde" w:cs="Arial"/>
          <w:bCs/>
          <w:color w:val="000000"/>
          <w:shd w:val="clear" w:color="auto" w:fill="FFFFFF"/>
        </w:rPr>
        <w:t xml:space="preserve"> requerimiento, </w:t>
      </w:r>
      <w:r w:rsidR="00707D06">
        <w:rPr>
          <w:rFonts w:ascii="ITC Avant Garde" w:hAnsi="ITC Avant Garde" w:cs="Arial"/>
          <w:bCs/>
          <w:color w:val="000000"/>
          <w:shd w:val="clear" w:color="auto" w:fill="FFFFFF"/>
        </w:rPr>
        <w:t>mediante oficio IFT/222/UER/DG-PLES</w:t>
      </w:r>
      <w:r w:rsidR="00F84155" w:rsidRPr="00A61D6E">
        <w:rPr>
          <w:rFonts w:ascii="ITC Avant Garde" w:hAnsi="ITC Avant Garde" w:cs="Arial"/>
          <w:bCs/>
          <w:color w:val="000000"/>
          <w:shd w:val="clear" w:color="auto" w:fill="FFFFFF"/>
        </w:rPr>
        <w:t>/</w:t>
      </w:r>
      <w:r w:rsidR="00324B0D">
        <w:rPr>
          <w:rFonts w:ascii="ITC Avant Garde" w:hAnsi="ITC Avant Garde" w:cs="Arial"/>
          <w:bCs/>
          <w:color w:val="000000"/>
          <w:shd w:val="clear" w:color="auto" w:fill="FFFFFF"/>
        </w:rPr>
        <w:t>045</w:t>
      </w:r>
      <w:r w:rsidR="00F84155" w:rsidRPr="00A61D6E">
        <w:rPr>
          <w:rFonts w:ascii="ITC Avant Garde" w:hAnsi="ITC Avant Garde" w:cs="Arial"/>
          <w:bCs/>
          <w:color w:val="000000"/>
          <w:shd w:val="clear" w:color="auto" w:fill="FFFFFF"/>
        </w:rPr>
        <w:t>/201</w:t>
      </w:r>
      <w:r w:rsidR="00BC07BB" w:rsidRPr="00A61D6E">
        <w:rPr>
          <w:rFonts w:ascii="ITC Avant Garde" w:hAnsi="ITC Avant Garde" w:cs="Arial"/>
          <w:bCs/>
          <w:color w:val="000000"/>
          <w:shd w:val="clear" w:color="auto" w:fill="FFFFFF"/>
        </w:rPr>
        <w:t>7</w:t>
      </w:r>
      <w:r w:rsidR="00F84155" w:rsidRPr="00A61D6E">
        <w:rPr>
          <w:rFonts w:ascii="ITC Avant Garde" w:hAnsi="ITC Avant Garde" w:cs="Arial"/>
          <w:bCs/>
          <w:color w:val="000000"/>
          <w:shd w:val="clear" w:color="auto" w:fill="FFFFFF"/>
        </w:rPr>
        <w:t xml:space="preserve"> de fecha </w:t>
      </w:r>
      <w:r w:rsidR="00324B0D">
        <w:rPr>
          <w:rFonts w:ascii="ITC Avant Garde" w:hAnsi="ITC Avant Garde" w:cs="Arial"/>
          <w:bCs/>
          <w:color w:val="000000"/>
          <w:shd w:val="clear" w:color="auto" w:fill="FFFFFF"/>
        </w:rPr>
        <w:t>29 de noviembre</w:t>
      </w:r>
      <w:r w:rsidR="00BC07BB" w:rsidRPr="00A61D6E">
        <w:rPr>
          <w:rFonts w:ascii="ITC Avant Garde" w:hAnsi="ITC Avant Garde" w:cs="Arial"/>
          <w:bCs/>
          <w:color w:val="000000"/>
          <w:shd w:val="clear" w:color="auto" w:fill="FFFFFF"/>
        </w:rPr>
        <w:t xml:space="preserve"> de 2017</w:t>
      </w:r>
      <w:r w:rsidR="00F84155" w:rsidRPr="00A61D6E">
        <w:rPr>
          <w:rFonts w:ascii="ITC Avant Garde" w:hAnsi="ITC Avant Garde" w:cs="Arial"/>
          <w:bCs/>
          <w:color w:val="000000"/>
          <w:shd w:val="clear" w:color="auto" w:fill="FFFFFF"/>
        </w:rPr>
        <w:t xml:space="preserve">, la Unidad de Espectro Radioeléctrico, a través de la Dirección General de Planeación del Espectro remitió el Dictamen de Planificación Espectral </w:t>
      </w:r>
      <w:r w:rsidR="00707D06">
        <w:rPr>
          <w:rFonts w:ascii="ITC Avant Garde" w:hAnsi="ITC Avant Garde" w:cs="Arial"/>
          <w:bCs/>
          <w:color w:val="000000"/>
          <w:shd w:val="clear" w:color="auto" w:fill="FFFFFF"/>
        </w:rPr>
        <w:t>DG-PLES/</w:t>
      </w:r>
      <w:r w:rsidR="00324B0D">
        <w:rPr>
          <w:rFonts w:ascii="ITC Avant Garde" w:hAnsi="ITC Avant Garde" w:cs="Arial"/>
          <w:bCs/>
          <w:color w:val="000000"/>
          <w:shd w:val="clear" w:color="auto" w:fill="FFFFFF"/>
        </w:rPr>
        <w:t>040</w:t>
      </w:r>
      <w:r w:rsidR="00707D06">
        <w:rPr>
          <w:rFonts w:ascii="ITC Avant Garde" w:hAnsi="ITC Avant Garde" w:cs="Arial"/>
          <w:bCs/>
          <w:color w:val="000000"/>
          <w:shd w:val="clear" w:color="auto" w:fill="FFFFFF"/>
        </w:rPr>
        <w:t>-17</w:t>
      </w:r>
      <w:r w:rsidR="00F84155" w:rsidRPr="00A61D6E">
        <w:rPr>
          <w:rFonts w:ascii="ITC Avant Garde" w:hAnsi="ITC Avant Garde" w:cs="Arial"/>
          <w:bCs/>
          <w:color w:val="000000"/>
          <w:shd w:val="clear" w:color="auto" w:fill="FFFFFF"/>
        </w:rPr>
        <w:t xml:space="preserve"> en el que manifestó, entre otros aspectos, lo siguiente:</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Arial"/>
          <w:b/>
          <w:i/>
          <w:iCs/>
          <w:sz w:val="18"/>
          <w:szCs w:val="18"/>
        </w:rPr>
      </w:pPr>
      <w:r w:rsidRPr="00A61D6E">
        <w:rPr>
          <w:rFonts w:ascii="ITC Avant Garde" w:hAnsi="ITC Avant Garde" w:cs="Arial"/>
          <w:b/>
          <w:i/>
          <w:iCs/>
          <w:sz w:val="18"/>
          <w:szCs w:val="18"/>
        </w:rPr>
        <w:t>3. Otros Instrumentos Aplicables</w:t>
      </w:r>
    </w:p>
    <w:p w:rsidR="006D46DE" w:rsidRPr="00A61D6E" w:rsidRDefault="006D46DE" w:rsidP="00850C3A">
      <w:pPr>
        <w:pStyle w:val="Prrafodelista"/>
        <w:numPr>
          <w:ilvl w:val="0"/>
          <w:numId w:val="11"/>
        </w:numPr>
        <w:autoSpaceDE w:val="0"/>
        <w:autoSpaceDN w:val="0"/>
        <w:adjustRightInd w:val="0"/>
        <w:ind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Elaborado en la ciudad de Querétaro, el 11 de agosto de 1992.</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En este documento se establecen las condiciones para la asignación de frecuencias y uso de la banda de 2500 a 2686 MHz a lo largo de su frontera común.</w:t>
      </w:r>
    </w:p>
    <w:p w:rsidR="006D46DE" w:rsidRPr="00A61D6E" w:rsidRDefault="006D46DE" w:rsidP="00850C3A">
      <w:pPr>
        <w:pStyle w:val="Prrafodelista"/>
        <w:numPr>
          <w:ilvl w:val="0"/>
          <w:numId w:val="11"/>
        </w:numPr>
        <w:autoSpaceDE w:val="0"/>
        <w:autoSpaceDN w:val="0"/>
        <w:adjustRightInd w:val="0"/>
        <w:ind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lastRenderedPageBreak/>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6D46DE" w:rsidRPr="00A61D6E" w:rsidRDefault="006D46DE" w:rsidP="00850C3A">
      <w:pPr>
        <w:autoSpaceDE w:val="0"/>
        <w:autoSpaceDN w:val="0"/>
        <w:adjustRightInd w:val="0"/>
        <w:spacing w:afterLines="120" w:after="288" w:line="240" w:lineRule="auto"/>
        <w:ind w:left="1416" w:right="615"/>
        <w:jc w:val="both"/>
        <w:rPr>
          <w:rFonts w:ascii="ITC Avant Garde" w:hAnsi="ITC Avant Garde" w:cs="Arial"/>
          <w:i/>
          <w:iCs/>
          <w:sz w:val="18"/>
          <w:szCs w:val="18"/>
        </w:rPr>
      </w:pPr>
      <w:r w:rsidRPr="00A61D6E">
        <w:rPr>
          <w:rFonts w:ascii="ITC Avant Garde" w:hAnsi="ITC Avant Garde" w:cs="Arial"/>
          <w:i/>
          <w:iCs/>
          <w:sz w:val="18"/>
          <w:szCs w:val="18"/>
        </w:rPr>
        <w:t>Elaborado en Washington, DC el 1 de octubre de 1998.</w:t>
      </w:r>
    </w:p>
    <w:p w:rsidR="00850C3A" w:rsidRDefault="006D46DE" w:rsidP="00850C3A">
      <w:pPr>
        <w:autoSpaceDE w:val="0"/>
        <w:autoSpaceDN w:val="0"/>
        <w:adjustRightInd w:val="0"/>
        <w:spacing w:afterLines="120" w:after="288" w:line="240" w:lineRule="auto"/>
        <w:ind w:left="1416" w:right="615"/>
        <w:jc w:val="both"/>
        <w:rPr>
          <w:rFonts w:ascii="ITC Avant Garde" w:hAnsi="ITC Avant Garde" w:cs="Arial"/>
          <w:i/>
          <w:iCs/>
          <w:sz w:val="18"/>
          <w:szCs w:val="18"/>
        </w:rPr>
      </w:pPr>
      <w:r w:rsidRPr="00A61D6E">
        <w:rPr>
          <w:rFonts w:ascii="ITC Avant Garde" w:hAnsi="ITC Avant Garde" w:cs="Arial"/>
          <w:i/>
          <w:iCs/>
          <w:sz w:val="18"/>
          <w:szCs w:val="18"/>
        </w:rPr>
        <w:t xml:space="preserve">Este documento indica la asignación de Frecuencias y Uso de la Banda de 2500 a 2686 MHz a lo </w:t>
      </w:r>
      <w:r w:rsidR="00251439">
        <w:rPr>
          <w:rFonts w:ascii="ITC Avant Garde" w:hAnsi="ITC Avant Garde" w:cs="Arial"/>
          <w:i/>
          <w:iCs/>
          <w:sz w:val="18"/>
          <w:szCs w:val="18"/>
        </w:rPr>
        <w:t>L</w:t>
      </w:r>
      <w:r w:rsidRPr="00A61D6E">
        <w:rPr>
          <w:rFonts w:ascii="ITC Avant Garde" w:hAnsi="ITC Avant Garde" w:cs="Arial"/>
          <w:i/>
          <w:iCs/>
          <w:sz w:val="18"/>
          <w:szCs w:val="18"/>
        </w:rPr>
        <w:t>argo de la Frontera México-Estados Unidos.</w:t>
      </w:r>
    </w:p>
    <w:p w:rsidR="006D46DE" w:rsidRPr="00A61D6E" w:rsidRDefault="006D46DE" w:rsidP="00850C3A">
      <w:pPr>
        <w:pStyle w:val="Prrafodelista"/>
        <w:numPr>
          <w:ilvl w:val="0"/>
          <w:numId w:val="11"/>
        </w:numPr>
        <w:autoSpaceDE w:val="0"/>
        <w:autoSpaceDN w:val="0"/>
        <w:adjustRightInd w:val="0"/>
        <w:ind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Emitido en Ciudad de México a través de resolución P/IFT/EXT/161214/278 de fecha 16 de diciembre del 2014.</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A61D6E" w:rsidRDefault="006D46DE" w:rsidP="00850C3A">
      <w:pPr>
        <w:pStyle w:val="Prrafodelista"/>
        <w:numPr>
          <w:ilvl w:val="0"/>
          <w:numId w:val="11"/>
        </w:numPr>
        <w:autoSpaceDE w:val="0"/>
        <w:autoSpaceDN w:val="0"/>
        <w:adjustRightInd w:val="0"/>
        <w:ind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Emitido en Ciudad de México a través de resolución P/IFT/030715/178 de fecha 3 de julio del 2015.</w:t>
      </w:r>
    </w:p>
    <w:p w:rsidR="00850C3A" w:rsidRDefault="006D46DE" w:rsidP="00850C3A">
      <w:pPr>
        <w:pStyle w:val="Prrafodelista"/>
        <w:autoSpaceDE w:val="0"/>
        <w:autoSpaceDN w:val="0"/>
        <w:adjustRightInd w:val="0"/>
        <w:spacing w:afterLines="120" w:after="288"/>
        <w:ind w:left="1428" w:right="615"/>
        <w:jc w:val="both"/>
        <w:rPr>
          <w:rFonts w:ascii="ITC Avant Garde" w:hAnsi="ITC Avant Garde" w:cs="Arial"/>
          <w:i/>
          <w:iCs/>
          <w:sz w:val="18"/>
          <w:szCs w:val="18"/>
          <w:lang w:val="es-MX"/>
        </w:rPr>
      </w:pPr>
      <w:r w:rsidRPr="00A61D6E">
        <w:rPr>
          <w:rFonts w:ascii="ITC Avant Garde" w:hAnsi="ITC Avant Garde" w:cs="Arial"/>
          <w:i/>
          <w:iCs/>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Arial"/>
          <w:b/>
          <w:i/>
          <w:iCs/>
          <w:sz w:val="18"/>
          <w:szCs w:val="18"/>
        </w:rPr>
      </w:pPr>
      <w:r w:rsidRPr="00A61D6E">
        <w:rPr>
          <w:rFonts w:ascii="ITC Avant Garde" w:hAnsi="ITC Avant Garde" w:cs="Arial"/>
          <w:b/>
          <w:i/>
          <w:iCs/>
          <w:sz w:val="18"/>
          <w:szCs w:val="18"/>
        </w:rPr>
        <w:t>4. Acciones de Planificación</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w:t>
      </w:r>
      <w:r w:rsidRPr="00A61D6E">
        <w:rPr>
          <w:rFonts w:ascii="ITC Avant Garde" w:hAnsi="ITC Avant Garde" w:cs="Tahoma"/>
          <w:bCs/>
          <w:i/>
          <w:sz w:val="18"/>
          <w:szCs w:val="18"/>
          <w:lang w:eastAsia="es-MX"/>
        </w:rPr>
        <w:lastRenderedPageBreak/>
        <w:t xml:space="preserve">como bandas destinadas para las Telecomunicaciones </w:t>
      </w:r>
      <w:r w:rsidR="0041305C">
        <w:rPr>
          <w:rFonts w:ascii="ITC Avant Garde" w:hAnsi="ITC Avant Garde" w:cs="Tahoma"/>
          <w:bCs/>
          <w:i/>
          <w:sz w:val="18"/>
          <w:szCs w:val="18"/>
          <w:lang w:eastAsia="es-MX"/>
        </w:rPr>
        <w:t>Móviles Internacionales (</w:t>
      </w:r>
      <w:r w:rsidRPr="00A61D6E">
        <w:rPr>
          <w:rFonts w:ascii="ITC Avant Garde" w:hAnsi="ITC Avant Garde" w:cs="Tahoma"/>
          <w:bCs/>
          <w:i/>
          <w:sz w:val="18"/>
          <w:szCs w:val="18"/>
          <w:lang w:eastAsia="es-MX"/>
        </w:rPr>
        <w:t xml:space="preserve">IMT, por </w:t>
      </w:r>
      <w:r w:rsidR="00370764">
        <w:rPr>
          <w:rFonts w:ascii="ITC Avant Garde" w:hAnsi="ITC Avant Garde" w:cs="Tahoma"/>
          <w:bCs/>
          <w:i/>
          <w:sz w:val="18"/>
          <w:szCs w:val="18"/>
          <w:lang w:eastAsia="es-MX"/>
        </w:rPr>
        <w:t xml:space="preserve">las </w:t>
      </w:r>
      <w:r w:rsidRPr="00A61D6E">
        <w:rPr>
          <w:rFonts w:ascii="ITC Avant Garde" w:hAnsi="ITC Avant Garde" w:cs="Tahoma"/>
          <w:bCs/>
          <w:i/>
          <w:sz w:val="18"/>
          <w:szCs w:val="18"/>
          <w:lang w:eastAsia="es-MX"/>
        </w:rPr>
        <w:t>siglas en inglés</w:t>
      </w:r>
      <w:r w:rsidR="00370764">
        <w:rPr>
          <w:rFonts w:ascii="ITC Avant Garde" w:hAnsi="ITC Avant Garde" w:cs="Tahoma"/>
          <w:bCs/>
          <w:i/>
          <w:sz w:val="18"/>
          <w:szCs w:val="18"/>
          <w:lang w:eastAsia="es-MX"/>
        </w:rPr>
        <w:t>: International Mobile Telecommunications</w:t>
      </w:r>
      <w:r w:rsidRPr="00A61D6E">
        <w:rPr>
          <w:rFonts w:ascii="ITC Avant Garde" w:hAnsi="ITC Avant Garde" w:cs="Tahoma"/>
          <w:bCs/>
          <w:i/>
          <w:sz w:val="18"/>
          <w:szCs w:val="18"/>
          <w:lang w:eastAsia="es-MX"/>
        </w:rPr>
        <w:t>).</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Siendo así, la banda 2500-2690 MHz ha sido identificada </w:t>
      </w:r>
      <w:r w:rsidR="00251439">
        <w:rPr>
          <w:rFonts w:ascii="ITC Avant Garde" w:hAnsi="ITC Avant Garde" w:cs="Tahoma"/>
          <w:bCs/>
          <w:i/>
          <w:sz w:val="18"/>
          <w:szCs w:val="18"/>
          <w:lang w:eastAsia="es-MX"/>
        </w:rPr>
        <w:t>para las</w:t>
      </w:r>
      <w:r w:rsidRPr="00A61D6E">
        <w:rPr>
          <w:rFonts w:ascii="ITC Avant Garde" w:hAnsi="ITC Avant Garde" w:cs="Tahoma"/>
          <w:bCs/>
          <w:i/>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CD0E04">
        <w:rPr>
          <w:rFonts w:ascii="ITC Avant Garde" w:hAnsi="ITC Avant Garde" w:cs="Tahoma"/>
          <w:bCs/>
          <w:i/>
          <w:sz w:val="18"/>
          <w:szCs w:val="18"/>
          <w:lang w:eastAsia="es-MX"/>
        </w:rPr>
        <w:t xml:space="preserve">Al respecto, la Recomendación </w:t>
      </w:r>
      <w:r w:rsidR="0041305C">
        <w:rPr>
          <w:rFonts w:ascii="ITC Avant Garde" w:hAnsi="ITC Avant Garde" w:cs="Tahoma"/>
          <w:bCs/>
          <w:i/>
          <w:sz w:val="18"/>
          <w:szCs w:val="18"/>
          <w:lang w:eastAsia="es-MX"/>
        </w:rPr>
        <w:t>REC-</w:t>
      </w:r>
      <w:r w:rsidRPr="00CD0E04">
        <w:rPr>
          <w:rFonts w:ascii="ITC Avant Garde" w:hAnsi="ITC Avant Garde" w:cs="Tahoma"/>
          <w:bCs/>
          <w:i/>
          <w:sz w:val="18"/>
          <w:szCs w:val="18"/>
          <w:lang w:eastAsia="es-MX"/>
        </w:rPr>
        <w:t xml:space="preserve">M.1036 de la UIT ha dispuesto 3 </w:t>
      </w:r>
      <w:r w:rsidR="0041305C">
        <w:rPr>
          <w:rFonts w:ascii="ITC Avant Garde" w:hAnsi="ITC Avant Garde" w:cs="Tahoma"/>
          <w:bCs/>
          <w:i/>
          <w:sz w:val="18"/>
          <w:szCs w:val="18"/>
          <w:lang w:eastAsia="es-MX"/>
        </w:rPr>
        <w:t xml:space="preserve">(tres) </w:t>
      </w:r>
      <w:r w:rsidRPr="00CD0E04">
        <w:rPr>
          <w:rFonts w:ascii="ITC Avant Garde" w:hAnsi="ITC Avant Garde" w:cs="Tahoma"/>
          <w:bCs/>
          <w:i/>
          <w:sz w:val="18"/>
          <w:szCs w:val="18"/>
          <w:lang w:eastAsia="es-MX"/>
        </w:rPr>
        <w:t xml:space="preserve">esquemas de segmentación para la banda en comento. El arreglo C1 considera los segmentos apareados 2500-2570/2620-2690 MHz </w:t>
      </w:r>
      <w:r w:rsidR="00530C9B">
        <w:rPr>
          <w:rFonts w:ascii="ITC Avant Garde" w:hAnsi="ITC Avant Garde" w:cs="Tahoma"/>
          <w:bCs/>
          <w:i/>
          <w:sz w:val="18"/>
          <w:szCs w:val="18"/>
          <w:lang w:eastAsia="es-MX"/>
        </w:rPr>
        <w:t>en</w:t>
      </w:r>
      <w:r w:rsidRPr="00CD0E04">
        <w:rPr>
          <w:rFonts w:ascii="ITC Avant Garde" w:hAnsi="ITC Avant Garde" w:cs="Tahoma"/>
          <w:bCs/>
          <w:i/>
          <w:sz w:val="18"/>
          <w:szCs w:val="18"/>
          <w:lang w:eastAsia="es-MX"/>
        </w:rPr>
        <w:t xml:space="preserve"> duplexaje por división en frecuencia </w:t>
      </w:r>
      <w:r w:rsidR="00530C9B">
        <w:rPr>
          <w:rFonts w:ascii="ITC Avant Garde" w:hAnsi="ITC Avant Garde" w:cs="Tahoma"/>
          <w:bCs/>
          <w:i/>
          <w:sz w:val="18"/>
          <w:szCs w:val="18"/>
          <w:lang w:eastAsia="es-MX"/>
        </w:rPr>
        <w:t>(</w:t>
      </w:r>
      <w:r w:rsidRPr="00CD0E04">
        <w:rPr>
          <w:rFonts w:ascii="ITC Avant Garde" w:hAnsi="ITC Avant Garde" w:cs="Tahoma"/>
          <w:bCs/>
          <w:i/>
          <w:sz w:val="18"/>
          <w:szCs w:val="18"/>
          <w:lang w:eastAsia="es-MX"/>
        </w:rPr>
        <w:t>FDD</w:t>
      </w:r>
      <w:r w:rsidR="00530C9B">
        <w:rPr>
          <w:rFonts w:ascii="ITC Avant Garde" w:hAnsi="ITC Avant Garde" w:cs="Tahoma"/>
          <w:bCs/>
          <w:i/>
          <w:sz w:val="18"/>
          <w:szCs w:val="18"/>
          <w:lang w:eastAsia="es-MX"/>
        </w:rPr>
        <w:t>, por las siglas en inglés:</w:t>
      </w:r>
      <w:r w:rsidRPr="00CD0E04">
        <w:rPr>
          <w:rFonts w:ascii="ITC Avant Garde" w:hAnsi="ITC Avant Garde" w:cs="Tahoma"/>
          <w:bCs/>
          <w:i/>
          <w:sz w:val="18"/>
          <w:szCs w:val="18"/>
          <w:lang w:eastAsia="es-MX"/>
        </w:rPr>
        <w:t xml:space="preserve"> Frequency-Division Duplex), junto con el segmento no apareado 2570-2620 MHz </w:t>
      </w:r>
      <w:r w:rsidR="00530C9B">
        <w:rPr>
          <w:rFonts w:ascii="ITC Avant Garde" w:hAnsi="ITC Avant Garde" w:cs="Tahoma"/>
          <w:bCs/>
          <w:i/>
          <w:sz w:val="18"/>
          <w:szCs w:val="18"/>
          <w:lang w:eastAsia="es-MX"/>
        </w:rPr>
        <w:t>en</w:t>
      </w:r>
      <w:r w:rsidRPr="00CD0E04">
        <w:rPr>
          <w:rFonts w:ascii="ITC Avant Garde" w:hAnsi="ITC Avant Garde" w:cs="Tahoma"/>
          <w:bCs/>
          <w:i/>
          <w:sz w:val="18"/>
          <w:szCs w:val="18"/>
          <w:lang w:eastAsia="es-MX"/>
        </w:rPr>
        <w:t xml:space="preserve"> duplexaje por división en tiempo </w:t>
      </w:r>
      <w:r w:rsidR="00530C9B">
        <w:rPr>
          <w:rFonts w:ascii="ITC Avant Garde" w:hAnsi="ITC Avant Garde" w:cs="Tahoma"/>
          <w:bCs/>
          <w:i/>
          <w:sz w:val="18"/>
          <w:szCs w:val="18"/>
          <w:lang w:eastAsia="es-MX"/>
        </w:rPr>
        <w:t>(</w:t>
      </w:r>
      <w:r w:rsidRPr="00CD0E04">
        <w:rPr>
          <w:rFonts w:ascii="ITC Avant Garde" w:hAnsi="ITC Avant Garde" w:cs="Tahoma"/>
          <w:bCs/>
          <w:i/>
          <w:sz w:val="18"/>
          <w:szCs w:val="18"/>
          <w:lang w:eastAsia="es-MX"/>
        </w:rPr>
        <w:t xml:space="preserve">TDD </w:t>
      </w:r>
      <w:r w:rsidR="00530C9B">
        <w:rPr>
          <w:rFonts w:ascii="ITC Avant Garde" w:hAnsi="ITC Avant Garde" w:cs="Tahoma"/>
          <w:bCs/>
          <w:i/>
          <w:sz w:val="18"/>
          <w:szCs w:val="18"/>
          <w:lang w:eastAsia="es-MX"/>
        </w:rPr>
        <w:t xml:space="preserve">por las siglas en inglés: </w:t>
      </w:r>
      <w:r w:rsidRPr="00CD0E04">
        <w:rPr>
          <w:rFonts w:ascii="ITC Avant Garde" w:hAnsi="ITC Avant Garde" w:cs="Tahoma"/>
          <w:bCs/>
          <w:i/>
          <w:sz w:val="18"/>
          <w:szCs w:val="18"/>
          <w:lang w:eastAsia="es-MX"/>
        </w:rPr>
        <w:t>Time-Division Duplex). El arreglo C2 considera los segmentos apareados 2500-2570/2620-2690 MHz</w:t>
      </w:r>
      <w:r w:rsidR="00530C9B">
        <w:rPr>
          <w:rFonts w:ascii="ITC Avant Garde" w:hAnsi="ITC Avant Garde" w:cs="Tahoma"/>
          <w:bCs/>
          <w:i/>
          <w:sz w:val="18"/>
          <w:szCs w:val="18"/>
          <w:lang w:eastAsia="es-MX"/>
        </w:rPr>
        <w:t xml:space="preserve"> en </w:t>
      </w:r>
      <w:r w:rsidRPr="00CD0E04">
        <w:rPr>
          <w:rFonts w:ascii="ITC Avant Garde" w:hAnsi="ITC Avant Garde" w:cs="Tahoma"/>
          <w:bCs/>
          <w:i/>
          <w:sz w:val="18"/>
          <w:szCs w:val="18"/>
          <w:lang w:eastAsia="es-MX"/>
        </w:rPr>
        <w:t xml:space="preserve">FDD, junto con el segmento no </w:t>
      </w:r>
      <w:r w:rsidR="00530C9B">
        <w:rPr>
          <w:rFonts w:ascii="ITC Avant Garde" w:hAnsi="ITC Avant Garde" w:cs="Tahoma"/>
          <w:bCs/>
          <w:i/>
          <w:sz w:val="18"/>
          <w:szCs w:val="18"/>
          <w:lang w:eastAsia="es-MX"/>
        </w:rPr>
        <w:t>apareado 25</w:t>
      </w:r>
      <w:r w:rsidR="00251439">
        <w:rPr>
          <w:rFonts w:ascii="ITC Avant Garde" w:hAnsi="ITC Avant Garde" w:cs="Tahoma"/>
          <w:bCs/>
          <w:i/>
          <w:sz w:val="18"/>
          <w:szCs w:val="18"/>
          <w:lang w:eastAsia="es-MX"/>
        </w:rPr>
        <w:t xml:space="preserve">70-2620 MHz </w:t>
      </w:r>
      <w:r w:rsidR="00530C9B">
        <w:rPr>
          <w:rFonts w:ascii="ITC Avant Garde" w:hAnsi="ITC Avant Garde" w:cs="Tahoma"/>
          <w:bCs/>
          <w:i/>
          <w:sz w:val="18"/>
          <w:szCs w:val="18"/>
          <w:lang w:eastAsia="es-MX"/>
        </w:rPr>
        <w:t xml:space="preserve">en </w:t>
      </w:r>
      <w:r w:rsidRPr="00CD0E04">
        <w:rPr>
          <w:rFonts w:ascii="ITC Avant Garde" w:hAnsi="ITC Avant Garde" w:cs="Tahoma"/>
          <w:bCs/>
          <w:i/>
          <w:sz w:val="18"/>
          <w:szCs w:val="18"/>
          <w:lang w:eastAsia="es-MX"/>
        </w:rPr>
        <w:t>FDD</w:t>
      </w:r>
      <w:r w:rsidR="00530C9B">
        <w:rPr>
          <w:rFonts w:ascii="ITC Avant Garde" w:hAnsi="ITC Avant Garde" w:cs="Tahoma"/>
          <w:bCs/>
          <w:i/>
          <w:sz w:val="18"/>
          <w:szCs w:val="18"/>
          <w:lang w:eastAsia="es-MX"/>
        </w:rPr>
        <w:t xml:space="preserve"> únicamente para el enlace de bajada (Downlink)</w:t>
      </w:r>
      <w:r w:rsidRPr="00CD0E04">
        <w:rPr>
          <w:rFonts w:ascii="ITC Avant Garde" w:hAnsi="ITC Avant Garde" w:cs="Tahoma"/>
          <w:bCs/>
          <w:i/>
          <w:sz w:val="18"/>
          <w:szCs w:val="18"/>
          <w:lang w:eastAsia="es-MX"/>
        </w:rPr>
        <w:t>. Por último, el arreglo C3 considera la banda completa como una alternativa flexible que permite la libre configuración de los esquemas de duplexaje FDD y TDD.</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Asimismo, desde el punto de vista de los trabajos de estandarización, el organismo de estandarización 3GPP (3rd Generatio</w:t>
      </w:r>
      <w:r>
        <w:rPr>
          <w:rFonts w:ascii="ITC Avant Garde" w:hAnsi="ITC Avant Garde" w:cs="Tahoma"/>
          <w:bCs/>
          <w:i/>
          <w:sz w:val="18"/>
          <w:szCs w:val="18"/>
          <w:lang w:eastAsia="es-MX"/>
        </w:rPr>
        <w:t>n Partnership Pro</w:t>
      </w:r>
      <w:r w:rsidRPr="00A61D6E">
        <w:rPr>
          <w:rFonts w:ascii="ITC Avant Garde" w:hAnsi="ITC Avant Garde" w:cs="Tahoma"/>
          <w:bCs/>
          <w:i/>
          <w:sz w:val="18"/>
          <w:szCs w:val="18"/>
          <w:lang w:eastAsia="es-MX"/>
        </w:rPr>
        <w:t>ject), ha desarrollado las especificaciones técnicas de la interfaz aérea de LTE para la utilización de la banda 2500-2690 MHz por sistemas de banda ancha móvil mediante los perfiles 7 para el se</w:t>
      </w:r>
      <w:r w:rsidR="0062285B">
        <w:rPr>
          <w:rFonts w:ascii="ITC Avant Garde" w:hAnsi="ITC Avant Garde" w:cs="Tahoma"/>
          <w:bCs/>
          <w:i/>
          <w:sz w:val="18"/>
          <w:szCs w:val="18"/>
          <w:lang w:eastAsia="es-MX"/>
        </w:rPr>
        <w:t xml:space="preserve">gmento 2500-2570/2620-2690 MHz en </w:t>
      </w:r>
      <w:r w:rsidRPr="00A61D6E">
        <w:rPr>
          <w:rFonts w:ascii="ITC Avant Garde" w:hAnsi="ITC Avant Garde" w:cs="Tahoma"/>
          <w:bCs/>
          <w:i/>
          <w:sz w:val="18"/>
          <w:szCs w:val="18"/>
          <w:lang w:eastAsia="es-MX"/>
        </w:rPr>
        <w:t xml:space="preserve">FDD, 38 </w:t>
      </w:r>
      <w:r w:rsidR="0062285B">
        <w:rPr>
          <w:rFonts w:ascii="ITC Avant Garde" w:hAnsi="ITC Avant Garde" w:cs="Tahoma"/>
          <w:bCs/>
          <w:i/>
          <w:sz w:val="18"/>
          <w:szCs w:val="18"/>
          <w:lang w:eastAsia="es-MX"/>
        </w:rPr>
        <w:t xml:space="preserve">para el segmento 2570-2620 MHz en </w:t>
      </w:r>
      <w:r w:rsidRPr="00A61D6E">
        <w:rPr>
          <w:rFonts w:ascii="ITC Avant Garde" w:hAnsi="ITC Avant Garde" w:cs="Tahoma"/>
          <w:bCs/>
          <w:i/>
          <w:sz w:val="18"/>
          <w:szCs w:val="18"/>
          <w:lang w:eastAsia="es-MX"/>
        </w:rPr>
        <w:t xml:space="preserve">TDD y 41 para el segmento 2496-2690 MHz </w:t>
      </w:r>
      <w:r w:rsidR="0062285B">
        <w:rPr>
          <w:rFonts w:ascii="ITC Avant Garde" w:hAnsi="ITC Avant Garde" w:cs="Tahoma"/>
          <w:bCs/>
          <w:i/>
          <w:sz w:val="18"/>
          <w:szCs w:val="18"/>
          <w:lang w:eastAsia="es-MX"/>
        </w:rPr>
        <w:t>en TDD</w:t>
      </w:r>
      <w:r w:rsidRPr="00A61D6E">
        <w:rPr>
          <w:rFonts w:ascii="ITC Avant Garde" w:hAnsi="ITC Avant Garde" w:cs="Tahoma"/>
          <w:bCs/>
          <w:i/>
          <w:sz w:val="18"/>
          <w:szCs w:val="18"/>
          <w:lang w:eastAsia="es-MX"/>
        </w:rPr>
        <w:t>.</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Por su parte, el Instituto </w:t>
      </w:r>
      <w:r w:rsidR="0062285B">
        <w:rPr>
          <w:rFonts w:ascii="ITC Avant Garde" w:hAnsi="ITC Avant Garde" w:cs="Tahoma"/>
          <w:bCs/>
          <w:i/>
          <w:sz w:val="18"/>
          <w:szCs w:val="18"/>
          <w:lang w:eastAsia="es-MX"/>
        </w:rPr>
        <w:t xml:space="preserve">Federal de Telecomunicaciones (Instituto) </w:t>
      </w:r>
      <w:r w:rsidRPr="00A61D6E">
        <w:rPr>
          <w:rFonts w:ascii="ITC Avant Garde" w:hAnsi="ITC Avant Garde" w:cs="Tahoma"/>
          <w:bCs/>
          <w:i/>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las condiciones de propagación y la cantidad de espectro contiguo en este rango de frecuencias, facilitan la prestación de dichos servicios en diferentes entornos y en distintas condiciones de operación.</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Pr>
          <w:rFonts w:ascii="ITC Avant Garde" w:hAnsi="ITC Avant Garde" w:cs="Tahoma"/>
          <w:bCs/>
          <w:i/>
          <w:sz w:val="18"/>
          <w:szCs w:val="18"/>
          <w:lang w:eastAsia="es-MX"/>
        </w:rPr>
        <w:t xml:space="preserve">en </w:t>
      </w:r>
      <w:r w:rsidRPr="00A61D6E">
        <w:rPr>
          <w:rFonts w:ascii="ITC Avant Garde" w:hAnsi="ITC Avant Garde" w:cs="Tahoma"/>
          <w:bCs/>
          <w:i/>
          <w:sz w:val="18"/>
          <w:szCs w:val="18"/>
          <w:lang w:eastAsia="es-MX"/>
        </w:rPr>
        <w:t xml:space="preserve">FDD, junto con el segmento no apareado 2570-2620 MHz </w:t>
      </w:r>
      <w:r w:rsidR="000545E7">
        <w:rPr>
          <w:rFonts w:ascii="ITC Avant Garde" w:hAnsi="ITC Avant Garde" w:cs="Tahoma"/>
          <w:bCs/>
          <w:i/>
          <w:sz w:val="18"/>
          <w:szCs w:val="18"/>
          <w:lang w:eastAsia="es-MX"/>
        </w:rPr>
        <w:t xml:space="preserve">en </w:t>
      </w:r>
      <w:r w:rsidRPr="00A61D6E">
        <w:rPr>
          <w:rFonts w:ascii="ITC Avant Garde" w:hAnsi="ITC Avant Garde" w:cs="Tahoma"/>
          <w:bCs/>
          <w:i/>
          <w:sz w:val="18"/>
          <w:szCs w:val="18"/>
          <w:lang w:eastAsia="es-MX"/>
        </w:rPr>
        <w:t>TDD, debido a que esta opción presenta un entorno más favorecedor y con mayores ventajas tecnológicas, económicas y sociales para su implementación en nuestro país.</w:t>
      </w:r>
    </w:p>
    <w:p w:rsidR="00850C3A" w:rsidRDefault="000545E7"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006D46DE" w:rsidRPr="00A61D6E">
        <w:rPr>
          <w:rFonts w:ascii="ITC Avant Garde" w:hAnsi="ITC Avant Garde" w:cs="Tahoma"/>
          <w:bCs/>
          <w:i/>
          <w:sz w:val="18"/>
          <w:szCs w:val="18"/>
          <w:lang w:eastAsia="es-MX"/>
        </w:rPr>
        <w:t xml:space="preserve">en lo que respecta al servicio móvil de banda ancha, es importante resaltar que el estándar de </w:t>
      </w:r>
      <w:r w:rsidR="006D46DE" w:rsidRPr="00A61D6E">
        <w:rPr>
          <w:rFonts w:ascii="ITC Avant Garde" w:hAnsi="ITC Avant Garde" w:cs="Tahoma"/>
          <w:b/>
          <w:bCs/>
          <w:i/>
          <w:sz w:val="18"/>
          <w:szCs w:val="18"/>
          <w:lang w:eastAsia="es-MX"/>
        </w:rPr>
        <w:t>una tecnología de última generación como lo es LTE</w:t>
      </w:r>
      <w:r w:rsidR="006D46DE" w:rsidRPr="00A61D6E">
        <w:rPr>
          <w:rStyle w:val="Refdenotaalpie"/>
          <w:rFonts w:ascii="ITC Avant Garde" w:hAnsi="ITC Avant Garde" w:cs="Tahoma"/>
          <w:b/>
          <w:bCs/>
          <w:i/>
          <w:sz w:val="18"/>
          <w:szCs w:val="18"/>
          <w:lang w:eastAsia="es-MX"/>
        </w:rPr>
        <w:footnoteReference w:id="1"/>
      </w:r>
      <w:r w:rsidR="006D46DE"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w:t>
      </w:r>
      <w:r w:rsidR="006D46DE" w:rsidRPr="00A61D6E">
        <w:rPr>
          <w:rFonts w:ascii="ITC Avant Garde" w:hAnsi="ITC Avant Garde" w:cs="Tahoma"/>
          <w:bCs/>
          <w:i/>
          <w:sz w:val="18"/>
          <w:szCs w:val="18"/>
          <w:lang w:eastAsia="es-MX"/>
        </w:rPr>
        <w:lastRenderedPageBreak/>
        <w:t>conforme a los están</w:t>
      </w:r>
      <w:r w:rsidR="000560A8">
        <w:rPr>
          <w:rFonts w:ascii="ITC Avant Garde" w:hAnsi="ITC Avant Garde" w:cs="Tahoma"/>
          <w:bCs/>
          <w:i/>
          <w:sz w:val="18"/>
          <w:szCs w:val="18"/>
          <w:lang w:eastAsia="es-MX"/>
        </w:rPr>
        <w:t>dares tecnológicos, le permitiría</w:t>
      </w:r>
      <w:r w:rsidR="006D46DE" w:rsidRPr="00A61D6E">
        <w:rPr>
          <w:rFonts w:ascii="ITC Avant Garde" w:hAnsi="ITC Avant Garde" w:cs="Tahoma"/>
          <w:bCs/>
          <w:i/>
          <w:sz w:val="18"/>
          <w:szCs w:val="18"/>
          <w:lang w:eastAsia="es-MX"/>
        </w:rPr>
        <w:t xml:space="preserve"> proveer servicios de banda ancha móvil a través de tecnologías de última generación.</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9B741D">
        <w:rPr>
          <w:rFonts w:ascii="ITC Avant Garde" w:hAnsi="ITC Avant Garde" w:cs="Tahoma"/>
          <w:bCs/>
          <w:i/>
          <w:sz w:val="18"/>
          <w:szCs w:val="18"/>
          <w:lang w:eastAsia="es-MX"/>
        </w:rPr>
        <w:t>la</w:t>
      </w:r>
      <w:r w:rsidRPr="00A61D6E">
        <w:rPr>
          <w:rFonts w:ascii="ITC Avant Garde" w:hAnsi="ITC Avant Garde" w:cs="Tahoma"/>
          <w:bCs/>
          <w:i/>
          <w:sz w:val="18"/>
          <w:szCs w:val="18"/>
          <w:lang w:eastAsia="es-MX"/>
        </w:rPr>
        <w:t xml:space="preserve"> prestación de los servicios adicionales solicitados</w:t>
      </w:r>
      <w:r w:rsidR="000545E7">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w:t>
      </w:r>
    </w:p>
    <w:p w:rsidR="006D46DE" w:rsidRPr="00A61D6E" w:rsidRDefault="006D46DE" w:rsidP="00850C3A">
      <w:pPr>
        <w:autoSpaceDE w:val="0"/>
        <w:autoSpaceDN w:val="0"/>
        <w:adjustRightInd w:val="0"/>
        <w:spacing w:after="0" w:line="240" w:lineRule="auto"/>
        <w:ind w:left="567" w:right="615"/>
        <w:jc w:val="both"/>
        <w:rPr>
          <w:rFonts w:ascii="ITC Avant Garde" w:hAnsi="ITC Avant Garde" w:cs="Tahoma"/>
          <w:b/>
          <w:bCs/>
          <w:i/>
          <w:sz w:val="18"/>
          <w:szCs w:val="18"/>
          <w:lang w:eastAsia="es-MX"/>
        </w:rPr>
      </w:pPr>
      <w:r w:rsidRPr="00A61D6E">
        <w:rPr>
          <w:rFonts w:ascii="ITC Avant Garde" w:hAnsi="ITC Avant Garde" w:cs="Tahoma"/>
          <w:b/>
          <w:bCs/>
          <w:i/>
          <w:sz w:val="18"/>
          <w:szCs w:val="18"/>
          <w:lang w:eastAsia="es-MX"/>
        </w:rPr>
        <w:t>Dictamen</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Con base en el análisis previo y desde el punto de vista de planeación del espectro, </w:t>
      </w:r>
      <w:r w:rsidR="00C35FF7">
        <w:rPr>
          <w:rFonts w:ascii="ITC Avant Garde" w:hAnsi="ITC Avant Garde" w:cs="Tahoma"/>
          <w:bCs/>
          <w:i/>
          <w:sz w:val="18"/>
          <w:szCs w:val="18"/>
          <w:lang w:eastAsia="es-MX"/>
        </w:rPr>
        <w:t xml:space="preserve">el uso solicitado </w:t>
      </w:r>
      <w:r w:rsidRPr="00A61D6E">
        <w:rPr>
          <w:rFonts w:ascii="ITC Avant Garde" w:hAnsi="ITC Avant Garde" w:cs="Tahoma"/>
          <w:bCs/>
          <w:i/>
          <w:sz w:val="18"/>
          <w:szCs w:val="18"/>
          <w:lang w:eastAsia="es-MX"/>
        </w:rPr>
        <w:t xml:space="preserve">dentro del rango de frecuencias objeto de la solicitud se considera </w:t>
      </w:r>
      <w:r w:rsidRPr="00A61D6E">
        <w:rPr>
          <w:rFonts w:ascii="ITC Avant Garde" w:hAnsi="ITC Avant Garde" w:cs="Tahoma"/>
          <w:b/>
          <w:bCs/>
          <w:i/>
          <w:sz w:val="18"/>
          <w:szCs w:val="18"/>
          <w:lang w:eastAsia="es-MX"/>
        </w:rPr>
        <w:t>PROCEDENTE</w:t>
      </w:r>
      <w:r w:rsidRPr="00A61D6E">
        <w:rPr>
          <w:rFonts w:ascii="ITC Avant Garde" w:hAnsi="ITC Avant Garde" w:cs="Tahoma"/>
          <w:bCs/>
          <w:i/>
          <w:sz w:val="18"/>
          <w:szCs w:val="18"/>
          <w:lang w:eastAsia="es-MX"/>
        </w:rPr>
        <w:t>.</w:t>
      </w:r>
    </w:p>
    <w:p w:rsidR="00850C3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Lo anterior, sujeto a las condiciones y términos que se indican en el apartado siguiente.</w:t>
      </w:r>
    </w:p>
    <w:p w:rsidR="00E74E2A" w:rsidRDefault="006D46DE" w:rsidP="00850C3A">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w:t>
      </w:r>
      <w:r w:rsidRPr="00A61D6E">
        <w:rPr>
          <w:rFonts w:ascii="ITC Avant Garde" w:hAnsi="ITC Avant Garde" w:cs="Tahoma"/>
          <w:bCs/>
          <w:i/>
          <w:sz w:val="18"/>
          <w:szCs w:val="18"/>
          <w:lang w:eastAsia="es-MX"/>
        </w:rPr>
        <w:t xml:space="preserve">. </w:t>
      </w:r>
    </w:p>
    <w:p w:rsidR="00850C3A" w:rsidRDefault="00E74E2A" w:rsidP="00850C3A">
      <w:pPr>
        <w:autoSpaceDE w:val="0"/>
        <w:autoSpaceDN w:val="0"/>
        <w:adjustRightInd w:val="0"/>
        <w:spacing w:afterLines="120" w:after="288" w:line="240" w:lineRule="auto"/>
        <w:ind w:left="567" w:right="615"/>
        <w:jc w:val="right"/>
        <w:rPr>
          <w:rFonts w:ascii="ITC Avant Garde" w:hAnsi="ITC Avant Garde" w:cs="Tahoma"/>
          <w:bCs/>
          <w:sz w:val="18"/>
          <w:szCs w:val="18"/>
          <w:lang w:eastAsia="es-MX"/>
        </w:rPr>
      </w:pPr>
      <w:r>
        <w:rPr>
          <w:rFonts w:ascii="ITC Avant Garde" w:hAnsi="ITC Avant Garde" w:cs="Tahoma"/>
          <w:bCs/>
          <w:sz w:val="18"/>
          <w:szCs w:val="18"/>
          <w:lang w:eastAsia="es-MX"/>
        </w:rPr>
        <w:t>[</w:t>
      </w:r>
      <w:r w:rsidR="00C35FF7">
        <w:rPr>
          <w:rFonts w:ascii="ITC Avant Garde" w:hAnsi="ITC Avant Garde" w:cs="Tahoma"/>
          <w:bCs/>
          <w:sz w:val="18"/>
          <w:szCs w:val="18"/>
          <w:lang w:eastAsia="es-MX"/>
        </w:rPr>
        <w:t>Énfasis añadido</w:t>
      </w:r>
      <w:r>
        <w:rPr>
          <w:rFonts w:ascii="ITC Avant Garde" w:hAnsi="ITC Avant Garde" w:cs="Tahoma"/>
          <w:bCs/>
          <w:sz w:val="18"/>
          <w:szCs w:val="18"/>
          <w:lang w:eastAsia="es-MX"/>
        </w:rPr>
        <w:t>]</w:t>
      </w:r>
    </w:p>
    <w:p w:rsidR="00850C3A" w:rsidRDefault="00E95DC8" w:rsidP="00850C3A">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De lo anterior se desprende que la </w:t>
      </w:r>
      <w:r w:rsidR="00842C29">
        <w:rPr>
          <w:rFonts w:ascii="ITC Avant Garde" w:hAnsi="ITC Avant Garde"/>
          <w:bCs/>
        </w:rPr>
        <w:t>s</w:t>
      </w:r>
      <w:r w:rsidRPr="00A61D6E">
        <w:rPr>
          <w:rFonts w:ascii="ITC Avant Garde" w:hAnsi="ITC Avant Garde"/>
          <w:bCs/>
        </w:rPr>
        <w:t xml:space="preserve">olicitud </w:t>
      </w:r>
      <w:r w:rsidR="00D61262" w:rsidRPr="00A61D6E">
        <w:rPr>
          <w:rFonts w:ascii="ITC Avant Garde" w:hAnsi="ITC Avant Garde"/>
          <w:bCs/>
        </w:rPr>
        <w:t xml:space="preserve">de </w:t>
      </w:r>
      <w:r w:rsidR="00E2666D">
        <w:rPr>
          <w:rFonts w:ascii="ITC Avant Garde" w:hAnsi="ITC Avant Garde"/>
          <w:bCs/>
        </w:rPr>
        <w:t>s</w:t>
      </w:r>
      <w:r w:rsidR="00D61262" w:rsidRPr="00A61D6E">
        <w:rPr>
          <w:rFonts w:ascii="ITC Avant Garde" w:hAnsi="ITC Avant Garde"/>
          <w:bCs/>
        </w:rPr>
        <w:t>ervicio</w:t>
      </w:r>
      <w:r w:rsidR="00BC07BB" w:rsidRPr="00A61D6E">
        <w:rPr>
          <w:rFonts w:ascii="ITC Avant Garde" w:hAnsi="ITC Avant Garde"/>
          <w:bCs/>
        </w:rPr>
        <w:t>s</w:t>
      </w:r>
      <w:r w:rsidR="00D61262" w:rsidRPr="00A61D6E">
        <w:rPr>
          <w:rFonts w:ascii="ITC Avant Garde" w:hAnsi="ITC Avant Garde"/>
          <w:bCs/>
        </w:rPr>
        <w:t xml:space="preserve"> </w:t>
      </w:r>
      <w:r w:rsidR="00E2666D">
        <w:rPr>
          <w:rFonts w:ascii="ITC Avant Garde" w:hAnsi="ITC Avant Garde"/>
          <w:bCs/>
        </w:rPr>
        <w:t>a</w:t>
      </w:r>
      <w:r w:rsidR="00D61262" w:rsidRPr="00A61D6E">
        <w:rPr>
          <w:rFonts w:ascii="ITC Avant Garde" w:hAnsi="ITC Avant Garde"/>
          <w:bCs/>
        </w:rPr>
        <w:t>dicional</w:t>
      </w:r>
      <w:r w:rsidR="00BC07BB" w:rsidRPr="00A61D6E">
        <w:rPr>
          <w:rFonts w:ascii="ITC Avant Garde" w:hAnsi="ITC Avant Garde"/>
          <w:bCs/>
        </w:rPr>
        <w:t>es</w:t>
      </w:r>
      <w:r w:rsidRPr="00A61D6E">
        <w:rPr>
          <w:rFonts w:ascii="ITC Avant Garde" w:hAnsi="ITC Avant Garde"/>
          <w:bCs/>
        </w:rPr>
        <w:t xml:space="preserve"> presentada por </w:t>
      </w:r>
      <w:r w:rsidR="0056587F">
        <w:rPr>
          <w:rFonts w:ascii="ITC Avant Garde" w:hAnsi="ITC Avant Garde"/>
          <w:bCs/>
          <w:color w:val="000000"/>
          <w:lang w:eastAsia="es-MX"/>
        </w:rPr>
        <w:t>los CC. Adrián Esper Cárdenas y Alfonso Esper Cárdenas</w:t>
      </w:r>
      <w:r w:rsidR="00593A33">
        <w:rPr>
          <w:rFonts w:ascii="ITC Avant Garde" w:hAnsi="ITC Avant Garde"/>
          <w:bCs/>
        </w:rPr>
        <w:t xml:space="preserve">, </w:t>
      </w:r>
      <w:r w:rsidR="00DC6F34">
        <w:rPr>
          <w:rFonts w:ascii="ITC Avant Garde" w:hAnsi="ITC Avant Garde"/>
          <w:bCs/>
        </w:rPr>
        <w:t>son</w:t>
      </w:r>
      <w:r w:rsidRPr="00A61D6E">
        <w:rPr>
          <w:rFonts w:ascii="ITC Avant Garde" w:hAnsi="ITC Avant Garde"/>
          <w:bCs/>
        </w:rPr>
        <w:t xml:space="preserve"> consistente</w:t>
      </w:r>
      <w:r w:rsidR="00DC6F34">
        <w:rPr>
          <w:rFonts w:ascii="ITC Avant Garde" w:hAnsi="ITC Avant Garde"/>
          <w:bCs/>
        </w:rPr>
        <w:t>s</w:t>
      </w:r>
      <w:r w:rsidRPr="00A61D6E">
        <w:rPr>
          <w:rFonts w:ascii="ITC Avant Garde" w:hAnsi="ITC Avant Garde"/>
          <w:bCs/>
        </w:rPr>
        <w:t xml:space="preserve"> con la política de planeación del espectro radioeléctrico que tiene encomendada el Instituto por mandato constitucional y legal. </w:t>
      </w:r>
    </w:p>
    <w:p w:rsidR="00850C3A" w:rsidRDefault="00696270" w:rsidP="00850C3A">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w:t>
      </w:r>
      <w:r w:rsidR="006E3BA2">
        <w:rPr>
          <w:rFonts w:ascii="ITC Avant Garde" w:hAnsi="ITC Avant Garde"/>
          <w:bCs/>
        </w:rPr>
        <w:t>sto</w:t>
      </w:r>
      <w:r w:rsidR="00E95DC8" w:rsidRPr="00A61D6E">
        <w:rPr>
          <w:rFonts w:ascii="ITC Avant Garde" w:hAnsi="ITC Avant Garde"/>
          <w:bCs/>
        </w:rPr>
        <w:t xml:space="preserve">, debido a que las acciones de planificación para la banda de frecuencias </w:t>
      </w:r>
      <w:r w:rsidR="004E5188" w:rsidRPr="00A61D6E">
        <w:rPr>
          <w:rFonts w:ascii="ITC Avant Garde" w:hAnsi="ITC Avant Garde"/>
          <w:bCs/>
        </w:rPr>
        <w:t xml:space="preserve">2500-2690 </w:t>
      </w:r>
      <w:r w:rsidR="00E95DC8" w:rsidRPr="00A61D6E">
        <w:rPr>
          <w:rFonts w:ascii="ITC Avant Garde" w:hAnsi="ITC Avant Garde"/>
          <w:bCs/>
        </w:rPr>
        <w:t>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anchos de banda contiguos para propiciar un funcionamiento óptimo de la tecnología y en consecuencia</w:t>
      </w:r>
      <w:r w:rsidR="009A186D">
        <w:rPr>
          <w:rFonts w:ascii="ITC Avant Garde" w:hAnsi="ITC Avant Garde"/>
          <w:bCs/>
        </w:rPr>
        <w:t>,</w:t>
      </w:r>
      <w:r w:rsidR="00E95DC8" w:rsidRPr="00A61D6E">
        <w:rPr>
          <w:rFonts w:ascii="ITC Avant Garde" w:hAnsi="ITC Avant Garde"/>
          <w:bCs/>
        </w:rPr>
        <w:t xml:space="preserve"> mayor capacidad de transferencia de datos y mejor servicio al usuario final.</w:t>
      </w:r>
      <w:r w:rsidR="00083217" w:rsidRPr="00083217">
        <w:rPr>
          <w:rFonts w:ascii="ITC Avant Garde" w:hAnsi="ITC Avant Garde"/>
          <w:bCs/>
          <w:color w:val="000000"/>
          <w:lang w:eastAsia="es-MX"/>
        </w:rPr>
        <w:t xml:space="preserve"> </w:t>
      </w:r>
      <w:r w:rsidR="00083217" w:rsidRPr="00083217">
        <w:rPr>
          <w:rFonts w:ascii="ITC Avant Garde" w:hAnsi="ITC Avant Garde"/>
          <w:bCs/>
        </w:rPr>
        <w:t>En tal virtud, la utilización de dicha banda por tales sistemas, significa un uso más eficiente del espectro radioeléctrico en comparación con su utilización por sistemas de televisión y audio restringido</w:t>
      </w:r>
      <w:r w:rsidR="009A186D">
        <w:rPr>
          <w:rFonts w:ascii="ITC Avant Garde" w:hAnsi="ITC Avant Garde"/>
          <w:bCs/>
        </w:rPr>
        <w:t>,</w:t>
      </w:r>
      <w:r w:rsidR="00083217" w:rsidRPr="00083217">
        <w:rPr>
          <w:rFonts w:ascii="ITC Avant Garde" w:hAnsi="ITC Avant Garde"/>
          <w:bCs/>
        </w:rPr>
        <w:t xml:space="preserve"> como es el caso que nos ocupa.</w:t>
      </w:r>
    </w:p>
    <w:p w:rsidR="00850C3A" w:rsidRDefault="006E3BA2" w:rsidP="00850C3A">
      <w:pPr>
        <w:autoSpaceDE w:val="0"/>
        <w:autoSpaceDN w:val="0"/>
        <w:adjustRightInd w:val="0"/>
        <w:spacing w:afterLines="120" w:after="288" w:line="240" w:lineRule="auto"/>
        <w:jc w:val="both"/>
        <w:rPr>
          <w:rFonts w:ascii="ITC Avant Garde" w:hAnsi="ITC Avant Garde" w:cs="Tahoma"/>
          <w:bCs/>
          <w:lang w:eastAsia="es-MX"/>
        </w:rPr>
      </w:pPr>
      <w:r w:rsidRPr="005049F1">
        <w:rPr>
          <w:rFonts w:ascii="ITC Avant Garde" w:hAnsi="ITC Avant Garde" w:cs="Tahoma"/>
          <w:bCs/>
          <w:lang w:eastAsia="es-MX"/>
        </w:rPr>
        <w:t>En ese sentido</w:t>
      </w:r>
      <w:r w:rsidR="007909B0" w:rsidRPr="005049F1">
        <w:rPr>
          <w:rFonts w:ascii="ITC Avant Garde" w:hAnsi="ITC Avant Garde" w:cs="Tahoma"/>
          <w:bCs/>
          <w:lang w:eastAsia="es-MX"/>
        </w:rPr>
        <w:t>,</w:t>
      </w:r>
      <w:r w:rsidR="000A6294" w:rsidRPr="005049F1">
        <w:rPr>
          <w:rFonts w:ascii="ITC Avant Garde" w:hAnsi="ITC Avant Garde" w:cs="Tahoma"/>
          <w:bCs/>
          <w:lang w:eastAsia="es-MX"/>
        </w:rPr>
        <w:t xml:space="preserve"> </w:t>
      </w:r>
      <w:r w:rsidR="00593A33" w:rsidRPr="005049F1">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5049F1">
        <w:rPr>
          <w:rFonts w:ascii="ITC Avant Garde" w:hAnsi="ITC Avant Garde" w:cs="Tahoma"/>
          <w:bCs/>
          <w:lang w:eastAsia="es-MX"/>
        </w:rPr>
        <w:t xml:space="preserve">ate, para el caso que nos ocupa, </w:t>
      </w:r>
      <w:r w:rsidR="008D1B24" w:rsidRPr="005049F1">
        <w:rPr>
          <w:rFonts w:ascii="ITC Avant Garde" w:hAnsi="ITC Avant Garde" w:cs="Tahoma"/>
          <w:bCs/>
          <w:lang w:eastAsia="es-MX"/>
        </w:rPr>
        <w:t>se debe considerar que</w:t>
      </w:r>
      <w:r w:rsidR="005049F1" w:rsidRPr="005049F1">
        <w:rPr>
          <w:rFonts w:ascii="ITC Avant Garde" w:hAnsi="ITC Avant Garde" w:cs="Tahoma"/>
          <w:bCs/>
          <w:lang w:eastAsia="es-MX"/>
        </w:rPr>
        <w:t>:</w:t>
      </w:r>
      <w:r w:rsidR="006671D4">
        <w:rPr>
          <w:rFonts w:ascii="ITC Avant Garde" w:hAnsi="ITC Avant Garde" w:cs="Tahoma"/>
          <w:bCs/>
          <w:lang w:eastAsia="es-MX"/>
        </w:rPr>
        <w:t xml:space="preserve"> </w:t>
      </w:r>
      <w:r w:rsidR="005049F1" w:rsidRPr="005049F1">
        <w:rPr>
          <w:rFonts w:ascii="ITC Avant Garde" w:hAnsi="ITC Avant Garde" w:cs="Tahoma"/>
          <w:bCs/>
          <w:lang w:eastAsia="es-MX"/>
        </w:rPr>
        <w:t>a)</w:t>
      </w:r>
      <w:r w:rsidR="008D1B24" w:rsidRPr="005049F1">
        <w:rPr>
          <w:rFonts w:ascii="ITC Avant Garde" w:hAnsi="ITC Avant Garde" w:cs="Tahoma"/>
          <w:bCs/>
          <w:lang w:eastAsia="es-MX"/>
        </w:rPr>
        <w:t xml:space="preserve"> las Concesiones de Bandas </w:t>
      </w:r>
      <w:r w:rsidR="00696270">
        <w:rPr>
          <w:rFonts w:ascii="ITC Avant Garde" w:hAnsi="ITC Avant Garde" w:cs="Tahoma"/>
          <w:bCs/>
          <w:lang w:eastAsia="es-MX"/>
        </w:rPr>
        <w:t>prevén</w:t>
      </w:r>
      <w:r w:rsidR="008D1B24" w:rsidRPr="005049F1">
        <w:rPr>
          <w:rFonts w:ascii="ITC Avant Garde" w:hAnsi="ITC Avant Garde" w:cs="Tahoma"/>
          <w:bCs/>
          <w:lang w:eastAsia="es-MX"/>
        </w:rPr>
        <w:t xml:space="preserve"> en la condición 2.1 “</w:t>
      </w:r>
      <w:r w:rsidR="008D1B24" w:rsidRPr="005049F1">
        <w:rPr>
          <w:rFonts w:ascii="ITC Avant Garde" w:hAnsi="ITC Avant Garde" w:cs="Tahoma"/>
          <w:bCs/>
          <w:i/>
          <w:lang w:eastAsia="es-MX"/>
        </w:rPr>
        <w:t>Servicios Adicionales</w:t>
      </w:r>
      <w:r w:rsidR="008D1B24" w:rsidRPr="005049F1">
        <w:rPr>
          <w:rFonts w:ascii="ITC Avant Garde" w:hAnsi="ITC Avant Garde" w:cs="Tahoma"/>
          <w:bCs/>
          <w:lang w:eastAsia="es-MX"/>
        </w:rPr>
        <w:t xml:space="preserve">” la obligación </w:t>
      </w:r>
      <w:r w:rsidR="008D1B24" w:rsidRPr="005049F1">
        <w:rPr>
          <w:rFonts w:ascii="ITC Avant Garde" w:hAnsi="ITC Avant Garde" w:cs="Tahoma"/>
          <w:bCs/>
          <w:lang w:eastAsia="es-MX"/>
        </w:rPr>
        <w:lastRenderedPageBreak/>
        <w:t xml:space="preserve">para </w:t>
      </w:r>
      <w:r w:rsidR="00416F3C">
        <w:rPr>
          <w:rFonts w:ascii="ITC Avant Garde" w:hAnsi="ITC Avant Garde"/>
          <w:bCs/>
          <w:color w:val="000000"/>
          <w:lang w:eastAsia="es-MX"/>
        </w:rPr>
        <w:t>los CC. Adrián Esper Cárdenas y Alfonso Esper Cárdenas</w:t>
      </w:r>
      <w:r w:rsidR="00416F3C" w:rsidRPr="005049F1">
        <w:rPr>
          <w:rFonts w:ascii="ITC Avant Garde" w:hAnsi="ITC Avant Garde" w:cs="Tahoma"/>
          <w:bCs/>
          <w:lang w:eastAsia="es-MX"/>
        </w:rPr>
        <w:t xml:space="preserve"> </w:t>
      </w:r>
      <w:r w:rsidR="008D1B24" w:rsidRPr="005049F1">
        <w:rPr>
          <w:rFonts w:ascii="ITC Avant Garde" w:hAnsi="ITC Avant Garde" w:cs="Tahoma"/>
          <w:bCs/>
          <w:lang w:eastAsia="es-MX"/>
        </w:rPr>
        <w:t>de prestar servicios de acceso inalámbrico</w:t>
      </w:r>
      <w:r w:rsidR="005049F1" w:rsidRPr="005049F1">
        <w:rPr>
          <w:rFonts w:ascii="ITC Avant Garde" w:hAnsi="ITC Avant Garde" w:cs="Tahoma"/>
          <w:bCs/>
          <w:lang w:eastAsia="es-MX"/>
        </w:rPr>
        <w:t>; b)</w:t>
      </w:r>
      <w:r w:rsidR="008D1B24" w:rsidRPr="005049F1">
        <w:rPr>
          <w:rFonts w:ascii="ITC Avant Garde" w:hAnsi="ITC Avant Garde" w:cs="Tahoma"/>
          <w:bCs/>
          <w:lang w:eastAsia="es-MX"/>
        </w:rPr>
        <w:t xml:space="preserve"> por su parte, en la condición 16 “</w:t>
      </w:r>
      <w:r w:rsidR="008D1B24" w:rsidRPr="005049F1">
        <w:rPr>
          <w:rFonts w:ascii="ITC Avant Garde" w:hAnsi="ITC Avant Garde" w:cs="Tahoma"/>
          <w:bCs/>
          <w:i/>
          <w:lang w:eastAsia="es-MX"/>
        </w:rPr>
        <w:t>Uso eficiente del espectro</w:t>
      </w:r>
      <w:r w:rsidR="008D1B24" w:rsidRPr="005049F1">
        <w:rPr>
          <w:rFonts w:ascii="ITC Avant Garde" w:hAnsi="ITC Avant Garde" w:cs="Tahoma"/>
          <w:bCs/>
          <w:lang w:eastAsia="es-MX"/>
        </w:rPr>
        <w:t xml:space="preserve">” se estableció la posibilidad de que </w:t>
      </w:r>
      <w:r w:rsidR="00416F3C">
        <w:rPr>
          <w:rFonts w:ascii="ITC Avant Garde" w:hAnsi="ITC Avant Garde"/>
          <w:bCs/>
          <w:color w:val="000000"/>
          <w:lang w:eastAsia="es-MX"/>
        </w:rPr>
        <w:t>los CC. Adrián Esper Cárdenas y Alfonso Esper Cárdenas</w:t>
      </w:r>
      <w:r w:rsidR="00416F3C" w:rsidRPr="005049F1">
        <w:rPr>
          <w:rFonts w:ascii="ITC Avant Garde" w:hAnsi="ITC Avant Garde" w:cs="Tahoma"/>
          <w:bCs/>
          <w:lang w:eastAsia="es-MX"/>
        </w:rPr>
        <w:t xml:space="preserve"> </w:t>
      </w:r>
      <w:r w:rsidR="008D1B24" w:rsidRPr="005049F1">
        <w:rPr>
          <w:rFonts w:ascii="ITC Avant Garde" w:hAnsi="ITC Avant Garde" w:cs="Tahoma"/>
          <w:bCs/>
          <w:lang w:eastAsia="es-MX"/>
        </w:rPr>
        <w:t>interrumpiera</w:t>
      </w:r>
      <w:r w:rsidR="00416F3C">
        <w:rPr>
          <w:rFonts w:ascii="ITC Avant Garde" w:hAnsi="ITC Avant Garde" w:cs="Tahoma"/>
          <w:bCs/>
          <w:lang w:eastAsia="es-MX"/>
        </w:rPr>
        <w:t>n</w:t>
      </w:r>
      <w:r w:rsidR="008D1B24" w:rsidRPr="005049F1">
        <w:rPr>
          <w:rFonts w:ascii="ITC Avant Garde" w:hAnsi="ITC Avant Garde" w:cs="Tahoma"/>
          <w:bCs/>
          <w:lang w:eastAsia="es-MX"/>
        </w:rPr>
        <w:t xml:space="preserve"> los servicios de televisión y audio restringidos a efecto de prestar servicios de acceso inalámbrico. Es decir, </w:t>
      </w:r>
      <w:r w:rsidR="005049F1" w:rsidRPr="005049F1">
        <w:rPr>
          <w:rFonts w:ascii="ITC Avant Garde" w:hAnsi="ITC Avant Garde" w:cs="Tahoma"/>
          <w:bCs/>
          <w:lang w:eastAsia="es-MX"/>
        </w:rPr>
        <w:t xml:space="preserve">tales condiciones presuponen la posibilidad de dejar de prestar </w:t>
      </w:r>
      <w:r w:rsidR="000560A8">
        <w:rPr>
          <w:rFonts w:ascii="ITC Avant Garde" w:hAnsi="ITC Avant Garde" w:cs="Tahoma"/>
          <w:bCs/>
          <w:lang w:eastAsia="es-MX"/>
        </w:rPr>
        <w:t xml:space="preserve">los </w:t>
      </w:r>
      <w:r w:rsidR="005049F1" w:rsidRPr="005049F1">
        <w:rPr>
          <w:rFonts w:ascii="ITC Avant Garde" w:hAnsi="ITC Avant Garde" w:cs="Tahoma"/>
          <w:bCs/>
          <w:lang w:eastAsia="es-MX"/>
        </w:rPr>
        <w:t>servicio</w:t>
      </w:r>
      <w:r w:rsidR="000560A8">
        <w:rPr>
          <w:rFonts w:ascii="ITC Avant Garde" w:hAnsi="ITC Avant Garde" w:cs="Tahoma"/>
          <w:bCs/>
          <w:lang w:eastAsia="es-MX"/>
        </w:rPr>
        <w:t>s</w:t>
      </w:r>
      <w:r w:rsidR="005049F1" w:rsidRPr="005049F1">
        <w:rPr>
          <w:rFonts w:ascii="ITC Avant Garde" w:hAnsi="ITC Avant Garde" w:cs="Tahoma"/>
          <w:bCs/>
          <w:lang w:eastAsia="es-MX"/>
        </w:rPr>
        <w:t xml:space="preserve"> de televisión y audio restringidos</w:t>
      </w:r>
      <w:r w:rsidR="000560A8">
        <w:rPr>
          <w:rFonts w:ascii="ITC Avant Garde" w:hAnsi="ITC Avant Garde" w:cs="Tahoma"/>
          <w:bCs/>
          <w:lang w:eastAsia="es-MX"/>
        </w:rPr>
        <w:t xml:space="preserve"> </w:t>
      </w:r>
      <w:r w:rsidR="009061DF">
        <w:rPr>
          <w:rFonts w:ascii="ITC Avant Garde" w:hAnsi="ITC Avant Garde" w:cs="Tahoma"/>
          <w:bCs/>
          <w:lang w:eastAsia="es-MX"/>
        </w:rPr>
        <w:t>originalmente concesionados, una vez que sea solicitada la interrupción de los mismos al Instituto y éste la autorice</w:t>
      </w:r>
      <w:r w:rsidR="005049F1" w:rsidRPr="005049F1">
        <w:rPr>
          <w:rFonts w:ascii="ITC Avant Garde" w:hAnsi="ITC Avant Garde" w:cs="Tahoma"/>
          <w:bCs/>
          <w:lang w:eastAsia="es-MX"/>
        </w:rPr>
        <w:t xml:space="preserve">. </w:t>
      </w:r>
    </w:p>
    <w:p w:rsidR="00850C3A" w:rsidRDefault="005049F1" w:rsidP="00850C3A">
      <w:pPr>
        <w:autoSpaceDE w:val="0"/>
        <w:autoSpaceDN w:val="0"/>
        <w:adjustRightInd w:val="0"/>
        <w:spacing w:afterLines="120" w:after="288" w:line="240" w:lineRule="auto"/>
        <w:jc w:val="both"/>
        <w:rPr>
          <w:rFonts w:ascii="ITC Avant Garde" w:hAnsi="ITC Avant Garde" w:cs="Tahoma"/>
          <w:bCs/>
          <w:lang w:eastAsia="es-MX"/>
        </w:rPr>
      </w:pPr>
      <w:r w:rsidRPr="005049F1">
        <w:rPr>
          <w:rFonts w:ascii="ITC Avant Garde" w:hAnsi="ITC Avant Garde" w:cs="Tahoma"/>
          <w:bCs/>
          <w:lang w:eastAsia="es-MX"/>
        </w:rPr>
        <w:t xml:space="preserve">Adicionalmente, es de señalar que lo anterior es consistente con la </w:t>
      </w:r>
      <w:r w:rsidR="00593A33" w:rsidRPr="005049F1">
        <w:rPr>
          <w:rFonts w:ascii="ITC Avant Garde" w:hAnsi="ITC Avant Garde" w:cs="Tahoma"/>
          <w:bCs/>
          <w:lang w:eastAsia="es-MX"/>
        </w:rPr>
        <w:t xml:space="preserve">armonización a nivel mundial y regional en el uso de la banda de frecuencias de 2.5 GHz para servicios móviles de banda ancha, </w:t>
      </w:r>
      <w:r w:rsidRPr="005049F1">
        <w:rPr>
          <w:rFonts w:ascii="ITC Avant Garde" w:hAnsi="ITC Avant Garde" w:cs="Tahoma"/>
          <w:bCs/>
          <w:lang w:eastAsia="es-MX"/>
        </w:rPr>
        <w:t xml:space="preserve">por lo que </w:t>
      </w:r>
      <w:r w:rsidR="00593A33" w:rsidRPr="005049F1">
        <w:rPr>
          <w:rFonts w:ascii="ITC Avant Garde" w:hAnsi="ITC Avant Garde" w:cs="Tahoma"/>
          <w:bCs/>
          <w:lang w:eastAsia="es-MX"/>
        </w:rPr>
        <w:t xml:space="preserve">se considera que </w:t>
      </w:r>
      <w:r w:rsidR="007909B0" w:rsidRPr="005049F1">
        <w:rPr>
          <w:rFonts w:ascii="ITC Avant Garde" w:hAnsi="ITC Avant Garde" w:cs="Tahoma"/>
          <w:bCs/>
          <w:lang w:eastAsia="es-MX"/>
        </w:rPr>
        <w:t>la operación de</w:t>
      </w:r>
      <w:r w:rsidR="00593A33" w:rsidRPr="005049F1">
        <w:rPr>
          <w:rFonts w:ascii="ITC Avant Garde" w:hAnsi="ITC Avant Garde" w:cs="Tahoma"/>
          <w:bCs/>
          <w:lang w:eastAsia="es-MX"/>
        </w:rPr>
        <w:t xml:space="preserve"> </w:t>
      </w:r>
      <w:r w:rsidR="007909B0" w:rsidRPr="005049F1">
        <w:rPr>
          <w:rFonts w:ascii="ITC Avant Garde" w:hAnsi="ITC Avant Garde" w:cs="Tahoma"/>
          <w:bCs/>
          <w:lang w:eastAsia="es-MX"/>
        </w:rPr>
        <w:t>l</w:t>
      </w:r>
      <w:r w:rsidR="00593A33" w:rsidRPr="005049F1">
        <w:rPr>
          <w:rFonts w:ascii="ITC Avant Garde" w:hAnsi="ITC Avant Garde" w:cs="Tahoma"/>
          <w:bCs/>
          <w:lang w:eastAsia="es-MX"/>
        </w:rPr>
        <w:t>os sistemas</w:t>
      </w:r>
      <w:r w:rsidR="007909B0" w:rsidRPr="005049F1">
        <w:rPr>
          <w:rFonts w:ascii="ITC Avant Garde" w:hAnsi="ITC Avant Garde" w:cs="Tahoma"/>
          <w:bCs/>
          <w:lang w:eastAsia="es-MX"/>
        </w:rPr>
        <w:t xml:space="preserve"> </w:t>
      </w:r>
      <w:r w:rsidR="00593A33" w:rsidRPr="005049F1">
        <w:rPr>
          <w:rFonts w:ascii="ITC Avant Garde" w:hAnsi="ITC Avant Garde" w:cs="Tahoma"/>
          <w:bCs/>
          <w:lang w:eastAsia="es-MX"/>
        </w:rPr>
        <w:t xml:space="preserve">de los </w:t>
      </w:r>
      <w:r w:rsidR="007909B0" w:rsidRPr="005049F1">
        <w:rPr>
          <w:rFonts w:ascii="ITC Avant Garde" w:hAnsi="ITC Avant Garde" w:cs="Tahoma"/>
          <w:bCs/>
          <w:lang w:eastAsia="es-MX"/>
        </w:rPr>
        <w:t>servicio</w:t>
      </w:r>
      <w:r w:rsidR="00593A33" w:rsidRPr="005049F1">
        <w:rPr>
          <w:rFonts w:ascii="ITC Avant Garde" w:hAnsi="ITC Avant Garde" w:cs="Tahoma"/>
          <w:bCs/>
          <w:lang w:eastAsia="es-MX"/>
        </w:rPr>
        <w:t>s</w:t>
      </w:r>
      <w:r w:rsidR="007909B0" w:rsidRPr="005049F1">
        <w:rPr>
          <w:rFonts w:ascii="ITC Avant Garde" w:hAnsi="ITC Avant Garde" w:cs="Tahoma"/>
          <w:bCs/>
          <w:lang w:eastAsia="es-MX"/>
        </w:rPr>
        <w:t xml:space="preserve"> de televisión y audio restringido</w:t>
      </w:r>
      <w:r w:rsidR="00593A33" w:rsidRPr="005049F1">
        <w:rPr>
          <w:rFonts w:ascii="ITC Avant Garde" w:hAnsi="ITC Avant Garde" w:cs="Tahoma"/>
          <w:bCs/>
          <w:lang w:eastAsia="es-MX"/>
        </w:rPr>
        <w:t xml:space="preserve">s, originalmente concesionados a </w:t>
      </w:r>
      <w:r w:rsidR="00F472CC">
        <w:rPr>
          <w:rFonts w:ascii="ITC Avant Garde" w:hAnsi="ITC Avant Garde"/>
          <w:bCs/>
          <w:color w:val="000000"/>
          <w:lang w:eastAsia="es-MX"/>
        </w:rPr>
        <w:t>los CC. Adrián Esper Cárdenas y Alfonso Esper Cárdenas,</w:t>
      </w:r>
      <w:r w:rsidR="00593A33" w:rsidRPr="005049F1">
        <w:rPr>
          <w:rFonts w:ascii="ITC Avant Garde" w:hAnsi="ITC Avant Garde" w:cs="Tahoma"/>
          <w:bCs/>
          <w:lang w:eastAsia="es-MX"/>
        </w:rPr>
        <w:t xml:space="preserve"> </w:t>
      </w:r>
      <w:r w:rsidR="005E5AF5" w:rsidRPr="005049F1">
        <w:rPr>
          <w:rFonts w:ascii="ITC Avant Garde" w:hAnsi="ITC Avant Garde" w:cs="Tahoma"/>
          <w:bCs/>
          <w:lang w:eastAsia="es-MX"/>
        </w:rPr>
        <w:t xml:space="preserve">no es </w:t>
      </w:r>
      <w:r w:rsidR="00593A33" w:rsidRPr="005049F1">
        <w:rPr>
          <w:rFonts w:ascii="ITC Avant Garde" w:hAnsi="ITC Avant Garde" w:cs="Tahoma"/>
          <w:bCs/>
          <w:lang w:eastAsia="es-MX"/>
        </w:rPr>
        <w:t>consistente</w:t>
      </w:r>
      <w:r w:rsidR="005E5AF5" w:rsidRPr="005049F1">
        <w:rPr>
          <w:rFonts w:ascii="ITC Avant Garde" w:hAnsi="ITC Avant Garde" w:cs="Tahoma"/>
          <w:bCs/>
          <w:lang w:eastAsia="es-MX"/>
        </w:rPr>
        <w:t xml:space="preserve"> con las </w:t>
      </w:r>
      <w:r w:rsidR="00593A33" w:rsidRPr="005049F1">
        <w:rPr>
          <w:rFonts w:ascii="ITC Avant Garde" w:hAnsi="ITC Avant Garde" w:cs="Tahoma"/>
          <w:bCs/>
          <w:lang w:eastAsia="es-MX"/>
        </w:rPr>
        <w:t xml:space="preserve">acciones de planificación espectral implementadas por </w:t>
      </w:r>
      <w:r w:rsidR="005E5AF5" w:rsidRPr="005049F1">
        <w:rPr>
          <w:rFonts w:ascii="ITC Avant Garde" w:hAnsi="ITC Avant Garde" w:cs="Tahoma"/>
          <w:bCs/>
          <w:lang w:eastAsia="es-MX"/>
        </w:rPr>
        <w:t>el Instituto</w:t>
      </w:r>
      <w:r w:rsidR="00593A33" w:rsidRPr="005049F1">
        <w:rPr>
          <w:rFonts w:ascii="ITC Avant Garde" w:hAnsi="ITC Avant Garde" w:cs="Tahoma"/>
          <w:bCs/>
          <w:lang w:eastAsia="es-MX"/>
        </w:rPr>
        <w:t xml:space="preserve">, </w:t>
      </w:r>
      <w:r w:rsidR="00E87741" w:rsidRPr="005049F1">
        <w:rPr>
          <w:rFonts w:ascii="ITC Avant Garde" w:hAnsi="ITC Avant Garde" w:cs="Tahoma"/>
          <w:bCs/>
          <w:lang w:eastAsia="es-MX"/>
        </w:rPr>
        <w:t xml:space="preserve">mismas que se encuentran </w:t>
      </w:r>
      <w:r w:rsidR="00E614C6" w:rsidRPr="005049F1">
        <w:rPr>
          <w:rFonts w:ascii="ITC Avant Garde" w:hAnsi="ITC Avant Garde" w:cs="Tahoma"/>
          <w:bCs/>
          <w:lang w:eastAsia="es-MX"/>
        </w:rPr>
        <w:t>orientadas a</w:t>
      </w:r>
      <w:r w:rsidR="005E5AF5" w:rsidRPr="005049F1">
        <w:rPr>
          <w:rFonts w:ascii="ITC Avant Garde" w:hAnsi="ITC Avant Garde" w:cs="Tahoma"/>
          <w:bCs/>
          <w:lang w:eastAsia="es-MX"/>
        </w:rPr>
        <w:t xml:space="preserve"> promover el </w:t>
      </w:r>
      <w:r w:rsidR="00593A33" w:rsidRPr="005049F1">
        <w:rPr>
          <w:rFonts w:ascii="ITC Avant Garde" w:hAnsi="ITC Avant Garde" w:cs="Tahoma"/>
          <w:bCs/>
          <w:lang w:eastAsia="es-MX"/>
        </w:rPr>
        <w:t xml:space="preserve">uso, </w:t>
      </w:r>
      <w:r w:rsidR="005E5AF5" w:rsidRPr="005049F1">
        <w:rPr>
          <w:rFonts w:ascii="ITC Avant Garde" w:hAnsi="ITC Avant Garde" w:cs="Tahoma"/>
          <w:bCs/>
          <w:lang w:eastAsia="es-MX"/>
        </w:rPr>
        <w:t>aprovechamiento y explotación</w:t>
      </w:r>
      <w:r w:rsidR="00E87741" w:rsidRPr="005049F1">
        <w:rPr>
          <w:rFonts w:ascii="ITC Avant Garde" w:hAnsi="ITC Avant Garde" w:cs="Tahoma"/>
          <w:bCs/>
          <w:lang w:eastAsia="es-MX"/>
        </w:rPr>
        <w:t xml:space="preserve"> eficiente</w:t>
      </w:r>
      <w:r w:rsidR="005E5AF5" w:rsidRPr="005049F1">
        <w:rPr>
          <w:rFonts w:ascii="ITC Avant Garde" w:hAnsi="ITC Avant Garde" w:cs="Tahoma"/>
          <w:bCs/>
          <w:lang w:eastAsia="es-MX"/>
        </w:rPr>
        <w:t xml:space="preserve"> del espectro radioeléctrico.</w:t>
      </w:r>
      <w:r w:rsidR="004F209D" w:rsidRPr="005049F1">
        <w:rPr>
          <w:rFonts w:ascii="ITC Avant Garde" w:hAnsi="ITC Avant Garde" w:cs="Tahoma"/>
          <w:bCs/>
          <w:lang w:eastAsia="es-MX"/>
        </w:rPr>
        <w:t xml:space="preserve"> </w:t>
      </w:r>
    </w:p>
    <w:p w:rsidR="00850C3A" w:rsidRDefault="008D1B24" w:rsidP="00850C3A">
      <w:pPr>
        <w:autoSpaceDE w:val="0"/>
        <w:autoSpaceDN w:val="0"/>
        <w:adjustRightInd w:val="0"/>
        <w:spacing w:afterLines="120" w:after="288" w:line="240" w:lineRule="auto"/>
        <w:jc w:val="both"/>
        <w:rPr>
          <w:rFonts w:ascii="ITC Avant Garde" w:hAnsi="ITC Avant Garde"/>
          <w:bCs/>
        </w:rPr>
      </w:pPr>
      <w:r w:rsidRPr="005049F1">
        <w:rPr>
          <w:rFonts w:ascii="ITC Avant Garde" w:hAnsi="ITC Avant Garde"/>
          <w:bCs/>
        </w:rPr>
        <w:t>En virtud de lo anterior, y tomando en cuenta que se satisfacen la totalidad de los requisitos e</w:t>
      </w:r>
      <w:r w:rsidR="005049F1" w:rsidRPr="005049F1">
        <w:rPr>
          <w:rFonts w:ascii="ITC Avant Garde" w:hAnsi="ITC Avant Garde"/>
          <w:bCs/>
        </w:rPr>
        <w:t>stablecidos en los Lineamientos y en la Ley</w:t>
      </w:r>
      <w:r w:rsidR="00E13F8C">
        <w:rPr>
          <w:rFonts w:ascii="ITC Avant Garde" w:hAnsi="ITC Avant Garde"/>
          <w:bCs/>
        </w:rPr>
        <w:t>,</w:t>
      </w:r>
      <w:r w:rsidR="005049F1" w:rsidRPr="005049F1">
        <w:rPr>
          <w:rFonts w:ascii="ITC Avant Garde" w:hAnsi="ITC Avant Garde"/>
          <w:bCs/>
        </w:rPr>
        <w:t xml:space="preserve"> y que la </w:t>
      </w:r>
      <w:r w:rsidR="00842C29">
        <w:rPr>
          <w:rFonts w:ascii="ITC Avant Garde" w:hAnsi="ITC Avant Garde"/>
          <w:bCs/>
        </w:rPr>
        <w:t>s</w:t>
      </w:r>
      <w:r w:rsidR="005049F1" w:rsidRPr="005049F1">
        <w:rPr>
          <w:rFonts w:ascii="ITC Avant Garde" w:hAnsi="ITC Avant Garde"/>
          <w:bCs/>
        </w:rPr>
        <w:t>olicitud</w:t>
      </w:r>
      <w:r w:rsidR="00842C29">
        <w:rPr>
          <w:rFonts w:ascii="ITC Avant Garde" w:hAnsi="ITC Avant Garde"/>
          <w:bCs/>
        </w:rPr>
        <w:t xml:space="preserve"> de s</w:t>
      </w:r>
      <w:r w:rsidR="005049F1" w:rsidRPr="005049F1">
        <w:rPr>
          <w:rFonts w:ascii="ITC Avant Garde" w:hAnsi="ITC Avant Garde"/>
          <w:bCs/>
        </w:rPr>
        <w:t xml:space="preserve">ervicios </w:t>
      </w:r>
      <w:r w:rsidR="00842C29">
        <w:rPr>
          <w:rFonts w:ascii="ITC Avant Garde" w:hAnsi="ITC Avant Garde"/>
          <w:bCs/>
        </w:rPr>
        <w:t>a</w:t>
      </w:r>
      <w:r w:rsidR="005049F1" w:rsidRPr="005049F1">
        <w:rPr>
          <w:rFonts w:ascii="ITC Avant Garde" w:hAnsi="ITC Avant Garde"/>
          <w:bCs/>
        </w:rPr>
        <w:t xml:space="preserve">dicionales </w:t>
      </w:r>
      <w:r w:rsidR="00F472CC">
        <w:rPr>
          <w:rFonts w:ascii="ITC Avant Garde" w:hAnsi="ITC Avant Garde"/>
          <w:bCs/>
        </w:rPr>
        <w:t>que nos ocupa</w:t>
      </w:r>
      <w:r w:rsidR="00842C29">
        <w:rPr>
          <w:rFonts w:ascii="ITC Avant Garde" w:hAnsi="ITC Avant Garde"/>
          <w:bCs/>
        </w:rPr>
        <w:t xml:space="preserve"> </w:t>
      </w:r>
      <w:r w:rsidR="005049F1" w:rsidRPr="005049F1">
        <w:rPr>
          <w:rFonts w:ascii="ITC Avant Garde" w:hAnsi="ITC Avant Garde"/>
          <w:bCs/>
        </w:rPr>
        <w:t>resulta técnicamente viable,</w:t>
      </w:r>
      <w:r w:rsidRPr="005049F1">
        <w:rPr>
          <w:rFonts w:ascii="ITC Avant Garde" w:hAnsi="ITC Avant Garde"/>
          <w:bCs/>
        </w:rPr>
        <w:t xml:space="preserve"> este Instituto considera procedente la prestación d</w:t>
      </w:r>
      <w:r w:rsidR="005049F1" w:rsidRPr="005049F1">
        <w:rPr>
          <w:rFonts w:ascii="ITC Avant Garde" w:hAnsi="ITC Avant Garde"/>
          <w:bCs/>
        </w:rPr>
        <w:t>el servicio adicional solicitado</w:t>
      </w:r>
      <w:r w:rsidRPr="005049F1">
        <w:rPr>
          <w:rFonts w:ascii="ITC Avant Garde" w:hAnsi="ITC Avant Garde"/>
          <w:bCs/>
        </w:rPr>
        <w:t xml:space="preserve"> por </w:t>
      </w:r>
      <w:r w:rsidR="00F472CC">
        <w:rPr>
          <w:rFonts w:ascii="ITC Avant Garde" w:hAnsi="ITC Avant Garde"/>
          <w:bCs/>
          <w:color w:val="000000"/>
          <w:lang w:eastAsia="es-MX"/>
        </w:rPr>
        <w:t xml:space="preserve">los CC. Adrián Esper Cárdenas y Alfonso Esper Cárdenas. </w:t>
      </w:r>
    </w:p>
    <w:p w:rsidR="00850C3A" w:rsidRDefault="00D44651" w:rsidP="00850C3A">
      <w:pPr>
        <w:autoSpaceDE w:val="0"/>
        <w:autoSpaceDN w:val="0"/>
        <w:adjustRightInd w:val="0"/>
        <w:spacing w:afterLines="120" w:after="288" w:line="240" w:lineRule="auto"/>
        <w:jc w:val="both"/>
        <w:rPr>
          <w:rFonts w:ascii="ITC Avant Garde" w:hAnsi="ITC Avant Garde"/>
          <w:i/>
          <w:lang w:eastAsia="es-MX"/>
        </w:rPr>
      </w:pPr>
      <w:r w:rsidRPr="00A61D6E">
        <w:rPr>
          <w:rFonts w:ascii="ITC Avant Garde" w:hAnsi="ITC Avant Garde"/>
          <w:bCs/>
        </w:rPr>
        <w:t>Por lo anteriormente señalado, y con fundamento en los artículos 28 párrafos décimo quinto, décimo sexto y décimo séptimo de la Constitución Política de los Estados Unidos Mexicanos; Cuarto Transitorio del “</w:t>
      </w:r>
      <w:r w:rsidRPr="00A61D6E">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w:t>
      </w:r>
      <w:r w:rsidRPr="006E3BA2">
        <w:rPr>
          <w:rFonts w:ascii="ITC Avant Garde" w:hAnsi="ITC Avant Garde"/>
          <w:i/>
          <w:lang w:eastAsia="es-MX"/>
        </w:rPr>
        <w:t xml:space="preserve">telecomunicaciones” </w:t>
      </w:r>
      <w:r w:rsidRPr="006E3BA2">
        <w:rPr>
          <w:rFonts w:ascii="ITC Avant Garde" w:hAnsi="ITC Avant Garde"/>
          <w:lang w:eastAsia="es-MX"/>
        </w:rPr>
        <w:t>publicado en el Diario Oficial de la Federación el 11 de junio de 2013;</w:t>
      </w:r>
      <w:r w:rsidRPr="006E3BA2">
        <w:rPr>
          <w:rFonts w:ascii="ITC Avant Garde" w:hAnsi="ITC Avant Garde"/>
          <w:i/>
          <w:lang w:eastAsia="es-MX"/>
        </w:rPr>
        <w:t xml:space="preserve"> </w:t>
      </w:r>
      <w:r w:rsidR="000E7124" w:rsidRPr="000E7124">
        <w:rPr>
          <w:rFonts w:ascii="ITC Avant Garde" w:hAnsi="ITC Avant Garde"/>
          <w:lang w:eastAsia="es-MX"/>
        </w:rPr>
        <w:t>Séptimo y</w:t>
      </w:r>
      <w:r w:rsidR="000E7124">
        <w:rPr>
          <w:rFonts w:ascii="ITC Avant Garde" w:hAnsi="ITC Avant Garde"/>
          <w:i/>
          <w:lang w:eastAsia="es-MX"/>
        </w:rPr>
        <w:t xml:space="preserve"> </w:t>
      </w:r>
      <w:r w:rsidRPr="006E3BA2">
        <w:rPr>
          <w:rFonts w:ascii="ITC Avant Garde" w:hAnsi="ITC Avant Garde"/>
          <w:bCs/>
        </w:rPr>
        <w:t>Octavo Transitorio</w:t>
      </w:r>
      <w:r w:rsidR="000E7124">
        <w:rPr>
          <w:rFonts w:ascii="ITC Avant Garde" w:hAnsi="ITC Avant Garde"/>
          <w:bCs/>
        </w:rPr>
        <w:t>s</w:t>
      </w:r>
      <w:r w:rsidRPr="006E3BA2">
        <w:rPr>
          <w:rFonts w:ascii="ITC Avant Garde" w:hAnsi="ITC Avant Garde"/>
          <w:bCs/>
        </w:rPr>
        <w:t xml:space="preserve"> de</w:t>
      </w:r>
      <w:r w:rsidR="000E7124">
        <w:rPr>
          <w:rFonts w:ascii="ITC Avant Garde" w:hAnsi="ITC Avant Garde"/>
          <w:bCs/>
        </w:rPr>
        <w:t>l</w:t>
      </w:r>
      <w:r w:rsidRPr="006E3BA2">
        <w:rPr>
          <w:rFonts w:ascii="ITC Avant Garde" w:hAnsi="ITC Avant Garde"/>
          <w:bCs/>
        </w:rPr>
        <w:t xml:space="preserve"> “</w:t>
      </w:r>
      <w:r w:rsidRPr="00A61D6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61D6E">
        <w:rPr>
          <w:rFonts w:ascii="ITC Avant Garde" w:hAnsi="ITC Avant Garde"/>
          <w:bCs/>
        </w:rPr>
        <w:t xml:space="preserve">”, publicado en el Diario Oficial de la Federación el 14 de julio de 2014; </w:t>
      </w:r>
      <w:r w:rsidR="00906D4D" w:rsidRPr="00A61D6E">
        <w:rPr>
          <w:rFonts w:ascii="ITC Avant Garde" w:hAnsi="ITC Avant Garde"/>
          <w:bCs/>
        </w:rPr>
        <w:t xml:space="preserve">6 fracción IV, 15 fracciones </w:t>
      </w:r>
      <w:r w:rsidR="002A5C57">
        <w:rPr>
          <w:rFonts w:ascii="ITC Avant Garde" w:hAnsi="ITC Avant Garde"/>
          <w:bCs/>
        </w:rPr>
        <w:t>IV</w:t>
      </w:r>
      <w:r w:rsidR="002E43C9">
        <w:rPr>
          <w:rFonts w:ascii="ITC Avant Garde" w:hAnsi="ITC Avant Garde"/>
          <w:bCs/>
        </w:rPr>
        <w:t>, XXVII</w:t>
      </w:r>
      <w:r w:rsidR="002A5C57">
        <w:rPr>
          <w:rFonts w:ascii="ITC Avant Garde" w:hAnsi="ITC Avant Garde"/>
          <w:bCs/>
        </w:rPr>
        <w:t xml:space="preserve"> y LVII</w:t>
      </w:r>
      <w:r w:rsidR="00906D4D" w:rsidRPr="00A61D6E">
        <w:rPr>
          <w:rFonts w:ascii="ITC Avant Garde" w:hAnsi="ITC Avant Garde"/>
          <w:bCs/>
        </w:rPr>
        <w:t>, 16</w:t>
      </w:r>
      <w:r w:rsidR="00F67F10">
        <w:rPr>
          <w:rFonts w:ascii="ITC Avant Garde" w:hAnsi="ITC Avant Garde"/>
          <w:bCs/>
        </w:rPr>
        <w:t>, 17 fracción I y 177 fracción XXII</w:t>
      </w:r>
      <w:r w:rsidR="00906D4D" w:rsidRPr="00A61D6E">
        <w:rPr>
          <w:rFonts w:ascii="ITC Avant Garde" w:hAnsi="ITC Avant Garde"/>
          <w:bCs/>
        </w:rPr>
        <w:t xml:space="preserve"> de la Ley Federal de Telecomunicaciones y Radiodifusión; </w:t>
      </w:r>
      <w:r w:rsidRPr="00A61D6E">
        <w:rPr>
          <w:rFonts w:ascii="ITC Avant Garde" w:hAnsi="ITC Avant Garde"/>
          <w:bCs/>
        </w:rPr>
        <w:t>35 fracción I, 36, 38, 39 y 57 fracción I de la Ley Federal de Procedimiento Administrativo</w:t>
      </w:r>
      <w:r w:rsidR="00A80AB6" w:rsidRPr="00A61D6E">
        <w:rPr>
          <w:rFonts w:ascii="ITC Avant Garde" w:hAnsi="ITC Avant Garde"/>
          <w:bCs/>
        </w:rPr>
        <w:t xml:space="preserve">; </w:t>
      </w:r>
      <w:r w:rsidR="007950E8" w:rsidRPr="00A61D6E">
        <w:rPr>
          <w:rFonts w:ascii="ITC Avant Garde" w:hAnsi="ITC Avant Garde"/>
          <w:bCs/>
        </w:rPr>
        <w:t>174-C</w:t>
      </w:r>
      <w:r w:rsidR="00A80AB6" w:rsidRPr="00A61D6E">
        <w:rPr>
          <w:rFonts w:ascii="ITC Avant Garde" w:hAnsi="ITC Avant Garde"/>
          <w:bCs/>
        </w:rPr>
        <w:t xml:space="preserve"> fracción</w:t>
      </w:r>
      <w:r w:rsidR="007950E8" w:rsidRPr="00A61D6E">
        <w:rPr>
          <w:rFonts w:ascii="ITC Avant Garde" w:hAnsi="ITC Avant Garde"/>
          <w:bCs/>
        </w:rPr>
        <w:t xml:space="preserve"> I</w:t>
      </w:r>
      <w:r w:rsidR="008A7707" w:rsidRPr="00A61D6E">
        <w:rPr>
          <w:rFonts w:ascii="ITC Avant Garde" w:hAnsi="ITC Avant Garde"/>
          <w:bCs/>
        </w:rPr>
        <w:t>V</w:t>
      </w:r>
      <w:r w:rsidR="00A80AB6" w:rsidRPr="00A61D6E">
        <w:rPr>
          <w:rFonts w:ascii="ITC Avant Garde" w:hAnsi="ITC Avant Garde"/>
          <w:bCs/>
        </w:rPr>
        <w:t xml:space="preserve"> de la Ley Federal de Derechos </w:t>
      </w:r>
      <w:r w:rsidR="00A80AB6" w:rsidRPr="003C26D0">
        <w:rPr>
          <w:rFonts w:ascii="ITC Avant Garde" w:hAnsi="ITC Avant Garde"/>
          <w:bCs/>
        </w:rPr>
        <w:t xml:space="preserve">vigente; </w:t>
      </w:r>
      <w:r w:rsidR="004C6B78" w:rsidRPr="003C26D0">
        <w:rPr>
          <w:rFonts w:ascii="ITC Avant Garde" w:hAnsi="ITC Avant Garde"/>
          <w:bCs/>
        </w:rPr>
        <w:t>1, 6 fracciones I</w:t>
      </w:r>
      <w:r w:rsidR="00EB4DD5" w:rsidRPr="003C26D0">
        <w:rPr>
          <w:rFonts w:ascii="ITC Avant Garde" w:hAnsi="ITC Avant Garde"/>
          <w:bCs/>
        </w:rPr>
        <w:t>,</w:t>
      </w:r>
      <w:r w:rsidR="004C6B78" w:rsidRPr="003C26D0">
        <w:rPr>
          <w:rFonts w:ascii="ITC Avant Garde" w:hAnsi="ITC Avant Garde"/>
          <w:bCs/>
        </w:rPr>
        <w:t xml:space="preserve"> </w:t>
      </w:r>
      <w:r w:rsidR="00EB4DD5" w:rsidRPr="003C26D0">
        <w:rPr>
          <w:rFonts w:ascii="ITC Avant Garde" w:hAnsi="ITC Avant Garde"/>
          <w:bCs/>
        </w:rPr>
        <w:t xml:space="preserve">XV </w:t>
      </w:r>
      <w:r w:rsidR="004C6B78" w:rsidRPr="003C26D0">
        <w:rPr>
          <w:rFonts w:ascii="ITC Avant Garde" w:hAnsi="ITC Avant Garde"/>
          <w:bCs/>
        </w:rPr>
        <w:t>y XXXVI</w:t>
      </w:r>
      <w:r w:rsidR="000832AA" w:rsidRPr="003C26D0">
        <w:rPr>
          <w:rFonts w:ascii="ITC Avant Garde" w:hAnsi="ITC Avant Garde"/>
          <w:bCs/>
        </w:rPr>
        <w:t>I</w:t>
      </w:r>
      <w:r w:rsidR="00F67F10">
        <w:rPr>
          <w:rFonts w:ascii="ITC Avant Garde" w:hAnsi="ITC Avant Garde"/>
          <w:bCs/>
        </w:rPr>
        <w:t xml:space="preserve">I, 32 y </w:t>
      </w:r>
      <w:r w:rsidR="004C6B78" w:rsidRPr="003C26D0">
        <w:rPr>
          <w:rFonts w:ascii="ITC Avant Garde" w:hAnsi="ITC Avant Garde"/>
          <w:bCs/>
        </w:rPr>
        <w:t>33 fr</w:t>
      </w:r>
      <w:r w:rsidR="000832AA" w:rsidRPr="003C26D0">
        <w:rPr>
          <w:rFonts w:ascii="ITC Avant Garde" w:hAnsi="ITC Avant Garde"/>
          <w:bCs/>
        </w:rPr>
        <w:t>acción V</w:t>
      </w:r>
      <w:r w:rsidR="003C26D0" w:rsidRPr="003C26D0">
        <w:rPr>
          <w:rFonts w:ascii="ITC Avant Garde" w:hAnsi="ITC Avant Garde"/>
          <w:bCs/>
        </w:rPr>
        <w:t>I</w:t>
      </w:r>
      <w:r w:rsidR="000832AA" w:rsidRPr="003C26D0">
        <w:rPr>
          <w:rFonts w:ascii="ITC Avant Garde" w:hAnsi="ITC Avant Garde"/>
          <w:bCs/>
        </w:rPr>
        <w:t>I</w:t>
      </w:r>
      <w:r w:rsidR="004C6B78" w:rsidRPr="003C26D0">
        <w:rPr>
          <w:rFonts w:ascii="ITC Avant Garde" w:hAnsi="ITC Avant Garde"/>
          <w:bCs/>
        </w:rPr>
        <w:t xml:space="preserve"> del Estatuto Orgánico del Instituto Federal de Telecomunicaciones; los </w:t>
      </w:r>
      <w:r w:rsidR="00E83CF6" w:rsidRPr="003C26D0">
        <w:rPr>
          <w:rFonts w:ascii="ITC Avant Garde" w:hAnsi="ITC Avant Garde"/>
          <w:bCs/>
        </w:rPr>
        <w:t>numerales II.1</w:t>
      </w:r>
      <w:r w:rsidR="004C6B78" w:rsidRPr="003C26D0">
        <w:rPr>
          <w:rFonts w:ascii="ITC Avant Garde" w:hAnsi="ITC Avant Garde"/>
          <w:bCs/>
        </w:rPr>
        <w:t xml:space="preserve"> </w:t>
      </w:r>
      <w:r w:rsidR="00E83CF6" w:rsidRPr="003C26D0">
        <w:rPr>
          <w:rFonts w:ascii="ITC Avant Garde" w:hAnsi="ITC Avant Garde"/>
          <w:bCs/>
        </w:rPr>
        <w:t>y III</w:t>
      </w:r>
      <w:r w:rsidR="004C6B78" w:rsidRPr="003C26D0">
        <w:rPr>
          <w:rFonts w:ascii="ITC Avant Garde" w:hAnsi="ITC Avant Garde"/>
          <w:bCs/>
        </w:rPr>
        <w:t xml:space="preserve"> de los “</w:t>
      </w:r>
      <w:r w:rsidR="004C6B78" w:rsidRPr="003C26D0">
        <w:rPr>
          <w:rFonts w:ascii="ITC Avant Garde" w:hAnsi="ITC Avant Garde"/>
          <w:bCs/>
          <w:i/>
        </w:rPr>
        <w:t xml:space="preserve">Lineamientos </w:t>
      </w:r>
      <w:r w:rsidR="006A7C0B" w:rsidRPr="003C26D0">
        <w:rPr>
          <w:rFonts w:ascii="ITC Avant Garde" w:hAnsi="ITC Avant Garde"/>
          <w:bCs/>
          <w:i/>
        </w:rPr>
        <w:t>generales que establecen los requisitos</w:t>
      </w:r>
      <w:r w:rsidR="006A7C0B" w:rsidRPr="00A61D6E">
        <w:rPr>
          <w:rFonts w:ascii="ITC Avant Garde" w:hAnsi="ITC Avant Garde"/>
          <w:bCs/>
          <w:i/>
        </w:rPr>
        <w:t>, términos y condiciones que los actuales concesionarios de radiodifusión, telecomunicaciones y telefonía deberán cumplir para que se les autorice la prestación de servicios adicionales a los que son objeto de su concesión”</w:t>
      </w:r>
      <w:r w:rsidR="004C6B78" w:rsidRPr="00A61D6E">
        <w:rPr>
          <w:rFonts w:ascii="ITC Avant Garde" w:hAnsi="ITC Avant Garde"/>
          <w:bCs/>
          <w:i/>
        </w:rPr>
        <w:t xml:space="preserve"> </w:t>
      </w:r>
      <w:r w:rsidR="004C6B78" w:rsidRPr="00A61D6E">
        <w:rPr>
          <w:rFonts w:ascii="ITC Avant Garde" w:hAnsi="ITC Avant Garde"/>
          <w:bCs/>
        </w:rPr>
        <w:t xml:space="preserve">publicados en el Diario Oficial de la Federación el </w:t>
      </w:r>
      <w:r w:rsidR="006A7C0B" w:rsidRPr="00A61D6E">
        <w:rPr>
          <w:rFonts w:ascii="ITC Avant Garde" w:hAnsi="ITC Avant Garde"/>
          <w:bCs/>
        </w:rPr>
        <w:t>28</w:t>
      </w:r>
      <w:r w:rsidR="004C6B78" w:rsidRPr="00A61D6E">
        <w:rPr>
          <w:rFonts w:ascii="ITC Avant Garde" w:hAnsi="ITC Avant Garde"/>
          <w:bCs/>
        </w:rPr>
        <w:t xml:space="preserve"> de </w:t>
      </w:r>
      <w:r w:rsidR="006A7C0B" w:rsidRPr="00A61D6E">
        <w:rPr>
          <w:rFonts w:ascii="ITC Avant Garde" w:hAnsi="ITC Avant Garde"/>
          <w:bCs/>
        </w:rPr>
        <w:t>may</w:t>
      </w:r>
      <w:r w:rsidR="004C6B78" w:rsidRPr="00A61D6E">
        <w:rPr>
          <w:rFonts w:ascii="ITC Avant Garde" w:hAnsi="ITC Avant Garde"/>
          <w:bCs/>
        </w:rPr>
        <w:t>o de 201</w:t>
      </w:r>
      <w:r w:rsidR="006A7C0B" w:rsidRPr="00A61D6E">
        <w:rPr>
          <w:rFonts w:ascii="ITC Avant Garde" w:hAnsi="ITC Avant Garde"/>
          <w:bCs/>
        </w:rPr>
        <w:t>4</w:t>
      </w:r>
      <w:r w:rsidR="004C6B78" w:rsidRPr="00A61D6E">
        <w:rPr>
          <w:rFonts w:ascii="ITC Avant Garde" w:hAnsi="ITC Avant Garde"/>
          <w:bCs/>
        </w:rPr>
        <w:t xml:space="preserve">, </w:t>
      </w:r>
      <w:r w:rsidR="00F67F10">
        <w:rPr>
          <w:rFonts w:ascii="ITC Avant Garde" w:hAnsi="ITC Avant Garde"/>
          <w:bCs/>
        </w:rPr>
        <w:t>así como lo previsto por la condición 2.1 “</w:t>
      </w:r>
      <w:r w:rsidR="00F67F10" w:rsidRPr="00F67F10">
        <w:rPr>
          <w:rFonts w:ascii="ITC Avant Garde" w:hAnsi="ITC Avant Garde"/>
          <w:bCs/>
          <w:i/>
        </w:rPr>
        <w:t>Servicios Adicionales</w:t>
      </w:r>
      <w:r w:rsidR="00F67F10">
        <w:rPr>
          <w:rFonts w:ascii="ITC Avant Garde" w:hAnsi="ITC Avant Garde"/>
          <w:bCs/>
        </w:rPr>
        <w:t xml:space="preserve">” de </w:t>
      </w:r>
      <w:r w:rsidR="00E35C74">
        <w:rPr>
          <w:rFonts w:ascii="ITC Avant Garde" w:hAnsi="ITC Avant Garde"/>
          <w:bCs/>
        </w:rPr>
        <w:t>las</w:t>
      </w:r>
      <w:r w:rsidR="00F67F10">
        <w:rPr>
          <w:rFonts w:ascii="ITC Avant Garde" w:hAnsi="ITC Avant Garde"/>
          <w:bCs/>
        </w:rPr>
        <w:t xml:space="preserve"> Modificaciones y Prórrogas de las Concesiones para usar, aprovechar y explotar bandas de frecuencias del espectro radioeléctrico para usos determinados, otorgadas el 6 de septiembre de 2013, </w:t>
      </w:r>
      <w:r w:rsidR="004C6B78" w:rsidRPr="00A61D6E">
        <w:rPr>
          <w:rFonts w:ascii="ITC Avant Garde" w:hAnsi="ITC Avant Garde"/>
          <w:bCs/>
        </w:rPr>
        <w:t>este órgano autónomo constitucional emite los siguientes:</w:t>
      </w:r>
    </w:p>
    <w:p w:rsidR="00850C3A" w:rsidRPr="00850C3A" w:rsidRDefault="00A21167" w:rsidP="00850C3A">
      <w:pPr>
        <w:pStyle w:val="Ttulo2"/>
        <w:spacing w:afterLines="120" w:after="288" w:line="276" w:lineRule="auto"/>
        <w:ind w:firstLine="0"/>
        <w:jc w:val="center"/>
        <w:rPr>
          <w:rFonts w:ascii="ITC Avant Garde" w:hAnsi="ITC Avant Garde" w:cs="Arial"/>
          <w:bCs/>
          <w:sz w:val="22"/>
          <w:szCs w:val="22"/>
          <w:lang w:eastAsia="en-US"/>
        </w:rPr>
      </w:pPr>
      <w:r w:rsidRPr="00850C3A">
        <w:rPr>
          <w:rFonts w:ascii="ITC Avant Garde" w:hAnsi="ITC Avant Garde" w:cs="Arial"/>
          <w:bCs/>
          <w:sz w:val="22"/>
          <w:szCs w:val="22"/>
          <w:lang w:eastAsia="en-US"/>
        </w:rPr>
        <w:lastRenderedPageBreak/>
        <w:t>RESOLUTIVOS</w:t>
      </w:r>
    </w:p>
    <w:p w:rsidR="00850C3A" w:rsidRDefault="00A21167" w:rsidP="00850C3A">
      <w:pPr>
        <w:autoSpaceDE w:val="0"/>
        <w:autoSpaceDN w:val="0"/>
        <w:adjustRightInd w:val="0"/>
        <w:spacing w:afterLines="120" w:after="288" w:line="240" w:lineRule="auto"/>
        <w:jc w:val="both"/>
        <w:rPr>
          <w:rFonts w:ascii="ITC Avant Garde" w:hAnsi="ITC Avant Garde"/>
          <w:bCs/>
          <w:color w:val="000000"/>
          <w:lang w:eastAsia="es-MX"/>
        </w:rPr>
      </w:pPr>
      <w:r w:rsidRPr="003F53BC">
        <w:rPr>
          <w:rFonts w:ascii="ITC Avant Garde" w:hAnsi="ITC Avant Garde"/>
          <w:b/>
          <w:bCs/>
          <w:color w:val="000000"/>
          <w:lang w:eastAsia="es-MX"/>
        </w:rPr>
        <w:t>PRIMERO.-</w:t>
      </w:r>
      <w:r w:rsidR="00304638" w:rsidRPr="003F53BC">
        <w:rPr>
          <w:rFonts w:ascii="ITC Avant Garde" w:hAnsi="ITC Avant Garde"/>
          <w:bCs/>
          <w:color w:val="000000"/>
          <w:lang w:eastAsia="es-MX"/>
        </w:rPr>
        <w:t xml:space="preserve"> </w:t>
      </w:r>
      <w:r w:rsidR="0017236F">
        <w:rPr>
          <w:rFonts w:ascii="ITC Avant Garde" w:hAnsi="ITC Avant Garde"/>
          <w:bCs/>
          <w:color w:val="000000"/>
          <w:lang w:eastAsia="es-MX"/>
        </w:rPr>
        <w:t>Es</w:t>
      </w:r>
      <w:r w:rsidR="00AF259E" w:rsidRPr="003F53BC">
        <w:rPr>
          <w:rFonts w:ascii="ITC Avant Garde" w:hAnsi="ITC Avant Garde"/>
          <w:bCs/>
          <w:color w:val="000000"/>
          <w:lang w:eastAsia="es-MX"/>
        </w:rPr>
        <w:t xml:space="preserve"> procedente </w:t>
      </w:r>
      <w:r w:rsidR="0017236F">
        <w:rPr>
          <w:rFonts w:ascii="ITC Avant Garde" w:hAnsi="ITC Avant Garde"/>
          <w:bCs/>
          <w:color w:val="000000"/>
          <w:lang w:eastAsia="es-MX"/>
        </w:rPr>
        <w:t>la prestación d</w:t>
      </w:r>
      <w:r w:rsidR="0043684F" w:rsidRPr="003F53BC">
        <w:rPr>
          <w:rFonts w:ascii="ITC Avant Garde" w:hAnsi="ITC Avant Garde"/>
          <w:bCs/>
          <w:color w:val="000000"/>
          <w:lang w:eastAsia="es-MX"/>
        </w:rPr>
        <w:t xml:space="preserve">el servicio de acceso inalámbrico en </w:t>
      </w:r>
      <w:r w:rsidR="00AD1C7C" w:rsidRPr="003F53BC">
        <w:rPr>
          <w:rFonts w:ascii="ITC Avant Garde" w:hAnsi="ITC Avant Garde"/>
          <w:bCs/>
          <w:color w:val="000000"/>
          <w:lang w:eastAsia="es-MX"/>
        </w:rPr>
        <w:t>los</w:t>
      </w:r>
      <w:r w:rsidR="0043684F" w:rsidRPr="003F53BC">
        <w:rPr>
          <w:rFonts w:ascii="ITC Avant Garde" w:hAnsi="ITC Avant Garde"/>
          <w:bCs/>
          <w:color w:val="000000"/>
          <w:lang w:eastAsia="es-MX"/>
        </w:rPr>
        <w:t xml:space="preserve"> </w:t>
      </w:r>
      <w:r w:rsidR="00C61A71">
        <w:rPr>
          <w:rFonts w:ascii="ITC Avant Garde" w:hAnsi="ITC Avant Garde"/>
          <w:bCs/>
          <w:color w:val="000000"/>
          <w:lang w:eastAsia="es-MX"/>
        </w:rPr>
        <w:t>2 (dos)</w:t>
      </w:r>
      <w:r w:rsidR="0043684F" w:rsidRPr="003F53BC">
        <w:rPr>
          <w:rFonts w:ascii="ITC Avant Garde" w:hAnsi="ITC Avant Garde"/>
          <w:bCs/>
          <w:color w:val="000000"/>
          <w:lang w:eastAsia="es-MX"/>
        </w:rPr>
        <w:t xml:space="preserve"> títulos de concesión para usar, aprovechar y explotar bandas de frecuencias del espectro radioeléctrico para usos determinados, </w:t>
      </w:r>
      <w:r w:rsidR="003A1946">
        <w:rPr>
          <w:rFonts w:ascii="ITC Avant Garde" w:hAnsi="ITC Avant Garde"/>
          <w:bCs/>
          <w:color w:val="000000"/>
          <w:lang w:eastAsia="es-MX"/>
        </w:rPr>
        <w:t>que</w:t>
      </w:r>
      <w:r w:rsidR="00AD1C7C" w:rsidRPr="003F53BC">
        <w:rPr>
          <w:rFonts w:ascii="ITC Avant Garde" w:hAnsi="ITC Avant Garde"/>
          <w:bCs/>
          <w:color w:val="000000"/>
          <w:lang w:eastAsia="es-MX"/>
        </w:rPr>
        <w:t xml:space="preserve"> fueron </w:t>
      </w:r>
      <w:r w:rsidR="0043684F" w:rsidRPr="003F53BC">
        <w:rPr>
          <w:rFonts w:ascii="ITC Avant Garde" w:hAnsi="ITC Avant Garde"/>
          <w:bCs/>
          <w:color w:val="000000"/>
          <w:lang w:eastAsia="es-MX"/>
        </w:rPr>
        <w:t>modificados y prorrogados</w:t>
      </w:r>
      <w:r w:rsidR="00AD1C7C" w:rsidRPr="003F53BC">
        <w:rPr>
          <w:rFonts w:ascii="ITC Avant Garde" w:hAnsi="ITC Avant Garde"/>
          <w:bCs/>
          <w:color w:val="000000"/>
          <w:lang w:eastAsia="es-MX"/>
        </w:rPr>
        <w:t xml:space="preserve"> </w:t>
      </w:r>
      <w:r w:rsidR="0043684F" w:rsidRPr="003F53BC">
        <w:rPr>
          <w:rFonts w:ascii="ITC Avant Garde" w:hAnsi="ITC Avant Garde"/>
          <w:bCs/>
          <w:color w:val="000000"/>
          <w:lang w:eastAsia="es-MX"/>
        </w:rPr>
        <w:t>el 6 de septiembre de 2013</w:t>
      </w:r>
      <w:r w:rsidR="003A1946">
        <w:rPr>
          <w:rFonts w:ascii="ITC Avant Garde" w:hAnsi="ITC Avant Garde"/>
          <w:bCs/>
          <w:color w:val="000000"/>
          <w:lang w:eastAsia="es-MX"/>
        </w:rPr>
        <w:t xml:space="preserve"> en favor de </w:t>
      </w:r>
      <w:r w:rsidR="00C61A71">
        <w:rPr>
          <w:rFonts w:ascii="ITC Avant Garde" w:hAnsi="ITC Avant Garde"/>
          <w:bCs/>
          <w:color w:val="000000"/>
          <w:lang w:eastAsia="es-MX"/>
        </w:rPr>
        <w:t>los CC. Adrián Esper Cárdenas y Alfonso Esper Cárdenas.</w:t>
      </w:r>
    </w:p>
    <w:p w:rsidR="00850C3A" w:rsidRDefault="00132654" w:rsidP="00850C3A">
      <w:pPr>
        <w:autoSpaceDE w:val="0"/>
        <w:autoSpaceDN w:val="0"/>
        <w:adjustRightInd w:val="0"/>
        <w:spacing w:afterLines="120" w:after="288" w:line="240" w:lineRule="auto"/>
        <w:jc w:val="both"/>
        <w:rPr>
          <w:rFonts w:ascii="ITC Avant Garde" w:hAnsi="ITC Avant Garde"/>
          <w:bCs/>
        </w:rPr>
      </w:pPr>
      <w:r w:rsidRPr="003F53BC">
        <w:rPr>
          <w:rFonts w:ascii="ITC Avant Garde" w:hAnsi="ITC Avant Garde"/>
          <w:b/>
          <w:bCs/>
        </w:rPr>
        <w:t xml:space="preserve">SEGUNDO.- </w:t>
      </w:r>
      <w:r w:rsidR="00F33528" w:rsidRPr="003F53BC">
        <w:rPr>
          <w:rFonts w:ascii="ITC Avant Garde" w:hAnsi="ITC Avant Garde"/>
          <w:bCs/>
        </w:rPr>
        <w:t xml:space="preserve">Se instruye a la Unidad de Concesiones y Servicios a notificar a </w:t>
      </w:r>
      <w:r w:rsidR="00C61A71">
        <w:rPr>
          <w:rFonts w:ascii="ITC Avant Garde" w:hAnsi="ITC Avant Garde"/>
          <w:bCs/>
          <w:color w:val="000000"/>
          <w:lang w:eastAsia="es-MX"/>
        </w:rPr>
        <w:t>los CC. Adrián Esper Cárdenas y Alfonso Esper Cárdenas,</w:t>
      </w:r>
      <w:r w:rsidR="00F33528" w:rsidRPr="003F53BC">
        <w:rPr>
          <w:rFonts w:ascii="ITC Avant Garde" w:hAnsi="ITC Avant Garde"/>
          <w:bCs/>
        </w:rPr>
        <w:t xml:space="preserve"> el contenido de la presente Resolución.</w:t>
      </w:r>
    </w:p>
    <w:p w:rsidR="00850C3A" w:rsidRDefault="00E53BB5" w:rsidP="00850C3A">
      <w:pPr>
        <w:autoSpaceDE w:val="0"/>
        <w:autoSpaceDN w:val="0"/>
        <w:adjustRightInd w:val="0"/>
        <w:spacing w:afterLines="120" w:after="288" w:line="240" w:lineRule="auto"/>
        <w:jc w:val="both"/>
        <w:rPr>
          <w:rFonts w:ascii="ITC Avant Garde" w:hAnsi="ITC Avant Garde"/>
          <w:bCs/>
        </w:rPr>
      </w:pPr>
      <w:r w:rsidRPr="003F53BC">
        <w:rPr>
          <w:rFonts w:ascii="ITC Avant Garde" w:hAnsi="ITC Avant Garde"/>
          <w:b/>
          <w:bCs/>
        </w:rPr>
        <w:t>TERCERO.-</w:t>
      </w:r>
      <w:r w:rsidRPr="003F53BC">
        <w:rPr>
          <w:rFonts w:ascii="ITC Avant Garde" w:hAnsi="ITC Avant Garde"/>
          <w:bCs/>
        </w:rPr>
        <w:t xml:space="preserve"> </w:t>
      </w:r>
      <w:r w:rsidR="00E0689E" w:rsidRPr="003F53BC">
        <w:rPr>
          <w:rFonts w:ascii="ITC Avant Garde" w:hAnsi="ITC Avant Garde"/>
          <w:bCs/>
        </w:rPr>
        <w:t xml:space="preserve">El Instituto Federal de Telecomunicaciones, </w:t>
      </w:r>
      <w:r w:rsidR="005C7502">
        <w:rPr>
          <w:rFonts w:ascii="ITC Avant Garde" w:hAnsi="ITC Avant Garde"/>
          <w:bCs/>
        </w:rPr>
        <w:t>mediante acto diverso</w:t>
      </w:r>
      <w:r w:rsidR="00E0689E" w:rsidRPr="003F53BC">
        <w:rPr>
          <w:rFonts w:ascii="ITC Avant Garde" w:hAnsi="ITC Avant Garde"/>
          <w:bCs/>
        </w:rPr>
        <w:t>, notificará a</w:t>
      </w:r>
      <w:r w:rsidR="00F33528" w:rsidRPr="003F53BC">
        <w:rPr>
          <w:rFonts w:ascii="ITC Avant Garde" w:hAnsi="ITC Avant Garde"/>
          <w:bCs/>
        </w:rPr>
        <w:t xml:space="preserve"> </w:t>
      </w:r>
      <w:r w:rsidR="009E3149">
        <w:rPr>
          <w:rFonts w:ascii="ITC Avant Garde" w:hAnsi="ITC Avant Garde"/>
          <w:bCs/>
          <w:color w:val="000000"/>
          <w:lang w:eastAsia="es-MX"/>
        </w:rPr>
        <w:t>los CC. Adrián Esper Cárdenas y Alfonso Esper Cárdenas</w:t>
      </w:r>
      <w:r w:rsidR="009E3149" w:rsidRPr="003F53BC">
        <w:rPr>
          <w:rFonts w:ascii="ITC Avant Garde" w:hAnsi="ITC Avant Garde"/>
          <w:bCs/>
        </w:rPr>
        <w:t xml:space="preserve"> </w:t>
      </w:r>
      <w:r w:rsidR="00F33528" w:rsidRPr="003F53BC">
        <w:rPr>
          <w:rFonts w:ascii="ITC Avant Garde" w:hAnsi="ITC Avant Garde"/>
          <w:bCs/>
        </w:rPr>
        <w:t xml:space="preserve">el monto </w:t>
      </w:r>
      <w:r w:rsidR="00E0689E" w:rsidRPr="003F53BC">
        <w:rPr>
          <w:rFonts w:ascii="ITC Avant Garde" w:hAnsi="ITC Avant Garde"/>
          <w:bCs/>
        </w:rPr>
        <w:t>de la contraprestación</w:t>
      </w:r>
      <w:r w:rsidR="00CC7B61">
        <w:rPr>
          <w:rFonts w:ascii="ITC Avant Garde" w:hAnsi="ITC Avant Garde"/>
          <w:bCs/>
        </w:rPr>
        <w:t xml:space="preserve"> aplicable a la autorización del servicio de acceso inalámbrico</w:t>
      </w:r>
      <w:r w:rsidR="00E0689E" w:rsidRPr="003F53BC">
        <w:rPr>
          <w:rFonts w:ascii="ITC Avant Garde" w:hAnsi="ITC Avant Garde"/>
          <w:bCs/>
        </w:rPr>
        <w:t>, cuyo pago será condición para el otorgamiento de la autorización</w:t>
      </w:r>
      <w:r w:rsidR="00387B85">
        <w:rPr>
          <w:rFonts w:ascii="ITC Avant Garde" w:hAnsi="ITC Avant Garde"/>
          <w:bCs/>
        </w:rPr>
        <w:t xml:space="preserve"> respectiva</w:t>
      </w:r>
      <w:r w:rsidR="00F33528" w:rsidRPr="003F53BC">
        <w:rPr>
          <w:rFonts w:ascii="ITC Avant Garde" w:hAnsi="ITC Avant Garde"/>
          <w:bCs/>
        </w:rPr>
        <w:t>.</w:t>
      </w:r>
    </w:p>
    <w:p w:rsidR="00850C3A" w:rsidRDefault="003F53BC" w:rsidP="00850C3A">
      <w:pPr>
        <w:autoSpaceDE w:val="0"/>
        <w:autoSpaceDN w:val="0"/>
        <w:adjustRightInd w:val="0"/>
        <w:spacing w:afterLines="120" w:after="288" w:line="240" w:lineRule="auto"/>
        <w:jc w:val="both"/>
        <w:rPr>
          <w:rFonts w:ascii="ITC Avant Garde" w:hAnsi="ITC Avant Garde"/>
          <w:bCs/>
        </w:rPr>
      </w:pPr>
      <w:r w:rsidRPr="00CC7B61">
        <w:rPr>
          <w:rFonts w:ascii="ITC Avant Garde" w:hAnsi="ITC Avant Garde"/>
          <w:b/>
          <w:bCs/>
        </w:rPr>
        <w:t>CUARTO.-</w:t>
      </w:r>
      <w:r>
        <w:rPr>
          <w:rFonts w:ascii="ITC Avant Garde" w:hAnsi="ITC Avant Garde"/>
          <w:bCs/>
        </w:rPr>
        <w:t xml:space="preserve"> </w:t>
      </w:r>
      <w:r w:rsidR="00562E29">
        <w:rPr>
          <w:rFonts w:ascii="ITC Avant Garde" w:hAnsi="ITC Avant Garde"/>
          <w:bCs/>
        </w:rPr>
        <w:t xml:space="preserve">La presente Resolución se inscribirá en el Registro Público de Concesiones una vez que el Instituto Federal de Telecomunicaciones autorice la prestación del servicio de acceso inalámbrico a </w:t>
      </w:r>
      <w:r w:rsidR="009E3149">
        <w:rPr>
          <w:rFonts w:ascii="ITC Avant Garde" w:hAnsi="ITC Avant Garde"/>
          <w:bCs/>
          <w:color w:val="000000"/>
          <w:lang w:eastAsia="es-MX"/>
        </w:rPr>
        <w:t>los CC. Adrián Esper Cárdenas y Alfonso Esper Cárdenas</w:t>
      </w:r>
      <w:r w:rsidR="00562E29">
        <w:rPr>
          <w:rFonts w:ascii="ITC Avant Garde" w:hAnsi="ITC Avant Garde"/>
          <w:bCs/>
        </w:rPr>
        <w:t>.</w:t>
      </w:r>
    </w:p>
    <w:p w:rsidR="00850C3A" w:rsidRDefault="00562E29" w:rsidP="00850C3A">
      <w:pPr>
        <w:autoSpaceDE w:val="0"/>
        <w:autoSpaceDN w:val="0"/>
        <w:adjustRightInd w:val="0"/>
        <w:spacing w:afterLines="120" w:after="288" w:line="240" w:lineRule="auto"/>
        <w:jc w:val="both"/>
        <w:rPr>
          <w:rFonts w:ascii="ITC Avant Garde" w:hAnsi="ITC Avant Garde"/>
          <w:bCs/>
        </w:rPr>
      </w:pPr>
      <w:r w:rsidRPr="00562E29">
        <w:rPr>
          <w:rFonts w:ascii="ITC Avant Garde" w:hAnsi="ITC Avant Garde"/>
          <w:b/>
          <w:bCs/>
        </w:rPr>
        <w:t>QUINT</w:t>
      </w:r>
      <w:r w:rsidR="00466B22" w:rsidRPr="00562E29">
        <w:rPr>
          <w:rFonts w:ascii="ITC Avant Garde" w:hAnsi="ITC Avant Garde"/>
          <w:b/>
          <w:bCs/>
        </w:rPr>
        <w:t>O.-</w:t>
      </w:r>
      <w:r w:rsidR="00466B22" w:rsidRPr="00562E29">
        <w:rPr>
          <w:rFonts w:ascii="ITC Avant Garde" w:hAnsi="ITC Avant Garde"/>
          <w:bCs/>
        </w:rPr>
        <w:t xml:space="preserve"> Se instruye a la Secretaría Técnica del Pleno a hacer del conocimiento de la Un</w:t>
      </w:r>
      <w:r w:rsidR="00D02C07">
        <w:rPr>
          <w:rFonts w:ascii="ITC Avant Garde" w:hAnsi="ITC Avant Garde"/>
          <w:bCs/>
        </w:rPr>
        <w:t>idad</w:t>
      </w:r>
      <w:r w:rsidR="00466B22" w:rsidRPr="00562E29">
        <w:rPr>
          <w:rFonts w:ascii="ITC Avant Garde" w:hAnsi="ITC Avant Garde"/>
          <w:bCs/>
        </w:rPr>
        <w:t xml:space="preserve"> de Espectro Radioeléctrico</w:t>
      </w:r>
      <w:r w:rsidR="003A1946">
        <w:rPr>
          <w:rFonts w:ascii="ITC Avant Garde" w:hAnsi="ITC Avant Garde"/>
          <w:bCs/>
        </w:rPr>
        <w:t xml:space="preserve"> </w:t>
      </w:r>
      <w:r w:rsidR="00466B22" w:rsidRPr="00562E29">
        <w:rPr>
          <w:rFonts w:ascii="ITC Avant Garde" w:hAnsi="ITC Avant Garde"/>
          <w:bCs/>
        </w:rPr>
        <w:t>el contenido de la presente Resolución para los efectos conducentes.</w:t>
      </w:r>
      <w:r w:rsidR="00466B22" w:rsidRPr="00A61D6E">
        <w:rPr>
          <w:rFonts w:ascii="ITC Avant Garde" w:hAnsi="ITC Avant Garde"/>
          <w:bCs/>
        </w:rPr>
        <w:t xml:space="preserve"> </w:t>
      </w:r>
    </w:p>
    <w:p w:rsidR="002D692A" w:rsidRPr="00850C3A" w:rsidRDefault="009B3E16" w:rsidP="00850C3A">
      <w:pPr>
        <w:pStyle w:val="Prrafodelista"/>
        <w:spacing w:afterLines="120" w:after="288"/>
        <w:ind w:left="0"/>
        <w:jc w:val="both"/>
        <w:rPr>
          <w:rFonts w:ascii="Calibri" w:hAnsi="Calibri"/>
          <w:sz w:val="14"/>
          <w:szCs w:val="14"/>
        </w:rPr>
      </w:pPr>
      <w:r w:rsidRPr="009B3E16">
        <w:rPr>
          <w:rFonts w:ascii="ITC Avant Garde" w:hAnsi="ITC Avant Garde"/>
          <w:sz w:val="14"/>
          <w:szCs w:val="14"/>
        </w:rPr>
        <w:t xml:space="preserve">La presente Resolución fue aprobada por el Pleno del Instituto Federal de Telecomunicaciones en su XXIII Sesión Extraordinaria celebrada el 18 de diciembre de 2017, </w:t>
      </w:r>
      <w:r w:rsidRPr="009B3E16">
        <w:rPr>
          <w:rFonts w:ascii="ITC Avant Garde" w:hAnsi="ITC Avant Garde"/>
          <w:bCs/>
          <w:sz w:val="14"/>
          <w:szCs w:val="14"/>
        </w:rPr>
        <w:t xml:space="preserve">por mayoría </w:t>
      </w:r>
      <w:r w:rsidRPr="009B3E16">
        <w:rPr>
          <w:rFonts w:ascii="ITC Avant Garde" w:hAnsi="ITC Avant Garde"/>
          <w:sz w:val="14"/>
          <w:szCs w:val="14"/>
        </w:rPr>
        <w:t>de votos de los Comisionados Gabriel Oswaldo Contreras Saldívar, Mario Germán Fromow Rangel, Adolfo Cuevas Teja, Javier Juárez Mojica y Arturo Robles Rovalo; y con el voto en contra de las Comisionadas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P/IFT/EXT/181217/199.</w:t>
      </w:r>
    </w:p>
    <w:sectPr w:rsidR="002D692A" w:rsidRPr="00850C3A" w:rsidSect="00EE7138">
      <w:headerReference w:type="even" r:id="rId8"/>
      <w:footerReference w:type="default" r:id="rId9"/>
      <w:headerReference w:type="first" r:id="rId10"/>
      <w:pgSz w:w="12240" w:h="15840"/>
      <w:pgMar w:top="1985" w:right="1418"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B7" w:rsidRDefault="00E957B7">
      <w:pPr>
        <w:spacing w:after="0" w:line="240" w:lineRule="auto"/>
      </w:pPr>
      <w:r>
        <w:separator/>
      </w:r>
    </w:p>
  </w:endnote>
  <w:endnote w:type="continuationSeparator" w:id="0">
    <w:p w:rsidR="00E957B7" w:rsidRDefault="00E9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E3" w:rsidRPr="004C7979" w:rsidRDefault="00E95CE3"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50C3A">
      <w:rPr>
        <w:rFonts w:ascii="ITC Avant Garde" w:hAnsi="ITC Avant Garde" w:cs="Calibri"/>
        <w:noProof/>
        <w:sz w:val="18"/>
        <w:szCs w:val="18"/>
      </w:rPr>
      <w:t>19</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50C3A">
      <w:rPr>
        <w:rFonts w:ascii="ITC Avant Garde" w:hAnsi="ITC Avant Garde" w:cs="Calibri"/>
        <w:noProof/>
        <w:sz w:val="18"/>
        <w:szCs w:val="18"/>
      </w:rPr>
      <w:t>19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B7" w:rsidRDefault="00E957B7">
      <w:pPr>
        <w:spacing w:after="0" w:line="240" w:lineRule="auto"/>
      </w:pPr>
      <w:r>
        <w:separator/>
      </w:r>
    </w:p>
  </w:footnote>
  <w:footnote w:type="continuationSeparator" w:id="0">
    <w:p w:rsidR="00E957B7" w:rsidRDefault="00E957B7">
      <w:pPr>
        <w:spacing w:after="0" w:line="240" w:lineRule="auto"/>
      </w:pPr>
      <w:r>
        <w:continuationSeparator/>
      </w:r>
    </w:p>
  </w:footnote>
  <w:footnote w:id="1">
    <w:p w:rsidR="00E95CE3" w:rsidRPr="005D7753" w:rsidRDefault="00E95CE3"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E3" w:rsidRDefault="00E957B7">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E3" w:rsidRPr="000F5E4B" w:rsidRDefault="00E957B7">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120042FD"/>
    <w:multiLevelType w:val="hybridMultilevel"/>
    <w:tmpl w:val="FB6ABAB6"/>
    <w:lvl w:ilvl="0" w:tplc="F0523F5C">
      <w:start w:val="9"/>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76E57D3"/>
    <w:multiLevelType w:val="hybridMultilevel"/>
    <w:tmpl w:val="81B8F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8"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D96396D"/>
    <w:multiLevelType w:val="hybridMultilevel"/>
    <w:tmpl w:val="F02684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1343C5"/>
    <w:multiLevelType w:val="hybridMultilevel"/>
    <w:tmpl w:val="389405FC"/>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9"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073881"/>
    <w:multiLevelType w:val="hybridMultilevel"/>
    <w:tmpl w:val="6414C8B8"/>
    <w:lvl w:ilvl="0" w:tplc="B46E6C44">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8"/>
  </w:num>
  <w:num w:numId="2">
    <w:abstractNumId w:val="7"/>
  </w:num>
  <w:num w:numId="3">
    <w:abstractNumId w:val="16"/>
  </w:num>
  <w:num w:numId="4">
    <w:abstractNumId w:val="0"/>
  </w:num>
  <w:num w:numId="5">
    <w:abstractNumId w:val="9"/>
  </w:num>
  <w:num w:numId="6">
    <w:abstractNumId w:val="5"/>
  </w:num>
  <w:num w:numId="7">
    <w:abstractNumId w:val="15"/>
  </w:num>
  <w:num w:numId="8">
    <w:abstractNumId w:val="17"/>
  </w:num>
  <w:num w:numId="9">
    <w:abstractNumId w:val="20"/>
  </w:num>
  <w:num w:numId="10">
    <w:abstractNumId w:val="19"/>
  </w:num>
  <w:num w:numId="11">
    <w:abstractNumId w:val="11"/>
  </w:num>
  <w:num w:numId="12">
    <w:abstractNumId w:val="3"/>
  </w:num>
  <w:num w:numId="13">
    <w:abstractNumId w:val="6"/>
  </w:num>
  <w:num w:numId="14">
    <w:abstractNumId w:val="13"/>
  </w:num>
  <w:num w:numId="15">
    <w:abstractNumId w:val="10"/>
  </w:num>
  <w:num w:numId="16">
    <w:abstractNumId w:val="21"/>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5A5F"/>
    <w:rsid w:val="000061D2"/>
    <w:rsid w:val="00007C21"/>
    <w:rsid w:val="0001061A"/>
    <w:rsid w:val="00011319"/>
    <w:rsid w:val="00013458"/>
    <w:rsid w:val="00015592"/>
    <w:rsid w:val="00021BB1"/>
    <w:rsid w:val="000233D9"/>
    <w:rsid w:val="00023870"/>
    <w:rsid w:val="00025B8A"/>
    <w:rsid w:val="00026886"/>
    <w:rsid w:val="00027C2C"/>
    <w:rsid w:val="000307D9"/>
    <w:rsid w:val="00033C31"/>
    <w:rsid w:val="00036728"/>
    <w:rsid w:val="00036AD1"/>
    <w:rsid w:val="0003732E"/>
    <w:rsid w:val="0003783E"/>
    <w:rsid w:val="0004073B"/>
    <w:rsid w:val="00040B35"/>
    <w:rsid w:val="0004109F"/>
    <w:rsid w:val="00042F79"/>
    <w:rsid w:val="0004438A"/>
    <w:rsid w:val="00047266"/>
    <w:rsid w:val="00050C7C"/>
    <w:rsid w:val="00051286"/>
    <w:rsid w:val="00051475"/>
    <w:rsid w:val="000528C6"/>
    <w:rsid w:val="00053EA7"/>
    <w:rsid w:val="000545E7"/>
    <w:rsid w:val="000549DF"/>
    <w:rsid w:val="000560A8"/>
    <w:rsid w:val="0006059D"/>
    <w:rsid w:val="00060720"/>
    <w:rsid w:val="000642D3"/>
    <w:rsid w:val="00064C98"/>
    <w:rsid w:val="00070ADE"/>
    <w:rsid w:val="00071F11"/>
    <w:rsid w:val="000745CD"/>
    <w:rsid w:val="00075FE8"/>
    <w:rsid w:val="000807D9"/>
    <w:rsid w:val="00080962"/>
    <w:rsid w:val="00080E8D"/>
    <w:rsid w:val="00081015"/>
    <w:rsid w:val="00082E8D"/>
    <w:rsid w:val="00083217"/>
    <w:rsid w:val="000832AA"/>
    <w:rsid w:val="00085D0E"/>
    <w:rsid w:val="00087380"/>
    <w:rsid w:val="00092879"/>
    <w:rsid w:val="00096DE5"/>
    <w:rsid w:val="000A079B"/>
    <w:rsid w:val="000A16DA"/>
    <w:rsid w:val="000A2907"/>
    <w:rsid w:val="000A3816"/>
    <w:rsid w:val="000A4353"/>
    <w:rsid w:val="000A507A"/>
    <w:rsid w:val="000A6294"/>
    <w:rsid w:val="000A7878"/>
    <w:rsid w:val="000B18C4"/>
    <w:rsid w:val="000B1ACC"/>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6E52"/>
    <w:rsid w:val="000E7124"/>
    <w:rsid w:val="000F3324"/>
    <w:rsid w:val="000F3734"/>
    <w:rsid w:val="000F3D4D"/>
    <w:rsid w:val="000F6C76"/>
    <w:rsid w:val="000F7074"/>
    <w:rsid w:val="00100474"/>
    <w:rsid w:val="00100DCC"/>
    <w:rsid w:val="00101BE6"/>
    <w:rsid w:val="00103AE1"/>
    <w:rsid w:val="00106838"/>
    <w:rsid w:val="00112CE1"/>
    <w:rsid w:val="00112D03"/>
    <w:rsid w:val="00114D86"/>
    <w:rsid w:val="00115B23"/>
    <w:rsid w:val="0011681D"/>
    <w:rsid w:val="00116FB7"/>
    <w:rsid w:val="00117597"/>
    <w:rsid w:val="00120BD4"/>
    <w:rsid w:val="00120E9D"/>
    <w:rsid w:val="001212CF"/>
    <w:rsid w:val="001237ED"/>
    <w:rsid w:val="00123C96"/>
    <w:rsid w:val="00123E66"/>
    <w:rsid w:val="00123FC3"/>
    <w:rsid w:val="0012668A"/>
    <w:rsid w:val="00127E26"/>
    <w:rsid w:val="00130E78"/>
    <w:rsid w:val="00132654"/>
    <w:rsid w:val="001344C4"/>
    <w:rsid w:val="001402D9"/>
    <w:rsid w:val="00142818"/>
    <w:rsid w:val="001430CF"/>
    <w:rsid w:val="0014534D"/>
    <w:rsid w:val="001457CF"/>
    <w:rsid w:val="00151505"/>
    <w:rsid w:val="00154C94"/>
    <w:rsid w:val="00154CAC"/>
    <w:rsid w:val="001611A5"/>
    <w:rsid w:val="0016174F"/>
    <w:rsid w:val="00163C48"/>
    <w:rsid w:val="00165E2E"/>
    <w:rsid w:val="001661C2"/>
    <w:rsid w:val="00166997"/>
    <w:rsid w:val="0016797D"/>
    <w:rsid w:val="0017236F"/>
    <w:rsid w:val="00176516"/>
    <w:rsid w:val="00177E68"/>
    <w:rsid w:val="0018019C"/>
    <w:rsid w:val="001809F3"/>
    <w:rsid w:val="00182721"/>
    <w:rsid w:val="0018342C"/>
    <w:rsid w:val="00183A9E"/>
    <w:rsid w:val="0018519B"/>
    <w:rsid w:val="0018624D"/>
    <w:rsid w:val="0019077C"/>
    <w:rsid w:val="0019177D"/>
    <w:rsid w:val="00192CF3"/>
    <w:rsid w:val="00192D6C"/>
    <w:rsid w:val="001933F8"/>
    <w:rsid w:val="001935FC"/>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B730B"/>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2CFE"/>
    <w:rsid w:val="001E355F"/>
    <w:rsid w:val="001E4B94"/>
    <w:rsid w:val="001E57BF"/>
    <w:rsid w:val="001E5801"/>
    <w:rsid w:val="001E74D0"/>
    <w:rsid w:val="001E75E9"/>
    <w:rsid w:val="001E7FC5"/>
    <w:rsid w:val="001F2563"/>
    <w:rsid w:val="001F5719"/>
    <w:rsid w:val="0020067E"/>
    <w:rsid w:val="002016F7"/>
    <w:rsid w:val="002022F1"/>
    <w:rsid w:val="00202B04"/>
    <w:rsid w:val="00203F3A"/>
    <w:rsid w:val="00205AE1"/>
    <w:rsid w:val="0020676E"/>
    <w:rsid w:val="00210F78"/>
    <w:rsid w:val="0021343B"/>
    <w:rsid w:val="00215955"/>
    <w:rsid w:val="00215FBE"/>
    <w:rsid w:val="0021633E"/>
    <w:rsid w:val="00216686"/>
    <w:rsid w:val="00220371"/>
    <w:rsid w:val="002279D6"/>
    <w:rsid w:val="0023268A"/>
    <w:rsid w:val="0023291A"/>
    <w:rsid w:val="002333C5"/>
    <w:rsid w:val="00240157"/>
    <w:rsid w:val="00241080"/>
    <w:rsid w:val="0024177E"/>
    <w:rsid w:val="002418D1"/>
    <w:rsid w:val="00244F59"/>
    <w:rsid w:val="002465DA"/>
    <w:rsid w:val="00250695"/>
    <w:rsid w:val="00251439"/>
    <w:rsid w:val="002541C4"/>
    <w:rsid w:val="00254EF4"/>
    <w:rsid w:val="002555F4"/>
    <w:rsid w:val="00255747"/>
    <w:rsid w:val="00257095"/>
    <w:rsid w:val="00264202"/>
    <w:rsid w:val="00265C20"/>
    <w:rsid w:val="00273D4E"/>
    <w:rsid w:val="00274E0A"/>
    <w:rsid w:val="002750A8"/>
    <w:rsid w:val="002766EF"/>
    <w:rsid w:val="00277047"/>
    <w:rsid w:val="00280377"/>
    <w:rsid w:val="0028232E"/>
    <w:rsid w:val="00282660"/>
    <w:rsid w:val="00283EB2"/>
    <w:rsid w:val="00284675"/>
    <w:rsid w:val="002866EA"/>
    <w:rsid w:val="00287FDD"/>
    <w:rsid w:val="00290497"/>
    <w:rsid w:val="00292AAE"/>
    <w:rsid w:val="00293450"/>
    <w:rsid w:val="002942DD"/>
    <w:rsid w:val="002957A5"/>
    <w:rsid w:val="002959C1"/>
    <w:rsid w:val="002964E0"/>
    <w:rsid w:val="002A04B8"/>
    <w:rsid w:val="002A18E1"/>
    <w:rsid w:val="002A40AB"/>
    <w:rsid w:val="002A5C57"/>
    <w:rsid w:val="002A6A93"/>
    <w:rsid w:val="002B4CC3"/>
    <w:rsid w:val="002B5B76"/>
    <w:rsid w:val="002B5DEC"/>
    <w:rsid w:val="002B5FC0"/>
    <w:rsid w:val="002B6972"/>
    <w:rsid w:val="002B75C8"/>
    <w:rsid w:val="002C39F2"/>
    <w:rsid w:val="002C423D"/>
    <w:rsid w:val="002C48EB"/>
    <w:rsid w:val="002C60C7"/>
    <w:rsid w:val="002C6B02"/>
    <w:rsid w:val="002C6D9F"/>
    <w:rsid w:val="002C71B3"/>
    <w:rsid w:val="002C7251"/>
    <w:rsid w:val="002C741A"/>
    <w:rsid w:val="002D1151"/>
    <w:rsid w:val="002D2E8F"/>
    <w:rsid w:val="002D30E4"/>
    <w:rsid w:val="002D3606"/>
    <w:rsid w:val="002D366D"/>
    <w:rsid w:val="002D3CD4"/>
    <w:rsid w:val="002D692A"/>
    <w:rsid w:val="002D7C16"/>
    <w:rsid w:val="002E1633"/>
    <w:rsid w:val="002E377A"/>
    <w:rsid w:val="002E43C9"/>
    <w:rsid w:val="002E4425"/>
    <w:rsid w:val="002E5FF9"/>
    <w:rsid w:val="002E7B1D"/>
    <w:rsid w:val="002F312D"/>
    <w:rsid w:val="002F341F"/>
    <w:rsid w:val="002F5806"/>
    <w:rsid w:val="002F62AB"/>
    <w:rsid w:val="00300229"/>
    <w:rsid w:val="00304638"/>
    <w:rsid w:val="0030602E"/>
    <w:rsid w:val="00306C6A"/>
    <w:rsid w:val="00310112"/>
    <w:rsid w:val="00310114"/>
    <w:rsid w:val="003133ED"/>
    <w:rsid w:val="003138C9"/>
    <w:rsid w:val="00313FA9"/>
    <w:rsid w:val="00320C9D"/>
    <w:rsid w:val="00321296"/>
    <w:rsid w:val="00322619"/>
    <w:rsid w:val="00323B1D"/>
    <w:rsid w:val="0032442F"/>
    <w:rsid w:val="00324B0D"/>
    <w:rsid w:val="00324F17"/>
    <w:rsid w:val="0032614D"/>
    <w:rsid w:val="00326AAB"/>
    <w:rsid w:val="0032733D"/>
    <w:rsid w:val="00327891"/>
    <w:rsid w:val="00330B20"/>
    <w:rsid w:val="003361A0"/>
    <w:rsid w:val="00337647"/>
    <w:rsid w:val="00342288"/>
    <w:rsid w:val="003435D0"/>
    <w:rsid w:val="003439A4"/>
    <w:rsid w:val="00344D39"/>
    <w:rsid w:val="00345151"/>
    <w:rsid w:val="0034698D"/>
    <w:rsid w:val="00347E61"/>
    <w:rsid w:val="00347ED3"/>
    <w:rsid w:val="00350850"/>
    <w:rsid w:val="00353FAA"/>
    <w:rsid w:val="00356D8C"/>
    <w:rsid w:val="0036145E"/>
    <w:rsid w:val="00364443"/>
    <w:rsid w:val="00364883"/>
    <w:rsid w:val="00367F58"/>
    <w:rsid w:val="00370764"/>
    <w:rsid w:val="00372DE4"/>
    <w:rsid w:val="003749F5"/>
    <w:rsid w:val="00377077"/>
    <w:rsid w:val="00382004"/>
    <w:rsid w:val="00382168"/>
    <w:rsid w:val="0038380C"/>
    <w:rsid w:val="00383BB2"/>
    <w:rsid w:val="00385728"/>
    <w:rsid w:val="0038623F"/>
    <w:rsid w:val="00387B85"/>
    <w:rsid w:val="003906F6"/>
    <w:rsid w:val="00392DF0"/>
    <w:rsid w:val="00397965"/>
    <w:rsid w:val="003A1946"/>
    <w:rsid w:val="003A2E59"/>
    <w:rsid w:val="003A48A6"/>
    <w:rsid w:val="003A4F9B"/>
    <w:rsid w:val="003B0310"/>
    <w:rsid w:val="003B04BE"/>
    <w:rsid w:val="003B1A70"/>
    <w:rsid w:val="003B287E"/>
    <w:rsid w:val="003B5153"/>
    <w:rsid w:val="003C05C1"/>
    <w:rsid w:val="003C184D"/>
    <w:rsid w:val="003C26D0"/>
    <w:rsid w:val="003C2907"/>
    <w:rsid w:val="003C59CD"/>
    <w:rsid w:val="003C5B5E"/>
    <w:rsid w:val="003C5F11"/>
    <w:rsid w:val="003D0131"/>
    <w:rsid w:val="003D0506"/>
    <w:rsid w:val="003D0CC6"/>
    <w:rsid w:val="003D2F8E"/>
    <w:rsid w:val="003D3B2F"/>
    <w:rsid w:val="003D431D"/>
    <w:rsid w:val="003D4320"/>
    <w:rsid w:val="003D49D5"/>
    <w:rsid w:val="003D4F37"/>
    <w:rsid w:val="003D51CE"/>
    <w:rsid w:val="003D631F"/>
    <w:rsid w:val="003E09DF"/>
    <w:rsid w:val="003E41AD"/>
    <w:rsid w:val="003E5AEB"/>
    <w:rsid w:val="003F1130"/>
    <w:rsid w:val="003F3A84"/>
    <w:rsid w:val="003F53BC"/>
    <w:rsid w:val="003F7BD8"/>
    <w:rsid w:val="003F7D36"/>
    <w:rsid w:val="003F7F15"/>
    <w:rsid w:val="004052FB"/>
    <w:rsid w:val="00406A45"/>
    <w:rsid w:val="004077E1"/>
    <w:rsid w:val="00411B74"/>
    <w:rsid w:val="00412BD5"/>
    <w:rsid w:val="0041305C"/>
    <w:rsid w:val="004132A6"/>
    <w:rsid w:val="00414EEE"/>
    <w:rsid w:val="00416F3C"/>
    <w:rsid w:val="00420111"/>
    <w:rsid w:val="0042537A"/>
    <w:rsid w:val="00427B7D"/>
    <w:rsid w:val="00430794"/>
    <w:rsid w:val="00430C93"/>
    <w:rsid w:val="0043230F"/>
    <w:rsid w:val="0043515F"/>
    <w:rsid w:val="004356C2"/>
    <w:rsid w:val="004359A9"/>
    <w:rsid w:val="0043684F"/>
    <w:rsid w:val="00436E0F"/>
    <w:rsid w:val="004376D0"/>
    <w:rsid w:val="0044405A"/>
    <w:rsid w:val="00444158"/>
    <w:rsid w:val="00444BC2"/>
    <w:rsid w:val="004475CF"/>
    <w:rsid w:val="004504D5"/>
    <w:rsid w:val="00450529"/>
    <w:rsid w:val="00451938"/>
    <w:rsid w:val="00451FE7"/>
    <w:rsid w:val="004522BC"/>
    <w:rsid w:val="0045412A"/>
    <w:rsid w:val="004547ED"/>
    <w:rsid w:val="00454B5A"/>
    <w:rsid w:val="00455529"/>
    <w:rsid w:val="00455C91"/>
    <w:rsid w:val="00460477"/>
    <w:rsid w:val="0046058C"/>
    <w:rsid w:val="004653A5"/>
    <w:rsid w:val="00466B22"/>
    <w:rsid w:val="004677FE"/>
    <w:rsid w:val="00467E16"/>
    <w:rsid w:val="00470644"/>
    <w:rsid w:val="00472087"/>
    <w:rsid w:val="00472BBF"/>
    <w:rsid w:val="00472CA2"/>
    <w:rsid w:val="004747B6"/>
    <w:rsid w:val="00474D2E"/>
    <w:rsid w:val="0047581A"/>
    <w:rsid w:val="00477571"/>
    <w:rsid w:val="0048026D"/>
    <w:rsid w:val="00480552"/>
    <w:rsid w:val="0048175B"/>
    <w:rsid w:val="00481FE0"/>
    <w:rsid w:val="0048522A"/>
    <w:rsid w:val="004854F5"/>
    <w:rsid w:val="00487173"/>
    <w:rsid w:val="0048765D"/>
    <w:rsid w:val="00493069"/>
    <w:rsid w:val="00494C24"/>
    <w:rsid w:val="004A17AC"/>
    <w:rsid w:val="004A1D66"/>
    <w:rsid w:val="004A1DEF"/>
    <w:rsid w:val="004A67EA"/>
    <w:rsid w:val="004B1049"/>
    <w:rsid w:val="004B2E60"/>
    <w:rsid w:val="004B30A9"/>
    <w:rsid w:val="004B6453"/>
    <w:rsid w:val="004B6A7C"/>
    <w:rsid w:val="004B6D3F"/>
    <w:rsid w:val="004C0356"/>
    <w:rsid w:val="004C0EB4"/>
    <w:rsid w:val="004C1E47"/>
    <w:rsid w:val="004C35E0"/>
    <w:rsid w:val="004C4AA4"/>
    <w:rsid w:val="004C6AAB"/>
    <w:rsid w:val="004C6B78"/>
    <w:rsid w:val="004D0368"/>
    <w:rsid w:val="004D1610"/>
    <w:rsid w:val="004D5032"/>
    <w:rsid w:val="004D56D2"/>
    <w:rsid w:val="004E1462"/>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EA4"/>
    <w:rsid w:val="005049F1"/>
    <w:rsid w:val="00505B7E"/>
    <w:rsid w:val="00505EC8"/>
    <w:rsid w:val="0050649A"/>
    <w:rsid w:val="005077E5"/>
    <w:rsid w:val="00511AD1"/>
    <w:rsid w:val="00512204"/>
    <w:rsid w:val="00514413"/>
    <w:rsid w:val="0051484B"/>
    <w:rsid w:val="00515228"/>
    <w:rsid w:val="005162E0"/>
    <w:rsid w:val="0052036C"/>
    <w:rsid w:val="005209A6"/>
    <w:rsid w:val="00520F32"/>
    <w:rsid w:val="00521534"/>
    <w:rsid w:val="00521622"/>
    <w:rsid w:val="005222E1"/>
    <w:rsid w:val="00522413"/>
    <w:rsid w:val="00522F67"/>
    <w:rsid w:val="005234E2"/>
    <w:rsid w:val="00525023"/>
    <w:rsid w:val="0052622B"/>
    <w:rsid w:val="00526C78"/>
    <w:rsid w:val="00530C9B"/>
    <w:rsid w:val="00530F7D"/>
    <w:rsid w:val="00533B65"/>
    <w:rsid w:val="005435FB"/>
    <w:rsid w:val="00543D68"/>
    <w:rsid w:val="0054517B"/>
    <w:rsid w:val="00545263"/>
    <w:rsid w:val="00545C6B"/>
    <w:rsid w:val="00550305"/>
    <w:rsid w:val="00550DE9"/>
    <w:rsid w:val="00552D9D"/>
    <w:rsid w:val="00553013"/>
    <w:rsid w:val="00554EF7"/>
    <w:rsid w:val="00556002"/>
    <w:rsid w:val="00556EB0"/>
    <w:rsid w:val="005571ED"/>
    <w:rsid w:val="00560856"/>
    <w:rsid w:val="00561ED9"/>
    <w:rsid w:val="00562E29"/>
    <w:rsid w:val="0056408C"/>
    <w:rsid w:val="0056532D"/>
    <w:rsid w:val="00565427"/>
    <w:rsid w:val="0056587F"/>
    <w:rsid w:val="00567074"/>
    <w:rsid w:val="005672C9"/>
    <w:rsid w:val="00573BD7"/>
    <w:rsid w:val="005828C5"/>
    <w:rsid w:val="005833AD"/>
    <w:rsid w:val="00583D11"/>
    <w:rsid w:val="00586EA8"/>
    <w:rsid w:val="005875B7"/>
    <w:rsid w:val="00587E80"/>
    <w:rsid w:val="00590E2D"/>
    <w:rsid w:val="00592ED7"/>
    <w:rsid w:val="00593A33"/>
    <w:rsid w:val="00596320"/>
    <w:rsid w:val="00596B5B"/>
    <w:rsid w:val="00597752"/>
    <w:rsid w:val="005A03CA"/>
    <w:rsid w:val="005A1573"/>
    <w:rsid w:val="005A1BAA"/>
    <w:rsid w:val="005A2B9B"/>
    <w:rsid w:val="005A3E0F"/>
    <w:rsid w:val="005A4316"/>
    <w:rsid w:val="005A67DB"/>
    <w:rsid w:val="005A68EC"/>
    <w:rsid w:val="005A6B57"/>
    <w:rsid w:val="005B1862"/>
    <w:rsid w:val="005B189A"/>
    <w:rsid w:val="005B1CA2"/>
    <w:rsid w:val="005B2605"/>
    <w:rsid w:val="005B2AD2"/>
    <w:rsid w:val="005B3347"/>
    <w:rsid w:val="005B401C"/>
    <w:rsid w:val="005B4CA7"/>
    <w:rsid w:val="005B5776"/>
    <w:rsid w:val="005B65AC"/>
    <w:rsid w:val="005B771E"/>
    <w:rsid w:val="005C038C"/>
    <w:rsid w:val="005C7502"/>
    <w:rsid w:val="005D0DCB"/>
    <w:rsid w:val="005D1039"/>
    <w:rsid w:val="005D334A"/>
    <w:rsid w:val="005D5A45"/>
    <w:rsid w:val="005D7753"/>
    <w:rsid w:val="005E2514"/>
    <w:rsid w:val="005E448A"/>
    <w:rsid w:val="005E4BAA"/>
    <w:rsid w:val="005E5AF5"/>
    <w:rsid w:val="005E679B"/>
    <w:rsid w:val="005F1011"/>
    <w:rsid w:val="005F364A"/>
    <w:rsid w:val="005F593A"/>
    <w:rsid w:val="00603703"/>
    <w:rsid w:val="00604568"/>
    <w:rsid w:val="00606E07"/>
    <w:rsid w:val="0061071A"/>
    <w:rsid w:val="00611C29"/>
    <w:rsid w:val="00612EF0"/>
    <w:rsid w:val="00613D40"/>
    <w:rsid w:val="00615AA1"/>
    <w:rsid w:val="0062285B"/>
    <w:rsid w:val="00624DF7"/>
    <w:rsid w:val="00624F3C"/>
    <w:rsid w:val="006252CC"/>
    <w:rsid w:val="00625509"/>
    <w:rsid w:val="00625D33"/>
    <w:rsid w:val="00626A42"/>
    <w:rsid w:val="00626D1C"/>
    <w:rsid w:val="00626E56"/>
    <w:rsid w:val="0062778A"/>
    <w:rsid w:val="00633802"/>
    <w:rsid w:val="00633D0A"/>
    <w:rsid w:val="0063419A"/>
    <w:rsid w:val="00634560"/>
    <w:rsid w:val="006403EF"/>
    <w:rsid w:val="00640E2C"/>
    <w:rsid w:val="006410AB"/>
    <w:rsid w:val="00643C2B"/>
    <w:rsid w:val="0064600E"/>
    <w:rsid w:val="006479A6"/>
    <w:rsid w:val="00653F74"/>
    <w:rsid w:val="00654463"/>
    <w:rsid w:val="006557A9"/>
    <w:rsid w:val="00657C3E"/>
    <w:rsid w:val="00661F74"/>
    <w:rsid w:val="00663434"/>
    <w:rsid w:val="006638D6"/>
    <w:rsid w:val="00664649"/>
    <w:rsid w:val="006648F1"/>
    <w:rsid w:val="006661C6"/>
    <w:rsid w:val="006663B2"/>
    <w:rsid w:val="006671C7"/>
    <w:rsid w:val="006671D4"/>
    <w:rsid w:val="006672DF"/>
    <w:rsid w:val="0067127E"/>
    <w:rsid w:val="0067208F"/>
    <w:rsid w:val="0067221B"/>
    <w:rsid w:val="00672511"/>
    <w:rsid w:val="00672CF8"/>
    <w:rsid w:val="00673874"/>
    <w:rsid w:val="0067398F"/>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428F"/>
    <w:rsid w:val="00695B29"/>
    <w:rsid w:val="00696270"/>
    <w:rsid w:val="00696A47"/>
    <w:rsid w:val="006A18EC"/>
    <w:rsid w:val="006A1B34"/>
    <w:rsid w:val="006A236A"/>
    <w:rsid w:val="006A294D"/>
    <w:rsid w:val="006A3782"/>
    <w:rsid w:val="006A7093"/>
    <w:rsid w:val="006A7C0B"/>
    <w:rsid w:val="006B0BEB"/>
    <w:rsid w:val="006B1E2F"/>
    <w:rsid w:val="006B23EE"/>
    <w:rsid w:val="006B256D"/>
    <w:rsid w:val="006B33A6"/>
    <w:rsid w:val="006B5AD8"/>
    <w:rsid w:val="006B73EE"/>
    <w:rsid w:val="006B7B66"/>
    <w:rsid w:val="006C3758"/>
    <w:rsid w:val="006C395F"/>
    <w:rsid w:val="006C4BD0"/>
    <w:rsid w:val="006C6786"/>
    <w:rsid w:val="006C7D38"/>
    <w:rsid w:val="006D034D"/>
    <w:rsid w:val="006D2D8F"/>
    <w:rsid w:val="006D324C"/>
    <w:rsid w:val="006D46DE"/>
    <w:rsid w:val="006D5596"/>
    <w:rsid w:val="006D7254"/>
    <w:rsid w:val="006E1A8E"/>
    <w:rsid w:val="006E1D7D"/>
    <w:rsid w:val="006E36E2"/>
    <w:rsid w:val="006E391A"/>
    <w:rsid w:val="006E3BA2"/>
    <w:rsid w:val="006E4264"/>
    <w:rsid w:val="006E4A53"/>
    <w:rsid w:val="006E5BF4"/>
    <w:rsid w:val="006E6252"/>
    <w:rsid w:val="006E770B"/>
    <w:rsid w:val="006E779E"/>
    <w:rsid w:val="006F07BB"/>
    <w:rsid w:val="006F0960"/>
    <w:rsid w:val="006F2054"/>
    <w:rsid w:val="006F44F1"/>
    <w:rsid w:val="006F470B"/>
    <w:rsid w:val="007037F5"/>
    <w:rsid w:val="0070499F"/>
    <w:rsid w:val="00707D06"/>
    <w:rsid w:val="00712C22"/>
    <w:rsid w:val="0071361D"/>
    <w:rsid w:val="00717F69"/>
    <w:rsid w:val="00722C96"/>
    <w:rsid w:val="00723081"/>
    <w:rsid w:val="007248F6"/>
    <w:rsid w:val="007251E1"/>
    <w:rsid w:val="00725A89"/>
    <w:rsid w:val="007266CF"/>
    <w:rsid w:val="00726BF6"/>
    <w:rsid w:val="00730896"/>
    <w:rsid w:val="00731B82"/>
    <w:rsid w:val="00733DF7"/>
    <w:rsid w:val="007357CE"/>
    <w:rsid w:val="00737E5C"/>
    <w:rsid w:val="00741A64"/>
    <w:rsid w:val="00742434"/>
    <w:rsid w:val="00743E16"/>
    <w:rsid w:val="00745EC7"/>
    <w:rsid w:val="007532D0"/>
    <w:rsid w:val="00757A9D"/>
    <w:rsid w:val="0076644D"/>
    <w:rsid w:val="00766A27"/>
    <w:rsid w:val="007676F9"/>
    <w:rsid w:val="00773D5A"/>
    <w:rsid w:val="007757BE"/>
    <w:rsid w:val="00777EDF"/>
    <w:rsid w:val="007811EA"/>
    <w:rsid w:val="00781D73"/>
    <w:rsid w:val="00781FC3"/>
    <w:rsid w:val="00782474"/>
    <w:rsid w:val="00783455"/>
    <w:rsid w:val="0078455C"/>
    <w:rsid w:val="007849F5"/>
    <w:rsid w:val="007879C3"/>
    <w:rsid w:val="007909B0"/>
    <w:rsid w:val="00792939"/>
    <w:rsid w:val="007930DC"/>
    <w:rsid w:val="00793A37"/>
    <w:rsid w:val="00794162"/>
    <w:rsid w:val="007950E8"/>
    <w:rsid w:val="00795F5D"/>
    <w:rsid w:val="00795F6E"/>
    <w:rsid w:val="00796B85"/>
    <w:rsid w:val="007974A5"/>
    <w:rsid w:val="00797704"/>
    <w:rsid w:val="007978A8"/>
    <w:rsid w:val="007A0427"/>
    <w:rsid w:val="007A0EB8"/>
    <w:rsid w:val="007A1BEA"/>
    <w:rsid w:val="007A2AC7"/>
    <w:rsid w:val="007A408A"/>
    <w:rsid w:val="007A688B"/>
    <w:rsid w:val="007A6C16"/>
    <w:rsid w:val="007B1669"/>
    <w:rsid w:val="007B2220"/>
    <w:rsid w:val="007B3ED9"/>
    <w:rsid w:val="007B4846"/>
    <w:rsid w:val="007C0C43"/>
    <w:rsid w:val="007C37E4"/>
    <w:rsid w:val="007C46A0"/>
    <w:rsid w:val="007C7569"/>
    <w:rsid w:val="007D14A3"/>
    <w:rsid w:val="007D47AA"/>
    <w:rsid w:val="007D6B0A"/>
    <w:rsid w:val="007E0D2A"/>
    <w:rsid w:val="007E205C"/>
    <w:rsid w:val="007E2DB6"/>
    <w:rsid w:val="007E32D2"/>
    <w:rsid w:val="007F14B1"/>
    <w:rsid w:val="007F4B2E"/>
    <w:rsid w:val="007F6196"/>
    <w:rsid w:val="007F6C40"/>
    <w:rsid w:val="007F741F"/>
    <w:rsid w:val="007F7A48"/>
    <w:rsid w:val="0080280A"/>
    <w:rsid w:val="008035B3"/>
    <w:rsid w:val="00807A74"/>
    <w:rsid w:val="00813BAB"/>
    <w:rsid w:val="0081709F"/>
    <w:rsid w:val="008219F4"/>
    <w:rsid w:val="00821E1D"/>
    <w:rsid w:val="00821EA2"/>
    <w:rsid w:val="00822148"/>
    <w:rsid w:val="008238DD"/>
    <w:rsid w:val="0082494B"/>
    <w:rsid w:val="00825041"/>
    <w:rsid w:val="00826727"/>
    <w:rsid w:val="00826FA0"/>
    <w:rsid w:val="00832FCB"/>
    <w:rsid w:val="00836DDE"/>
    <w:rsid w:val="00837F4D"/>
    <w:rsid w:val="0084152C"/>
    <w:rsid w:val="00842C29"/>
    <w:rsid w:val="008431C4"/>
    <w:rsid w:val="008460A3"/>
    <w:rsid w:val="0084645C"/>
    <w:rsid w:val="00850B02"/>
    <w:rsid w:val="00850C3A"/>
    <w:rsid w:val="0085247A"/>
    <w:rsid w:val="00856C23"/>
    <w:rsid w:val="00861A73"/>
    <w:rsid w:val="00863968"/>
    <w:rsid w:val="00863B7A"/>
    <w:rsid w:val="00863DB9"/>
    <w:rsid w:val="00864BF0"/>
    <w:rsid w:val="008651C0"/>
    <w:rsid w:val="0086554D"/>
    <w:rsid w:val="00865981"/>
    <w:rsid w:val="008667BB"/>
    <w:rsid w:val="00870080"/>
    <w:rsid w:val="00874B33"/>
    <w:rsid w:val="00875637"/>
    <w:rsid w:val="00875874"/>
    <w:rsid w:val="008764C7"/>
    <w:rsid w:val="008817A1"/>
    <w:rsid w:val="00883A00"/>
    <w:rsid w:val="00884511"/>
    <w:rsid w:val="00885847"/>
    <w:rsid w:val="008861A0"/>
    <w:rsid w:val="00886F27"/>
    <w:rsid w:val="00890174"/>
    <w:rsid w:val="00890ECB"/>
    <w:rsid w:val="008919B0"/>
    <w:rsid w:val="008926BF"/>
    <w:rsid w:val="00892768"/>
    <w:rsid w:val="00892CE4"/>
    <w:rsid w:val="0089347D"/>
    <w:rsid w:val="00893597"/>
    <w:rsid w:val="00895F97"/>
    <w:rsid w:val="008A0AAD"/>
    <w:rsid w:val="008A0D01"/>
    <w:rsid w:val="008A0D29"/>
    <w:rsid w:val="008A0F7C"/>
    <w:rsid w:val="008A1F64"/>
    <w:rsid w:val="008A378B"/>
    <w:rsid w:val="008A64EE"/>
    <w:rsid w:val="008A6E92"/>
    <w:rsid w:val="008A7707"/>
    <w:rsid w:val="008B0398"/>
    <w:rsid w:val="008B0463"/>
    <w:rsid w:val="008B1597"/>
    <w:rsid w:val="008B2912"/>
    <w:rsid w:val="008B6B17"/>
    <w:rsid w:val="008B6DFB"/>
    <w:rsid w:val="008B7BF6"/>
    <w:rsid w:val="008B7C55"/>
    <w:rsid w:val="008C0E26"/>
    <w:rsid w:val="008C2571"/>
    <w:rsid w:val="008C3B3C"/>
    <w:rsid w:val="008C45AE"/>
    <w:rsid w:val="008C6CE2"/>
    <w:rsid w:val="008C73EC"/>
    <w:rsid w:val="008C740B"/>
    <w:rsid w:val="008D0CA6"/>
    <w:rsid w:val="008D1B24"/>
    <w:rsid w:val="008D295D"/>
    <w:rsid w:val="008D7237"/>
    <w:rsid w:val="008E04FC"/>
    <w:rsid w:val="008E08B5"/>
    <w:rsid w:val="008E127B"/>
    <w:rsid w:val="008E1FD7"/>
    <w:rsid w:val="008E3E9D"/>
    <w:rsid w:val="008E60A5"/>
    <w:rsid w:val="008E68A2"/>
    <w:rsid w:val="008F1A3D"/>
    <w:rsid w:val="008F2390"/>
    <w:rsid w:val="008F2853"/>
    <w:rsid w:val="008F3DAA"/>
    <w:rsid w:val="008F416D"/>
    <w:rsid w:val="008F58A3"/>
    <w:rsid w:val="008F754A"/>
    <w:rsid w:val="0090023D"/>
    <w:rsid w:val="009008EA"/>
    <w:rsid w:val="00901A2B"/>
    <w:rsid w:val="00901D48"/>
    <w:rsid w:val="0090254D"/>
    <w:rsid w:val="009057A8"/>
    <w:rsid w:val="00905E47"/>
    <w:rsid w:val="009061DF"/>
    <w:rsid w:val="00906D4D"/>
    <w:rsid w:val="00907B31"/>
    <w:rsid w:val="0091167F"/>
    <w:rsid w:val="00912033"/>
    <w:rsid w:val="00912A64"/>
    <w:rsid w:val="00913B6F"/>
    <w:rsid w:val="0091427F"/>
    <w:rsid w:val="009151BF"/>
    <w:rsid w:val="00916ABA"/>
    <w:rsid w:val="009244E6"/>
    <w:rsid w:val="00927AA7"/>
    <w:rsid w:val="009302C5"/>
    <w:rsid w:val="00932045"/>
    <w:rsid w:val="00933770"/>
    <w:rsid w:val="00936126"/>
    <w:rsid w:val="009364C1"/>
    <w:rsid w:val="009431F8"/>
    <w:rsid w:val="00943292"/>
    <w:rsid w:val="00943A09"/>
    <w:rsid w:val="00943D6D"/>
    <w:rsid w:val="0094562F"/>
    <w:rsid w:val="009457D4"/>
    <w:rsid w:val="009476DE"/>
    <w:rsid w:val="00947CFC"/>
    <w:rsid w:val="00950E13"/>
    <w:rsid w:val="00952140"/>
    <w:rsid w:val="00952604"/>
    <w:rsid w:val="00953127"/>
    <w:rsid w:val="009532F4"/>
    <w:rsid w:val="00956265"/>
    <w:rsid w:val="00956FA7"/>
    <w:rsid w:val="00957858"/>
    <w:rsid w:val="00957C15"/>
    <w:rsid w:val="00960CEB"/>
    <w:rsid w:val="00962970"/>
    <w:rsid w:val="0096469B"/>
    <w:rsid w:val="00964A2C"/>
    <w:rsid w:val="009653A5"/>
    <w:rsid w:val="00965781"/>
    <w:rsid w:val="00965AED"/>
    <w:rsid w:val="00965B1B"/>
    <w:rsid w:val="00970905"/>
    <w:rsid w:val="00970AF2"/>
    <w:rsid w:val="009766D7"/>
    <w:rsid w:val="009807B4"/>
    <w:rsid w:val="0098372B"/>
    <w:rsid w:val="0098572E"/>
    <w:rsid w:val="00992080"/>
    <w:rsid w:val="00992EA1"/>
    <w:rsid w:val="00993C16"/>
    <w:rsid w:val="009947AD"/>
    <w:rsid w:val="00995DB6"/>
    <w:rsid w:val="00996DDF"/>
    <w:rsid w:val="0099707D"/>
    <w:rsid w:val="009A186D"/>
    <w:rsid w:val="009A4D3B"/>
    <w:rsid w:val="009A5E55"/>
    <w:rsid w:val="009A7EE2"/>
    <w:rsid w:val="009B227B"/>
    <w:rsid w:val="009B29CB"/>
    <w:rsid w:val="009B2DB6"/>
    <w:rsid w:val="009B3817"/>
    <w:rsid w:val="009B3E16"/>
    <w:rsid w:val="009B741D"/>
    <w:rsid w:val="009B77BA"/>
    <w:rsid w:val="009C0015"/>
    <w:rsid w:val="009C1AE7"/>
    <w:rsid w:val="009C1EDB"/>
    <w:rsid w:val="009C2CB9"/>
    <w:rsid w:val="009C36BE"/>
    <w:rsid w:val="009C77AA"/>
    <w:rsid w:val="009D50D7"/>
    <w:rsid w:val="009D5EB0"/>
    <w:rsid w:val="009D7363"/>
    <w:rsid w:val="009E0D99"/>
    <w:rsid w:val="009E211A"/>
    <w:rsid w:val="009E3149"/>
    <w:rsid w:val="009E3964"/>
    <w:rsid w:val="009E3C94"/>
    <w:rsid w:val="009E6EE1"/>
    <w:rsid w:val="009F1242"/>
    <w:rsid w:val="009F2844"/>
    <w:rsid w:val="009F36E7"/>
    <w:rsid w:val="009F50B1"/>
    <w:rsid w:val="009F7A14"/>
    <w:rsid w:val="009F7F31"/>
    <w:rsid w:val="00A00007"/>
    <w:rsid w:val="00A002B2"/>
    <w:rsid w:val="00A030C0"/>
    <w:rsid w:val="00A0353A"/>
    <w:rsid w:val="00A066F0"/>
    <w:rsid w:val="00A0686D"/>
    <w:rsid w:val="00A108DB"/>
    <w:rsid w:val="00A152F5"/>
    <w:rsid w:val="00A15B54"/>
    <w:rsid w:val="00A21167"/>
    <w:rsid w:val="00A25D31"/>
    <w:rsid w:val="00A25E91"/>
    <w:rsid w:val="00A25FBB"/>
    <w:rsid w:val="00A300AA"/>
    <w:rsid w:val="00A3020A"/>
    <w:rsid w:val="00A302BF"/>
    <w:rsid w:val="00A30BC2"/>
    <w:rsid w:val="00A31449"/>
    <w:rsid w:val="00A31859"/>
    <w:rsid w:val="00A31B46"/>
    <w:rsid w:val="00A32AC3"/>
    <w:rsid w:val="00A33E18"/>
    <w:rsid w:val="00A33F23"/>
    <w:rsid w:val="00A360C5"/>
    <w:rsid w:val="00A36345"/>
    <w:rsid w:val="00A3761F"/>
    <w:rsid w:val="00A43118"/>
    <w:rsid w:val="00A44332"/>
    <w:rsid w:val="00A4756A"/>
    <w:rsid w:val="00A51A96"/>
    <w:rsid w:val="00A5212F"/>
    <w:rsid w:val="00A53A89"/>
    <w:rsid w:val="00A5795E"/>
    <w:rsid w:val="00A6027A"/>
    <w:rsid w:val="00A61D6E"/>
    <w:rsid w:val="00A62810"/>
    <w:rsid w:val="00A63E93"/>
    <w:rsid w:val="00A64095"/>
    <w:rsid w:val="00A669F6"/>
    <w:rsid w:val="00A66FDC"/>
    <w:rsid w:val="00A7584C"/>
    <w:rsid w:val="00A762DB"/>
    <w:rsid w:val="00A770C0"/>
    <w:rsid w:val="00A77525"/>
    <w:rsid w:val="00A80AB6"/>
    <w:rsid w:val="00A81187"/>
    <w:rsid w:val="00A81450"/>
    <w:rsid w:val="00A82163"/>
    <w:rsid w:val="00A8334E"/>
    <w:rsid w:val="00A869A8"/>
    <w:rsid w:val="00A946BB"/>
    <w:rsid w:val="00A94A20"/>
    <w:rsid w:val="00A958ED"/>
    <w:rsid w:val="00A963C7"/>
    <w:rsid w:val="00AA4530"/>
    <w:rsid w:val="00AA4F99"/>
    <w:rsid w:val="00AA6A05"/>
    <w:rsid w:val="00AA731B"/>
    <w:rsid w:val="00AA7B0A"/>
    <w:rsid w:val="00AB14CE"/>
    <w:rsid w:val="00AB2F54"/>
    <w:rsid w:val="00AB6ABA"/>
    <w:rsid w:val="00AC15FE"/>
    <w:rsid w:val="00AC23B6"/>
    <w:rsid w:val="00AC3230"/>
    <w:rsid w:val="00AC40E6"/>
    <w:rsid w:val="00AC7A35"/>
    <w:rsid w:val="00AC7BB2"/>
    <w:rsid w:val="00AD054A"/>
    <w:rsid w:val="00AD1506"/>
    <w:rsid w:val="00AD1B83"/>
    <w:rsid w:val="00AD1C7C"/>
    <w:rsid w:val="00AD3DA4"/>
    <w:rsid w:val="00AD5139"/>
    <w:rsid w:val="00AD72BC"/>
    <w:rsid w:val="00AE504C"/>
    <w:rsid w:val="00AE5AC2"/>
    <w:rsid w:val="00AE748E"/>
    <w:rsid w:val="00AE7F6D"/>
    <w:rsid w:val="00AF0ED2"/>
    <w:rsid w:val="00AF1B67"/>
    <w:rsid w:val="00AF259E"/>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42D"/>
    <w:rsid w:val="00B22010"/>
    <w:rsid w:val="00B315A8"/>
    <w:rsid w:val="00B3291A"/>
    <w:rsid w:val="00B3475A"/>
    <w:rsid w:val="00B3614E"/>
    <w:rsid w:val="00B37BC1"/>
    <w:rsid w:val="00B41165"/>
    <w:rsid w:val="00B413F7"/>
    <w:rsid w:val="00B42345"/>
    <w:rsid w:val="00B42700"/>
    <w:rsid w:val="00B42FD8"/>
    <w:rsid w:val="00B44D94"/>
    <w:rsid w:val="00B45B16"/>
    <w:rsid w:val="00B46D6A"/>
    <w:rsid w:val="00B46EB2"/>
    <w:rsid w:val="00B510AC"/>
    <w:rsid w:val="00B51516"/>
    <w:rsid w:val="00B51AF0"/>
    <w:rsid w:val="00B52917"/>
    <w:rsid w:val="00B52D99"/>
    <w:rsid w:val="00B55130"/>
    <w:rsid w:val="00B5664C"/>
    <w:rsid w:val="00B57BB8"/>
    <w:rsid w:val="00B57BF4"/>
    <w:rsid w:val="00B57E23"/>
    <w:rsid w:val="00B61BE0"/>
    <w:rsid w:val="00B6243E"/>
    <w:rsid w:val="00B632D9"/>
    <w:rsid w:val="00B64DA5"/>
    <w:rsid w:val="00B66653"/>
    <w:rsid w:val="00B70A5A"/>
    <w:rsid w:val="00B744FD"/>
    <w:rsid w:val="00B7608B"/>
    <w:rsid w:val="00B76A2C"/>
    <w:rsid w:val="00B76D36"/>
    <w:rsid w:val="00B83080"/>
    <w:rsid w:val="00B85C97"/>
    <w:rsid w:val="00B86AF0"/>
    <w:rsid w:val="00B87E06"/>
    <w:rsid w:val="00B968A6"/>
    <w:rsid w:val="00B97F84"/>
    <w:rsid w:val="00BA0C5D"/>
    <w:rsid w:val="00BA215C"/>
    <w:rsid w:val="00BA2840"/>
    <w:rsid w:val="00BA30F9"/>
    <w:rsid w:val="00BA3390"/>
    <w:rsid w:val="00BA3762"/>
    <w:rsid w:val="00BA3C94"/>
    <w:rsid w:val="00BA3EB6"/>
    <w:rsid w:val="00BA475C"/>
    <w:rsid w:val="00BA5E99"/>
    <w:rsid w:val="00BA608E"/>
    <w:rsid w:val="00BB01F5"/>
    <w:rsid w:val="00BB038C"/>
    <w:rsid w:val="00BB03A1"/>
    <w:rsid w:val="00BB2D0E"/>
    <w:rsid w:val="00BB35FE"/>
    <w:rsid w:val="00BB39ED"/>
    <w:rsid w:val="00BB7D1D"/>
    <w:rsid w:val="00BB7F95"/>
    <w:rsid w:val="00BC07BB"/>
    <w:rsid w:val="00BC4C1D"/>
    <w:rsid w:val="00BC5425"/>
    <w:rsid w:val="00BC7208"/>
    <w:rsid w:val="00BD1A1B"/>
    <w:rsid w:val="00BD4C49"/>
    <w:rsid w:val="00BD5307"/>
    <w:rsid w:val="00BD59BD"/>
    <w:rsid w:val="00BD5BF5"/>
    <w:rsid w:val="00BD77A7"/>
    <w:rsid w:val="00BE1223"/>
    <w:rsid w:val="00BE15DD"/>
    <w:rsid w:val="00BE2A6A"/>
    <w:rsid w:val="00BE590E"/>
    <w:rsid w:val="00BE5963"/>
    <w:rsid w:val="00BE5E63"/>
    <w:rsid w:val="00BF30C1"/>
    <w:rsid w:val="00BF37CD"/>
    <w:rsid w:val="00BF5963"/>
    <w:rsid w:val="00BF645D"/>
    <w:rsid w:val="00BF654D"/>
    <w:rsid w:val="00BF7D03"/>
    <w:rsid w:val="00C00CC5"/>
    <w:rsid w:val="00C017A4"/>
    <w:rsid w:val="00C022C6"/>
    <w:rsid w:val="00C03572"/>
    <w:rsid w:val="00C05A8D"/>
    <w:rsid w:val="00C06EE1"/>
    <w:rsid w:val="00C06F00"/>
    <w:rsid w:val="00C07793"/>
    <w:rsid w:val="00C10075"/>
    <w:rsid w:val="00C116B5"/>
    <w:rsid w:val="00C150FF"/>
    <w:rsid w:val="00C155AD"/>
    <w:rsid w:val="00C156C4"/>
    <w:rsid w:val="00C160EC"/>
    <w:rsid w:val="00C1748D"/>
    <w:rsid w:val="00C23000"/>
    <w:rsid w:val="00C25B5F"/>
    <w:rsid w:val="00C271F2"/>
    <w:rsid w:val="00C3195F"/>
    <w:rsid w:val="00C328DB"/>
    <w:rsid w:val="00C33838"/>
    <w:rsid w:val="00C3403B"/>
    <w:rsid w:val="00C355C5"/>
    <w:rsid w:val="00C35C52"/>
    <w:rsid w:val="00C35FF7"/>
    <w:rsid w:val="00C37FA0"/>
    <w:rsid w:val="00C41F07"/>
    <w:rsid w:val="00C430F0"/>
    <w:rsid w:val="00C432B2"/>
    <w:rsid w:val="00C45293"/>
    <w:rsid w:val="00C463BD"/>
    <w:rsid w:val="00C50B5E"/>
    <w:rsid w:val="00C50B8B"/>
    <w:rsid w:val="00C51F7E"/>
    <w:rsid w:val="00C52EAD"/>
    <w:rsid w:val="00C578DA"/>
    <w:rsid w:val="00C5793F"/>
    <w:rsid w:val="00C60BAC"/>
    <w:rsid w:val="00C61A71"/>
    <w:rsid w:val="00C63292"/>
    <w:rsid w:val="00C63680"/>
    <w:rsid w:val="00C64289"/>
    <w:rsid w:val="00C6712B"/>
    <w:rsid w:val="00C6756B"/>
    <w:rsid w:val="00C727D3"/>
    <w:rsid w:val="00C7394A"/>
    <w:rsid w:val="00C74B3A"/>
    <w:rsid w:val="00C76663"/>
    <w:rsid w:val="00C8012D"/>
    <w:rsid w:val="00C81E0E"/>
    <w:rsid w:val="00C832E4"/>
    <w:rsid w:val="00C85C06"/>
    <w:rsid w:val="00C86582"/>
    <w:rsid w:val="00C921B4"/>
    <w:rsid w:val="00C949AE"/>
    <w:rsid w:val="00C97257"/>
    <w:rsid w:val="00CA3CC2"/>
    <w:rsid w:val="00CA4851"/>
    <w:rsid w:val="00CA55D8"/>
    <w:rsid w:val="00CA5C0C"/>
    <w:rsid w:val="00CB52BC"/>
    <w:rsid w:val="00CB5934"/>
    <w:rsid w:val="00CB727C"/>
    <w:rsid w:val="00CB7618"/>
    <w:rsid w:val="00CB79F0"/>
    <w:rsid w:val="00CC02FA"/>
    <w:rsid w:val="00CC0C3D"/>
    <w:rsid w:val="00CC13F7"/>
    <w:rsid w:val="00CC1EA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560B"/>
    <w:rsid w:val="00CE6187"/>
    <w:rsid w:val="00CE6BAB"/>
    <w:rsid w:val="00CF0795"/>
    <w:rsid w:val="00CF0BAF"/>
    <w:rsid w:val="00CF36AE"/>
    <w:rsid w:val="00CF5A8C"/>
    <w:rsid w:val="00CF5D58"/>
    <w:rsid w:val="00D02078"/>
    <w:rsid w:val="00D02C07"/>
    <w:rsid w:val="00D03F97"/>
    <w:rsid w:val="00D0575D"/>
    <w:rsid w:val="00D10048"/>
    <w:rsid w:val="00D10AB8"/>
    <w:rsid w:val="00D165D5"/>
    <w:rsid w:val="00D21FC1"/>
    <w:rsid w:val="00D23A77"/>
    <w:rsid w:val="00D27579"/>
    <w:rsid w:val="00D30A11"/>
    <w:rsid w:val="00D31454"/>
    <w:rsid w:val="00D318BA"/>
    <w:rsid w:val="00D3463C"/>
    <w:rsid w:val="00D34A07"/>
    <w:rsid w:val="00D355D6"/>
    <w:rsid w:val="00D359FB"/>
    <w:rsid w:val="00D360D7"/>
    <w:rsid w:val="00D41462"/>
    <w:rsid w:val="00D43A75"/>
    <w:rsid w:val="00D4443F"/>
    <w:rsid w:val="00D44651"/>
    <w:rsid w:val="00D47C18"/>
    <w:rsid w:val="00D53EF0"/>
    <w:rsid w:val="00D546E8"/>
    <w:rsid w:val="00D56209"/>
    <w:rsid w:val="00D57339"/>
    <w:rsid w:val="00D61262"/>
    <w:rsid w:val="00D61425"/>
    <w:rsid w:val="00D61E89"/>
    <w:rsid w:val="00D661E7"/>
    <w:rsid w:val="00D66361"/>
    <w:rsid w:val="00D67331"/>
    <w:rsid w:val="00D706A6"/>
    <w:rsid w:val="00D7196C"/>
    <w:rsid w:val="00D71999"/>
    <w:rsid w:val="00D723CD"/>
    <w:rsid w:val="00D767A0"/>
    <w:rsid w:val="00D77279"/>
    <w:rsid w:val="00D801AF"/>
    <w:rsid w:val="00D8169E"/>
    <w:rsid w:val="00D817F7"/>
    <w:rsid w:val="00D82F2A"/>
    <w:rsid w:val="00D8376F"/>
    <w:rsid w:val="00D839C5"/>
    <w:rsid w:val="00D84F9E"/>
    <w:rsid w:val="00D85662"/>
    <w:rsid w:val="00D856A7"/>
    <w:rsid w:val="00D86A14"/>
    <w:rsid w:val="00D93B58"/>
    <w:rsid w:val="00D94330"/>
    <w:rsid w:val="00D9567E"/>
    <w:rsid w:val="00D97AE9"/>
    <w:rsid w:val="00DA05BB"/>
    <w:rsid w:val="00DA345E"/>
    <w:rsid w:val="00DA35C5"/>
    <w:rsid w:val="00DA6040"/>
    <w:rsid w:val="00DA77DE"/>
    <w:rsid w:val="00DA79B8"/>
    <w:rsid w:val="00DB0BF0"/>
    <w:rsid w:val="00DB2FAA"/>
    <w:rsid w:val="00DB4849"/>
    <w:rsid w:val="00DC2907"/>
    <w:rsid w:val="00DC2F6E"/>
    <w:rsid w:val="00DC3750"/>
    <w:rsid w:val="00DC6F34"/>
    <w:rsid w:val="00DD2C2F"/>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E00F39"/>
    <w:rsid w:val="00E0127E"/>
    <w:rsid w:val="00E014D0"/>
    <w:rsid w:val="00E04520"/>
    <w:rsid w:val="00E06862"/>
    <w:rsid w:val="00E0689E"/>
    <w:rsid w:val="00E079F4"/>
    <w:rsid w:val="00E10405"/>
    <w:rsid w:val="00E11A9D"/>
    <w:rsid w:val="00E11D5A"/>
    <w:rsid w:val="00E13F8C"/>
    <w:rsid w:val="00E15F38"/>
    <w:rsid w:val="00E16087"/>
    <w:rsid w:val="00E1617C"/>
    <w:rsid w:val="00E16D72"/>
    <w:rsid w:val="00E17FE8"/>
    <w:rsid w:val="00E20168"/>
    <w:rsid w:val="00E20B72"/>
    <w:rsid w:val="00E20FA9"/>
    <w:rsid w:val="00E2212B"/>
    <w:rsid w:val="00E24BB9"/>
    <w:rsid w:val="00E25926"/>
    <w:rsid w:val="00E2666D"/>
    <w:rsid w:val="00E27573"/>
    <w:rsid w:val="00E3084C"/>
    <w:rsid w:val="00E32ED9"/>
    <w:rsid w:val="00E33C08"/>
    <w:rsid w:val="00E33FB7"/>
    <w:rsid w:val="00E3441A"/>
    <w:rsid w:val="00E35C74"/>
    <w:rsid w:val="00E37974"/>
    <w:rsid w:val="00E43C97"/>
    <w:rsid w:val="00E45454"/>
    <w:rsid w:val="00E45BE5"/>
    <w:rsid w:val="00E45E47"/>
    <w:rsid w:val="00E4736C"/>
    <w:rsid w:val="00E477F4"/>
    <w:rsid w:val="00E5180A"/>
    <w:rsid w:val="00E52601"/>
    <w:rsid w:val="00E5296C"/>
    <w:rsid w:val="00E53BB5"/>
    <w:rsid w:val="00E55DC9"/>
    <w:rsid w:val="00E57470"/>
    <w:rsid w:val="00E614C6"/>
    <w:rsid w:val="00E628AC"/>
    <w:rsid w:val="00E6728F"/>
    <w:rsid w:val="00E74721"/>
    <w:rsid w:val="00E74E2A"/>
    <w:rsid w:val="00E7532D"/>
    <w:rsid w:val="00E82265"/>
    <w:rsid w:val="00E8258E"/>
    <w:rsid w:val="00E83CF6"/>
    <w:rsid w:val="00E84C6B"/>
    <w:rsid w:val="00E853E9"/>
    <w:rsid w:val="00E8770C"/>
    <w:rsid w:val="00E87741"/>
    <w:rsid w:val="00E87AD2"/>
    <w:rsid w:val="00E9024E"/>
    <w:rsid w:val="00E928A6"/>
    <w:rsid w:val="00E934F0"/>
    <w:rsid w:val="00E94E04"/>
    <w:rsid w:val="00E957B7"/>
    <w:rsid w:val="00E95CE3"/>
    <w:rsid w:val="00E95DC8"/>
    <w:rsid w:val="00E968BF"/>
    <w:rsid w:val="00E96C38"/>
    <w:rsid w:val="00EA2B33"/>
    <w:rsid w:val="00EA68AD"/>
    <w:rsid w:val="00EA6B20"/>
    <w:rsid w:val="00EA733E"/>
    <w:rsid w:val="00EB133E"/>
    <w:rsid w:val="00EB17F4"/>
    <w:rsid w:val="00EB32CB"/>
    <w:rsid w:val="00EB3A6F"/>
    <w:rsid w:val="00EB4DD5"/>
    <w:rsid w:val="00EB6803"/>
    <w:rsid w:val="00EB6A6B"/>
    <w:rsid w:val="00EB6A96"/>
    <w:rsid w:val="00EB776E"/>
    <w:rsid w:val="00EC144B"/>
    <w:rsid w:val="00EC3A52"/>
    <w:rsid w:val="00EC6958"/>
    <w:rsid w:val="00EC711A"/>
    <w:rsid w:val="00EC7130"/>
    <w:rsid w:val="00EC7EC1"/>
    <w:rsid w:val="00ED2C21"/>
    <w:rsid w:val="00ED3501"/>
    <w:rsid w:val="00ED5454"/>
    <w:rsid w:val="00ED5D35"/>
    <w:rsid w:val="00ED71F2"/>
    <w:rsid w:val="00ED7452"/>
    <w:rsid w:val="00ED7793"/>
    <w:rsid w:val="00EE1FED"/>
    <w:rsid w:val="00EE5250"/>
    <w:rsid w:val="00EE6094"/>
    <w:rsid w:val="00EE64CF"/>
    <w:rsid w:val="00EE7138"/>
    <w:rsid w:val="00EF2FF3"/>
    <w:rsid w:val="00EF3C36"/>
    <w:rsid w:val="00EF3EF8"/>
    <w:rsid w:val="00EF42A9"/>
    <w:rsid w:val="00EF4795"/>
    <w:rsid w:val="00EF6DFC"/>
    <w:rsid w:val="00F00A20"/>
    <w:rsid w:val="00F00F60"/>
    <w:rsid w:val="00F02152"/>
    <w:rsid w:val="00F029AA"/>
    <w:rsid w:val="00F0439E"/>
    <w:rsid w:val="00F044FA"/>
    <w:rsid w:val="00F05397"/>
    <w:rsid w:val="00F05D76"/>
    <w:rsid w:val="00F12EB2"/>
    <w:rsid w:val="00F130A7"/>
    <w:rsid w:val="00F138D0"/>
    <w:rsid w:val="00F138F8"/>
    <w:rsid w:val="00F13EA7"/>
    <w:rsid w:val="00F14316"/>
    <w:rsid w:val="00F169DD"/>
    <w:rsid w:val="00F16BDB"/>
    <w:rsid w:val="00F205E4"/>
    <w:rsid w:val="00F22F7A"/>
    <w:rsid w:val="00F268C0"/>
    <w:rsid w:val="00F27102"/>
    <w:rsid w:val="00F31792"/>
    <w:rsid w:val="00F331E7"/>
    <w:rsid w:val="00F33528"/>
    <w:rsid w:val="00F357BF"/>
    <w:rsid w:val="00F36AD5"/>
    <w:rsid w:val="00F40131"/>
    <w:rsid w:val="00F40E14"/>
    <w:rsid w:val="00F4167D"/>
    <w:rsid w:val="00F4282C"/>
    <w:rsid w:val="00F42A0D"/>
    <w:rsid w:val="00F42E42"/>
    <w:rsid w:val="00F45A2F"/>
    <w:rsid w:val="00F472CC"/>
    <w:rsid w:val="00F475C9"/>
    <w:rsid w:val="00F4787D"/>
    <w:rsid w:val="00F505B9"/>
    <w:rsid w:val="00F51BB7"/>
    <w:rsid w:val="00F51CF7"/>
    <w:rsid w:val="00F528A9"/>
    <w:rsid w:val="00F53B8E"/>
    <w:rsid w:val="00F57CF0"/>
    <w:rsid w:val="00F6169D"/>
    <w:rsid w:val="00F634A1"/>
    <w:rsid w:val="00F64702"/>
    <w:rsid w:val="00F64F22"/>
    <w:rsid w:val="00F65540"/>
    <w:rsid w:val="00F65A81"/>
    <w:rsid w:val="00F673C7"/>
    <w:rsid w:val="00F6772D"/>
    <w:rsid w:val="00F67F10"/>
    <w:rsid w:val="00F70E8D"/>
    <w:rsid w:val="00F7186F"/>
    <w:rsid w:val="00F71EBB"/>
    <w:rsid w:val="00F72913"/>
    <w:rsid w:val="00F7349B"/>
    <w:rsid w:val="00F73E54"/>
    <w:rsid w:val="00F77B52"/>
    <w:rsid w:val="00F83F74"/>
    <w:rsid w:val="00F840D8"/>
    <w:rsid w:val="00F84155"/>
    <w:rsid w:val="00F8427A"/>
    <w:rsid w:val="00F863A1"/>
    <w:rsid w:val="00F863BF"/>
    <w:rsid w:val="00F91566"/>
    <w:rsid w:val="00F94EAC"/>
    <w:rsid w:val="00F95295"/>
    <w:rsid w:val="00F95603"/>
    <w:rsid w:val="00FA2900"/>
    <w:rsid w:val="00FA2D4C"/>
    <w:rsid w:val="00FA3571"/>
    <w:rsid w:val="00FA372F"/>
    <w:rsid w:val="00FB03CB"/>
    <w:rsid w:val="00FB1D67"/>
    <w:rsid w:val="00FB24F6"/>
    <w:rsid w:val="00FB2659"/>
    <w:rsid w:val="00FB3F4B"/>
    <w:rsid w:val="00FB4962"/>
    <w:rsid w:val="00FB580D"/>
    <w:rsid w:val="00FC295D"/>
    <w:rsid w:val="00FD0E6C"/>
    <w:rsid w:val="00FD110D"/>
    <w:rsid w:val="00FD1DCA"/>
    <w:rsid w:val="00FD2639"/>
    <w:rsid w:val="00FE02D3"/>
    <w:rsid w:val="00FE2AD8"/>
    <w:rsid w:val="00FE380A"/>
    <w:rsid w:val="00FE5CB7"/>
    <w:rsid w:val="00FE7859"/>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529692"/>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50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850C3A"/>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styleId="Textonotaalfinal">
    <w:name w:val="endnote text"/>
    <w:basedOn w:val="Normal"/>
    <w:link w:val="TextonotaalfinalCar"/>
    <w:uiPriority w:val="99"/>
    <w:semiHidden/>
    <w:unhideWhenUsed/>
    <w:rsid w:val="008035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35B3"/>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035B3"/>
    <w:rPr>
      <w:vertAlign w:val="superscript"/>
    </w:rPr>
  </w:style>
  <w:style w:type="table" w:styleId="Listaclara-nfasis1">
    <w:name w:val="Light List Accent 1"/>
    <w:basedOn w:val="Tablanormal"/>
    <w:uiPriority w:val="61"/>
    <w:semiHidden/>
    <w:unhideWhenUsed/>
    <w:rsid w:val="0008738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tulo2Car">
    <w:name w:val="Título 2 Car"/>
    <w:aliases w:val="2TitSec Car"/>
    <w:basedOn w:val="Fuentedeprrafopredeter"/>
    <w:link w:val="Ttulo2"/>
    <w:uiPriority w:val="9"/>
    <w:rsid w:val="00850C3A"/>
    <w:rPr>
      <w:rFonts w:ascii="Arial" w:eastAsia="Times New Roman" w:hAnsi="Arial" w:cs="Times New Roman"/>
      <w:b/>
      <w:sz w:val="24"/>
      <w:szCs w:val="20"/>
      <w:lang w:eastAsia="es-ES"/>
    </w:rPr>
  </w:style>
  <w:style w:type="paragraph" w:customStyle="1" w:styleId="1TitPrin">
    <w:name w:val="1TitPrin"/>
    <w:basedOn w:val="Ttulo1"/>
    <w:link w:val="1TitPrinCar"/>
    <w:autoRedefine/>
    <w:qFormat/>
    <w:rsid w:val="00850C3A"/>
    <w:pPr>
      <w:keepNext w:val="0"/>
      <w:keepLines w:val="0"/>
      <w:spacing w:before="0" w:afterLines="50" w:after="12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850C3A"/>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850C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166211539">
      <w:bodyDiv w:val="1"/>
      <w:marLeft w:val="0"/>
      <w:marRight w:val="0"/>
      <w:marTop w:val="0"/>
      <w:marBottom w:val="0"/>
      <w:divBdr>
        <w:top w:val="none" w:sz="0" w:space="0" w:color="auto"/>
        <w:left w:val="none" w:sz="0" w:space="0" w:color="auto"/>
        <w:bottom w:val="none" w:sz="0" w:space="0" w:color="auto"/>
        <w:right w:val="none" w:sz="0" w:space="0" w:color="auto"/>
      </w:divBdr>
    </w:div>
    <w:div w:id="355274620">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846293308">
      <w:bodyDiv w:val="1"/>
      <w:marLeft w:val="0"/>
      <w:marRight w:val="0"/>
      <w:marTop w:val="0"/>
      <w:marBottom w:val="0"/>
      <w:divBdr>
        <w:top w:val="none" w:sz="0" w:space="0" w:color="auto"/>
        <w:left w:val="none" w:sz="0" w:space="0" w:color="auto"/>
        <w:bottom w:val="none" w:sz="0" w:space="0" w:color="auto"/>
        <w:right w:val="none" w:sz="0" w:space="0" w:color="auto"/>
      </w:divBdr>
    </w:div>
    <w:div w:id="847138402">
      <w:bodyDiv w:val="1"/>
      <w:marLeft w:val="0"/>
      <w:marRight w:val="0"/>
      <w:marTop w:val="0"/>
      <w:marBottom w:val="0"/>
      <w:divBdr>
        <w:top w:val="none" w:sz="0" w:space="0" w:color="auto"/>
        <w:left w:val="none" w:sz="0" w:space="0" w:color="auto"/>
        <w:bottom w:val="none" w:sz="0" w:space="0" w:color="auto"/>
        <w:right w:val="none" w:sz="0" w:space="0" w:color="auto"/>
      </w:divBdr>
    </w:div>
    <w:div w:id="915553041">
      <w:bodyDiv w:val="1"/>
      <w:marLeft w:val="0"/>
      <w:marRight w:val="0"/>
      <w:marTop w:val="0"/>
      <w:marBottom w:val="0"/>
      <w:divBdr>
        <w:top w:val="none" w:sz="0" w:space="0" w:color="auto"/>
        <w:left w:val="none" w:sz="0" w:space="0" w:color="auto"/>
        <w:bottom w:val="none" w:sz="0" w:space="0" w:color="auto"/>
        <w:right w:val="none" w:sz="0" w:space="0" w:color="auto"/>
      </w:divBdr>
    </w:div>
    <w:div w:id="991329296">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105687860">
      <w:bodyDiv w:val="1"/>
      <w:marLeft w:val="0"/>
      <w:marRight w:val="0"/>
      <w:marTop w:val="0"/>
      <w:marBottom w:val="0"/>
      <w:divBdr>
        <w:top w:val="none" w:sz="0" w:space="0" w:color="auto"/>
        <w:left w:val="none" w:sz="0" w:space="0" w:color="auto"/>
        <w:bottom w:val="none" w:sz="0" w:space="0" w:color="auto"/>
        <w:right w:val="none" w:sz="0" w:space="0" w:color="auto"/>
      </w:divBdr>
    </w:div>
    <w:div w:id="1158349742">
      <w:bodyDiv w:val="1"/>
      <w:marLeft w:val="0"/>
      <w:marRight w:val="0"/>
      <w:marTop w:val="0"/>
      <w:marBottom w:val="0"/>
      <w:divBdr>
        <w:top w:val="none" w:sz="0" w:space="0" w:color="auto"/>
        <w:left w:val="none" w:sz="0" w:space="0" w:color="auto"/>
        <w:bottom w:val="none" w:sz="0" w:space="0" w:color="auto"/>
        <w:right w:val="none" w:sz="0" w:space="0" w:color="auto"/>
      </w:divBdr>
    </w:div>
    <w:div w:id="1166553784">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873305607">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0F58-427F-4EB1-BC7F-8BC4AFA9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8726</Words>
  <Characters>47994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3</cp:revision>
  <cp:lastPrinted>2017-12-20T18:06:00Z</cp:lastPrinted>
  <dcterms:created xsi:type="dcterms:W3CDTF">2018-01-05T16:23:00Z</dcterms:created>
  <dcterms:modified xsi:type="dcterms:W3CDTF">2018-01-05T16:33:00Z</dcterms:modified>
</cp:coreProperties>
</file>