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A6C31" w:rsidRDefault="00372C5C" w:rsidP="005C4F1C">
      <w:pPr>
        <w:pStyle w:val="Ttulo1"/>
        <w:keepNext/>
        <w:keepLines/>
        <w:pBdr>
          <w:bottom w:val="none" w:sz="0" w:space="0" w:color="auto"/>
          <w:between w:val="none" w:sz="0" w:space="0" w:color="auto"/>
        </w:pBdr>
        <w:spacing w:before="240" w:after="240" w:line="240" w:lineRule="auto"/>
        <w:rPr>
          <w:rFonts w:ascii="ITC Avant Garde" w:hAnsi="ITC Avant Garde" w:cstheme="minorHAnsi"/>
          <w:b w:val="0"/>
          <w:lang w:val="es-ES_tradnl"/>
        </w:rPr>
      </w:pPr>
      <w:r w:rsidRPr="005C4F1C">
        <w:rPr>
          <w:rFonts w:ascii="ITC Avant Garde" w:eastAsiaTheme="majorEastAsia" w:hAnsi="ITC Avant Garde" w:cstheme="majorBidi"/>
          <w:color w:val="000000" w:themeColor="text1"/>
          <w:sz w:val="22"/>
          <w:szCs w:val="22"/>
          <w:lang w:eastAsia="es-MX"/>
        </w:rPr>
        <w:t>ACUERDO MEDIANTE EL CUAL</w:t>
      </w:r>
      <w:r w:rsidR="00DF7BC1" w:rsidRPr="005C4F1C">
        <w:rPr>
          <w:rFonts w:ascii="ITC Avant Garde" w:eastAsiaTheme="majorEastAsia" w:hAnsi="ITC Avant Garde" w:cstheme="majorBidi"/>
          <w:color w:val="000000" w:themeColor="text1"/>
          <w:sz w:val="22"/>
          <w:szCs w:val="22"/>
          <w:lang w:eastAsia="es-MX"/>
        </w:rPr>
        <w:t xml:space="preserve"> </w:t>
      </w:r>
      <w:r w:rsidR="00CC24CE" w:rsidRPr="005C4F1C">
        <w:rPr>
          <w:rFonts w:ascii="ITC Avant Garde" w:eastAsiaTheme="majorEastAsia" w:hAnsi="ITC Avant Garde" w:cstheme="majorBidi"/>
          <w:color w:val="000000" w:themeColor="text1"/>
          <w:sz w:val="22"/>
          <w:szCs w:val="22"/>
          <w:lang w:eastAsia="es-MX"/>
        </w:rPr>
        <w:t>EL PLENO DEL INSTITUTO FEDERAL DE TELECOMUNICACIONES</w:t>
      </w:r>
      <w:r w:rsidRPr="005C4F1C">
        <w:rPr>
          <w:rFonts w:ascii="ITC Avant Garde" w:eastAsiaTheme="majorEastAsia" w:hAnsi="ITC Avant Garde" w:cstheme="majorBidi"/>
          <w:color w:val="000000" w:themeColor="text1"/>
          <w:sz w:val="22"/>
          <w:szCs w:val="22"/>
          <w:lang w:eastAsia="es-MX"/>
        </w:rPr>
        <w:t xml:space="preserve"> APRUEBA </w:t>
      </w:r>
      <w:r w:rsidR="002017B0" w:rsidRPr="005C4F1C">
        <w:rPr>
          <w:rFonts w:ascii="ITC Avant Garde" w:eastAsiaTheme="majorEastAsia" w:hAnsi="ITC Avant Garde" w:cstheme="majorBidi"/>
          <w:color w:val="000000" w:themeColor="text1"/>
          <w:sz w:val="22"/>
          <w:szCs w:val="22"/>
          <w:lang w:eastAsia="es-MX"/>
        </w:rPr>
        <w:t>EL ANTEPROYECTO DE PRESUPUESTO QUE DEBERÁ SER REMITIDO AL TITULAR DE LA SECRETARÍA DE HACIENDA Y CRÉDITO PÚBLICO PARA INCLUIRSE EN EL PROYECTO DE PRESUPUESTO DE EGRESOS DE LA FEDERACIÓN PARA EL EJERCICIO FISCAL 2019</w:t>
      </w:r>
    </w:p>
    <w:p w:rsidR="00EA6C31" w:rsidRPr="005C4F1C" w:rsidRDefault="00E25927" w:rsidP="005C4F1C">
      <w:pPr>
        <w:pStyle w:val="Ttulo2"/>
        <w:keepNext/>
        <w:keepLines/>
        <w:pBdr>
          <w:top w:val="none" w:sz="0" w:space="0" w:color="auto"/>
          <w:between w:val="none" w:sz="0" w:space="0" w:color="auto"/>
        </w:pBdr>
        <w:spacing w:before="40" w:after="240" w:line="276" w:lineRule="auto"/>
        <w:jc w:val="center"/>
        <w:rPr>
          <w:rFonts w:ascii="ITC Avant Garde" w:eastAsiaTheme="majorEastAsia" w:hAnsi="ITC Avant Garde" w:cstheme="majorBidi"/>
          <w:b/>
          <w:color w:val="000000" w:themeColor="text1"/>
          <w:sz w:val="22"/>
          <w:szCs w:val="22"/>
          <w:lang w:eastAsia="en-US"/>
        </w:rPr>
      </w:pPr>
      <w:r w:rsidRPr="005C4F1C">
        <w:rPr>
          <w:rFonts w:ascii="ITC Avant Garde" w:eastAsiaTheme="majorEastAsia" w:hAnsi="ITC Avant Garde" w:cstheme="majorBidi"/>
          <w:b/>
          <w:color w:val="000000" w:themeColor="text1"/>
          <w:sz w:val="22"/>
          <w:szCs w:val="22"/>
          <w:lang w:eastAsia="en-US"/>
        </w:rPr>
        <w:t>ANTECEDENTES</w:t>
      </w:r>
    </w:p>
    <w:p w:rsidR="00EA6C31" w:rsidRDefault="00E25927" w:rsidP="00A7767E">
      <w:pPr>
        <w:spacing w:before="240"/>
        <w:jc w:val="both"/>
        <w:rPr>
          <w:rFonts w:ascii="ITC Avant Garde" w:hAnsi="ITC Avant Garde" w:cstheme="minorHAnsi"/>
          <w:lang w:val="es-ES_tradnl"/>
        </w:rPr>
      </w:pPr>
      <w:r w:rsidRPr="00A2768D">
        <w:rPr>
          <w:rFonts w:ascii="ITC Avant Garde" w:hAnsi="ITC Avant Garde" w:cstheme="minorHAnsi"/>
          <w:lang w:val="es-ES_tradnl"/>
        </w:rPr>
        <w:t>1.- Con fecha</w:t>
      </w:r>
      <w:r w:rsidR="008955D8" w:rsidRPr="00A2768D">
        <w:rPr>
          <w:rFonts w:ascii="ITC Avant Garde" w:hAnsi="ITC Avant Garde" w:cstheme="minorHAnsi"/>
          <w:lang w:val="es-ES_tradnl"/>
        </w:rPr>
        <w:t xml:space="preserve"> 11 de junio de 2013 fue publicado en el Diario Oficial de la Federación el “Decreto por el que se reforman y adicionan diversas disposiciones de los artículos 6</w:t>
      </w:r>
      <w:r w:rsidR="00510467" w:rsidRPr="00A2768D">
        <w:rPr>
          <w:rFonts w:ascii="ITC Avant Garde" w:hAnsi="ITC Avant Garde" w:cstheme="minorHAnsi"/>
          <w:lang w:val="es-ES_tradnl"/>
        </w:rPr>
        <w:t>º</w:t>
      </w:r>
      <w:r w:rsidR="008955D8" w:rsidRPr="00A2768D">
        <w:rPr>
          <w:rFonts w:ascii="ITC Avant Garde" w:hAnsi="ITC Avant Garde" w:cstheme="minorHAnsi"/>
          <w:lang w:val="es-ES_tradnl"/>
        </w:rPr>
        <w:t>, 7</w:t>
      </w:r>
      <w:r w:rsidR="00510467" w:rsidRPr="00A2768D">
        <w:rPr>
          <w:rFonts w:ascii="ITC Avant Garde" w:hAnsi="ITC Avant Garde" w:cstheme="minorHAnsi"/>
          <w:lang w:val="es-ES_tradnl"/>
        </w:rPr>
        <w:t>º</w:t>
      </w:r>
      <w:r w:rsidR="008955D8" w:rsidRPr="00A2768D">
        <w:rPr>
          <w:rFonts w:ascii="ITC Avant Garde" w:hAnsi="ITC Avant Garde" w:cstheme="minorHAnsi"/>
          <w:lang w:val="es-ES_tradnl"/>
        </w:rPr>
        <w:t>, 27, 28, 73, 78, 94 y 105 de la Constitución Política de los Estados Unidos Mexicanos, en materia de telecomunicaciones”, mediante el cual se creó el Instituto Federal de Telecomunicaciones (Instituto), como un órgano constitucional autónomo con personalidad jurídica y patrimonio propio;</w:t>
      </w:r>
    </w:p>
    <w:p w:rsidR="00EA6C31" w:rsidRDefault="00E25927" w:rsidP="00A7767E">
      <w:pPr>
        <w:spacing w:before="240"/>
        <w:jc w:val="both"/>
        <w:rPr>
          <w:rFonts w:ascii="ITC Avant Garde" w:hAnsi="ITC Avant Garde" w:cstheme="minorHAnsi"/>
          <w:lang w:val="es-ES"/>
        </w:rPr>
      </w:pPr>
      <w:r w:rsidRPr="00A2768D">
        <w:rPr>
          <w:rFonts w:ascii="ITC Avant Garde" w:hAnsi="ITC Avant Garde" w:cstheme="minorHAnsi"/>
          <w:lang w:val="es-ES_tradnl"/>
        </w:rPr>
        <w:t xml:space="preserve">2.- </w:t>
      </w:r>
      <w:r w:rsidR="00CE375E" w:rsidRPr="00A2768D">
        <w:rPr>
          <w:rFonts w:ascii="ITC Avant Garde" w:hAnsi="ITC Avant Garde" w:cstheme="minorHAnsi"/>
          <w:lang w:val="es-ES_tradnl"/>
        </w:rPr>
        <w:t>El artículo 28</w:t>
      </w:r>
      <w:r w:rsidR="00B03760">
        <w:rPr>
          <w:rFonts w:ascii="ITC Avant Garde" w:hAnsi="ITC Avant Garde" w:cstheme="minorHAnsi"/>
          <w:lang w:val="es-ES_tradnl"/>
        </w:rPr>
        <w:t>,</w:t>
      </w:r>
      <w:r w:rsidR="00CE375E" w:rsidRPr="00A2768D">
        <w:rPr>
          <w:rFonts w:ascii="ITC Avant Garde" w:hAnsi="ITC Avant Garde" w:cstheme="minorHAnsi"/>
          <w:lang w:val="es-ES_tradnl"/>
        </w:rPr>
        <w:t xml:space="preserve"> </w:t>
      </w:r>
      <w:r w:rsidR="00055079" w:rsidRPr="00A2768D">
        <w:rPr>
          <w:rFonts w:ascii="ITC Avant Garde" w:hAnsi="ITC Avant Garde" w:cstheme="minorHAnsi"/>
          <w:lang w:val="es-ES_tradnl"/>
        </w:rPr>
        <w:t xml:space="preserve">párrafo vigésimo, fracción II </w:t>
      </w:r>
      <w:r w:rsidR="00CE375E" w:rsidRPr="00A2768D">
        <w:rPr>
          <w:rFonts w:ascii="ITC Avant Garde" w:hAnsi="ITC Avant Garde" w:cstheme="minorHAnsi"/>
          <w:lang w:val="es-ES_tradnl"/>
        </w:rPr>
        <w:t>de l</w:t>
      </w:r>
      <w:r w:rsidR="008955D8" w:rsidRPr="00A2768D">
        <w:rPr>
          <w:rFonts w:ascii="ITC Avant Garde" w:hAnsi="ITC Avant Garde" w:cstheme="minorHAnsi"/>
          <w:lang w:val="es-ES_tradnl"/>
        </w:rPr>
        <w:t>a Constitución</w:t>
      </w:r>
      <w:r w:rsidR="006933BE" w:rsidRPr="00A2768D">
        <w:rPr>
          <w:rFonts w:ascii="ITC Avant Garde" w:hAnsi="ITC Avant Garde" w:cstheme="minorHAnsi"/>
          <w:lang w:val="es-ES_tradnl"/>
        </w:rPr>
        <w:t xml:space="preserve"> Política de los Estados Unidos Mexicanos (Constitución)</w:t>
      </w:r>
      <w:r w:rsidR="008955D8" w:rsidRPr="00A2768D">
        <w:rPr>
          <w:rFonts w:ascii="ITC Avant Garde" w:hAnsi="ITC Avant Garde" w:cstheme="minorHAnsi"/>
          <w:lang w:val="es-ES_tradnl"/>
        </w:rPr>
        <w:t xml:space="preserve"> establece que el Instituto </w:t>
      </w:r>
      <w:r w:rsidR="008955D8" w:rsidRPr="00A2768D">
        <w:rPr>
          <w:rFonts w:ascii="ITC Avant Garde" w:hAnsi="ITC Avant Garde" w:cstheme="minorHAnsi"/>
          <w:lang w:val="es-ES"/>
        </w:rPr>
        <w:t>ejercerá su presupuesto de forma autónoma y que la Cámara de Diputados garantizará la</w:t>
      </w:r>
      <w:r w:rsidR="008955D8" w:rsidRPr="00A2768D">
        <w:rPr>
          <w:rFonts w:ascii="MS Gothic" w:eastAsia="MS Gothic" w:hAnsi="MS Gothic" w:cs="MS Gothic" w:hint="eastAsia"/>
          <w:lang w:val="es-ES"/>
        </w:rPr>
        <w:t> </w:t>
      </w:r>
      <w:r w:rsidR="008955D8" w:rsidRPr="00A2768D">
        <w:rPr>
          <w:rFonts w:ascii="ITC Avant Garde" w:hAnsi="ITC Avant Garde" w:cstheme="minorHAnsi"/>
          <w:lang w:val="es-ES"/>
        </w:rPr>
        <w:t>suficiencia presupuestal a fin de permitirle el ejercicio eficaz y oportuno de su competencia</w:t>
      </w:r>
      <w:r w:rsidR="00AE0DCD" w:rsidRPr="00A2768D">
        <w:rPr>
          <w:rFonts w:ascii="ITC Avant Garde" w:hAnsi="ITC Avant Garde" w:cstheme="minorHAnsi"/>
          <w:lang w:val="es-ES"/>
        </w:rPr>
        <w:t>;</w:t>
      </w:r>
      <w:r w:rsidRPr="00A2768D">
        <w:rPr>
          <w:rFonts w:ascii="ITC Avant Garde" w:hAnsi="ITC Avant Garde" w:cstheme="minorHAnsi"/>
          <w:lang w:val="es-ES"/>
        </w:rPr>
        <w:t xml:space="preserve"> as</w:t>
      </w:r>
      <w:r w:rsidR="00CE375E" w:rsidRPr="00A2768D">
        <w:rPr>
          <w:rFonts w:ascii="ITC Avant Garde" w:hAnsi="ITC Avant Garde" w:cstheme="minorHAnsi"/>
          <w:lang w:val="es-ES"/>
        </w:rPr>
        <w:t>imismo</w:t>
      </w:r>
      <w:r w:rsidR="00B03760">
        <w:rPr>
          <w:rFonts w:ascii="ITC Avant Garde" w:hAnsi="ITC Avant Garde" w:cstheme="minorHAnsi"/>
          <w:lang w:val="es-ES"/>
        </w:rPr>
        <w:t>,</w:t>
      </w:r>
      <w:r w:rsidR="00CE375E" w:rsidRPr="00A2768D">
        <w:rPr>
          <w:rFonts w:ascii="ITC Avant Garde" w:hAnsi="ITC Avant Garde" w:cstheme="minorHAnsi"/>
          <w:lang w:val="es-ES"/>
        </w:rPr>
        <w:t xml:space="preserve"> el artículo 74, fracción IV, segundo párrafo, </w:t>
      </w:r>
      <w:r w:rsidR="00FF53F3">
        <w:rPr>
          <w:rFonts w:ascii="ITC Avant Garde" w:hAnsi="ITC Avant Garde" w:cstheme="minorHAnsi"/>
          <w:lang w:val="es-ES"/>
        </w:rPr>
        <w:t>de la Constitución</w:t>
      </w:r>
      <w:r w:rsidR="00FF53F3" w:rsidRPr="00A2768D">
        <w:rPr>
          <w:rFonts w:ascii="ITC Avant Garde" w:hAnsi="ITC Avant Garde" w:cstheme="minorHAnsi"/>
          <w:lang w:val="es-ES"/>
        </w:rPr>
        <w:t xml:space="preserve"> </w:t>
      </w:r>
      <w:r w:rsidR="00CE375E" w:rsidRPr="00A2768D">
        <w:rPr>
          <w:rFonts w:ascii="ITC Avant Garde" w:hAnsi="ITC Avant Garde" w:cstheme="minorHAnsi"/>
          <w:lang w:val="es-ES"/>
        </w:rPr>
        <w:t xml:space="preserve">indica </w:t>
      </w:r>
      <w:r w:rsidRPr="00A2768D">
        <w:rPr>
          <w:rFonts w:ascii="ITC Avant Garde" w:hAnsi="ITC Avant Garde" w:cstheme="minorHAnsi"/>
          <w:lang w:val="es-ES"/>
        </w:rPr>
        <w:t xml:space="preserve">que el </w:t>
      </w:r>
      <w:r w:rsidR="008955D8" w:rsidRPr="00A2768D">
        <w:rPr>
          <w:rFonts w:ascii="ITC Avant Garde" w:hAnsi="ITC Avant Garde" w:cstheme="minorHAnsi"/>
          <w:lang w:val="es-ES"/>
        </w:rPr>
        <w:t>Ejecutivo Federal</w:t>
      </w:r>
      <w:r w:rsidR="00BB6BB2">
        <w:rPr>
          <w:rFonts w:ascii="ITC Avant Garde" w:hAnsi="ITC Avant Garde" w:cstheme="minorHAnsi"/>
          <w:lang w:val="es-ES"/>
        </w:rPr>
        <w:t>, en años de cambio de poder en el ejecutivo federal,</w:t>
      </w:r>
      <w:r w:rsidR="008955D8" w:rsidRPr="00A2768D">
        <w:rPr>
          <w:rFonts w:ascii="ITC Avant Garde" w:hAnsi="ITC Avant Garde" w:cstheme="minorHAnsi"/>
          <w:lang w:val="es-ES"/>
        </w:rPr>
        <w:t xml:space="preserve"> hará llegar a la Cámara de Diputados el Proyecto de Presupuesto de Egresos de la </w:t>
      </w:r>
      <w:r w:rsidR="00BB6BB2">
        <w:rPr>
          <w:rFonts w:ascii="ITC Avant Garde" w:hAnsi="ITC Avant Garde" w:cstheme="minorHAnsi"/>
          <w:lang w:val="es-ES"/>
        </w:rPr>
        <w:t>Federación a más tardar el día 15</w:t>
      </w:r>
      <w:r w:rsidR="008955D8" w:rsidRPr="00A2768D">
        <w:rPr>
          <w:rFonts w:ascii="ITC Avant Garde" w:hAnsi="ITC Avant Garde" w:cstheme="minorHAnsi"/>
          <w:lang w:val="es-ES"/>
        </w:rPr>
        <w:t xml:space="preserve"> del mes de </w:t>
      </w:r>
      <w:r w:rsidR="00BB6BB2">
        <w:rPr>
          <w:rFonts w:ascii="ITC Avant Garde" w:hAnsi="ITC Avant Garde" w:cstheme="minorHAnsi"/>
          <w:lang w:val="es-ES"/>
        </w:rPr>
        <w:t>diciembre</w:t>
      </w:r>
      <w:r w:rsidR="008955D8" w:rsidRPr="00A2768D">
        <w:rPr>
          <w:rFonts w:ascii="ITC Avant Garde" w:hAnsi="ITC Avant Garde" w:cstheme="minorHAnsi"/>
          <w:lang w:val="es-ES"/>
        </w:rPr>
        <w:t>;</w:t>
      </w:r>
    </w:p>
    <w:p w:rsidR="0036747D" w:rsidRPr="0036747D" w:rsidRDefault="00E25927" w:rsidP="0036747D">
      <w:pPr>
        <w:spacing w:before="240"/>
        <w:jc w:val="both"/>
        <w:rPr>
          <w:rFonts w:ascii="ITC Avant Garde" w:hAnsi="ITC Avant Garde" w:cstheme="minorHAnsi"/>
        </w:rPr>
      </w:pPr>
      <w:r w:rsidRPr="00A2768D">
        <w:rPr>
          <w:rFonts w:ascii="ITC Avant Garde" w:hAnsi="ITC Avant Garde" w:cstheme="minorHAnsi"/>
          <w:lang w:val="es-ES_tradnl"/>
        </w:rPr>
        <w:t xml:space="preserve">3.- </w:t>
      </w:r>
      <w:r w:rsidR="00CE375E" w:rsidRPr="00A2768D">
        <w:rPr>
          <w:rFonts w:ascii="ITC Avant Garde" w:hAnsi="ITC Avant Garde" w:cstheme="minorHAnsi"/>
          <w:lang w:val="es-ES_tradnl"/>
        </w:rPr>
        <w:t>El artículo 30</w:t>
      </w:r>
      <w:r w:rsidR="005D16A7">
        <w:rPr>
          <w:rFonts w:ascii="ITC Avant Garde" w:hAnsi="ITC Avant Garde" w:cstheme="minorHAnsi"/>
          <w:lang w:val="es-ES_tradnl"/>
        </w:rPr>
        <w:t>, primer párrafo,</w:t>
      </w:r>
      <w:r w:rsidR="00CE375E" w:rsidRPr="00A2768D">
        <w:rPr>
          <w:rFonts w:ascii="ITC Avant Garde" w:hAnsi="ITC Avant Garde" w:cstheme="minorHAnsi"/>
          <w:lang w:val="es-ES_tradnl"/>
        </w:rPr>
        <w:t xml:space="preserve"> de l</w:t>
      </w:r>
      <w:r w:rsidR="008955D8" w:rsidRPr="00A2768D">
        <w:rPr>
          <w:rFonts w:ascii="ITC Avant Garde" w:hAnsi="ITC Avant Garde" w:cstheme="minorHAnsi"/>
          <w:lang w:val="es-ES_tradnl"/>
        </w:rPr>
        <w:t>a Ley Federal de Presupuesto y Responsabilidad Hacendaria</w:t>
      </w:r>
      <w:r w:rsidR="009D6099">
        <w:rPr>
          <w:rFonts w:ascii="ITC Avant Garde" w:hAnsi="ITC Avant Garde" w:cstheme="minorHAnsi"/>
          <w:lang w:val="es-ES_tradnl"/>
        </w:rPr>
        <w:t xml:space="preserve"> </w:t>
      </w:r>
      <w:r w:rsidR="008955D8" w:rsidRPr="00A2768D">
        <w:rPr>
          <w:rFonts w:ascii="ITC Avant Garde" w:hAnsi="ITC Avant Garde" w:cstheme="minorHAnsi"/>
          <w:lang w:val="es-ES_tradnl"/>
        </w:rPr>
        <w:t xml:space="preserve">establece que </w:t>
      </w:r>
      <w:r w:rsidR="008955D8" w:rsidRPr="00A2768D">
        <w:rPr>
          <w:rFonts w:ascii="ITC Avant Garde" w:hAnsi="ITC Avant Garde" w:cstheme="minorHAnsi"/>
        </w:rPr>
        <w:t xml:space="preserve">los entes autónomos enviarán a la Secretaría de Hacienda y Crédito </w:t>
      </w:r>
      <w:r w:rsidR="00BC5D73" w:rsidRPr="00A2768D">
        <w:rPr>
          <w:rFonts w:ascii="ITC Avant Garde" w:hAnsi="ITC Avant Garde" w:cstheme="minorHAnsi"/>
        </w:rPr>
        <w:t xml:space="preserve">Público </w:t>
      </w:r>
      <w:r w:rsidR="008955D8" w:rsidRPr="00A2768D">
        <w:rPr>
          <w:rFonts w:ascii="ITC Avant Garde" w:hAnsi="ITC Avant Garde" w:cstheme="minorHAnsi"/>
        </w:rPr>
        <w:t xml:space="preserve">sus proyectos de presupuesto, a efecto de integrarlos al </w:t>
      </w:r>
      <w:r w:rsidR="004D1C40" w:rsidRPr="00A2768D">
        <w:rPr>
          <w:rFonts w:ascii="ITC Avant Garde" w:hAnsi="ITC Avant Garde" w:cstheme="minorHAnsi"/>
        </w:rPr>
        <w:t>P</w:t>
      </w:r>
      <w:r w:rsidR="008955D8" w:rsidRPr="00A2768D">
        <w:rPr>
          <w:rFonts w:ascii="ITC Avant Garde" w:hAnsi="ITC Avant Garde" w:cstheme="minorHAnsi"/>
        </w:rPr>
        <w:t>royecto de Presupuesto de Egresos</w:t>
      </w:r>
      <w:r w:rsidR="004D1C40" w:rsidRPr="00A2768D">
        <w:rPr>
          <w:rFonts w:ascii="ITC Avant Garde" w:hAnsi="ITC Avant Garde" w:cstheme="minorHAnsi"/>
        </w:rPr>
        <w:t xml:space="preserve"> de la Federación</w:t>
      </w:r>
      <w:r w:rsidR="008955D8" w:rsidRPr="00A2768D">
        <w:rPr>
          <w:rFonts w:ascii="ITC Avant Garde" w:hAnsi="ITC Avant Garde" w:cstheme="minorHAnsi"/>
        </w:rPr>
        <w:t>, a más tardar 10 días naturales antes de la fecha de presentación del mismo</w:t>
      </w:r>
      <w:r w:rsidR="00AE0DCD" w:rsidRPr="00A2768D">
        <w:rPr>
          <w:rFonts w:ascii="ITC Avant Garde" w:hAnsi="ITC Avant Garde" w:cstheme="minorHAnsi"/>
        </w:rPr>
        <w:t xml:space="preserve">, </w:t>
      </w:r>
      <w:r w:rsidR="00CE375E" w:rsidRPr="00A2768D">
        <w:rPr>
          <w:rFonts w:ascii="ITC Avant Garde" w:hAnsi="ITC Avant Garde" w:cstheme="minorHAnsi"/>
        </w:rPr>
        <w:t>y</w:t>
      </w:r>
    </w:p>
    <w:p w:rsidR="00EA6C31" w:rsidRDefault="00E25927" w:rsidP="00A7767E">
      <w:pPr>
        <w:spacing w:before="240"/>
        <w:jc w:val="both"/>
        <w:rPr>
          <w:rFonts w:ascii="ITC Avant Garde" w:hAnsi="ITC Avant Garde" w:cstheme="minorHAnsi"/>
          <w:lang w:val="es-ES_tradnl"/>
        </w:rPr>
      </w:pPr>
      <w:r w:rsidRPr="00A2768D">
        <w:rPr>
          <w:rFonts w:ascii="ITC Avant Garde" w:hAnsi="ITC Avant Garde" w:cstheme="minorHAnsi"/>
          <w:lang w:val="es-ES_tradnl"/>
        </w:rPr>
        <w:t>4.-</w:t>
      </w:r>
      <w:r w:rsidR="004E2456" w:rsidRPr="00A2768D">
        <w:rPr>
          <w:rFonts w:ascii="ITC Avant Garde" w:hAnsi="ITC Avant Garde" w:cstheme="minorHAnsi"/>
          <w:lang w:val="es-ES_tradnl"/>
        </w:rPr>
        <w:t xml:space="preserve"> El artículo 17, fracción VI, de la</w:t>
      </w:r>
      <w:r w:rsidRPr="00A2768D">
        <w:rPr>
          <w:rFonts w:ascii="ITC Avant Garde" w:hAnsi="ITC Avant Garde" w:cstheme="minorHAnsi"/>
          <w:lang w:val="es-ES_tradnl"/>
        </w:rPr>
        <w:t xml:space="preserve"> </w:t>
      </w:r>
      <w:r w:rsidR="004E2456" w:rsidRPr="00A2768D">
        <w:rPr>
          <w:rFonts w:ascii="ITC Avant Garde" w:hAnsi="ITC Avant Garde" w:cstheme="minorHAnsi"/>
          <w:lang w:val="es-ES_tradnl"/>
        </w:rPr>
        <w:t>Ley Federal de Telecomunicaciones y Radiodifusión</w:t>
      </w:r>
      <w:r w:rsidR="009D6099">
        <w:rPr>
          <w:rFonts w:ascii="ITC Avant Garde" w:hAnsi="ITC Avant Garde" w:cstheme="minorHAnsi"/>
          <w:lang w:val="es-ES_tradnl"/>
        </w:rPr>
        <w:t xml:space="preserve"> </w:t>
      </w:r>
      <w:r w:rsidR="008955D8" w:rsidRPr="00A2768D">
        <w:rPr>
          <w:rFonts w:ascii="ITC Avant Garde" w:hAnsi="ITC Avant Garde" w:cstheme="minorHAnsi"/>
          <w:lang w:val="es-ES_tradnl"/>
        </w:rPr>
        <w:t>establece</w:t>
      </w:r>
      <w:r w:rsidR="004E2456" w:rsidRPr="00A2768D">
        <w:rPr>
          <w:rFonts w:ascii="ITC Avant Garde" w:hAnsi="ITC Avant Garde" w:cstheme="minorHAnsi"/>
          <w:lang w:val="es-ES_tradnl"/>
        </w:rPr>
        <w:t xml:space="preserve"> que es</w:t>
      </w:r>
      <w:r w:rsidR="008955D8" w:rsidRPr="00A2768D">
        <w:rPr>
          <w:rFonts w:ascii="ITC Avant Garde" w:hAnsi="ITC Avant Garde" w:cstheme="minorHAnsi"/>
          <w:lang w:val="es-ES_tradnl"/>
        </w:rPr>
        <w:t xml:space="preserve"> facultad del Pleno aprobar anualmente el </w:t>
      </w:r>
      <w:r w:rsidR="00FA65D4">
        <w:rPr>
          <w:rFonts w:ascii="ITC Avant Garde" w:hAnsi="ITC Avant Garde" w:cstheme="minorHAnsi"/>
          <w:lang w:val="es-ES_tradnl"/>
        </w:rPr>
        <w:t>anteproyecto</w:t>
      </w:r>
      <w:r w:rsidR="005B3193" w:rsidRPr="00A2768D">
        <w:rPr>
          <w:rFonts w:ascii="ITC Avant Garde" w:hAnsi="ITC Avant Garde" w:cstheme="minorHAnsi"/>
          <w:lang w:val="es-ES_tradnl"/>
        </w:rPr>
        <w:t xml:space="preserve"> de P</w:t>
      </w:r>
      <w:r w:rsidR="008955D8" w:rsidRPr="00A2768D">
        <w:rPr>
          <w:rFonts w:ascii="ITC Avant Garde" w:hAnsi="ITC Avant Garde" w:cstheme="minorHAnsi"/>
          <w:lang w:val="es-ES_tradnl"/>
        </w:rPr>
        <w:t xml:space="preserve">resupuesto del Instituto que proponga el Comisionado Presidente, para que éste lo remita, </w:t>
      </w:r>
      <w:r w:rsidR="009D6099" w:rsidRPr="00A2768D">
        <w:rPr>
          <w:rFonts w:ascii="ITC Avant Garde" w:hAnsi="ITC Avant Garde" w:cstheme="minorHAnsi"/>
          <w:lang w:val="es-ES_tradnl"/>
        </w:rPr>
        <w:t xml:space="preserve">con fundamento en </w:t>
      </w:r>
      <w:r w:rsidR="008805C9">
        <w:rPr>
          <w:rFonts w:ascii="ITC Avant Garde" w:hAnsi="ITC Avant Garde" w:cstheme="minorHAnsi"/>
          <w:lang w:val="es-ES_tradnl"/>
        </w:rPr>
        <w:t xml:space="preserve">el </w:t>
      </w:r>
      <w:r w:rsidR="009D6099" w:rsidRPr="00A2768D">
        <w:rPr>
          <w:rFonts w:ascii="ITC Avant Garde" w:hAnsi="ITC Avant Garde" w:cstheme="minorHAnsi"/>
          <w:lang w:val="es-ES_tradnl"/>
        </w:rPr>
        <w:t>artículo 20, fracción X de dicha ley,</w:t>
      </w:r>
      <w:r w:rsidR="009D6099">
        <w:rPr>
          <w:rFonts w:ascii="ITC Avant Garde" w:hAnsi="ITC Avant Garde" w:cstheme="minorHAnsi"/>
          <w:lang w:val="es-ES_tradnl"/>
        </w:rPr>
        <w:t xml:space="preserve"> </w:t>
      </w:r>
      <w:r w:rsidR="008955D8" w:rsidRPr="00A2768D">
        <w:rPr>
          <w:rFonts w:ascii="ITC Avant Garde" w:hAnsi="ITC Avant Garde" w:cstheme="minorHAnsi"/>
          <w:lang w:val="es-ES_tradnl"/>
        </w:rPr>
        <w:t xml:space="preserve">una vez aprobado, al </w:t>
      </w:r>
      <w:r w:rsidR="004D1C40" w:rsidRPr="00A2768D">
        <w:rPr>
          <w:rFonts w:ascii="ITC Avant Garde" w:hAnsi="ITC Avant Garde" w:cstheme="minorHAnsi"/>
          <w:lang w:val="es-ES_tradnl"/>
        </w:rPr>
        <w:t>T</w:t>
      </w:r>
      <w:r w:rsidR="008955D8" w:rsidRPr="00A2768D">
        <w:rPr>
          <w:rFonts w:ascii="ITC Avant Garde" w:hAnsi="ITC Avant Garde" w:cstheme="minorHAnsi"/>
          <w:lang w:val="es-ES_tradnl"/>
        </w:rPr>
        <w:t xml:space="preserve">itular de la Secretaría de Hacienda y Crédito Público a fin de incluirse en el </w:t>
      </w:r>
      <w:r w:rsidR="004D1C40" w:rsidRPr="00A2768D">
        <w:rPr>
          <w:rFonts w:ascii="ITC Avant Garde" w:hAnsi="ITC Avant Garde" w:cstheme="minorHAnsi"/>
          <w:lang w:val="es-ES_tradnl"/>
        </w:rPr>
        <w:t>P</w:t>
      </w:r>
      <w:r w:rsidR="008955D8" w:rsidRPr="00A2768D">
        <w:rPr>
          <w:rFonts w:ascii="ITC Avant Garde" w:hAnsi="ITC Avant Garde" w:cstheme="minorHAnsi"/>
          <w:lang w:val="es-ES_tradnl"/>
        </w:rPr>
        <w:t>royecto de Presupuesto de Egresos de la Federación</w:t>
      </w:r>
      <w:r w:rsidR="00AE0DCD" w:rsidRPr="00A2768D">
        <w:rPr>
          <w:rFonts w:ascii="ITC Avant Garde" w:hAnsi="ITC Avant Garde" w:cstheme="minorHAnsi"/>
          <w:lang w:val="es-ES_tradnl"/>
        </w:rPr>
        <w:t>.</w:t>
      </w:r>
    </w:p>
    <w:p w:rsidR="003D38F3" w:rsidRPr="005C4F1C" w:rsidRDefault="00E25927" w:rsidP="005C4F1C">
      <w:pPr>
        <w:pStyle w:val="Ttulo2"/>
        <w:keepNext/>
        <w:keepLines/>
        <w:pBdr>
          <w:top w:val="none" w:sz="0" w:space="0" w:color="auto"/>
          <w:between w:val="none" w:sz="0" w:space="0" w:color="auto"/>
        </w:pBdr>
        <w:spacing w:before="40" w:after="240" w:line="276" w:lineRule="auto"/>
        <w:jc w:val="center"/>
        <w:rPr>
          <w:rFonts w:ascii="ITC Avant Garde" w:eastAsiaTheme="majorEastAsia" w:hAnsi="ITC Avant Garde" w:cstheme="majorBidi"/>
          <w:b/>
          <w:color w:val="000000" w:themeColor="text1"/>
          <w:sz w:val="22"/>
          <w:szCs w:val="22"/>
          <w:lang w:eastAsia="en-US"/>
        </w:rPr>
      </w:pPr>
      <w:r w:rsidRPr="005C4F1C">
        <w:rPr>
          <w:rFonts w:ascii="ITC Avant Garde" w:eastAsiaTheme="majorEastAsia" w:hAnsi="ITC Avant Garde" w:cstheme="majorBidi"/>
          <w:b/>
          <w:color w:val="000000" w:themeColor="text1"/>
          <w:sz w:val="22"/>
          <w:szCs w:val="22"/>
          <w:lang w:eastAsia="en-US"/>
        </w:rPr>
        <w:t>CONSIDERANDOS</w:t>
      </w:r>
    </w:p>
    <w:p w:rsidR="00EA6C31" w:rsidRDefault="008978BC" w:rsidP="00A7767E">
      <w:pPr>
        <w:spacing w:before="240"/>
        <w:jc w:val="both"/>
        <w:rPr>
          <w:rFonts w:ascii="ITC Avant Garde" w:hAnsi="ITC Avant Garde" w:cstheme="minorHAnsi"/>
          <w:lang w:val="es-ES_tradnl"/>
        </w:rPr>
      </w:pPr>
      <w:r w:rsidRPr="00A2768D">
        <w:rPr>
          <w:rFonts w:ascii="ITC Avant Garde" w:hAnsi="ITC Avant Garde" w:cstheme="minorHAnsi"/>
          <w:b/>
          <w:lang w:val="es-ES_tradnl"/>
        </w:rPr>
        <w:t>PRIMERO. -</w:t>
      </w:r>
      <w:r w:rsidR="000A2F42" w:rsidRPr="00A2768D">
        <w:rPr>
          <w:rFonts w:ascii="ITC Avant Garde" w:hAnsi="ITC Avant Garde" w:cstheme="minorHAnsi"/>
          <w:lang w:val="es-ES_tradnl"/>
        </w:rPr>
        <w:t xml:space="preserve"> Que</w:t>
      </w:r>
      <w:r w:rsidR="00C1333A" w:rsidRPr="00C1333A">
        <w:t xml:space="preserve"> </w:t>
      </w:r>
      <w:r w:rsidR="005305F8">
        <w:rPr>
          <w:rFonts w:ascii="ITC Avant Garde" w:hAnsi="ITC Avant Garde" w:cstheme="minorHAnsi"/>
          <w:lang w:val="es-ES_tradnl"/>
        </w:rPr>
        <w:t>c</w:t>
      </w:r>
      <w:r w:rsidR="00C1333A" w:rsidRPr="00C1333A">
        <w:rPr>
          <w:rFonts w:ascii="ITC Avant Garde" w:hAnsi="ITC Avant Garde" w:cstheme="minorHAnsi"/>
          <w:lang w:val="es-ES_tradnl"/>
        </w:rPr>
        <w:t>orrespon</w:t>
      </w:r>
      <w:r w:rsidR="00C1333A">
        <w:rPr>
          <w:rFonts w:ascii="ITC Avant Garde" w:hAnsi="ITC Avant Garde" w:cstheme="minorHAnsi"/>
          <w:lang w:val="es-ES_tradnl"/>
        </w:rPr>
        <w:t>de a la Unidad de Administración</w:t>
      </w:r>
      <w:r w:rsidR="00C1333A" w:rsidRPr="00C1333A">
        <w:rPr>
          <w:rFonts w:ascii="ITC Avant Garde" w:hAnsi="ITC Avant Garde" w:cstheme="minorHAnsi"/>
          <w:lang w:val="es-ES_tradnl"/>
        </w:rPr>
        <w:t xml:space="preserve">, a través de la Dirección General de Finanzas, Presupuesto y Contabilidad; atento a lo dispuesto por los artículos </w:t>
      </w:r>
      <w:r w:rsidR="00C1333A" w:rsidRPr="00C1333A">
        <w:rPr>
          <w:rFonts w:ascii="ITC Avant Garde" w:hAnsi="ITC Avant Garde" w:cstheme="minorHAnsi"/>
          <w:lang w:val="es-ES_tradnl"/>
        </w:rPr>
        <w:lastRenderedPageBreak/>
        <w:t xml:space="preserve">57 y 60, fracción II del Estatuto Orgánico del Instituto Federal de Telecomunicaciones y 10 de las Normas en Materia Presupuestaria del Instituto Federal de Telecomunicaciones (Normas en Materia Presupuestaria), integrar el anteproyecto de presupuesto anual del Instituto Federal de Telecomunicaciones (Instituto o IFT); en uso de dicha atribución, se integró el </w:t>
      </w:r>
      <w:r w:rsidR="00FA65D4">
        <w:rPr>
          <w:rFonts w:ascii="ITC Avant Garde" w:hAnsi="ITC Avant Garde" w:cstheme="minorHAnsi"/>
          <w:lang w:val="es-ES_tradnl"/>
        </w:rPr>
        <w:t>a</w:t>
      </w:r>
      <w:r w:rsidR="00C1333A" w:rsidRPr="00C1333A">
        <w:rPr>
          <w:rFonts w:ascii="ITC Avant Garde" w:hAnsi="ITC Avant Garde" w:cstheme="minorHAnsi"/>
          <w:lang w:val="es-ES_tradnl"/>
        </w:rPr>
        <w:t>nteproyecto de Presupuesto 2019, que presenta el Comisionado Presidente al Pleno para su revisión y, en su caso aprobación, en cumplimiento a la obligación del Instituto como ejecutor de gasto y a la Ley Federal de Presupuesto y Responsabilidad Hacendaria (LFPRH), que en términos de su artículo 6 dispone:</w:t>
      </w:r>
    </w:p>
    <w:p w:rsidR="00EA6C31" w:rsidRDefault="00C1333A" w:rsidP="00A7767E">
      <w:pPr>
        <w:spacing w:before="240"/>
        <w:ind w:left="426" w:right="899"/>
        <w:jc w:val="both"/>
        <w:rPr>
          <w:rFonts w:ascii="ITC Avant Garde" w:hAnsi="ITC Avant Garde" w:cstheme="minorHAnsi"/>
          <w:i/>
          <w:lang w:val="es-ES_tradnl"/>
        </w:rPr>
      </w:pPr>
      <w:r w:rsidRPr="00C1333A">
        <w:rPr>
          <w:rFonts w:ascii="ITC Avant Garde" w:hAnsi="ITC Avant Garde" w:cstheme="minorHAnsi"/>
          <w:i/>
          <w:lang w:val="es-ES_tradnl"/>
        </w:rPr>
        <w:t>“Los Poderes Legislativo y Judicial y los entes autónomos, por conducto de sus respectivas unidades de administración, deberán coordinarse con la Secretaría para efectos de la programación y presupuestación en los términos previstos en esta Ley. El control y la evaluación de dicho gasto corresponderán a los órganos competentes, en los términos previstos en sus respectivas leyes orgánicas”.</w:t>
      </w:r>
    </w:p>
    <w:p w:rsidR="00EA6C31" w:rsidRDefault="005305F8" w:rsidP="00A7767E">
      <w:pPr>
        <w:spacing w:before="240"/>
        <w:jc w:val="both"/>
        <w:rPr>
          <w:rFonts w:ascii="ITC Avant Garde" w:hAnsi="ITC Avant Garde" w:cstheme="minorHAnsi"/>
          <w:lang w:val="es-ES_tradnl"/>
        </w:rPr>
      </w:pPr>
      <w:r w:rsidRPr="005305F8">
        <w:rPr>
          <w:rFonts w:ascii="ITC Avant Garde" w:hAnsi="ITC Avant Garde" w:cstheme="minorHAnsi"/>
          <w:b/>
          <w:lang w:val="es-ES_tradnl"/>
        </w:rPr>
        <w:t>SEGUNDO</w:t>
      </w:r>
      <w:r>
        <w:rPr>
          <w:rFonts w:ascii="ITC Avant Garde" w:hAnsi="ITC Avant Garde" w:cstheme="minorHAnsi"/>
          <w:i/>
          <w:lang w:val="es-ES_tradnl"/>
        </w:rPr>
        <w:t xml:space="preserve">. - </w:t>
      </w:r>
      <w:r w:rsidRPr="005305F8">
        <w:rPr>
          <w:rFonts w:ascii="ITC Avant Garde" w:hAnsi="ITC Avant Garde" w:cstheme="minorHAnsi"/>
          <w:lang w:val="es-ES_tradnl"/>
        </w:rPr>
        <w:t>Que el artículo 75 párrafo tercero, de la Constitución Política de los Estados Unidos, dispone:</w:t>
      </w:r>
    </w:p>
    <w:p w:rsidR="00EA6C31" w:rsidRDefault="005305F8" w:rsidP="00A7767E">
      <w:pPr>
        <w:spacing w:before="240"/>
        <w:ind w:left="426" w:right="899"/>
        <w:jc w:val="both"/>
        <w:rPr>
          <w:rFonts w:ascii="ITC Avant Garde" w:hAnsi="ITC Avant Garde" w:cstheme="minorHAnsi"/>
          <w:i/>
          <w:lang w:val="es-ES_tradnl"/>
        </w:rPr>
      </w:pPr>
      <w:r w:rsidRPr="005305F8">
        <w:rPr>
          <w:rFonts w:ascii="ITC Avant Garde" w:hAnsi="ITC Avant Garde" w:cstheme="minorHAnsi"/>
          <w:i/>
          <w:lang w:val="es-ES_tradnl"/>
        </w:rPr>
        <w:t>“(…)</w:t>
      </w:r>
    </w:p>
    <w:p w:rsidR="00EA6C31" w:rsidRDefault="005305F8" w:rsidP="00A7767E">
      <w:pPr>
        <w:spacing w:before="240"/>
        <w:ind w:left="426" w:right="899"/>
        <w:jc w:val="both"/>
        <w:rPr>
          <w:rFonts w:ascii="ITC Avant Garde" w:hAnsi="ITC Avant Garde" w:cstheme="minorHAnsi"/>
          <w:i/>
          <w:lang w:val="es-ES_tradnl"/>
        </w:rPr>
      </w:pPr>
      <w:r w:rsidRPr="005305F8">
        <w:rPr>
          <w:rFonts w:ascii="ITC Avant Garde" w:hAnsi="ITC Avant Garde" w:cstheme="minorHAnsi"/>
          <w:i/>
          <w:lang w:val="es-ES_tradnl"/>
        </w:rPr>
        <w:t>Los poderes federales Legislativo, Ejecutivo y Judicial, así como los organismos con autonomía reconocida en esta Constitución que ejerzan recursos del Presupuesto de Egresos de la Federación, deberán incluir dentro de sus proyectos de presupuestos, los tabuladores desglosados de las remuneraciones que se propone perciban sus servidores públicos. Estas propuestas deberán observar el procedimiento que, para la aprobación del presupuesto de egresos, prevé el artículo 74 fracción IV de esta Constitución y demás disposiciones legales aplicables.”</w:t>
      </w:r>
    </w:p>
    <w:p w:rsidR="00EA6C31" w:rsidRDefault="005305F8" w:rsidP="00A7767E">
      <w:pPr>
        <w:spacing w:before="240"/>
        <w:jc w:val="both"/>
        <w:rPr>
          <w:rFonts w:ascii="ITC Avant Garde" w:hAnsi="ITC Avant Garde" w:cstheme="minorHAnsi"/>
          <w:lang w:val="es-ES_tradnl"/>
        </w:rPr>
      </w:pPr>
      <w:r>
        <w:rPr>
          <w:rFonts w:ascii="ITC Avant Garde" w:hAnsi="ITC Avant Garde" w:cstheme="minorHAnsi"/>
          <w:b/>
          <w:lang w:val="es-ES_tradnl"/>
        </w:rPr>
        <w:t>TERCERO</w:t>
      </w:r>
      <w:r w:rsidR="008978BC" w:rsidRPr="00D72AB4">
        <w:rPr>
          <w:rFonts w:ascii="ITC Avant Garde" w:hAnsi="ITC Avant Garde" w:cstheme="minorHAnsi"/>
          <w:lang w:val="es-ES_tradnl"/>
        </w:rPr>
        <w:t>. -</w:t>
      </w:r>
      <w:r w:rsidR="00D72AB4" w:rsidRPr="00D72AB4">
        <w:rPr>
          <w:rFonts w:ascii="ITC Avant Garde" w:hAnsi="ITC Avant Garde" w:cstheme="minorHAnsi"/>
          <w:lang w:val="es-ES_tradnl"/>
        </w:rPr>
        <w:t xml:space="preserve"> </w:t>
      </w:r>
      <w:r w:rsidR="00707C3D">
        <w:rPr>
          <w:rFonts w:ascii="ITC Avant Garde" w:hAnsi="ITC Avant Garde" w:cstheme="minorHAnsi"/>
          <w:lang w:val="es-ES_tradnl"/>
        </w:rPr>
        <w:t>Que e</w:t>
      </w:r>
      <w:r w:rsidR="00707C3D" w:rsidRPr="00707C3D">
        <w:rPr>
          <w:rFonts w:ascii="ITC Avant Garde" w:hAnsi="ITC Avant Garde" w:cstheme="minorHAnsi"/>
          <w:lang w:val="es-ES_tradnl"/>
        </w:rPr>
        <w:t xml:space="preserve">l 13 de septiembre de 2018, la Cámara de Diputados aprobó la “Ley Federal de Remuneraciones de los Servidores Públicos, Reglamentaria de los Artículos 75 y 127 de la Constitución Política de los Estados Unidos Mexicanos; y se adiciona el Código Penal Federal”, misma que fue publicada en el Diario Oficial de la Federación, el 5 de noviembre de 2018, </w:t>
      </w:r>
      <w:r w:rsidR="00660614">
        <w:rPr>
          <w:rFonts w:ascii="ITC Avant Garde" w:hAnsi="ITC Avant Garde" w:cstheme="minorHAnsi"/>
          <w:lang w:val="es-ES_tradnl"/>
        </w:rPr>
        <w:t xml:space="preserve">entrando </w:t>
      </w:r>
      <w:r w:rsidR="00707C3D" w:rsidRPr="00707C3D">
        <w:rPr>
          <w:rFonts w:ascii="ITC Avant Garde" w:hAnsi="ITC Avant Garde" w:cstheme="minorHAnsi"/>
          <w:lang w:val="es-ES_tradnl"/>
        </w:rPr>
        <w:t xml:space="preserve">en vigor al </w:t>
      </w:r>
      <w:r w:rsidR="00707C3D">
        <w:rPr>
          <w:rFonts w:ascii="ITC Avant Garde" w:hAnsi="ITC Avant Garde" w:cstheme="minorHAnsi"/>
          <w:lang w:val="es-ES_tradnl"/>
        </w:rPr>
        <w:t xml:space="preserve">día siguiente de su </w:t>
      </w:r>
      <w:r w:rsidR="0052607E">
        <w:rPr>
          <w:rFonts w:ascii="ITC Avant Garde" w:hAnsi="ITC Avant Garde" w:cstheme="minorHAnsi"/>
          <w:lang w:val="es-ES_tradnl"/>
        </w:rPr>
        <w:t>publicación, la</w:t>
      </w:r>
      <w:r w:rsidR="00707C3D">
        <w:rPr>
          <w:rFonts w:ascii="ITC Avant Garde" w:hAnsi="ITC Avant Garde" w:cstheme="minorHAnsi"/>
          <w:lang w:val="es-ES_tradnl"/>
        </w:rPr>
        <w:t xml:space="preserve"> cual en</w:t>
      </w:r>
      <w:r w:rsidR="00660614">
        <w:rPr>
          <w:rFonts w:ascii="ITC Avant Garde" w:hAnsi="ITC Avant Garde" w:cstheme="minorHAnsi"/>
          <w:lang w:val="es-ES_tradnl"/>
        </w:rPr>
        <w:t xml:space="preserve"> el primer párrafo de</w:t>
      </w:r>
      <w:r w:rsidR="00D72AB4" w:rsidRPr="00D72AB4">
        <w:rPr>
          <w:rFonts w:ascii="ITC Avant Garde" w:hAnsi="ITC Avant Garde" w:cstheme="minorHAnsi"/>
          <w:lang w:val="es-ES_tradnl"/>
        </w:rPr>
        <w:t xml:space="preserve"> </w:t>
      </w:r>
      <w:r w:rsidR="00707C3D">
        <w:rPr>
          <w:rFonts w:ascii="ITC Avant Garde" w:hAnsi="ITC Avant Garde" w:cstheme="minorHAnsi"/>
          <w:lang w:val="es-ES_tradnl"/>
        </w:rPr>
        <w:t>su</w:t>
      </w:r>
      <w:r w:rsidR="00D72AB4" w:rsidRPr="00D72AB4">
        <w:rPr>
          <w:rFonts w:ascii="ITC Avant Garde" w:hAnsi="ITC Avant Garde" w:cstheme="minorHAnsi"/>
          <w:lang w:val="es-ES_tradnl"/>
        </w:rPr>
        <w:t xml:space="preserve"> artículo 8 dispone:</w:t>
      </w:r>
    </w:p>
    <w:p w:rsidR="00EA6C31" w:rsidRDefault="00D72AB4" w:rsidP="00A7767E">
      <w:pPr>
        <w:spacing w:before="240"/>
        <w:ind w:left="426" w:right="899"/>
        <w:jc w:val="both"/>
        <w:rPr>
          <w:rFonts w:ascii="ITC Avant Garde" w:hAnsi="ITC Avant Garde" w:cstheme="minorHAnsi"/>
          <w:i/>
          <w:lang w:val="es-ES_tradnl"/>
        </w:rPr>
      </w:pPr>
      <w:r w:rsidRPr="00D72AB4">
        <w:rPr>
          <w:rFonts w:ascii="ITC Avant Garde" w:hAnsi="ITC Avant Garde" w:cstheme="minorHAnsi"/>
          <w:i/>
          <w:lang w:val="es-ES_tradnl"/>
        </w:rPr>
        <w:t xml:space="preserve">“Durante el procedimiento de programación y presupuestación establecido en el Capítulo I del Título Segundo de la Ley Federal de Presupuesto y Responsabilidad Hacendaria, los poderes federales Legislativo, Ejecutivo y Judicial, así como los entes con autonomía o independencia reconocida </w:t>
      </w:r>
      <w:r w:rsidRPr="00D72AB4">
        <w:rPr>
          <w:rFonts w:ascii="ITC Avant Garde" w:hAnsi="ITC Avant Garde" w:cstheme="minorHAnsi"/>
          <w:i/>
          <w:lang w:val="es-ES_tradnl"/>
        </w:rPr>
        <w:lastRenderedPageBreak/>
        <w:t>por la Constitución, deben incluir dentro de sus proyectos de presupuesto los tabuladores de las remuneraciones que se propone perciban los servidores públicos que prestan sus servicios en cada ejecutor de gasto, de conformidad con el manual de percepciones de los servidores públicos que emiten la Secretaría de Hacienda y Crédito Público y la Secretaría de la Función Pública, en el ámbito de sus respectivas competencias, así como los Poderes Legislativo y Judicial y los entes autónomos, por conducto de sus respectivas unidades de administración u órganos de gobierno.</w:t>
      </w:r>
    </w:p>
    <w:p w:rsidR="00EA6C31" w:rsidRDefault="00D72AB4" w:rsidP="00A7767E">
      <w:pPr>
        <w:spacing w:before="240"/>
        <w:ind w:left="426" w:right="899"/>
        <w:jc w:val="both"/>
        <w:rPr>
          <w:rFonts w:ascii="ITC Avant Garde" w:hAnsi="ITC Avant Garde" w:cstheme="minorHAnsi"/>
          <w:i/>
          <w:lang w:val="es-ES_tradnl"/>
        </w:rPr>
      </w:pPr>
      <w:r w:rsidRPr="00D72AB4">
        <w:rPr>
          <w:rFonts w:ascii="ITC Avant Garde" w:hAnsi="ITC Avant Garde" w:cstheme="minorHAnsi"/>
          <w:i/>
          <w:lang w:val="es-ES_tradnl"/>
        </w:rPr>
        <w:t>(…)”</w:t>
      </w:r>
    </w:p>
    <w:p w:rsidR="00EA6C31" w:rsidRDefault="008B1CE7" w:rsidP="00A7767E">
      <w:pPr>
        <w:spacing w:before="240"/>
        <w:jc w:val="both"/>
        <w:rPr>
          <w:rFonts w:ascii="Arial" w:hAnsi="Arial" w:cs="Arial"/>
          <w:sz w:val="24"/>
          <w:szCs w:val="24"/>
          <w:lang w:val="es-ES_tradnl"/>
        </w:rPr>
      </w:pPr>
      <w:r>
        <w:rPr>
          <w:rFonts w:ascii="ITC Avant Garde" w:hAnsi="ITC Avant Garde" w:cstheme="minorHAnsi"/>
          <w:b/>
          <w:lang w:val="es-ES_tradnl"/>
        </w:rPr>
        <w:t xml:space="preserve">CUARTO. – </w:t>
      </w:r>
      <w:r w:rsidRPr="008B1CE7">
        <w:rPr>
          <w:rFonts w:ascii="ITC Avant Garde" w:hAnsi="ITC Avant Garde" w:cstheme="minorHAnsi"/>
          <w:lang w:val="es-ES_tradnl"/>
        </w:rPr>
        <w:t>Que, las Normas en Materia Presupuestaria disponen en su artículo 4 que corresponde a la Unidad de Administración: “Coordinar las actividades de planeación, programación, presupuestación, aprobación, ejercicio, control, evaluación y registro contable, respecto del gasto público”.</w:t>
      </w:r>
    </w:p>
    <w:p w:rsidR="00EA6C31" w:rsidRDefault="008B1CE7" w:rsidP="00A7767E">
      <w:pPr>
        <w:spacing w:before="240"/>
        <w:jc w:val="both"/>
        <w:rPr>
          <w:rFonts w:ascii="ITC Avant Garde" w:hAnsi="ITC Avant Garde" w:cstheme="minorHAnsi"/>
          <w:lang w:val="es-ES_tradnl"/>
        </w:rPr>
      </w:pPr>
      <w:r>
        <w:rPr>
          <w:rFonts w:ascii="ITC Avant Garde" w:hAnsi="ITC Avant Garde" w:cstheme="minorHAnsi"/>
          <w:b/>
          <w:lang w:val="es-ES_tradnl"/>
        </w:rPr>
        <w:t xml:space="preserve">QUINTO. - </w:t>
      </w:r>
      <w:r w:rsidRPr="008B1CE7">
        <w:rPr>
          <w:rFonts w:ascii="ITC Avant Garde" w:hAnsi="ITC Avant Garde" w:cstheme="minorHAnsi"/>
          <w:lang w:val="es-ES_tradnl"/>
        </w:rPr>
        <w:t xml:space="preserve">Que, </w:t>
      </w:r>
      <w:r>
        <w:rPr>
          <w:rFonts w:ascii="ITC Avant Garde" w:hAnsi="ITC Avant Garde" w:cstheme="minorHAnsi"/>
          <w:lang w:val="es-ES_tradnl"/>
        </w:rPr>
        <w:t>l</w:t>
      </w:r>
      <w:r w:rsidRPr="008B1CE7">
        <w:rPr>
          <w:rFonts w:ascii="ITC Avant Garde" w:hAnsi="ITC Avant Garde" w:cstheme="minorHAnsi"/>
          <w:lang w:val="es-ES_tradnl"/>
        </w:rPr>
        <w:t xml:space="preserve">a integración del </w:t>
      </w:r>
      <w:r w:rsidR="00FA65D4">
        <w:rPr>
          <w:rFonts w:ascii="ITC Avant Garde" w:hAnsi="ITC Avant Garde" w:cstheme="minorHAnsi"/>
          <w:lang w:val="es-ES_tradnl"/>
        </w:rPr>
        <w:t>a</w:t>
      </w:r>
      <w:r w:rsidRPr="008B1CE7">
        <w:rPr>
          <w:rFonts w:ascii="ITC Avant Garde" w:hAnsi="ITC Avant Garde" w:cstheme="minorHAnsi"/>
          <w:lang w:val="es-ES_tradnl"/>
        </w:rPr>
        <w:t>nteproyecto de Presupuesto para el año 2019 se realizó mediante un ejercicio de detección y priorización de necesidades de las Unidades Administrativas con base en las atribuciones que la Ley Federal de Telecomunicaciones y Radiodifusión (LFTR) otorga al Instituto, incluyendo sus atribuciones como autoridad en materia de competencia económica en términos de la legislación de la materia.</w:t>
      </w:r>
    </w:p>
    <w:p w:rsidR="00EA6C31" w:rsidRDefault="008B1CE7" w:rsidP="00A7767E">
      <w:pPr>
        <w:spacing w:before="240"/>
        <w:jc w:val="both"/>
        <w:rPr>
          <w:rFonts w:ascii="ITC Avant Garde" w:hAnsi="ITC Avant Garde" w:cstheme="minorHAnsi"/>
          <w:lang w:val="es-ES_tradnl"/>
        </w:rPr>
      </w:pPr>
      <w:r w:rsidRPr="008B1CE7">
        <w:rPr>
          <w:rFonts w:ascii="ITC Avant Garde" w:hAnsi="ITC Avant Garde" w:cstheme="minorHAnsi"/>
          <w:b/>
          <w:lang w:val="es-ES_tradnl"/>
        </w:rPr>
        <w:t>SEXTO</w:t>
      </w:r>
      <w:r>
        <w:rPr>
          <w:rFonts w:ascii="ITC Avant Garde" w:hAnsi="ITC Avant Garde" w:cstheme="minorHAnsi"/>
          <w:lang w:val="es-ES_tradnl"/>
        </w:rPr>
        <w:t>.- Que, e</w:t>
      </w:r>
      <w:r w:rsidRPr="008B1CE7">
        <w:rPr>
          <w:rFonts w:ascii="ITC Avant Garde" w:hAnsi="ITC Avant Garde" w:cstheme="minorHAnsi"/>
          <w:lang w:val="es-ES_tradnl"/>
        </w:rPr>
        <w:t>n su elaboración se consideraron los criterios previstos en los artículos 1° y 17, último párrafo de la LFPRH y sus reformas publicadas en el Diario Oficial de la Federación el 24 de enero de 2014, y como referencia, los “Lineamientos generales para el combate a la corrupción y la aplicación de una política de austeridad republicana en el gobierno”, anunciados por el Presidente Electo el pasado 15 de julio de 2018, así como la iniciativa de Ley de Austeridad Republicana; además de lo dispuesto en la Ley Federal de Remuneraciones de los Servidores Públicos, Reglamentaria de los Artículos 75 y 127 de la Constitución Política de los Estados Unidos Mexicanos.</w:t>
      </w:r>
    </w:p>
    <w:p w:rsidR="00EA6C31" w:rsidRDefault="008B1CE7" w:rsidP="00A7767E">
      <w:pPr>
        <w:spacing w:before="240"/>
        <w:jc w:val="both"/>
        <w:rPr>
          <w:rFonts w:ascii="ITC Avant Garde" w:hAnsi="ITC Avant Garde" w:cstheme="minorHAnsi"/>
          <w:b/>
          <w:lang w:val="es-ES_tradnl"/>
        </w:rPr>
      </w:pPr>
      <w:r>
        <w:rPr>
          <w:rFonts w:ascii="ITC Avant Garde" w:hAnsi="ITC Avant Garde" w:cstheme="minorHAnsi"/>
          <w:b/>
          <w:lang w:val="es-ES_tradnl"/>
        </w:rPr>
        <w:t>SÉPTIMO</w:t>
      </w:r>
      <w:r w:rsidR="008978BC">
        <w:rPr>
          <w:rFonts w:ascii="ITC Avant Garde" w:hAnsi="ITC Avant Garde" w:cstheme="minorHAnsi"/>
          <w:b/>
          <w:lang w:val="es-ES_tradnl"/>
        </w:rPr>
        <w:t>. -</w:t>
      </w:r>
      <w:r w:rsidR="00D72AB4">
        <w:rPr>
          <w:rFonts w:ascii="ITC Avant Garde" w:hAnsi="ITC Avant Garde" w:cstheme="minorHAnsi"/>
          <w:b/>
          <w:lang w:val="es-ES_tradnl"/>
        </w:rPr>
        <w:t xml:space="preserve"> </w:t>
      </w:r>
      <w:r w:rsidR="00A26A86" w:rsidRPr="00A2768D">
        <w:rPr>
          <w:rFonts w:ascii="ITC Avant Garde" w:hAnsi="ITC Avant Garde" w:cstheme="minorHAnsi"/>
          <w:lang w:val="es-ES_tradnl"/>
        </w:rPr>
        <w:t xml:space="preserve">Que el Comisionado Presidente propuso al Pleno el </w:t>
      </w:r>
      <w:r w:rsidR="00FA65D4">
        <w:rPr>
          <w:rFonts w:ascii="ITC Avant Garde" w:hAnsi="ITC Avant Garde" w:cstheme="minorHAnsi"/>
          <w:lang w:val="es-ES_tradnl"/>
        </w:rPr>
        <w:t>a</w:t>
      </w:r>
      <w:r w:rsidR="00A26A86" w:rsidRPr="00A2768D">
        <w:rPr>
          <w:rFonts w:ascii="ITC Avant Garde" w:hAnsi="ITC Avant Garde" w:cstheme="minorHAnsi"/>
          <w:lang w:val="es-ES_tradnl"/>
        </w:rPr>
        <w:t>nteproyecto de Presupuesto del Instituto para el ejercicio fiscal del año 201</w:t>
      </w:r>
      <w:r w:rsidR="00A26A86">
        <w:rPr>
          <w:rFonts w:ascii="ITC Avant Garde" w:hAnsi="ITC Avant Garde" w:cstheme="minorHAnsi"/>
          <w:lang w:val="es-ES_tradnl"/>
        </w:rPr>
        <w:t>9</w:t>
      </w:r>
      <w:r w:rsidR="00A26A86" w:rsidRPr="00A2768D">
        <w:rPr>
          <w:rFonts w:ascii="ITC Avant Garde" w:hAnsi="ITC Avant Garde" w:cstheme="minorHAnsi"/>
          <w:lang w:val="es-ES_tradnl"/>
        </w:rPr>
        <w:t xml:space="preserve">, con fundamento en el artículo 20, fracción X, de la </w:t>
      </w:r>
      <w:r w:rsidR="00660614">
        <w:rPr>
          <w:rFonts w:ascii="ITC Avant Garde" w:hAnsi="ITC Avant Garde" w:cstheme="minorHAnsi"/>
          <w:lang w:val="es-ES_tradnl"/>
        </w:rPr>
        <w:t>LFTR</w:t>
      </w:r>
      <w:r w:rsidR="00A26A86" w:rsidRPr="00A2768D">
        <w:rPr>
          <w:rFonts w:ascii="ITC Avant Garde" w:hAnsi="ITC Avant Garde" w:cstheme="minorHAnsi"/>
          <w:lang w:val="es-ES_tradnl"/>
        </w:rPr>
        <w:t>.</w:t>
      </w:r>
    </w:p>
    <w:p w:rsidR="00EA6C31" w:rsidRDefault="007D0B5E" w:rsidP="00A7767E">
      <w:pPr>
        <w:spacing w:before="240"/>
        <w:jc w:val="both"/>
        <w:rPr>
          <w:rFonts w:ascii="ITC Avant Garde" w:hAnsi="ITC Avant Garde" w:cstheme="minorHAnsi"/>
          <w:lang w:val="es-ES_tradnl"/>
        </w:rPr>
      </w:pPr>
      <w:r>
        <w:rPr>
          <w:rFonts w:ascii="ITC Avant Garde" w:hAnsi="ITC Avant Garde" w:cstheme="minorHAnsi"/>
          <w:b/>
          <w:lang w:val="es-ES_tradnl"/>
        </w:rPr>
        <w:t>OCTAVO</w:t>
      </w:r>
      <w:r w:rsidR="008978BC" w:rsidRPr="00A2768D">
        <w:rPr>
          <w:rFonts w:ascii="ITC Avant Garde" w:hAnsi="ITC Avant Garde" w:cstheme="minorHAnsi"/>
          <w:b/>
          <w:lang w:val="es-ES_tradnl"/>
        </w:rPr>
        <w:t>. -</w:t>
      </w:r>
      <w:r w:rsidR="00E26E95" w:rsidRPr="00A2768D">
        <w:rPr>
          <w:rFonts w:ascii="ITC Avant Garde" w:hAnsi="ITC Avant Garde" w:cstheme="minorHAnsi"/>
          <w:b/>
          <w:lang w:val="es-ES_tradnl"/>
        </w:rPr>
        <w:t xml:space="preserve"> </w:t>
      </w:r>
      <w:r w:rsidR="008978BC" w:rsidRPr="00773028">
        <w:rPr>
          <w:rFonts w:ascii="ITC Avant Garde" w:hAnsi="ITC Avant Garde" w:cstheme="minorHAnsi"/>
          <w:lang w:val="es-ES_tradnl"/>
        </w:rPr>
        <w:t>Que,</w:t>
      </w:r>
      <w:r w:rsidR="00773028">
        <w:rPr>
          <w:rFonts w:ascii="ITC Avant Garde" w:hAnsi="ITC Avant Garde" w:cstheme="minorHAnsi"/>
          <w:b/>
          <w:lang w:val="es-ES_tradnl"/>
        </w:rPr>
        <w:t xml:space="preserve"> </w:t>
      </w:r>
      <w:r w:rsidR="00773028">
        <w:rPr>
          <w:rFonts w:ascii="ITC Avant Garde" w:hAnsi="ITC Avant Garde" w:cstheme="minorHAnsi"/>
          <w:lang w:val="es-ES_tradnl"/>
        </w:rPr>
        <w:t>d</w:t>
      </w:r>
      <w:r w:rsidR="00773028" w:rsidRPr="00773028">
        <w:rPr>
          <w:rFonts w:ascii="ITC Avant Garde" w:hAnsi="ITC Avant Garde" w:cstheme="minorHAnsi"/>
          <w:lang w:val="es-ES_tradnl"/>
        </w:rPr>
        <w:t xml:space="preserve">esde su creación, el IFT ha contribuido a la recaudación de ingresos públicos del Gobierno Federal por </w:t>
      </w:r>
      <w:r w:rsidR="00F4335A">
        <w:rPr>
          <w:rFonts w:ascii="ITC Avant Garde" w:hAnsi="ITC Avant Garde" w:cstheme="minorHAnsi"/>
          <w:lang w:val="es-ES_tradnl"/>
        </w:rPr>
        <w:t>d</w:t>
      </w:r>
      <w:r w:rsidR="00773028" w:rsidRPr="00773028">
        <w:rPr>
          <w:rFonts w:ascii="ITC Avant Garde" w:hAnsi="ITC Avant Garde" w:cstheme="minorHAnsi"/>
          <w:lang w:val="es-ES_tradnl"/>
        </w:rPr>
        <w:t>erechos y otros conceptos. De 2013 al mes de agosto de 2018 se han generado ingresos por 70,716.48 millones de pesos (mdp), mientras que el costo de operación autorizado del IFT ha sido de 9,978.00 mdp (14.1% de lo generado). De ese total</w:t>
      </w:r>
      <w:r w:rsidR="00953FA6">
        <w:rPr>
          <w:rFonts w:ascii="ITC Avant Garde" w:hAnsi="ITC Avant Garde" w:cstheme="minorHAnsi"/>
          <w:lang w:val="es-ES_tradnl"/>
        </w:rPr>
        <w:t xml:space="preserve"> de ingresos</w:t>
      </w:r>
      <w:r w:rsidR="00773028" w:rsidRPr="00773028">
        <w:rPr>
          <w:rFonts w:ascii="ITC Avant Garde" w:hAnsi="ITC Avant Garde" w:cstheme="minorHAnsi"/>
          <w:lang w:val="es-ES_tradnl"/>
        </w:rPr>
        <w:t xml:space="preserve">, 20,434.17 mdp corresponden a derechos y aprovechamientos, </w:t>
      </w:r>
      <w:r w:rsidR="00773028" w:rsidRPr="00773028">
        <w:rPr>
          <w:rFonts w:ascii="ITC Avant Garde" w:hAnsi="ITC Avant Garde" w:cstheme="minorHAnsi"/>
          <w:lang w:val="es-ES_tradnl"/>
        </w:rPr>
        <w:lastRenderedPageBreak/>
        <w:t>generados como consecuencia de procedimientos de licitación pública de bandas de frecuencia del espectro radioeléctrico para la prestación comercial de servicios públicos de telecomunicaciones y radiodifusión.</w:t>
      </w:r>
    </w:p>
    <w:p w:rsidR="00EA6C31" w:rsidRDefault="00FC365D" w:rsidP="00A7767E">
      <w:pPr>
        <w:spacing w:before="240"/>
        <w:jc w:val="both"/>
        <w:rPr>
          <w:rFonts w:ascii="ITC Avant Garde" w:hAnsi="ITC Avant Garde" w:cstheme="minorHAnsi"/>
          <w:lang w:val="es-ES_tradnl"/>
        </w:rPr>
      </w:pPr>
      <w:r>
        <w:rPr>
          <w:rFonts w:ascii="ITC Avant Garde" w:hAnsi="ITC Avant Garde" w:cstheme="minorHAnsi"/>
          <w:b/>
          <w:lang w:val="es-ES_tradnl"/>
        </w:rPr>
        <w:t>NOVENO</w:t>
      </w:r>
      <w:r w:rsidR="008978BC">
        <w:rPr>
          <w:rFonts w:ascii="ITC Avant Garde" w:hAnsi="ITC Avant Garde" w:cstheme="minorHAnsi"/>
          <w:lang w:val="es-ES_tradnl"/>
        </w:rPr>
        <w:t>. -</w:t>
      </w:r>
      <w:r w:rsidR="00A26A86">
        <w:rPr>
          <w:rFonts w:ascii="ITC Avant Garde" w:hAnsi="ITC Avant Garde" w:cstheme="minorHAnsi"/>
          <w:lang w:val="es-ES_tradnl"/>
        </w:rPr>
        <w:t xml:space="preserve"> Que </w:t>
      </w:r>
      <w:r w:rsidR="00A26A86" w:rsidRPr="00A26A86">
        <w:rPr>
          <w:rFonts w:ascii="ITC Avant Garde" w:hAnsi="ITC Avant Garde" w:cstheme="minorHAnsi"/>
          <w:lang w:val="es-ES_tradnl"/>
        </w:rPr>
        <w:t xml:space="preserve">la evolución del presupuesto autorizado al Instituto por la Cámara de Diputados, </w:t>
      </w:r>
      <w:r w:rsidR="00A26A86">
        <w:rPr>
          <w:rFonts w:ascii="ITC Avant Garde" w:hAnsi="ITC Avant Garde" w:cstheme="minorHAnsi"/>
          <w:lang w:val="es-ES_tradnl"/>
        </w:rPr>
        <w:t>presenta</w:t>
      </w:r>
      <w:r w:rsidR="00A26A86" w:rsidRPr="00A26A86">
        <w:rPr>
          <w:rFonts w:ascii="ITC Avant Garde" w:hAnsi="ITC Avant Garde" w:cstheme="minorHAnsi"/>
          <w:lang w:val="es-ES_tradnl"/>
        </w:rPr>
        <w:t xml:space="preserve"> una disminución en términos reales del 11.6% en el periodo 2014-2018, lo que significa una </w:t>
      </w:r>
      <w:r w:rsidR="00C4527E">
        <w:rPr>
          <w:rFonts w:ascii="ITC Avant Garde" w:hAnsi="ITC Avant Garde" w:cstheme="minorHAnsi"/>
          <w:lang w:val="es-ES_tradnl"/>
        </w:rPr>
        <w:t>reducción</w:t>
      </w:r>
      <w:r w:rsidR="00A26A86" w:rsidRPr="00A26A86">
        <w:rPr>
          <w:rFonts w:ascii="ITC Avant Garde" w:hAnsi="ITC Avant Garde" w:cstheme="minorHAnsi"/>
          <w:lang w:val="es-ES_tradnl"/>
        </w:rPr>
        <w:t xml:space="preserve"> </w:t>
      </w:r>
      <w:r w:rsidR="00A26A86">
        <w:rPr>
          <w:rFonts w:ascii="ITC Avant Garde" w:hAnsi="ITC Avant Garde" w:cstheme="minorHAnsi"/>
          <w:lang w:val="es-ES_tradnl"/>
        </w:rPr>
        <w:t>de más de 200 millones de pesos en dicho periodo.</w:t>
      </w:r>
    </w:p>
    <w:p w:rsidR="00EA6C31" w:rsidRDefault="00FC365D" w:rsidP="00A7767E">
      <w:pPr>
        <w:spacing w:before="240"/>
        <w:jc w:val="both"/>
        <w:rPr>
          <w:rFonts w:ascii="ITC Avant Garde" w:hAnsi="ITC Avant Garde" w:cstheme="minorHAnsi"/>
          <w:b/>
          <w:lang w:val="es-ES_tradnl"/>
        </w:rPr>
      </w:pPr>
      <w:r>
        <w:rPr>
          <w:rFonts w:ascii="ITC Avant Garde" w:hAnsi="ITC Avant Garde" w:cstheme="minorHAnsi"/>
          <w:b/>
          <w:lang w:val="es-ES_tradnl"/>
        </w:rPr>
        <w:t>DÉCIMO</w:t>
      </w:r>
      <w:r w:rsidR="008978BC" w:rsidRPr="00773028">
        <w:rPr>
          <w:rFonts w:ascii="ITC Avant Garde" w:hAnsi="ITC Avant Garde" w:cstheme="minorHAnsi"/>
          <w:b/>
          <w:lang w:val="es-ES_tradnl"/>
        </w:rPr>
        <w:t>. -</w:t>
      </w:r>
      <w:r w:rsidR="00A26A86" w:rsidRPr="00773028">
        <w:rPr>
          <w:rFonts w:ascii="ITC Avant Garde" w:hAnsi="ITC Avant Garde" w:cstheme="minorHAnsi"/>
          <w:b/>
          <w:lang w:val="es-ES_tradnl"/>
        </w:rPr>
        <w:t xml:space="preserve"> </w:t>
      </w:r>
      <w:r w:rsidR="008978BC" w:rsidRPr="00773028">
        <w:rPr>
          <w:rFonts w:ascii="ITC Avant Garde" w:hAnsi="ITC Avant Garde" w:cstheme="minorHAnsi"/>
          <w:lang w:val="es-ES_tradnl"/>
        </w:rPr>
        <w:t>Que,</w:t>
      </w:r>
      <w:r w:rsidR="00A26A86" w:rsidRPr="00773028">
        <w:rPr>
          <w:rFonts w:ascii="ITC Avant Garde" w:hAnsi="ITC Avant Garde" w:cstheme="minorHAnsi"/>
          <w:lang w:val="es-ES_tradnl"/>
        </w:rPr>
        <w:t xml:space="preserve"> </w:t>
      </w:r>
      <w:r w:rsidR="00773028" w:rsidRPr="00773028">
        <w:rPr>
          <w:rFonts w:ascii="ITC Avant Garde" w:hAnsi="ITC Avant Garde" w:cstheme="minorHAnsi"/>
          <w:lang w:val="es-ES_tradnl"/>
        </w:rPr>
        <w:t xml:space="preserve">desde su creación, el IFT ha </w:t>
      </w:r>
      <w:r w:rsidR="00C70B45">
        <w:rPr>
          <w:rFonts w:ascii="ITC Avant Garde" w:hAnsi="ITC Avant Garde" w:cstheme="minorHAnsi"/>
          <w:lang w:val="es-ES_tradnl"/>
        </w:rPr>
        <w:t>dado cumplimiento a</w:t>
      </w:r>
      <w:r w:rsidR="00773028" w:rsidRPr="00773028">
        <w:rPr>
          <w:rFonts w:ascii="ITC Avant Garde" w:hAnsi="ITC Avant Garde" w:cstheme="minorHAnsi"/>
          <w:lang w:val="es-ES_tradnl"/>
        </w:rPr>
        <w:t xml:space="preserve"> lo dispuesto por el artículo 127 Constitución Política de los Estados Unidos Mexicanos (CPEUM), p</w:t>
      </w:r>
      <w:r w:rsidR="00C70B45">
        <w:rPr>
          <w:rFonts w:ascii="ITC Avant Garde" w:hAnsi="ITC Avant Garde" w:cstheme="minorHAnsi"/>
          <w:lang w:val="es-ES_tradnl"/>
        </w:rPr>
        <w:t xml:space="preserve">ues </w:t>
      </w:r>
      <w:r w:rsidR="00773028" w:rsidRPr="00773028">
        <w:rPr>
          <w:rFonts w:ascii="ITC Avant Garde" w:hAnsi="ITC Avant Garde" w:cstheme="minorHAnsi"/>
          <w:lang w:val="es-ES_tradnl"/>
        </w:rPr>
        <w:t xml:space="preserve">en ningún </w:t>
      </w:r>
      <w:r w:rsidR="00C70B45">
        <w:rPr>
          <w:rFonts w:ascii="ITC Avant Garde" w:hAnsi="ITC Avant Garde" w:cstheme="minorHAnsi"/>
          <w:lang w:val="es-ES_tradnl"/>
        </w:rPr>
        <w:t xml:space="preserve">ejercicio </w:t>
      </w:r>
      <w:r w:rsidR="0081676D">
        <w:rPr>
          <w:rFonts w:ascii="ITC Avant Garde" w:hAnsi="ITC Avant Garde" w:cstheme="minorHAnsi"/>
          <w:lang w:val="es-ES_tradnl"/>
        </w:rPr>
        <w:t xml:space="preserve">presupuestal </w:t>
      </w:r>
      <w:r w:rsidR="0081676D" w:rsidRPr="00773028">
        <w:rPr>
          <w:rFonts w:ascii="ITC Avant Garde" w:hAnsi="ITC Avant Garde" w:cstheme="minorHAnsi"/>
          <w:lang w:val="es-ES_tradnl"/>
        </w:rPr>
        <w:t>la</w:t>
      </w:r>
      <w:r w:rsidR="00773028" w:rsidRPr="00773028">
        <w:rPr>
          <w:rFonts w:ascii="ITC Avant Garde" w:hAnsi="ITC Avant Garde" w:cstheme="minorHAnsi"/>
          <w:lang w:val="es-ES_tradnl"/>
        </w:rPr>
        <w:t xml:space="preserve"> Remuneración Total Anual (RTA) de sus Comisionados —incluyendo el Comisionado Presidente— ha rebasado la establecida para el Presidente de la República.</w:t>
      </w:r>
      <w:r w:rsidR="00773028" w:rsidRPr="00773028">
        <w:rPr>
          <w:rFonts w:ascii="ITC Avant Garde" w:hAnsi="ITC Avant Garde" w:cstheme="minorHAnsi"/>
          <w:b/>
          <w:lang w:val="es-ES_tradnl"/>
        </w:rPr>
        <w:t xml:space="preserve"> </w:t>
      </w:r>
    </w:p>
    <w:p w:rsidR="00EA6C31" w:rsidRDefault="00773028" w:rsidP="00A7767E">
      <w:pPr>
        <w:spacing w:before="240"/>
        <w:jc w:val="both"/>
        <w:rPr>
          <w:rFonts w:ascii="ITC Avant Garde" w:hAnsi="ITC Avant Garde" w:cstheme="minorHAnsi"/>
          <w:lang w:val="es-ES_tradnl"/>
        </w:rPr>
      </w:pPr>
      <w:r w:rsidRPr="00773028">
        <w:rPr>
          <w:rFonts w:ascii="ITC Avant Garde" w:hAnsi="ITC Avant Garde" w:cstheme="minorHAnsi"/>
          <w:lang w:val="es-ES_tradnl"/>
        </w:rPr>
        <w:t>Asimismo, el IFT ha cuidado que en todo momento las remuneraciones (ordinarias y extraordinarias) de su personal, se mantengan bajo los principios de austeridad y disciplina presupuestaria. Si bien, durante el periodo 2014 - 2018, las remuneraciones aumentaron 8% en términos nominales, esto no ha compensado la inflación en dicho periodo, ya que en total ha representado una pérdida en términos reales de 17.7% del poder adquisitivo del personal del Instituto</w:t>
      </w:r>
      <w:r>
        <w:rPr>
          <w:rFonts w:ascii="ITC Avant Garde" w:hAnsi="ITC Avant Garde" w:cstheme="minorHAnsi"/>
          <w:lang w:val="es-ES_tradnl"/>
        </w:rPr>
        <w:t>.</w:t>
      </w:r>
    </w:p>
    <w:p w:rsidR="00A26A86" w:rsidRPr="00D96F20" w:rsidRDefault="005B49E9" w:rsidP="00A7767E">
      <w:pPr>
        <w:pStyle w:val="Sinespaciado"/>
        <w:spacing w:before="240" w:after="200" w:line="276" w:lineRule="auto"/>
        <w:jc w:val="both"/>
        <w:rPr>
          <w:rFonts w:ascii="Arial" w:hAnsi="Arial" w:cs="Arial"/>
          <w:sz w:val="24"/>
          <w:szCs w:val="24"/>
          <w:lang w:val="es-ES_tradnl"/>
        </w:rPr>
      </w:pPr>
      <w:r>
        <w:rPr>
          <w:rFonts w:cstheme="minorHAnsi"/>
          <w:b/>
          <w:lang w:val="es-ES_tradnl"/>
        </w:rPr>
        <w:t>DÉCIMO PRIMERO</w:t>
      </w:r>
      <w:r w:rsidR="008978BC">
        <w:rPr>
          <w:rFonts w:cstheme="minorHAnsi"/>
          <w:lang w:val="es-ES_tradnl"/>
        </w:rPr>
        <w:t xml:space="preserve">. </w:t>
      </w:r>
      <w:r w:rsidR="0081676D">
        <w:rPr>
          <w:rFonts w:cstheme="minorHAnsi"/>
          <w:lang w:val="es-ES_tradnl"/>
        </w:rPr>
        <w:t>–</w:t>
      </w:r>
      <w:r w:rsidR="00A26A86">
        <w:rPr>
          <w:rFonts w:cstheme="minorHAnsi"/>
          <w:lang w:val="es-ES_tradnl"/>
        </w:rPr>
        <w:t xml:space="preserve"> </w:t>
      </w:r>
      <w:r w:rsidR="00EC23EA" w:rsidRPr="00A26A86">
        <w:rPr>
          <w:rFonts w:cstheme="minorHAnsi"/>
          <w:lang w:val="es-ES_tradnl"/>
        </w:rPr>
        <w:t>Que</w:t>
      </w:r>
      <w:r w:rsidR="0081676D">
        <w:rPr>
          <w:rFonts w:cstheme="minorHAnsi"/>
          <w:lang w:val="es-ES_tradnl"/>
        </w:rPr>
        <w:t>,</w:t>
      </w:r>
      <w:r w:rsidR="00EC23EA" w:rsidRPr="00A26A86">
        <w:rPr>
          <w:rFonts w:cstheme="minorHAnsi"/>
          <w:lang w:val="es-ES_tradnl"/>
        </w:rPr>
        <w:t xml:space="preserve"> al cierre del 2018</w:t>
      </w:r>
      <w:r w:rsidR="00C70B45">
        <w:rPr>
          <w:rFonts w:cstheme="minorHAnsi"/>
          <w:lang w:val="es-ES_tradnl"/>
        </w:rPr>
        <w:t xml:space="preserve"> en seguimiento a</w:t>
      </w:r>
      <w:r w:rsidR="00EC23EA" w:rsidRPr="00A26A86">
        <w:rPr>
          <w:rFonts w:cstheme="minorHAnsi"/>
          <w:lang w:val="es-ES_tradnl"/>
        </w:rPr>
        <w:t xml:space="preserve"> </w:t>
      </w:r>
      <w:r w:rsidR="00C70B45" w:rsidRPr="00773028">
        <w:rPr>
          <w:rFonts w:cstheme="minorHAnsi"/>
          <w:lang w:val="es-ES_tradnl"/>
        </w:rPr>
        <w:t>los principios de austeridad y disciplina presupuestaria</w:t>
      </w:r>
      <w:r w:rsidR="00C70B45">
        <w:rPr>
          <w:rFonts w:cstheme="minorHAnsi"/>
          <w:lang w:val="es-ES_tradnl"/>
        </w:rPr>
        <w:t>,</w:t>
      </w:r>
      <w:r w:rsidR="00C70B45" w:rsidRPr="00A26A86">
        <w:rPr>
          <w:rFonts w:cstheme="minorHAnsi"/>
          <w:lang w:val="es-ES_tradnl"/>
        </w:rPr>
        <w:t xml:space="preserve"> </w:t>
      </w:r>
      <w:r w:rsidR="00EC23EA" w:rsidRPr="00A26A86">
        <w:rPr>
          <w:rFonts w:cstheme="minorHAnsi"/>
          <w:lang w:val="es-ES_tradnl"/>
        </w:rPr>
        <w:t xml:space="preserve">se estima cumplir con la meta de ahorro presupuestario </w:t>
      </w:r>
      <w:r w:rsidR="00EC23EA">
        <w:rPr>
          <w:rFonts w:cstheme="minorHAnsi"/>
          <w:lang w:val="es-ES_tradnl"/>
        </w:rPr>
        <w:t xml:space="preserve">para el año 2018 </w:t>
      </w:r>
      <w:r w:rsidR="00EC23EA" w:rsidRPr="00A26A86">
        <w:rPr>
          <w:rFonts w:cstheme="minorHAnsi"/>
          <w:lang w:val="es-ES_tradnl"/>
        </w:rPr>
        <w:t xml:space="preserve">de 43.0 mdp y que equivale al 2.15% del presupuesto aprobado al Instituto. Estos ajustes corresponden principalmente a ahorros y economías por vacancia y procedimientos de licitación pública, así como a la aplicación de los Lineamientos de Austeridad y Disciplina Presupuestaria para el </w:t>
      </w:r>
      <w:r w:rsidR="00F4335A">
        <w:rPr>
          <w:rFonts w:cstheme="minorHAnsi"/>
          <w:lang w:val="es-ES_tradnl"/>
        </w:rPr>
        <w:t>e</w:t>
      </w:r>
      <w:r w:rsidR="00EC23EA" w:rsidRPr="00A26A86">
        <w:rPr>
          <w:rFonts w:cstheme="minorHAnsi"/>
          <w:lang w:val="es-ES_tradnl"/>
        </w:rPr>
        <w:t xml:space="preserve">jercicio </w:t>
      </w:r>
      <w:r w:rsidR="00F4335A">
        <w:rPr>
          <w:rFonts w:cstheme="minorHAnsi"/>
          <w:lang w:val="es-ES_tradnl"/>
        </w:rPr>
        <w:t>f</w:t>
      </w:r>
      <w:r w:rsidR="00EC23EA" w:rsidRPr="00A26A86">
        <w:rPr>
          <w:rFonts w:cstheme="minorHAnsi"/>
          <w:lang w:val="es-ES_tradnl"/>
        </w:rPr>
        <w:t>iscal 2018. Con dicho monto, entre 2014 y 2018 el IFT habrá reintegrado por ese concepto a la Tesorería de la Federación (TESOFE) un total de 309.3 mdp.</w:t>
      </w:r>
    </w:p>
    <w:p w:rsidR="00EA6C31" w:rsidRDefault="0097600B" w:rsidP="00A7767E">
      <w:pPr>
        <w:spacing w:before="240"/>
        <w:jc w:val="both"/>
        <w:rPr>
          <w:rFonts w:ascii="ITC Avant Garde" w:eastAsiaTheme="minorEastAsia" w:hAnsi="ITC Avant Garde" w:cstheme="minorHAnsi"/>
          <w:b/>
          <w:lang w:val="es-ES_tradnl" w:eastAsia="es-MX"/>
        </w:rPr>
      </w:pPr>
      <w:r>
        <w:rPr>
          <w:rFonts w:ascii="ITC Avant Garde" w:eastAsiaTheme="minorEastAsia" w:hAnsi="ITC Avant Garde" w:cstheme="minorHAnsi"/>
          <w:b/>
          <w:lang w:val="es-ES_tradnl" w:eastAsia="es-MX"/>
        </w:rPr>
        <w:t xml:space="preserve">DÉCIMO SEGUNDO. - </w:t>
      </w:r>
      <w:r w:rsidRPr="0097600B">
        <w:rPr>
          <w:rFonts w:ascii="ITC Avant Garde" w:eastAsiaTheme="minorEastAsia" w:hAnsi="ITC Avant Garde" w:cstheme="minorHAnsi"/>
          <w:lang w:val="es-ES_tradnl" w:eastAsia="es-MX"/>
        </w:rPr>
        <w:t xml:space="preserve">Que, </w:t>
      </w:r>
      <w:r>
        <w:rPr>
          <w:rFonts w:ascii="ITC Avant Garde" w:eastAsiaTheme="minorEastAsia" w:hAnsi="ITC Avant Garde" w:cstheme="minorHAnsi"/>
          <w:lang w:val="es-ES_tradnl" w:eastAsia="es-MX"/>
        </w:rPr>
        <w:t>d</w:t>
      </w:r>
      <w:r w:rsidRPr="0097600B">
        <w:rPr>
          <w:rFonts w:ascii="ITC Avant Garde" w:eastAsiaTheme="minorEastAsia" w:hAnsi="ITC Avant Garde" w:cstheme="minorHAnsi"/>
          <w:lang w:val="es-ES_tradnl" w:eastAsia="es-MX"/>
        </w:rPr>
        <w:t>e conformidad con lo establecido en el artículo 28 Constitucional, el Instituto es un órgano autónomo, con personalidad jurídica y patrimonio propio, que tiene por objeto el desarrollo eficiente de la radiodifusión y las telecomunicaciones. Para tal efecto, tendrá a su cargo:</w:t>
      </w:r>
    </w:p>
    <w:p w:rsidR="0097600B" w:rsidRPr="0097600B" w:rsidRDefault="0097600B" w:rsidP="00A7767E">
      <w:pPr>
        <w:spacing w:before="240"/>
        <w:ind w:left="426"/>
        <w:jc w:val="both"/>
        <w:rPr>
          <w:rFonts w:ascii="ITC Avant Garde" w:eastAsiaTheme="minorEastAsia" w:hAnsi="ITC Avant Garde" w:cstheme="minorHAnsi"/>
          <w:lang w:val="es-ES_tradnl" w:eastAsia="es-MX"/>
        </w:rPr>
      </w:pPr>
      <w:r w:rsidRPr="0097600B">
        <w:rPr>
          <w:rFonts w:ascii="ITC Avant Garde" w:eastAsiaTheme="minorEastAsia" w:hAnsi="ITC Avant Garde" w:cstheme="minorHAnsi"/>
          <w:lang w:val="es-ES_tradnl" w:eastAsia="es-MX"/>
        </w:rPr>
        <w:t>•</w:t>
      </w:r>
      <w:r w:rsidRPr="0097600B">
        <w:rPr>
          <w:rFonts w:ascii="ITC Avant Garde" w:eastAsiaTheme="minorEastAsia" w:hAnsi="ITC Avant Garde" w:cstheme="minorHAnsi"/>
          <w:lang w:val="es-ES_tradnl" w:eastAsia="es-MX"/>
        </w:rPr>
        <w:tab/>
        <w:t>La regulación, promoción y supervisión de:</w:t>
      </w:r>
    </w:p>
    <w:p w:rsidR="0097600B" w:rsidRPr="0097600B" w:rsidRDefault="0097600B" w:rsidP="00A7767E">
      <w:pPr>
        <w:spacing w:before="240"/>
        <w:ind w:left="426"/>
        <w:jc w:val="both"/>
        <w:rPr>
          <w:rFonts w:ascii="ITC Avant Garde" w:eastAsiaTheme="minorEastAsia" w:hAnsi="ITC Avant Garde" w:cstheme="minorHAnsi"/>
          <w:lang w:val="es-ES_tradnl" w:eastAsia="es-MX"/>
        </w:rPr>
      </w:pPr>
      <w:r w:rsidRPr="0097600B">
        <w:rPr>
          <w:rFonts w:ascii="ITC Avant Garde" w:eastAsiaTheme="minorEastAsia" w:hAnsi="ITC Avant Garde" w:cstheme="minorHAnsi"/>
          <w:lang w:val="es-ES_tradnl" w:eastAsia="es-MX"/>
        </w:rPr>
        <w:t>•</w:t>
      </w:r>
      <w:r w:rsidRPr="0097600B">
        <w:rPr>
          <w:rFonts w:ascii="ITC Avant Garde" w:eastAsiaTheme="minorEastAsia" w:hAnsi="ITC Avant Garde" w:cstheme="minorHAnsi"/>
          <w:lang w:val="es-ES_tradnl" w:eastAsia="es-MX"/>
        </w:rPr>
        <w:tab/>
        <w:t>Uso, aprovechamiento y explotación del espectro radioeléctrico;</w:t>
      </w:r>
    </w:p>
    <w:p w:rsidR="0097600B" w:rsidRPr="0097600B" w:rsidRDefault="0097600B" w:rsidP="00A7767E">
      <w:pPr>
        <w:spacing w:before="240"/>
        <w:ind w:left="426"/>
        <w:jc w:val="both"/>
        <w:rPr>
          <w:rFonts w:ascii="ITC Avant Garde" w:eastAsiaTheme="minorEastAsia" w:hAnsi="ITC Avant Garde" w:cstheme="minorHAnsi"/>
          <w:lang w:val="es-ES_tradnl" w:eastAsia="es-MX"/>
        </w:rPr>
      </w:pPr>
      <w:r w:rsidRPr="0097600B">
        <w:rPr>
          <w:rFonts w:ascii="ITC Avant Garde" w:eastAsiaTheme="minorEastAsia" w:hAnsi="ITC Avant Garde" w:cstheme="minorHAnsi"/>
          <w:lang w:val="es-ES_tradnl" w:eastAsia="es-MX"/>
        </w:rPr>
        <w:t>•</w:t>
      </w:r>
      <w:r w:rsidRPr="0097600B">
        <w:rPr>
          <w:rFonts w:ascii="ITC Avant Garde" w:eastAsiaTheme="minorEastAsia" w:hAnsi="ITC Avant Garde" w:cstheme="minorHAnsi"/>
          <w:lang w:val="es-ES_tradnl" w:eastAsia="es-MX"/>
        </w:rPr>
        <w:tab/>
        <w:t>Las redes;</w:t>
      </w:r>
    </w:p>
    <w:p w:rsidR="0097600B" w:rsidRPr="0097600B" w:rsidRDefault="0097600B" w:rsidP="00A7767E">
      <w:pPr>
        <w:spacing w:before="240"/>
        <w:ind w:left="426"/>
        <w:jc w:val="both"/>
        <w:rPr>
          <w:rFonts w:ascii="ITC Avant Garde" w:eastAsiaTheme="minorEastAsia" w:hAnsi="ITC Avant Garde" w:cstheme="minorHAnsi"/>
          <w:lang w:val="es-ES_tradnl" w:eastAsia="es-MX"/>
        </w:rPr>
      </w:pPr>
      <w:r w:rsidRPr="0097600B">
        <w:rPr>
          <w:rFonts w:ascii="ITC Avant Garde" w:eastAsiaTheme="minorEastAsia" w:hAnsi="ITC Avant Garde" w:cstheme="minorHAnsi"/>
          <w:lang w:val="es-ES_tradnl" w:eastAsia="es-MX"/>
        </w:rPr>
        <w:lastRenderedPageBreak/>
        <w:t>•</w:t>
      </w:r>
      <w:r w:rsidRPr="0097600B">
        <w:rPr>
          <w:rFonts w:ascii="ITC Avant Garde" w:eastAsiaTheme="minorEastAsia" w:hAnsi="ITC Avant Garde" w:cstheme="minorHAnsi"/>
          <w:lang w:val="es-ES_tradnl" w:eastAsia="es-MX"/>
        </w:rPr>
        <w:tab/>
        <w:t xml:space="preserve">La prestación de los servicios de radiodifusión y telecomunicaciones, y </w:t>
      </w:r>
    </w:p>
    <w:p w:rsidR="0097600B" w:rsidRPr="0097600B" w:rsidRDefault="0097600B" w:rsidP="00A7767E">
      <w:pPr>
        <w:spacing w:before="240"/>
        <w:ind w:left="426"/>
        <w:jc w:val="both"/>
        <w:rPr>
          <w:rFonts w:ascii="ITC Avant Garde" w:eastAsiaTheme="minorEastAsia" w:hAnsi="ITC Avant Garde" w:cstheme="minorHAnsi"/>
          <w:lang w:val="es-ES_tradnl" w:eastAsia="es-MX"/>
        </w:rPr>
      </w:pPr>
      <w:r w:rsidRPr="0097600B">
        <w:rPr>
          <w:rFonts w:ascii="ITC Avant Garde" w:eastAsiaTheme="minorEastAsia" w:hAnsi="ITC Avant Garde" w:cstheme="minorHAnsi"/>
          <w:lang w:val="es-ES_tradnl" w:eastAsia="es-MX"/>
        </w:rPr>
        <w:t>•</w:t>
      </w:r>
      <w:r w:rsidRPr="0097600B">
        <w:rPr>
          <w:rFonts w:ascii="ITC Avant Garde" w:eastAsiaTheme="minorEastAsia" w:hAnsi="ITC Avant Garde" w:cstheme="minorHAnsi"/>
          <w:lang w:val="es-ES_tradnl" w:eastAsia="es-MX"/>
        </w:rPr>
        <w:tab/>
        <w:t>Acceso a infraestructura activa, pasiva y otros insumos esenciales.</w:t>
      </w:r>
    </w:p>
    <w:p w:rsidR="0097600B" w:rsidRPr="0097600B" w:rsidRDefault="0097600B" w:rsidP="00A7767E">
      <w:pPr>
        <w:spacing w:before="240"/>
        <w:ind w:left="426"/>
        <w:jc w:val="both"/>
        <w:rPr>
          <w:rFonts w:ascii="ITC Avant Garde" w:eastAsiaTheme="minorEastAsia" w:hAnsi="ITC Avant Garde" w:cstheme="minorHAnsi"/>
          <w:lang w:val="es-ES_tradnl" w:eastAsia="es-MX"/>
        </w:rPr>
      </w:pPr>
      <w:r w:rsidRPr="0097600B">
        <w:rPr>
          <w:rFonts w:ascii="ITC Avant Garde" w:eastAsiaTheme="minorEastAsia" w:hAnsi="ITC Avant Garde" w:cstheme="minorHAnsi"/>
          <w:lang w:val="es-ES_tradnl" w:eastAsia="es-MX"/>
        </w:rPr>
        <w:t>•</w:t>
      </w:r>
      <w:r w:rsidRPr="0097600B">
        <w:rPr>
          <w:rFonts w:ascii="ITC Avant Garde" w:eastAsiaTheme="minorEastAsia" w:hAnsi="ITC Avant Garde" w:cstheme="minorHAnsi"/>
          <w:lang w:val="es-ES_tradnl" w:eastAsia="es-MX"/>
        </w:rPr>
        <w:tab/>
        <w:t>El otorgamiento, la revocación, así como la autorización de cesiones o cambios de control accionario, titularidad u operación de sociedades relacionadas con concesiones en materia de radiodifusión y telecomunicaciones.</w:t>
      </w:r>
    </w:p>
    <w:p w:rsidR="0097600B" w:rsidRPr="0097600B" w:rsidRDefault="0097600B" w:rsidP="00A7767E">
      <w:pPr>
        <w:spacing w:before="240"/>
        <w:ind w:left="426"/>
        <w:jc w:val="both"/>
        <w:rPr>
          <w:rFonts w:ascii="ITC Avant Garde" w:eastAsiaTheme="minorEastAsia" w:hAnsi="ITC Avant Garde" w:cstheme="minorHAnsi"/>
          <w:lang w:val="es-ES_tradnl" w:eastAsia="es-MX"/>
        </w:rPr>
      </w:pPr>
      <w:r w:rsidRPr="0097600B">
        <w:rPr>
          <w:rFonts w:ascii="ITC Avant Garde" w:eastAsiaTheme="minorEastAsia" w:hAnsi="ITC Avant Garde" w:cstheme="minorHAnsi"/>
          <w:lang w:val="es-ES_tradnl" w:eastAsia="es-MX"/>
        </w:rPr>
        <w:t>•</w:t>
      </w:r>
      <w:r w:rsidRPr="0097600B">
        <w:rPr>
          <w:rFonts w:ascii="ITC Avant Garde" w:eastAsiaTheme="minorEastAsia" w:hAnsi="ITC Avant Garde" w:cstheme="minorHAnsi"/>
          <w:lang w:val="es-ES_tradnl" w:eastAsia="es-MX"/>
        </w:rPr>
        <w:tab/>
        <w:t>Fungir como autoridad en materia de competencia económica de los sectores de radiodifusión y telecomunicaciones.</w:t>
      </w:r>
    </w:p>
    <w:p w:rsidR="0097600B" w:rsidRPr="0097600B" w:rsidRDefault="0097600B" w:rsidP="00A7767E">
      <w:pPr>
        <w:spacing w:before="240"/>
        <w:ind w:left="426"/>
        <w:jc w:val="both"/>
        <w:rPr>
          <w:rFonts w:ascii="ITC Avant Garde" w:eastAsiaTheme="minorEastAsia" w:hAnsi="ITC Avant Garde" w:cstheme="minorHAnsi"/>
          <w:lang w:val="es-ES_tradnl" w:eastAsia="es-MX"/>
        </w:rPr>
      </w:pPr>
      <w:r w:rsidRPr="0097600B">
        <w:rPr>
          <w:rFonts w:ascii="ITC Avant Garde" w:eastAsiaTheme="minorEastAsia" w:hAnsi="ITC Avant Garde" w:cstheme="minorHAnsi"/>
          <w:lang w:val="es-ES_tradnl" w:eastAsia="es-MX"/>
        </w:rPr>
        <w:t>•</w:t>
      </w:r>
      <w:r w:rsidRPr="0097600B">
        <w:rPr>
          <w:rFonts w:ascii="ITC Avant Garde" w:eastAsiaTheme="minorEastAsia" w:hAnsi="ITC Avant Garde" w:cstheme="minorHAnsi"/>
          <w:lang w:val="es-ES_tradnl" w:eastAsia="es-MX"/>
        </w:rPr>
        <w:tab/>
        <w:t xml:space="preserve">El Instituto es independiente en sus decisiones y funcionamiento, profesional en su desempeño e imparcial en sus actuaciones, y se regirá, entre otras disposiciones, conforme a lo siguiente: </w:t>
      </w:r>
    </w:p>
    <w:p w:rsidR="0097600B" w:rsidRPr="0097600B" w:rsidRDefault="0097600B" w:rsidP="00A7767E">
      <w:pPr>
        <w:spacing w:before="240"/>
        <w:ind w:left="851"/>
        <w:jc w:val="both"/>
        <w:rPr>
          <w:rFonts w:ascii="ITC Avant Garde" w:eastAsiaTheme="minorEastAsia" w:hAnsi="ITC Avant Garde" w:cstheme="minorHAnsi"/>
          <w:lang w:val="es-ES_tradnl" w:eastAsia="es-MX"/>
        </w:rPr>
      </w:pPr>
      <w:r w:rsidRPr="0097600B">
        <w:rPr>
          <w:rFonts w:ascii="ITC Avant Garde" w:eastAsiaTheme="minorEastAsia" w:hAnsi="ITC Avant Garde" w:cstheme="minorHAnsi"/>
          <w:lang w:val="es-ES_tradnl" w:eastAsia="es-MX"/>
        </w:rPr>
        <w:t>I.</w:t>
      </w:r>
      <w:r w:rsidRPr="0097600B">
        <w:rPr>
          <w:rFonts w:ascii="ITC Avant Garde" w:eastAsiaTheme="minorEastAsia" w:hAnsi="ITC Avant Garde" w:cstheme="minorHAnsi"/>
          <w:lang w:val="es-ES_tradnl" w:eastAsia="es-MX"/>
        </w:rPr>
        <w:tab/>
        <w:t xml:space="preserve">Dictará sus resoluciones con plena independencia; </w:t>
      </w:r>
    </w:p>
    <w:p w:rsidR="0097600B" w:rsidRDefault="0097600B" w:rsidP="00A7767E">
      <w:pPr>
        <w:spacing w:before="240"/>
        <w:ind w:left="851"/>
        <w:jc w:val="both"/>
        <w:rPr>
          <w:rFonts w:ascii="ITC Avant Garde" w:eastAsiaTheme="minorEastAsia" w:hAnsi="ITC Avant Garde" w:cstheme="minorHAnsi"/>
          <w:lang w:val="es-ES_tradnl" w:eastAsia="es-MX"/>
        </w:rPr>
      </w:pPr>
      <w:r w:rsidRPr="0097600B">
        <w:rPr>
          <w:rFonts w:ascii="ITC Avant Garde" w:eastAsiaTheme="minorEastAsia" w:hAnsi="ITC Avant Garde" w:cstheme="minorHAnsi"/>
          <w:lang w:val="es-ES_tradnl" w:eastAsia="es-MX"/>
        </w:rPr>
        <w:t xml:space="preserve">II. </w:t>
      </w:r>
      <w:r w:rsidRPr="0097600B">
        <w:rPr>
          <w:rFonts w:ascii="ITC Avant Garde" w:eastAsiaTheme="minorEastAsia" w:hAnsi="ITC Avant Garde" w:cstheme="minorHAnsi"/>
          <w:lang w:val="es-ES_tradnl" w:eastAsia="es-MX"/>
        </w:rPr>
        <w:tab/>
        <w:t>Ejercerá su presupuesto de forma autónoma. La Cámara de Diputados garantizará la suficiencia presupuestal a fin de permitirle el ejercicio eficaz y oportuno de sus competencias;</w:t>
      </w:r>
    </w:p>
    <w:p w:rsidR="0081676D" w:rsidRPr="0097600B" w:rsidRDefault="0081676D" w:rsidP="00A7767E">
      <w:pPr>
        <w:spacing w:before="240"/>
        <w:ind w:left="851"/>
        <w:jc w:val="both"/>
        <w:rPr>
          <w:rFonts w:ascii="ITC Avant Garde" w:eastAsiaTheme="minorEastAsia" w:hAnsi="ITC Avant Garde" w:cstheme="minorHAnsi"/>
          <w:lang w:val="es-ES_tradnl" w:eastAsia="es-MX"/>
        </w:rPr>
      </w:pPr>
      <w:r>
        <w:rPr>
          <w:rFonts w:ascii="ITC Avant Garde" w:eastAsiaTheme="minorEastAsia" w:hAnsi="ITC Avant Garde" w:cstheme="minorHAnsi"/>
          <w:lang w:val="es-ES_tradnl" w:eastAsia="es-MX"/>
        </w:rPr>
        <w:t>(….)</w:t>
      </w:r>
    </w:p>
    <w:p w:rsidR="0097600B" w:rsidRPr="0097600B" w:rsidRDefault="0097600B" w:rsidP="00A7767E">
      <w:pPr>
        <w:spacing w:before="240"/>
        <w:ind w:left="851"/>
        <w:jc w:val="both"/>
        <w:rPr>
          <w:rFonts w:ascii="ITC Avant Garde" w:eastAsiaTheme="minorEastAsia" w:hAnsi="ITC Avant Garde" w:cstheme="minorHAnsi"/>
          <w:lang w:val="es-ES_tradnl" w:eastAsia="es-MX"/>
        </w:rPr>
      </w:pPr>
      <w:r w:rsidRPr="0097600B">
        <w:rPr>
          <w:rFonts w:ascii="ITC Avant Garde" w:eastAsiaTheme="minorEastAsia" w:hAnsi="ITC Avant Garde" w:cstheme="minorHAnsi"/>
          <w:lang w:val="es-ES_tradnl" w:eastAsia="es-MX"/>
        </w:rPr>
        <w:t xml:space="preserve">X. </w:t>
      </w:r>
      <w:r w:rsidRPr="0097600B">
        <w:rPr>
          <w:rFonts w:ascii="ITC Avant Garde" w:eastAsiaTheme="minorEastAsia" w:hAnsi="ITC Avant Garde" w:cstheme="minorHAnsi"/>
          <w:lang w:val="es-ES_tradnl" w:eastAsia="es-MX"/>
        </w:rPr>
        <w:tab/>
        <w:t>La retribución que perciban los Comisionados deberá ajustarse a lo previsto en el artículo 127 de esta Constitución</w:t>
      </w:r>
    </w:p>
    <w:p w:rsidR="0097600B" w:rsidRPr="0097600B" w:rsidRDefault="0097600B" w:rsidP="00A7767E">
      <w:pPr>
        <w:spacing w:before="240"/>
        <w:ind w:left="426"/>
        <w:jc w:val="both"/>
        <w:rPr>
          <w:rFonts w:ascii="ITC Avant Garde" w:eastAsiaTheme="minorEastAsia" w:hAnsi="ITC Avant Garde" w:cstheme="minorHAnsi"/>
          <w:lang w:val="es-ES_tradnl" w:eastAsia="es-MX"/>
        </w:rPr>
      </w:pPr>
      <w:r w:rsidRPr="0097600B">
        <w:rPr>
          <w:rFonts w:ascii="ITC Avant Garde" w:eastAsiaTheme="minorEastAsia" w:hAnsi="ITC Avant Garde" w:cstheme="minorHAnsi"/>
          <w:lang w:val="es-ES_tradnl" w:eastAsia="es-MX"/>
        </w:rPr>
        <w:t>•</w:t>
      </w:r>
      <w:r w:rsidRPr="0097600B">
        <w:rPr>
          <w:rFonts w:ascii="ITC Avant Garde" w:eastAsiaTheme="minorEastAsia" w:hAnsi="ITC Avant Garde" w:cstheme="minorHAnsi"/>
          <w:lang w:val="es-ES_tradnl" w:eastAsia="es-MX"/>
        </w:rPr>
        <w:tab/>
        <w:t>Los Comisionados se abstendrán de desempeñar cualquier otro empleo, trabajo o comisión públicos o privados, con excepción de los cargos docentes (…).</w:t>
      </w:r>
    </w:p>
    <w:p w:rsidR="00EA6C31" w:rsidRDefault="0097600B" w:rsidP="00A7767E">
      <w:pPr>
        <w:spacing w:before="240"/>
        <w:ind w:left="426"/>
        <w:jc w:val="both"/>
        <w:rPr>
          <w:rFonts w:ascii="ITC Avant Garde" w:eastAsiaTheme="minorEastAsia" w:hAnsi="ITC Avant Garde" w:cstheme="minorHAnsi"/>
          <w:lang w:val="es-ES_tradnl" w:eastAsia="es-MX"/>
        </w:rPr>
      </w:pPr>
      <w:r w:rsidRPr="0097600B">
        <w:rPr>
          <w:rFonts w:ascii="ITC Avant Garde" w:eastAsiaTheme="minorEastAsia" w:hAnsi="ITC Avant Garde" w:cstheme="minorHAnsi"/>
          <w:lang w:val="es-ES_tradnl" w:eastAsia="es-MX"/>
        </w:rPr>
        <w:t>•</w:t>
      </w:r>
      <w:r w:rsidRPr="0097600B">
        <w:rPr>
          <w:rFonts w:ascii="ITC Avant Garde" w:eastAsiaTheme="minorEastAsia" w:hAnsi="ITC Avant Garde" w:cstheme="minorHAnsi"/>
          <w:lang w:val="es-ES_tradnl" w:eastAsia="es-MX"/>
        </w:rPr>
        <w:tab/>
        <w:t>Los aspirantes a ser designados como Comisionados acreditarán el cumplimiento de los requisitos señalados en los numerales anteriores, ante un Comité de Evaluación (...) El Comité emitirá una convocatoria pública para cubrir la vacante (...) aplicará un examen de conocimientos en la materia; el procedimiento deberá observar los principios de transparencia, publicidad y máxima concurrencia</w:t>
      </w:r>
      <w:r w:rsidR="00345282">
        <w:rPr>
          <w:rFonts w:ascii="ITC Avant Garde" w:eastAsiaTheme="minorEastAsia" w:hAnsi="ITC Avant Garde" w:cstheme="minorHAnsi"/>
          <w:lang w:val="es-ES_tradnl" w:eastAsia="es-MX"/>
        </w:rPr>
        <w:t>.</w:t>
      </w:r>
    </w:p>
    <w:p w:rsidR="00EA6C31" w:rsidRDefault="00F61163" w:rsidP="00A7767E">
      <w:pPr>
        <w:spacing w:before="240"/>
        <w:jc w:val="both"/>
        <w:rPr>
          <w:rFonts w:ascii="ITC Avant Garde" w:hAnsi="ITC Avant Garde" w:cstheme="minorHAnsi"/>
          <w:lang w:val="es-ES_tradnl"/>
        </w:rPr>
      </w:pPr>
      <w:r>
        <w:rPr>
          <w:rFonts w:ascii="ITC Avant Garde" w:eastAsiaTheme="minorEastAsia" w:hAnsi="ITC Avant Garde" w:cstheme="minorHAnsi"/>
          <w:b/>
          <w:lang w:val="es-ES_tradnl" w:eastAsia="es-MX"/>
        </w:rPr>
        <w:t xml:space="preserve">DÉCIMO </w:t>
      </w:r>
      <w:r w:rsidR="00E1600B">
        <w:rPr>
          <w:rFonts w:ascii="ITC Avant Garde" w:eastAsiaTheme="minorEastAsia" w:hAnsi="ITC Avant Garde" w:cstheme="minorHAnsi"/>
          <w:b/>
          <w:lang w:val="es-ES_tradnl" w:eastAsia="es-MX"/>
        </w:rPr>
        <w:t>TERCERO</w:t>
      </w:r>
      <w:r w:rsidR="008978BC" w:rsidRPr="00656E04">
        <w:rPr>
          <w:rFonts w:ascii="ITC Avant Garde" w:hAnsi="ITC Avant Garde" w:cstheme="minorHAnsi"/>
          <w:lang w:val="es-ES_tradnl"/>
        </w:rPr>
        <w:t>. -</w:t>
      </w:r>
      <w:r w:rsidR="0087192F">
        <w:rPr>
          <w:rFonts w:ascii="ITC Avant Garde" w:hAnsi="ITC Avant Garde" w:cstheme="minorHAnsi"/>
          <w:lang w:val="es-ES_tradnl"/>
        </w:rPr>
        <w:t xml:space="preserve"> </w:t>
      </w:r>
      <w:r w:rsidR="00882D0A">
        <w:rPr>
          <w:rFonts w:ascii="ITC Avant Garde" w:hAnsi="ITC Avant Garde" w:cstheme="minorHAnsi"/>
          <w:lang w:val="es-ES_tradnl"/>
        </w:rPr>
        <w:t>Que,</w:t>
      </w:r>
      <w:r w:rsidR="006A1FD0" w:rsidRPr="00656E04">
        <w:rPr>
          <w:rFonts w:ascii="ITC Avant Garde" w:hAnsi="ITC Avant Garde" w:cstheme="minorHAnsi"/>
          <w:lang w:val="es-ES_tradnl"/>
        </w:rPr>
        <w:t xml:space="preserve"> </w:t>
      </w:r>
      <w:r w:rsidR="0087192F">
        <w:rPr>
          <w:rFonts w:ascii="ITC Avant Garde" w:hAnsi="ITC Avant Garde" w:cstheme="minorHAnsi"/>
          <w:lang w:val="es-ES_tradnl"/>
        </w:rPr>
        <w:t>e</w:t>
      </w:r>
      <w:r w:rsidR="0087192F" w:rsidRPr="0087192F">
        <w:rPr>
          <w:rFonts w:ascii="ITC Avant Garde" w:hAnsi="ITC Avant Garde" w:cstheme="minorHAnsi"/>
          <w:lang w:val="es-ES_tradnl"/>
        </w:rPr>
        <w:t>n conferencia de prensa del 15 de julio de 2018, el Presidente Electo anunció los “Lineamientos generales para el combate a la corrupción y la aplicación de una política de austeridad republicana en el gobierno”, entre los que se destacan:</w:t>
      </w:r>
    </w:p>
    <w:p w:rsidR="0087192F" w:rsidRPr="0087192F" w:rsidRDefault="002E3E4C" w:rsidP="00A7767E">
      <w:pPr>
        <w:spacing w:before="240"/>
        <w:ind w:left="426"/>
        <w:jc w:val="both"/>
        <w:rPr>
          <w:rFonts w:ascii="ITC Avant Garde" w:hAnsi="ITC Avant Garde" w:cstheme="minorHAnsi"/>
          <w:lang w:val="es-ES_tradnl"/>
        </w:rPr>
      </w:pPr>
      <w:r>
        <w:rPr>
          <w:rFonts w:ascii="ITC Avant Garde" w:hAnsi="ITC Avant Garde" w:cstheme="minorHAnsi"/>
          <w:lang w:val="es-ES_tradnl"/>
        </w:rPr>
        <w:t>“</w:t>
      </w:r>
      <w:r w:rsidR="0087192F" w:rsidRPr="0087192F">
        <w:rPr>
          <w:rFonts w:ascii="ITC Avant Garde" w:hAnsi="ITC Avant Garde" w:cstheme="minorHAnsi"/>
          <w:lang w:val="es-ES_tradnl"/>
        </w:rPr>
        <w:t>•</w:t>
      </w:r>
      <w:r w:rsidR="0087192F" w:rsidRPr="0087192F">
        <w:rPr>
          <w:rFonts w:ascii="ITC Avant Garde" w:hAnsi="ITC Avant Garde" w:cstheme="minorHAnsi"/>
          <w:lang w:val="es-ES_tradnl"/>
        </w:rPr>
        <w:tab/>
        <w:t>El Presidente de la República ganará menos de la mitad de lo que recibe el presidente Enrique Peña Nieto, sin ningún tipo de compensación;</w:t>
      </w:r>
    </w:p>
    <w:p w:rsidR="0087192F" w:rsidRPr="0087192F" w:rsidRDefault="0087192F" w:rsidP="00A7767E">
      <w:pPr>
        <w:spacing w:before="240"/>
        <w:ind w:left="426"/>
        <w:jc w:val="both"/>
        <w:rPr>
          <w:rFonts w:ascii="ITC Avant Garde" w:hAnsi="ITC Avant Garde" w:cstheme="minorHAnsi"/>
          <w:lang w:val="es-ES_tradnl"/>
        </w:rPr>
      </w:pPr>
      <w:r w:rsidRPr="0087192F">
        <w:rPr>
          <w:rFonts w:ascii="ITC Avant Garde" w:hAnsi="ITC Avant Garde" w:cstheme="minorHAnsi"/>
          <w:lang w:val="es-ES_tradnl"/>
        </w:rPr>
        <w:lastRenderedPageBreak/>
        <w:t>•</w:t>
      </w:r>
      <w:r w:rsidRPr="0087192F">
        <w:rPr>
          <w:rFonts w:ascii="ITC Avant Garde" w:hAnsi="ITC Avant Garde" w:cstheme="minorHAnsi"/>
          <w:lang w:val="es-ES_tradnl"/>
        </w:rPr>
        <w:tab/>
        <w:t>No se comprarán vehículos nuevos para funcionarios;</w:t>
      </w:r>
    </w:p>
    <w:p w:rsidR="0087192F" w:rsidRPr="0087192F" w:rsidRDefault="0087192F" w:rsidP="00A7767E">
      <w:pPr>
        <w:spacing w:before="240"/>
        <w:ind w:left="426"/>
        <w:jc w:val="both"/>
        <w:rPr>
          <w:rFonts w:ascii="ITC Avant Garde" w:hAnsi="ITC Avant Garde" w:cstheme="minorHAnsi"/>
          <w:lang w:val="es-ES_tradnl"/>
        </w:rPr>
      </w:pPr>
      <w:r w:rsidRPr="0087192F">
        <w:rPr>
          <w:rFonts w:ascii="ITC Avant Garde" w:hAnsi="ITC Avant Garde" w:cstheme="minorHAnsi"/>
          <w:lang w:val="es-ES_tradnl"/>
        </w:rPr>
        <w:t>•</w:t>
      </w:r>
      <w:r w:rsidRPr="0087192F">
        <w:rPr>
          <w:rFonts w:ascii="ITC Avant Garde" w:hAnsi="ITC Avant Garde" w:cstheme="minorHAnsi"/>
          <w:lang w:val="es-ES_tradnl"/>
        </w:rPr>
        <w:tab/>
        <w:t>Se limitarán los viáticos al mínimo;</w:t>
      </w:r>
    </w:p>
    <w:p w:rsidR="0087192F" w:rsidRPr="0087192F" w:rsidRDefault="0087192F" w:rsidP="00A7767E">
      <w:pPr>
        <w:spacing w:before="240"/>
        <w:ind w:left="426"/>
        <w:jc w:val="both"/>
        <w:rPr>
          <w:rFonts w:ascii="ITC Avant Garde" w:hAnsi="ITC Avant Garde" w:cstheme="minorHAnsi"/>
          <w:lang w:val="es-ES_tradnl"/>
        </w:rPr>
      </w:pPr>
      <w:r w:rsidRPr="0087192F">
        <w:rPr>
          <w:rFonts w:ascii="ITC Avant Garde" w:hAnsi="ITC Avant Garde" w:cstheme="minorHAnsi"/>
          <w:lang w:val="es-ES_tradnl"/>
        </w:rPr>
        <w:t>•</w:t>
      </w:r>
      <w:r w:rsidRPr="0087192F">
        <w:rPr>
          <w:rFonts w:ascii="ITC Avant Garde" w:hAnsi="ITC Avant Garde" w:cstheme="minorHAnsi"/>
          <w:lang w:val="es-ES_tradnl"/>
        </w:rPr>
        <w:tab/>
        <w:t>No habrá partida para gastos médicos privados;</w:t>
      </w:r>
    </w:p>
    <w:p w:rsidR="0087192F" w:rsidRPr="0087192F" w:rsidRDefault="0087192F" w:rsidP="00A7767E">
      <w:pPr>
        <w:spacing w:before="240"/>
        <w:ind w:left="426"/>
        <w:jc w:val="both"/>
        <w:rPr>
          <w:rFonts w:ascii="ITC Avant Garde" w:hAnsi="ITC Avant Garde" w:cstheme="minorHAnsi"/>
          <w:lang w:val="es-ES_tradnl"/>
        </w:rPr>
      </w:pPr>
      <w:r w:rsidRPr="0087192F">
        <w:rPr>
          <w:rFonts w:ascii="ITC Avant Garde" w:hAnsi="ITC Avant Garde" w:cstheme="minorHAnsi"/>
          <w:lang w:val="es-ES_tradnl"/>
        </w:rPr>
        <w:t>•</w:t>
      </w:r>
      <w:r w:rsidRPr="0087192F">
        <w:rPr>
          <w:rFonts w:ascii="ITC Avant Garde" w:hAnsi="ITC Avant Garde" w:cstheme="minorHAnsi"/>
          <w:lang w:val="es-ES_tradnl"/>
        </w:rPr>
        <w:tab/>
        <w:t>No habrá caja de ahorro especial; es decir, dejará de existir la partida conocida como “seguro de separación individualizada”;</w:t>
      </w:r>
    </w:p>
    <w:p w:rsidR="0087192F" w:rsidRPr="0087192F" w:rsidRDefault="0087192F" w:rsidP="00A7767E">
      <w:pPr>
        <w:spacing w:before="240"/>
        <w:ind w:left="426"/>
        <w:jc w:val="both"/>
        <w:rPr>
          <w:rFonts w:ascii="ITC Avant Garde" w:hAnsi="ITC Avant Garde" w:cstheme="minorHAnsi"/>
          <w:lang w:val="es-ES_tradnl"/>
        </w:rPr>
      </w:pPr>
      <w:r w:rsidRPr="0087192F">
        <w:rPr>
          <w:rFonts w:ascii="ITC Avant Garde" w:hAnsi="ITC Avant Garde" w:cstheme="minorHAnsi"/>
          <w:lang w:val="es-ES_tradnl"/>
        </w:rPr>
        <w:t>•</w:t>
      </w:r>
      <w:r w:rsidRPr="0087192F">
        <w:rPr>
          <w:rFonts w:ascii="ITC Avant Garde" w:hAnsi="ITC Avant Garde" w:cstheme="minorHAnsi"/>
          <w:lang w:val="es-ES_tradnl"/>
        </w:rPr>
        <w:tab/>
        <w:t>No se viajará al extranjero sin la autorización del Secretario y la partida se reducirá al mínimo;</w:t>
      </w:r>
    </w:p>
    <w:p w:rsidR="0087192F" w:rsidRPr="0087192F" w:rsidRDefault="0087192F" w:rsidP="00A7767E">
      <w:pPr>
        <w:spacing w:before="240"/>
        <w:ind w:left="426"/>
        <w:jc w:val="both"/>
        <w:rPr>
          <w:rFonts w:ascii="ITC Avant Garde" w:hAnsi="ITC Avant Garde" w:cstheme="minorHAnsi"/>
          <w:lang w:val="es-ES_tradnl"/>
        </w:rPr>
      </w:pPr>
      <w:r w:rsidRPr="0087192F">
        <w:rPr>
          <w:rFonts w:ascii="ITC Avant Garde" w:hAnsi="ITC Avant Garde" w:cstheme="minorHAnsi"/>
          <w:lang w:val="es-ES_tradnl"/>
        </w:rPr>
        <w:t>•</w:t>
      </w:r>
      <w:r w:rsidRPr="0087192F">
        <w:rPr>
          <w:rFonts w:ascii="ITC Avant Garde" w:hAnsi="ITC Avant Garde" w:cstheme="minorHAnsi"/>
          <w:lang w:val="es-ES_tradnl"/>
        </w:rPr>
        <w:tab/>
        <w:t>Se bajan los sueldos de los altos funcionarios públicos a la mitad, de quienes ganan más de un millón de pesos anuales; de manera progresiva, pero lo ahorrado debe significar el 50 por ciento del gasto actual; es decir, se va a ahorrar la mitad de lo que ahora se destina para el pago de los altos funcionarios públicos;</w:t>
      </w:r>
    </w:p>
    <w:p w:rsidR="0087192F" w:rsidRPr="0087192F" w:rsidRDefault="0087192F" w:rsidP="00A7767E">
      <w:pPr>
        <w:spacing w:before="240"/>
        <w:ind w:left="426"/>
        <w:jc w:val="both"/>
        <w:rPr>
          <w:rFonts w:ascii="ITC Avant Garde" w:hAnsi="ITC Avant Garde" w:cstheme="minorHAnsi"/>
          <w:lang w:val="es-ES_tradnl"/>
        </w:rPr>
      </w:pPr>
      <w:r w:rsidRPr="0087192F">
        <w:rPr>
          <w:rFonts w:ascii="ITC Avant Garde" w:hAnsi="ITC Avant Garde" w:cstheme="minorHAnsi"/>
          <w:lang w:val="es-ES_tradnl"/>
        </w:rPr>
        <w:t>•</w:t>
      </w:r>
      <w:r w:rsidRPr="0087192F">
        <w:rPr>
          <w:rFonts w:ascii="ITC Avant Garde" w:hAnsi="ITC Avant Garde" w:cstheme="minorHAnsi"/>
          <w:lang w:val="es-ES_tradnl"/>
        </w:rPr>
        <w:tab/>
        <w:t>No se utilizarán vehículos y otros bienes públicos para asuntos particulares;</w:t>
      </w:r>
    </w:p>
    <w:p w:rsidR="00EA6C31" w:rsidRDefault="0087192F" w:rsidP="00A7767E">
      <w:pPr>
        <w:spacing w:before="240"/>
        <w:ind w:left="426"/>
        <w:jc w:val="both"/>
        <w:rPr>
          <w:rFonts w:ascii="ITC Avant Garde" w:hAnsi="ITC Avant Garde" w:cstheme="minorHAnsi"/>
          <w:lang w:val="es-ES_tradnl"/>
        </w:rPr>
      </w:pPr>
      <w:r w:rsidRPr="0087192F">
        <w:rPr>
          <w:rFonts w:ascii="ITC Avant Garde" w:hAnsi="ITC Avant Garde" w:cstheme="minorHAnsi"/>
          <w:lang w:val="es-ES_tradnl"/>
        </w:rPr>
        <w:t>•</w:t>
      </w:r>
      <w:r w:rsidRPr="0087192F">
        <w:rPr>
          <w:rFonts w:ascii="ITC Avant Garde" w:hAnsi="ITC Avant Garde" w:cstheme="minorHAnsi"/>
          <w:lang w:val="es-ES_tradnl"/>
        </w:rPr>
        <w:tab/>
        <w:t>Se reducirá en 50 por ciento el gasto de publicidad del gobierno;</w:t>
      </w:r>
      <w:r w:rsidR="002E3E4C">
        <w:rPr>
          <w:rFonts w:ascii="ITC Avant Garde" w:hAnsi="ITC Avant Garde" w:cstheme="minorHAnsi"/>
          <w:lang w:val="es-ES_tradnl"/>
        </w:rPr>
        <w:t>”</w:t>
      </w:r>
    </w:p>
    <w:p w:rsidR="00EA6C31" w:rsidRDefault="008978BC" w:rsidP="00A7767E">
      <w:pPr>
        <w:spacing w:before="240"/>
        <w:jc w:val="both"/>
        <w:rPr>
          <w:rFonts w:ascii="ITC Avant Garde" w:hAnsi="ITC Avant Garde" w:cstheme="minorHAnsi"/>
          <w:lang w:val="es-ES_tradnl"/>
        </w:rPr>
      </w:pPr>
      <w:r w:rsidRPr="00A12083">
        <w:rPr>
          <w:rFonts w:ascii="ITC Avant Garde" w:eastAsiaTheme="minorEastAsia" w:hAnsi="ITC Avant Garde" w:cstheme="minorHAnsi"/>
          <w:b/>
          <w:lang w:val="es-ES_tradnl" w:eastAsia="es-MX"/>
        </w:rPr>
        <w:t>DÉCIMO</w:t>
      </w:r>
      <w:r w:rsidR="00F61163">
        <w:rPr>
          <w:rFonts w:ascii="ITC Avant Garde" w:eastAsiaTheme="minorEastAsia" w:hAnsi="ITC Avant Garde" w:cstheme="minorHAnsi"/>
          <w:b/>
          <w:lang w:val="es-ES_tradnl" w:eastAsia="es-MX"/>
        </w:rPr>
        <w:t xml:space="preserve"> </w:t>
      </w:r>
      <w:r w:rsidR="00FC0473">
        <w:rPr>
          <w:rFonts w:ascii="ITC Avant Garde" w:eastAsiaTheme="minorEastAsia" w:hAnsi="ITC Avant Garde" w:cstheme="minorHAnsi"/>
          <w:b/>
          <w:lang w:val="es-ES_tradnl" w:eastAsia="es-MX"/>
        </w:rPr>
        <w:t>CUARTO</w:t>
      </w:r>
      <w:r>
        <w:rPr>
          <w:rFonts w:ascii="ITC Avant Garde" w:hAnsi="ITC Avant Garde" w:cstheme="minorHAnsi"/>
          <w:lang w:val="es-ES_tradnl"/>
        </w:rPr>
        <w:t>. -</w:t>
      </w:r>
      <w:r w:rsidR="00A12083">
        <w:rPr>
          <w:rFonts w:ascii="ITC Avant Garde" w:hAnsi="ITC Avant Garde" w:cstheme="minorHAnsi"/>
          <w:lang w:val="es-ES_tradnl"/>
        </w:rPr>
        <w:t xml:space="preserve"> Que e</w:t>
      </w:r>
      <w:r w:rsidR="00A12083" w:rsidRPr="00A12083">
        <w:rPr>
          <w:rFonts w:ascii="ITC Avant Garde" w:hAnsi="ITC Avant Garde" w:cstheme="minorHAnsi"/>
          <w:lang w:val="es-ES_tradnl"/>
        </w:rPr>
        <w:t xml:space="preserve">l 11 de septiembre de 2018, el </w:t>
      </w:r>
      <w:r w:rsidR="004C4F2E">
        <w:rPr>
          <w:rFonts w:ascii="ITC Avant Garde" w:hAnsi="ITC Avant Garde" w:cstheme="minorHAnsi"/>
          <w:lang w:val="es-ES_tradnl"/>
        </w:rPr>
        <w:t>g</w:t>
      </w:r>
      <w:r w:rsidR="00A12083" w:rsidRPr="00A12083">
        <w:rPr>
          <w:rFonts w:ascii="ITC Avant Garde" w:hAnsi="ITC Avant Garde" w:cstheme="minorHAnsi"/>
          <w:lang w:val="es-ES_tradnl"/>
        </w:rPr>
        <w:t xml:space="preserve">rupo </w:t>
      </w:r>
      <w:r w:rsidR="004C4F2E">
        <w:rPr>
          <w:rFonts w:ascii="ITC Avant Garde" w:hAnsi="ITC Avant Garde" w:cstheme="minorHAnsi"/>
          <w:lang w:val="es-ES_tradnl"/>
        </w:rPr>
        <w:t>p</w:t>
      </w:r>
      <w:r w:rsidR="00A12083" w:rsidRPr="00A12083">
        <w:rPr>
          <w:rFonts w:ascii="ITC Avant Garde" w:hAnsi="ITC Avant Garde" w:cstheme="minorHAnsi"/>
          <w:lang w:val="es-ES_tradnl"/>
        </w:rPr>
        <w:t>arlamentario de Morena, presentó la iniciativa por la que se expide la Ley de Austeridad Republicana que incluye, entre otras cosas, lo siguiente:</w:t>
      </w:r>
    </w:p>
    <w:p w:rsidR="00A12083" w:rsidRPr="00A12083" w:rsidRDefault="00A12083" w:rsidP="00A7767E">
      <w:pPr>
        <w:spacing w:before="240"/>
        <w:ind w:left="426"/>
        <w:jc w:val="both"/>
        <w:rPr>
          <w:rFonts w:ascii="ITC Avant Garde" w:hAnsi="ITC Avant Garde" w:cstheme="minorHAnsi"/>
          <w:lang w:val="es-ES_tradnl"/>
        </w:rPr>
      </w:pPr>
      <w:r w:rsidRPr="00A12083">
        <w:rPr>
          <w:rFonts w:ascii="ITC Avant Garde" w:hAnsi="ITC Avant Garde" w:cstheme="minorHAnsi"/>
          <w:lang w:val="es-ES_tradnl"/>
        </w:rPr>
        <w:t>•</w:t>
      </w:r>
      <w:r w:rsidRPr="00A12083">
        <w:rPr>
          <w:rFonts w:ascii="ITC Avant Garde" w:hAnsi="ITC Avant Garde" w:cstheme="minorHAnsi"/>
          <w:lang w:val="es-ES_tradnl"/>
        </w:rPr>
        <w:tab/>
        <w:t>“Queda prohibido establecer o cubrir con recursos públicos (…) la contratación de seguros privados de gastos médicos, de vida o de separación individualizada o colectiva por parte de los entes públicos federales para beneficio de cualquier servidor público”</w:t>
      </w:r>
    </w:p>
    <w:p w:rsidR="00A12083" w:rsidRPr="00A12083" w:rsidRDefault="00A12083" w:rsidP="00A7767E">
      <w:pPr>
        <w:spacing w:before="240"/>
        <w:ind w:left="426"/>
        <w:jc w:val="both"/>
        <w:rPr>
          <w:rFonts w:ascii="ITC Avant Garde" w:hAnsi="ITC Avant Garde" w:cstheme="minorHAnsi"/>
          <w:lang w:val="es-ES_tradnl"/>
        </w:rPr>
      </w:pPr>
      <w:r w:rsidRPr="00A12083">
        <w:rPr>
          <w:rFonts w:ascii="ITC Avant Garde" w:hAnsi="ITC Avant Garde" w:cstheme="minorHAnsi"/>
          <w:lang w:val="es-ES_tradnl"/>
        </w:rPr>
        <w:t>•</w:t>
      </w:r>
      <w:r w:rsidRPr="00A12083">
        <w:rPr>
          <w:rFonts w:ascii="ITC Avant Garde" w:hAnsi="ITC Avant Garde" w:cstheme="minorHAnsi"/>
          <w:lang w:val="es-ES_tradnl"/>
        </w:rPr>
        <w:tab/>
        <w:t>Los vehículos solo podrán destinarse a actividades prioritarias y a la prestación de servicios directos a la población. Queda prohibido cualquier uso distinto de los vehículos, salvo los que tengan carácter oficial y los de escoltas, que autoricen las autoridades competentes</w:t>
      </w:r>
    </w:p>
    <w:p w:rsidR="00A12083" w:rsidRPr="00A12083" w:rsidRDefault="00A12083" w:rsidP="00A7767E">
      <w:pPr>
        <w:spacing w:before="240"/>
        <w:ind w:left="426"/>
        <w:jc w:val="both"/>
        <w:rPr>
          <w:rFonts w:ascii="ITC Avant Garde" w:hAnsi="ITC Avant Garde" w:cstheme="minorHAnsi"/>
          <w:lang w:val="es-ES_tradnl"/>
        </w:rPr>
      </w:pPr>
      <w:r w:rsidRPr="00A12083">
        <w:rPr>
          <w:rFonts w:ascii="ITC Avant Garde" w:hAnsi="ITC Avant Garde" w:cstheme="minorHAnsi"/>
          <w:lang w:val="es-ES_tradnl"/>
        </w:rPr>
        <w:t>•</w:t>
      </w:r>
      <w:r w:rsidRPr="00A12083">
        <w:rPr>
          <w:rFonts w:ascii="ITC Avant Garde" w:hAnsi="ITC Avant Garde" w:cstheme="minorHAnsi"/>
          <w:lang w:val="es-ES_tradnl"/>
        </w:rPr>
        <w:tab/>
        <w:t>El gasto neto total asignado anualmente a la difusión de propaganda oficial por los entes públicos federales, se sujetará a los montos máximos que para el efecto fije la Secretaría de Hacienda y Crédito Público en disposiciones generales, mismos que se ajustarán a lo estrictamente indispensable para dar cumplimiento a los fines informativos, educativos o de orientación social cuya difusión se determine necesaria.</w:t>
      </w:r>
    </w:p>
    <w:p w:rsidR="00A12083" w:rsidRPr="00A12083" w:rsidRDefault="00A12083" w:rsidP="00A7767E">
      <w:pPr>
        <w:spacing w:before="240"/>
        <w:ind w:left="426"/>
        <w:jc w:val="both"/>
        <w:rPr>
          <w:rFonts w:ascii="ITC Avant Garde" w:hAnsi="ITC Avant Garde" w:cstheme="minorHAnsi"/>
          <w:lang w:val="es-ES_tradnl"/>
        </w:rPr>
      </w:pPr>
      <w:r w:rsidRPr="00A12083">
        <w:rPr>
          <w:rFonts w:ascii="ITC Avant Garde" w:hAnsi="ITC Avant Garde" w:cstheme="minorHAnsi"/>
          <w:lang w:val="es-ES_tradnl"/>
        </w:rPr>
        <w:lastRenderedPageBreak/>
        <w:t>•</w:t>
      </w:r>
      <w:r w:rsidRPr="00A12083">
        <w:rPr>
          <w:rFonts w:ascii="ITC Avant Garde" w:hAnsi="ITC Avant Garde" w:cstheme="minorHAnsi"/>
          <w:lang w:val="es-ES_tradnl"/>
        </w:rPr>
        <w:tab/>
        <w:t>Sólo se autorizarán, por ente público, dependencia, órgano desconcentrado o entidad, los viajes oficiales que resulten estrictamente necesarios.</w:t>
      </w:r>
    </w:p>
    <w:p w:rsidR="00A12083" w:rsidRPr="00A12083" w:rsidRDefault="00A12083" w:rsidP="00A7767E">
      <w:pPr>
        <w:spacing w:before="240"/>
        <w:ind w:left="426"/>
        <w:jc w:val="both"/>
        <w:rPr>
          <w:rFonts w:ascii="ITC Avant Garde" w:hAnsi="ITC Avant Garde" w:cstheme="minorHAnsi"/>
          <w:lang w:val="es-ES_tradnl"/>
        </w:rPr>
      </w:pPr>
      <w:r w:rsidRPr="00A12083">
        <w:rPr>
          <w:rFonts w:ascii="ITC Avant Garde" w:hAnsi="ITC Avant Garde" w:cstheme="minorHAnsi"/>
          <w:lang w:val="es-ES_tradnl"/>
        </w:rPr>
        <w:t>•</w:t>
      </w:r>
      <w:r w:rsidRPr="00A12083">
        <w:rPr>
          <w:rFonts w:ascii="ITC Avant Garde" w:hAnsi="ITC Avant Garde" w:cstheme="minorHAnsi"/>
          <w:lang w:val="es-ES_tradnl"/>
        </w:rPr>
        <w:tab/>
        <w:t>Queda prohibida la adquisición de boletos de viajes en servicio de primera clase o equivalente, así como la contratación de servicios privados de aerotransporte</w:t>
      </w:r>
    </w:p>
    <w:p w:rsidR="00A12083" w:rsidRPr="00A12083" w:rsidRDefault="00A12083" w:rsidP="00A7767E">
      <w:pPr>
        <w:spacing w:before="240"/>
        <w:ind w:left="426"/>
        <w:jc w:val="both"/>
        <w:rPr>
          <w:rFonts w:ascii="ITC Avant Garde" w:hAnsi="ITC Avant Garde" w:cstheme="minorHAnsi"/>
          <w:lang w:val="es-ES_tradnl"/>
        </w:rPr>
      </w:pPr>
      <w:r w:rsidRPr="00A12083">
        <w:rPr>
          <w:rFonts w:ascii="ITC Avant Garde" w:hAnsi="ITC Avant Garde" w:cstheme="minorHAnsi"/>
          <w:lang w:val="es-ES_tradnl"/>
        </w:rPr>
        <w:t>•</w:t>
      </w:r>
      <w:r w:rsidRPr="00A12083">
        <w:rPr>
          <w:rFonts w:ascii="ITC Avant Garde" w:hAnsi="ITC Avant Garde" w:cstheme="minorHAnsi"/>
          <w:lang w:val="es-ES_tradnl"/>
        </w:rPr>
        <w:tab/>
        <w:t>(…), los gastos por servicios de telefonía, fotocopiado y energía eléctrica; combustibles, arrendamientos, viáticos, honorarios, alimentación, mobiliario, remodelación de oficinas, equipo de telecomunicaciones, bienes informáticos, pasajes, congresos, convenciones, exposiciones, seminarios, estudios e investigaciones, no podrán exceder de los montos erogados en el ejercicio presupuestal inmediato anterior (…)</w:t>
      </w:r>
    </w:p>
    <w:p w:rsidR="00A12083" w:rsidRPr="00A12083" w:rsidRDefault="00A12083" w:rsidP="00A7767E">
      <w:pPr>
        <w:spacing w:before="240"/>
        <w:ind w:left="426"/>
        <w:jc w:val="both"/>
        <w:rPr>
          <w:rFonts w:ascii="ITC Avant Garde" w:hAnsi="ITC Avant Garde" w:cstheme="minorHAnsi"/>
          <w:lang w:val="es-ES_tradnl"/>
        </w:rPr>
      </w:pPr>
      <w:r w:rsidRPr="00A12083">
        <w:rPr>
          <w:rFonts w:ascii="ITC Avant Garde" w:hAnsi="ITC Avant Garde" w:cstheme="minorHAnsi"/>
          <w:lang w:val="es-ES_tradnl"/>
        </w:rPr>
        <w:t>•</w:t>
      </w:r>
      <w:r w:rsidRPr="00A12083">
        <w:rPr>
          <w:rFonts w:ascii="ITC Avant Garde" w:hAnsi="ITC Avant Garde" w:cstheme="minorHAnsi"/>
          <w:lang w:val="es-ES_tradnl"/>
        </w:rPr>
        <w:tab/>
        <w:t>Los Poderes Legislativo y Judicial de la Federación, así como los órganos a los que la Constitución Política de los Estados Unidos Mexicanos concede autonomía, emitirán las disposiciones administrativas generales que sean necesarias para dar cumplimiento a la presente ley</w:t>
      </w:r>
    </w:p>
    <w:p w:rsidR="00EA6C31" w:rsidRDefault="00A12083" w:rsidP="00A7767E">
      <w:pPr>
        <w:spacing w:before="240"/>
        <w:ind w:left="426"/>
        <w:jc w:val="both"/>
        <w:rPr>
          <w:rFonts w:ascii="ITC Avant Garde" w:hAnsi="ITC Avant Garde" w:cstheme="minorHAnsi"/>
          <w:lang w:val="es-ES_tradnl"/>
        </w:rPr>
      </w:pPr>
      <w:r w:rsidRPr="00A12083">
        <w:rPr>
          <w:rFonts w:ascii="ITC Avant Garde" w:hAnsi="ITC Avant Garde" w:cstheme="minorHAnsi"/>
          <w:lang w:val="es-ES_tradnl"/>
        </w:rPr>
        <w:t>•</w:t>
      </w:r>
      <w:r w:rsidRPr="00A12083">
        <w:rPr>
          <w:rFonts w:ascii="ITC Avant Garde" w:hAnsi="ITC Avant Garde" w:cstheme="minorHAnsi"/>
          <w:lang w:val="es-ES_tradnl"/>
        </w:rPr>
        <w:tab/>
        <w:t>El incumplimiento o la elusión de las disposiciones contenidas en el presente ordenamiento constituirán falta administrativa grave y se sancionarán en términos de la Ley General de Responsabilidades Administrativas.</w:t>
      </w:r>
      <w:r w:rsidR="00C70B45">
        <w:rPr>
          <w:rFonts w:ascii="ITC Avant Garde" w:hAnsi="ITC Avant Garde" w:cstheme="minorHAnsi"/>
          <w:lang w:val="es-ES_tradnl"/>
        </w:rPr>
        <w:t>”</w:t>
      </w:r>
    </w:p>
    <w:p w:rsidR="008978BC" w:rsidRPr="008978BC" w:rsidRDefault="00707C3D" w:rsidP="00A7767E">
      <w:pPr>
        <w:spacing w:before="240"/>
        <w:jc w:val="both"/>
        <w:rPr>
          <w:rFonts w:ascii="ITC Avant Garde" w:hAnsi="ITC Avant Garde" w:cstheme="minorHAnsi"/>
          <w:lang w:val="es-ES_tradnl"/>
        </w:rPr>
      </w:pPr>
      <w:r w:rsidRPr="00882D0A">
        <w:rPr>
          <w:rFonts w:ascii="ITC Avant Garde" w:hAnsi="ITC Avant Garde" w:cstheme="minorHAnsi"/>
          <w:b/>
          <w:lang w:val="es-ES_tradnl"/>
        </w:rPr>
        <w:t xml:space="preserve">DÉCIMO </w:t>
      </w:r>
      <w:r w:rsidR="00FC0473">
        <w:rPr>
          <w:rFonts w:ascii="ITC Avant Garde" w:hAnsi="ITC Avant Garde" w:cstheme="minorHAnsi"/>
          <w:b/>
          <w:lang w:val="es-ES_tradnl"/>
        </w:rPr>
        <w:t>QUINTO</w:t>
      </w:r>
      <w:r w:rsidR="00882D0A" w:rsidRPr="00882D0A">
        <w:rPr>
          <w:rFonts w:ascii="ITC Avant Garde" w:hAnsi="ITC Avant Garde" w:cstheme="minorHAnsi"/>
          <w:b/>
          <w:lang w:val="es-ES_tradnl"/>
        </w:rPr>
        <w:t>. -</w:t>
      </w:r>
      <w:r>
        <w:rPr>
          <w:rFonts w:ascii="ITC Avant Garde" w:hAnsi="ITC Avant Garde" w:cstheme="minorHAnsi"/>
          <w:lang w:val="es-ES_tradnl"/>
        </w:rPr>
        <w:t xml:space="preserve"> </w:t>
      </w:r>
      <w:r w:rsidR="008978BC">
        <w:rPr>
          <w:rFonts w:ascii="ITC Avant Garde" w:hAnsi="ITC Avant Garde" w:cstheme="minorHAnsi"/>
          <w:lang w:val="es-ES_tradnl"/>
        </w:rPr>
        <w:t>Que c</w:t>
      </w:r>
      <w:r w:rsidR="008978BC" w:rsidRPr="008978BC">
        <w:rPr>
          <w:rFonts w:ascii="ITC Avant Garde" w:hAnsi="ITC Avant Garde" w:cstheme="minorHAnsi"/>
          <w:lang w:val="es-ES_tradnl"/>
        </w:rPr>
        <w:t>on fecha 6 de noviembre de 2018, mediante oficio N. 307-A-4231, la Secretaría de Hacienda y Crédito Público, a través de la Unidad de Política y Control Presupuestario, dio a conocer la Remuneración Total Anual del Presidente de la República para el ejercicio fiscal 2019, la cual se integra de la manera siguiente:</w:t>
      </w:r>
    </w:p>
    <w:p w:rsidR="00EA6C31" w:rsidRDefault="00882D0A" w:rsidP="00A7767E">
      <w:pPr>
        <w:spacing w:before="240"/>
        <w:jc w:val="center"/>
        <w:rPr>
          <w:rFonts w:ascii="ITC Avant Garde" w:hAnsi="ITC Avant Garde" w:cstheme="minorHAnsi"/>
          <w:lang w:val="es-ES_tradnl"/>
        </w:rPr>
      </w:pPr>
      <w:r>
        <w:rPr>
          <w:rFonts w:ascii="Arial" w:hAnsi="Arial" w:cs="Arial"/>
          <w:noProof/>
          <w:sz w:val="24"/>
          <w:szCs w:val="24"/>
          <w:lang w:eastAsia="es-MX"/>
        </w:rPr>
        <w:lastRenderedPageBreak/>
        <w:drawing>
          <wp:inline distT="0" distB="0" distL="0" distR="0" wp14:anchorId="2F26FD6D" wp14:editId="4B6D0FED">
            <wp:extent cx="4471035" cy="3216166"/>
            <wp:effectExtent l="0" t="0" r="5715" b="3810"/>
            <wp:docPr id="1" name="Imagen 1" descr="Imagen de tabla de la Remuneración total anual del Presidente de la Republica para 2019." title="Remuneración total anu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481264" cy="3223524"/>
                    </a:xfrm>
                    <a:prstGeom prst="rect">
                      <a:avLst/>
                    </a:prstGeom>
                  </pic:spPr>
                </pic:pic>
              </a:graphicData>
            </a:graphic>
          </wp:inline>
        </w:drawing>
      </w:r>
    </w:p>
    <w:p w:rsidR="00EA6C31" w:rsidRDefault="008978BC" w:rsidP="00A7767E">
      <w:pPr>
        <w:spacing w:before="240"/>
        <w:jc w:val="both"/>
        <w:rPr>
          <w:rFonts w:ascii="ITC Avant Garde" w:hAnsi="ITC Avant Garde" w:cstheme="minorHAnsi"/>
          <w:lang w:val="es-ES_tradnl"/>
        </w:rPr>
      </w:pPr>
      <w:r w:rsidRPr="008978BC">
        <w:rPr>
          <w:rFonts w:ascii="ITC Avant Garde" w:hAnsi="ITC Avant Garde" w:cstheme="minorHAnsi"/>
          <w:lang w:val="es-ES_tradnl"/>
        </w:rPr>
        <w:t xml:space="preserve">Lo </w:t>
      </w:r>
      <w:r w:rsidR="009113E0" w:rsidRPr="008978BC">
        <w:rPr>
          <w:rFonts w:ascii="ITC Avant Garde" w:hAnsi="ITC Avant Garde" w:cstheme="minorHAnsi"/>
          <w:lang w:val="es-ES_tradnl"/>
        </w:rPr>
        <w:t>anterior con</w:t>
      </w:r>
      <w:r w:rsidRPr="008978BC">
        <w:rPr>
          <w:rFonts w:ascii="ITC Avant Garde" w:hAnsi="ITC Avant Garde" w:cstheme="minorHAnsi"/>
          <w:lang w:val="es-ES_tradnl"/>
        </w:rPr>
        <w:t xml:space="preserve"> la finalidad de que se cuente con elementos que sirvan de referencia para la conformación del anteproyecto de presupuesto para el ejercicio fiscal 2019, que incluye:</w:t>
      </w:r>
    </w:p>
    <w:p w:rsidR="008978BC" w:rsidRPr="008978BC" w:rsidRDefault="008978BC" w:rsidP="00A7767E">
      <w:pPr>
        <w:spacing w:before="240"/>
        <w:ind w:left="426"/>
        <w:jc w:val="both"/>
        <w:rPr>
          <w:rFonts w:ascii="ITC Avant Garde" w:hAnsi="ITC Avant Garde" w:cstheme="minorHAnsi"/>
          <w:lang w:val="es-ES_tradnl"/>
        </w:rPr>
      </w:pPr>
      <w:r w:rsidRPr="008978BC">
        <w:rPr>
          <w:rFonts w:ascii="ITC Avant Garde" w:hAnsi="ITC Avant Garde" w:cstheme="minorHAnsi"/>
          <w:lang w:val="es-ES_tradnl"/>
        </w:rPr>
        <w:t>•</w:t>
      </w:r>
      <w:r w:rsidRPr="008978BC">
        <w:rPr>
          <w:rFonts w:ascii="ITC Avant Garde" w:hAnsi="ITC Avant Garde" w:cstheme="minorHAnsi"/>
          <w:lang w:val="es-ES_tradnl"/>
        </w:rPr>
        <w:tab/>
        <w:t xml:space="preserve">Los límites de percepción ordinaria total (netos mensuales); </w:t>
      </w:r>
    </w:p>
    <w:p w:rsidR="008978BC" w:rsidRPr="008978BC" w:rsidRDefault="008978BC" w:rsidP="00A7767E">
      <w:pPr>
        <w:spacing w:before="240"/>
        <w:ind w:left="426"/>
        <w:jc w:val="both"/>
        <w:rPr>
          <w:rFonts w:ascii="ITC Avant Garde" w:hAnsi="ITC Avant Garde" w:cstheme="minorHAnsi"/>
          <w:lang w:val="es-ES_tradnl"/>
        </w:rPr>
      </w:pPr>
      <w:r w:rsidRPr="008978BC">
        <w:rPr>
          <w:rFonts w:ascii="ITC Avant Garde" w:hAnsi="ITC Avant Garde" w:cstheme="minorHAnsi"/>
          <w:lang w:val="es-ES_tradnl"/>
        </w:rPr>
        <w:t>•</w:t>
      </w:r>
      <w:r w:rsidRPr="008978BC">
        <w:rPr>
          <w:rFonts w:ascii="ITC Avant Garde" w:hAnsi="ITC Avant Garde" w:cstheme="minorHAnsi"/>
          <w:lang w:val="es-ES_tradnl"/>
        </w:rPr>
        <w:tab/>
        <w:t>La remuneración total anual del Comisionado Presidente del IFT</w:t>
      </w:r>
    </w:p>
    <w:p w:rsidR="008978BC" w:rsidRPr="008978BC" w:rsidRDefault="008978BC" w:rsidP="00A7767E">
      <w:pPr>
        <w:spacing w:before="240"/>
        <w:ind w:left="426"/>
        <w:jc w:val="both"/>
        <w:rPr>
          <w:rFonts w:ascii="ITC Avant Garde" w:hAnsi="ITC Avant Garde" w:cstheme="minorHAnsi"/>
          <w:lang w:val="es-ES_tradnl"/>
        </w:rPr>
      </w:pPr>
      <w:r w:rsidRPr="008978BC">
        <w:rPr>
          <w:rFonts w:ascii="ITC Avant Garde" w:hAnsi="ITC Avant Garde" w:cstheme="minorHAnsi"/>
          <w:lang w:val="es-ES_tradnl"/>
        </w:rPr>
        <w:t>•</w:t>
      </w:r>
      <w:r w:rsidRPr="008978BC">
        <w:rPr>
          <w:rFonts w:ascii="ITC Avant Garde" w:hAnsi="ITC Avant Garde" w:cstheme="minorHAnsi"/>
          <w:lang w:val="es-ES_tradnl"/>
        </w:rPr>
        <w:tab/>
        <w:t xml:space="preserve">Los límites de percepciones extraordinarias netas totales, y </w:t>
      </w:r>
    </w:p>
    <w:p w:rsidR="00EA6C31" w:rsidRDefault="008978BC" w:rsidP="00A7767E">
      <w:pPr>
        <w:spacing w:before="240"/>
        <w:ind w:left="426"/>
        <w:jc w:val="both"/>
        <w:rPr>
          <w:rFonts w:ascii="ITC Avant Garde" w:hAnsi="ITC Avant Garde" w:cstheme="minorHAnsi"/>
          <w:lang w:val="es-ES_tradnl"/>
        </w:rPr>
      </w:pPr>
      <w:r w:rsidRPr="008978BC">
        <w:rPr>
          <w:rFonts w:ascii="ITC Avant Garde" w:hAnsi="ITC Avant Garde" w:cstheme="minorHAnsi"/>
          <w:lang w:val="es-ES_tradnl"/>
        </w:rPr>
        <w:t>•</w:t>
      </w:r>
      <w:r w:rsidRPr="008978BC">
        <w:rPr>
          <w:rFonts w:ascii="ITC Avant Garde" w:hAnsi="ITC Avant Garde" w:cstheme="minorHAnsi"/>
          <w:lang w:val="es-ES_tradnl"/>
        </w:rPr>
        <w:tab/>
        <w:t>El analítico de plazas y remuneraciones contenido en el tomo IX del proyecto de presupuesto de egresos de la federación, el cual se integra con la plantilla de personal por nivel y número de plazas, por cada nivel, así como de la composición de las percepciones ordinarias conforme a su distribución en sueldos y salarios y prestaciones.</w:t>
      </w:r>
    </w:p>
    <w:p w:rsidR="00EA6C31" w:rsidRDefault="00C71BD1" w:rsidP="00A7767E">
      <w:pPr>
        <w:spacing w:before="240"/>
        <w:jc w:val="both"/>
        <w:rPr>
          <w:rFonts w:ascii="ITC Avant Garde" w:hAnsi="ITC Avant Garde" w:cstheme="minorHAnsi"/>
          <w:lang w:val="es-ES_tradnl"/>
        </w:rPr>
      </w:pPr>
      <w:r w:rsidRPr="00882D0A">
        <w:rPr>
          <w:rFonts w:ascii="ITC Avant Garde" w:hAnsi="ITC Avant Garde" w:cstheme="minorHAnsi"/>
          <w:b/>
          <w:lang w:val="es-ES_tradnl"/>
        </w:rPr>
        <w:t xml:space="preserve">DÉCIMO </w:t>
      </w:r>
      <w:r w:rsidR="00094287">
        <w:rPr>
          <w:rFonts w:ascii="ITC Avant Garde" w:hAnsi="ITC Avant Garde" w:cstheme="minorHAnsi"/>
          <w:b/>
          <w:lang w:val="es-ES_tradnl"/>
        </w:rPr>
        <w:t>SEXTO</w:t>
      </w:r>
      <w:r w:rsidRPr="00882D0A">
        <w:rPr>
          <w:rFonts w:ascii="ITC Avant Garde" w:hAnsi="ITC Avant Garde" w:cstheme="minorHAnsi"/>
          <w:b/>
          <w:lang w:val="es-ES_tradnl"/>
        </w:rPr>
        <w:t xml:space="preserve">. </w:t>
      </w:r>
      <w:r>
        <w:rPr>
          <w:rFonts w:ascii="ITC Avant Garde" w:hAnsi="ITC Avant Garde" w:cstheme="minorHAnsi"/>
          <w:b/>
          <w:lang w:val="es-ES_tradnl"/>
        </w:rPr>
        <w:t xml:space="preserve">– </w:t>
      </w:r>
      <w:r w:rsidRPr="00C71BD1">
        <w:rPr>
          <w:rFonts w:ascii="ITC Avant Garde" w:hAnsi="ITC Avant Garde" w:cstheme="minorHAnsi"/>
          <w:lang w:val="es-ES_tradnl"/>
        </w:rPr>
        <w:t>Que</w:t>
      </w:r>
      <w:r>
        <w:rPr>
          <w:rFonts w:ascii="ITC Avant Garde" w:hAnsi="ITC Avant Garde" w:cstheme="minorHAnsi"/>
          <w:lang w:val="es-ES_tradnl"/>
        </w:rPr>
        <w:t>,</w:t>
      </w:r>
      <w:r>
        <w:rPr>
          <w:rFonts w:ascii="ITC Avant Garde" w:hAnsi="ITC Avant Garde" w:cstheme="minorHAnsi"/>
          <w:b/>
          <w:lang w:val="es-ES_tradnl"/>
        </w:rPr>
        <w:t xml:space="preserve"> </w:t>
      </w:r>
      <w:r>
        <w:rPr>
          <w:rFonts w:ascii="ITC Avant Garde" w:hAnsi="ITC Avant Garde" w:cstheme="minorHAnsi"/>
          <w:lang w:val="es-ES_tradnl"/>
        </w:rPr>
        <w:t>c</w:t>
      </w:r>
      <w:r w:rsidRPr="00C71BD1">
        <w:rPr>
          <w:rFonts w:ascii="ITC Avant Garde" w:hAnsi="ITC Avant Garde" w:cstheme="minorHAnsi"/>
          <w:lang w:val="es-ES_tradnl"/>
        </w:rPr>
        <w:t>on base en lo anterior, el Instituto consideró</w:t>
      </w:r>
      <w:r w:rsidR="00C94300">
        <w:rPr>
          <w:rFonts w:ascii="ITC Avant Garde" w:hAnsi="ITC Avant Garde" w:cstheme="minorHAnsi"/>
          <w:lang w:val="es-ES_tradnl"/>
        </w:rPr>
        <w:t>,</w:t>
      </w:r>
      <w:r w:rsidRPr="00C71BD1">
        <w:rPr>
          <w:rFonts w:ascii="ITC Avant Garde" w:hAnsi="ITC Avant Garde" w:cstheme="minorHAnsi"/>
          <w:lang w:val="es-ES_tradnl"/>
        </w:rPr>
        <w:t xml:space="preserve"> en la elaboración de su anteproyecto de presupuesto, además de las medidas que, permanentemente ha aplicado en la programación, presupuestación y ejercicio de sus recursos, incorporar ajustes adicionales alineados a las medidas de austeridad planteadas por el nuevo gobierno, conforme a lo siguiente:</w:t>
      </w:r>
    </w:p>
    <w:p w:rsidR="00EA6C31" w:rsidRDefault="009E48C9" w:rsidP="00A7767E">
      <w:pPr>
        <w:spacing w:before="240"/>
        <w:jc w:val="both"/>
        <w:rPr>
          <w:rFonts w:ascii="ITC Avant Garde" w:hAnsi="ITC Avant Garde" w:cstheme="minorHAnsi"/>
          <w:lang w:val="es-ES_tradnl"/>
        </w:rPr>
      </w:pPr>
      <w:r>
        <w:rPr>
          <w:rFonts w:ascii="ITC Avant Garde" w:hAnsi="ITC Avant Garde" w:cstheme="minorHAnsi"/>
          <w:lang w:val="es-ES_tradnl"/>
        </w:rPr>
        <w:lastRenderedPageBreak/>
        <w:t xml:space="preserve">El </w:t>
      </w:r>
      <w:r w:rsidR="00FA65D4">
        <w:rPr>
          <w:rFonts w:ascii="ITC Avant Garde" w:hAnsi="ITC Avant Garde" w:cstheme="minorHAnsi"/>
          <w:lang w:val="es-ES_tradnl"/>
        </w:rPr>
        <w:t>a</w:t>
      </w:r>
      <w:r>
        <w:rPr>
          <w:rFonts w:ascii="ITC Avant Garde" w:hAnsi="ITC Avant Garde" w:cstheme="minorHAnsi"/>
          <w:lang w:val="es-ES_tradnl"/>
        </w:rPr>
        <w:t>nteproyecto de Presupuesto</w:t>
      </w:r>
      <w:r w:rsidR="00C71BD1" w:rsidRPr="00C71BD1">
        <w:rPr>
          <w:rFonts w:ascii="ITC Avant Garde" w:hAnsi="ITC Avant Garde" w:cstheme="minorHAnsi"/>
          <w:lang w:val="es-ES_tradnl"/>
        </w:rPr>
        <w:t xml:space="preserve"> contempla aquellos proyectos que las Unidades Administrativas del Instituto han considerado prioritarios para cumplir con sus atribuciones y obligaciones.</w:t>
      </w:r>
    </w:p>
    <w:p w:rsidR="00C71BD1" w:rsidRPr="00C71BD1" w:rsidRDefault="00C71BD1" w:rsidP="00A7767E">
      <w:pPr>
        <w:spacing w:before="240"/>
        <w:jc w:val="both"/>
        <w:rPr>
          <w:rFonts w:ascii="ITC Avant Garde" w:hAnsi="ITC Avant Garde" w:cstheme="minorHAnsi"/>
          <w:lang w:val="es-ES_tradnl"/>
        </w:rPr>
      </w:pPr>
      <w:r w:rsidRPr="00C71BD1">
        <w:rPr>
          <w:rFonts w:ascii="ITC Avant Garde" w:hAnsi="ITC Avant Garde" w:cstheme="minorHAnsi"/>
          <w:lang w:val="es-ES_tradnl"/>
        </w:rPr>
        <w:t>Adicionalmente, se implementan reducciones a niveles mínimos de gasto, en los siguientes conceptos:</w:t>
      </w:r>
    </w:p>
    <w:p w:rsidR="00C71BD1" w:rsidRPr="00C71BD1" w:rsidRDefault="00C71BD1" w:rsidP="00A7767E">
      <w:pPr>
        <w:spacing w:before="240"/>
        <w:ind w:left="426"/>
        <w:jc w:val="both"/>
        <w:rPr>
          <w:rFonts w:ascii="ITC Avant Garde" w:hAnsi="ITC Avant Garde" w:cstheme="minorHAnsi"/>
          <w:lang w:val="es-ES_tradnl"/>
        </w:rPr>
      </w:pPr>
      <w:r w:rsidRPr="00C71BD1">
        <w:rPr>
          <w:rFonts w:ascii="ITC Avant Garde" w:hAnsi="ITC Avant Garde" w:cstheme="minorHAnsi"/>
          <w:lang w:val="es-ES_tradnl"/>
        </w:rPr>
        <w:t>•</w:t>
      </w:r>
      <w:r w:rsidRPr="00C71BD1">
        <w:rPr>
          <w:rFonts w:ascii="ITC Avant Garde" w:hAnsi="ITC Avant Garde" w:cstheme="minorHAnsi"/>
          <w:lang w:val="es-ES_tradnl"/>
        </w:rPr>
        <w:tab/>
        <w:t>Difusión y campañas de comunicación social</w:t>
      </w:r>
    </w:p>
    <w:p w:rsidR="00C71BD1" w:rsidRPr="00C71BD1" w:rsidRDefault="00C71BD1" w:rsidP="00A7767E">
      <w:pPr>
        <w:spacing w:before="240"/>
        <w:ind w:left="426"/>
        <w:jc w:val="both"/>
        <w:rPr>
          <w:rFonts w:ascii="ITC Avant Garde" w:hAnsi="ITC Avant Garde" w:cstheme="minorHAnsi"/>
          <w:lang w:val="es-ES_tradnl"/>
        </w:rPr>
      </w:pPr>
      <w:r w:rsidRPr="00C71BD1">
        <w:rPr>
          <w:rFonts w:ascii="ITC Avant Garde" w:hAnsi="ITC Avant Garde" w:cstheme="minorHAnsi"/>
          <w:lang w:val="es-ES_tradnl"/>
        </w:rPr>
        <w:t>•</w:t>
      </w:r>
      <w:r w:rsidRPr="00C71BD1">
        <w:rPr>
          <w:rFonts w:ascii="ITC Avant Garde" w:hAnsi="ITC Avant Garde" w:cstheme="minorHAnsi"/>
          <w:lang w:val="es-ES_tradnl"/>
        </w:rPr>
        <w:tab/>
        <w:t>Asesorías para la operación de programas</w:t>
      </w:r>
    </w:p>
    <w:p w:rsidR="00C71BD1" w:rsidRPr="00C71BD1" w:rsidRDefault="00C71BD1" w:rsidP="00A7767E">
      <w:pPr>
        <w:spacing w:before="240"/>
        <w:ind w:left="426"/>
        <w:jc w:val="both"/>
        <w:rPr>
          <w:rFonts w:ascii="ITC Avant Garde" w:hAnsi="ITC Avant Garde" w:cstheme="minorHAnsi"/>
          <w:lang w:val="es-ES_tradnl"/>
        </w:rPr>
      </w:pPr>
      <w:r w:rsidRPr="00C71BD1">
        <w:rPr>
          <w:rFonts w:ascii="ITC Avant Garde" w:hAnsi="ITC Avant Garde" w:cstheme="minorHAnsi"/>
          <w:lang w:val="es-ES_tradnl"/>
        </w:rPr>
        <w:t>•</w:t>
      </w:r>
      <w:r w:rsidRPr="00C71BD1">
        <w:rPr>
          <w:rFonts w:ascii="ITC Avant Garde" w:hAnsi="ITC Avant Garde" w:cstheme="minorHAnsi"/>
          <w:lang w:val="es-ES_tradnl"/>
        </w:rPr>
        <w:tab/>
        <w:t>Elaboración de estudios</w:t>
      </w:r>
    </w:p>
    <w:p w:rsidR="00C71BD1" w:rsidRPr="00C71BD1" w:rsidRDefault="00C71BD1" w:rsidP="00A7767E">
      <w:pPr>
        <w:spacing w:before="240"/>
        <w:ind w:left="426"/>
        <w:jc w:val="both"/>
        <w:rPr>
          <w:rFonts w:ascii="ITC Avant Garde" w:hAnsi="ITC Avant Garde" w:cstheme="minorHAnsi"/>
          <w:lang w:val="es-ES_tradnl"/>
        </w:rPr>
      </w:pPr>
      <w:r w:rsidRPr="00C71BD1">
        <w:rPr>
          <w:rFonts w:ascii="ITC Avant Garde" w:hAnsi="ITC Avant Garde" w:cstheme="minorHAnsi"/>
          <w:lang w:val="es-ES_tradnl"/>
        </w:rPr>
        <w:t>•</w:t>
      </w:r>
      <w:r w:rsidRPr="00C71BD1">
        <w:rPr>
          <w:rFonts w:ascii="ITC Avant Garde" w:hAnsi="ITC Avant Garde" w:cstheme="minorHAnsi"/>
          <w:lang w:val="es-ES_tradnl"/>
        </w:rPr>
        <w:tab/>
        <w:t>Eventos institucionales</w:t>
      </w:r>
    </w:p>
    <w:p w:rsidR="00C71BD1" w:rsidRPr="00C71BD1" w:rsidRDefault="00C71BD1" w:rsidP="00A7767E">
      <w:pPr>
        <w:spacing w:before="240"/>
        <w:ind w:left="426"/>
        <w:jc w:val="both"/>
        <w:rPr>
          <w:rFonts w:ascii="ITC Avant Garde" w:hAnsi="ITC Avant Garde" w:cstheme="minorHAnsi"/>
          <w:lang w:val="es-ES_tradnl"/>
        </w:rPr>
      </w:pPr>
      <w:r w:rsidRPr="00C71BD1">
        <w:rPr>
          <w:rFonts w:ascii="ITC Avant Garde" w:hAnsi="ITC Avant Garde" w:cstheme="minorHAnsi"/>
          <w:lang w:val="es-ES_tradnl"/>
        </w:rPr>
        <w:t>•</w:t>
      </w:r>
      <w:r w:rsidRPr="00C71BD1">
        <w:rPr>
          <w:rFonts w:ascii="ITC Avant Garde" w:hAnsi="ITC Avant Garde" w:cstheme="minorHAnsi"/>
          <w:lang w:val="es-ES_tradnl"/>
        </w:rPr>
        <w:tab/>
        <w:t>Viáticos y pasajes nacionales e internacionales</w:t>
      </w:r>
    </w:p>
    <w:p w:rsidR="00C71BD1" w:rsidRPr="00C71BD1" w:rsidRDefault="00C71BD1" w:rsidP="00A7767E">
      <w:pPr>
        <w:spacing w:before="240"/>
        <w:ind w:left="426"/>
        <w:jc w:val="both"/>
        <w:rPr>
          <w:rFonts w:ascii="ITC Avant Garde" w:hAnsi="ITC Avant Garde" w:cstheme="minorHAnsi"/>
          <w:lang w:val="es-ES_tradnl"/>
        </w:rPr>
      </w:pPr>
      <w:r w:rsidRPr="00C71BD1">
        <w:rPr>
          <w:rFonts w:ascii="ITC Avant Garde" w:hAnsi="ITC Avant Garde" w:cstheme="minorHAnsi"/>
          <w:lang w:val="es-ES_tradnl"/>
        </w:rPr>
        <w:t>•</w:t>
      </w:r>
      <w:r w:rsidRPr="00C71BD1">
        <w:rPr>
          <w:rFonts w:ascii="ITC Avant Garde" w:hAnsi="ITC Avant Garde" w:cstheme="minorHAnsi"/>
          <w:lang w:val="es-ES_tradnl"/>
        </w:rPr>
        <w:tab/>
        <w:t>Gastos de telefonía celular</w:t>
      </w:r>
    </w:p>
    <w:p w:rsidR="00EA6C31" w:rsidRDefault="00C71BD1" w:rsidP="00A7767E">
      <w:pPr>
        <w:spacing w:before="240"/>
        <w:ind w:left="426"/>
        <w:jc w:val="both"/>
        <w:rPr>
          <w:rFonts w:ascii="ITC Avant Garde" w:hAnsi="ITC Avant Garde" w:cstheme="minorHAnsi"/>
          <w:lang w:val="es-ES_tradnl"/>
        </w:rPr>
      </w:pPr>
      <w:r w:rsidRPr="00C71BD1">
        <w:rPr>
          <w:rFonts w:ascii="ITC Avant Garde" w:hAnsi="ITC Avant Garde" w:cstheme="minorHAnsi"/>
          <w:lang w:val="es-ES_tradnl"/>
        </w:rPr>
        <w:t>•</w:t>
      </w:r>
      <w:r w:rsidRPr="00C71BD1">
        <w:rPr>
          <w:rFonts w:ascii="ITC Avant Garde" w:hAnsi="ITC Avant Garde" w:cstheme="minorHAnsi"/>
          <w:lang w:val="es-ES_tradnl"/>
        </w:rPr>
        <w:tab/>
        <w:t>Combustibles</w:t>
      </w:r>
    </w:p>
    <w:p w:rsidR="00C71BD1" w:rsidRDefault="00C71BD1" w:rsidP="00A7767E">
      <w:pPr>
        <w:spacing w:before="240"/>
        <w:jc w:val="both"/>
        <w:rPr>
          <w:rFonts w:ascii="ITC Avant Garde" w:hAnsi="ITC Avant Garde" w:cstheme="minorHAnsi"/>
          <w:lang w:val="es-ES_tradnl"/>
        </w:rPr>
      </w:pPr>
      <w:r w:rsidRPr="00C71BD1">
        <w:rPr>
          <w:rFonts w:ascii="ITC Avant Garde" w:hAnsi="ITC Avant Garde" w:cstheme="minorHAnsi"/>
          <w:lang w:val="es-ES_tradnl"/>
        </w:rPr>
        <w:t>De igual forma se eliminan los gastos por concepto de:</w:t>
      </w:r>
    </w:p>
    <w:p w:rsidR="00C71BD1" w:rsidRPr="00C71BD1" w:rsidRDefault="00C71BD1" w:rsidP="00A7767E">
      <w:pPr>
        <w:spacing w:before="240"/>
        <w:ind w:left="426"/>
        <w:jc w:val="both"/>
        <w:rPr>
          <w:rFonts w:ascii="ITC Avant Garde" w:hAnsi="ITC Avant Garde" w:cstheme="minorHAnsi"/>
          <w:lang w:val="es-ES_tradnl"/>
        </w:rPr>
      </w:pPr>
      <w:r w:rsidRPr="00C71BD1">
        <w:rPr>
          <w:rFonts w:ascii="ITC Avant Garde" w:hAnsi="ITC Avant Garde" w:cstheme="minorHAnsi"/>
          <w:lang w:val="es-ES_tradnl"/>
        </w:rPr>
        <w:t>•</w:t>
      </w:r>
      <w:r w:rsidRPr="00C71BD1">
        <w:rPr>
          <w:rFonts w:ascii="ITC Avant Garde" w:hAnsi="ITC Avant Garde" w:cstheme="minorHAnsi"/>
          <w:lang w:val="es-ES_tradnl"/>
        </w:rPr>
        <w:tab/>
        <w:t>Gastos de representación.</w:t>
      </w:r>
    </w:p>
    <w:p w:rsidR="00C71BD1" w:rsidRPr="00C71BD1" w:rsidRDefault="00C71BD1" w:rsidP="00A7767E">
      <w:pPr>
        <w:spacing w:before="240"/>
        <w:ind w:left="426"/>
        <w:jc w:val="both"/>
        <w:rPr>
          <w:rFonts w:ascii="ITC Avant Garde" w:hAnsi="ITC Avant Garde" w:cstheme="minorHAnsi"/>
          <w:lang w:val="es-ES_tradnl"/>
        </w:rPr>
      </w:pPr>
      <w:r w:rsidRPr="00C71BD1">
        <w:rPr>
          <w:rFonts w:ascii="ITC Avant Garde" w:hAnsi="ITC Avant Garde" w:cstheme="minorHAnsi"/>
          <w:lang w:val="es-ES_tradnl"/>
        </w:rPr>
        <w:t>•</w:t>
      </w:r>
      <w:r w:rsidRPr="00C71BD1">
        <w:rPr>
          <w:rFonts w:ascii="ITC Avant Garde" w:hAnsi="ITC Avant Garde" w:cstheme="minorHAnsi"/>
          <w:lang w:val="es-ES_tradnl"/>
        </w:rPr>
        <w:tab/>
        <w:t>Boletos de viajes en categoría de negocios o ejecutiva.</w:t>
      </w:r>
    </w:p>
    <w:p w:rsidR="00EA6C31" w:rsidRDefault="00C71BD1" w:rsidP="00A7767E">
      <w:pPr>
        <w:spacing w:before="240"/>
        <w:ind w:left="426"/>
        <w:jc w:val="both"/>
        <w:rPr>
          <w:rFonts w:ascii="ITC Avant Garde" w:hAnsi="ITC Avant Garde" w:cstheme="minorHAnsi"/>
          <w:lang w:val="es-ES_tradnl"/>
        </w:rPr>
      </w:pPr>
      <w:r w:rsidRPr="00C71BD1">
        <w:rPr>
          <w:rFonts w:ascii="ITC Avant Garde" w:hAnsi="ITC Avant Garde" w:cstheme="minorHAnsi"/>
          <w:lang w:val="es-ES_tradnl"/>
        </w:rPr>
        <w:t>•</w:t>
      </w:r>
      <w:r w:rsidRPr="00C71BD1">
        <w:rPr>
          <w:rFonts w:ascii="ITC Avant Garde" w:hAnsi="ITC Avant Garde" w:cstheme="minorHAnsi"/>
          <w:lang w:val="es-ES_tradnl"/>
        </w:rPr>
        <w:tab/>
        <w:t>Vales de gasolina.</w:t>
      </w:r>
    </w:p>
    <w:p w:rsidR="00EA6C31" w:rsidRDefault="000F3611" w:rsidP="00A7767E">
      <w:pPr>
        <w:spacing w:before="240"/>
        <w:jc w:val="both"/>
        <w:rPr>
          <w:rFonts w:ascii="ITC Avant Garde" w:hAnsi="ITC Avant Garde" w:cstheme="minorHAnsi"/>
          <w:lang w:val="es-ES_tradnl"/>
        </w:rPr>
      </w:pPr>
      <w:r w:rsidRPr="00F3020E">
        <w:rPr>
          <w:rFonts w:ascii="ITC Avant Garde" w:hAnsi="ITC Avant Garde" w:cstheme="minorHAnsi"/>
          <w:b/>
          <w:lang w:val="es-ES_tradnl"/>
        </w:rPr>
        <w:t xml:space="preserve">DÉCIMO </w:t>
      </w:r>
      <w:r w:rsidR="008B0CB3">
        <w:rPr>
          <w:rFonts w:ascii="ITC Avant Garde" w:hAnsi="ITC Avant Garde" w:cstheme="minorHAnsi"/>
          <w:b/>
          <w:lang w:val="es-ES_tradnl"/>
        </w:rPr>
        <w:t>SÉPTIMO</w:t>
      </w:r>
      <w:r w:rsidRPr="00F3020E">
        <w:rPr>
          <w:rFonts w:ascii="ITC Avant Garde" w:hAnsi="ITC Avant Garde" w:cstheme="minorHAnsi"/>
          <w:lang w:val="es-ES_tradnl"/>
        </w:rPr>
        <w:t xml:space="preserve">. – </w:t>
      </w:r>
      <w:r w:rsidR="00C13FDF">
        <w:rPr>
          <w:rFonts w:ascii="ITC Avant Garde" w:hAnsi="ITC Avant Garde" w:cstheme="minorHAnsi"/>
          <w:lang w:val="es-ES_tradnl"/>
        </w:rPr>
        <w:t>Que</w:t>
      </w:r>
      <w:r w:rsidR="008B43F0">
        <w:rPr>
          <w:rFonts w:ascii="ITC Avant Garde" w:hAnsi="ITC Avant Garde" w:cstheme="minorHAnsi"/>
          <w:lang w:val="es-ES_tradnl"/>
        </w:rPr>
        <w:t>,</w:t>
      </w:r>
      <w:r w:rsidR="00C13FDF">
        <w:rPr>
          <w:rFonts w:ascii="ITC Avant Garde" w:hAnsi="ITC Avant Garde" w:cstheme="minorHAnsi"/>
          <w:lang w:val="es-ES_tradnl"/>
        </w:rPr>
        <w:t xml:space="preserve"> c</w:t>
      </w:r>
      <w:r w:rsidR="00C13FDF" w:rsidRPr="00C13FDF">
        <w:rPr>
          <w:rFonts w:ascii="ITC Avant Garde" w:hAnsi="ITC Avant Garde" w:cstheme="minorHAnsi"/>
          <w:lang w:val="es-ES_tradnl"/>
        </w:rPr>
        <w:t>onsiderando que el artículo 78 de las Disposiciones por las que se establece el Sistema de Servicio Profesional del Instituto Federal de Telecomunicaciones establece que:</w:t>
      </w:r>
    </w:p>
    <w:p w:rsidR="00C13FDF" w:rsidRPr="00C13FDF" w:rsidRDefault="00C13FDF" w:rsidP="00A7767E">
      <w:pPr>
        <w:spacing w:before="240"/>
        <w:ind w:left="426" w:right="899"/>
        <w:jc w:val="both"/>
        <w:rPr>
          <w:rFonts w:ascii="ITC Avant Garde" w:hAnsi="ITC Avant Garde" w:cstheme="minorHAnsi"/>
          <w:i/>
          <w:lang w:val="es-ES_tradnl"/>
        </w:rPr>
      </w:pPr>
      <w:r w:rsidRPr="00C13FDF">
        <w:rPr>
          <w:rFonts w:ascii="ITC Avant Garde" w:hAnsi="ITC Avant Garde" w:cstheme="minorHAnsi"/>
          <w:i/>
          <w:lang w:val="es-ES_tradnl"/>
        </w:rPr>
        <w:t xml:space="preserve">"Las prestaciones que el Instituto otorga son las establecidas en el presente Título Tercero, sin </w:t>
      </w:r>
      <w:r w:rsidR="00CA0C77" w:rsidRPr="00C13FDF">
        <w:rPr>
          <w:rFonts w:ascii="ITC Avant Garde" w:hAnsi="ITC Avant Garde" w:cstheme="minorHAnsi"/>
          <w:i/>
          <w:lang w:val="es-ES_tradnl"/>
        </w:rPr>
        <w:t>embargo,</w:t>
      </w:r>
      <w:r w:rsidRPr="00C13FDF">
        <w:rPr>
          <w:rFonts w:ascii="ITC Avant Garde" w:hAnsi="ITC Avant Garde" w:cstheme="minorHAnsi"/>
          <w:i/>
          <w:lang w:val="es-ES_tradnl"/>
        </w:rPr>
        <w:t xml:space="preserve"> podrá otorgar prestaciones </w:t>
      </w:r>
      <w:r w:rsidR="00CA0C77" w:rsidRPr="00C13FDF">
        <w:rPr>
          <w:rFonts w:ascii="ITC Avant Garde" w:hAnsi="ITC Avant Garde" w:cstheme="minorHAnsi"/>
          <w:i/>
          <w:lang w:val="es-ES_tradnl"/>
        </w:rPr>
        <w:t>adicionales,</w:t>
      </w:r>
      <w:r w:rsidRPr="00C13FDF">
        <w:rPr>
          <w:rFonts w:ascii="ITC Avant Garde" w:hAnsi="ITC Avant Garde" w:cstheme="minorHAnsi"/>
          <w:i/>
          <w:lang w:val="es-ES_tradnl"/>
        </w:rPr>
        <w:t xml:space="preserve"> así como modificar, sustituir, suprimir, cambiar, adaptar las prestaciones que en cualquier tiempo otorgue, atendiendo a la disponibilidad presupuestal del Instituto, previa aprobación del Pleno.</w:t>
      </w:r>
    </w:p>
    <w:p w:rsidR="00EA6C31" w:rsidRDefault="00C13FDF" w:rsidP="00A7767E">
      <w:pPr>
        <w:spacing w:before="240"/>
        <w:ind w:left="426" w:right="899"/>
        <w:jc w:val="both"/>
        <w:rPr>
          <w:rFonts w:ascii="ITC Avant Garde" w:hAnsi="ITC Avant Garde" w:cstheme="minorHAnsi"/>
          <w:i/>
          <w:lang w:val="es-ES_tradnl"/>
        </w:rPr>
      </w:pPr>
      <w:r w:rsidRPr="00C13FDF">
        <w:rPr>
          <w:rFonts w:ascii="ITC Avant Garde" w:hAnsi="ITC Avant Garde" w:cstheme="minorHAnsi"/>
          <w:i/>
          <w:lang w:val="es-ES_tradnl"/>
        </w:rPr>
        <w:t>Las prestaciones establecidas en las presentes Disposiciones son aplicables, con las modalidades y características aquí definidas, a todo el Personal".</w:t>
      </w:r>
    </w:p>
    <w:p w:rsidR="00EA6C31" w:rsidRDefault="00C13FDF" w:rsidP="00A7767E">
      <w:pPr>
        <w:spacing w:before="240"/>
        <w:jc w:val="both"/>
        <w:rPr>
          <w:rFonts w:ascii="ITC Avant Garde" w:hAnsi="ITC Avant Garde" w:cstheme="minorHAnsi"/>
          <w:lang w:val="es-ES_tradnl"/>
        </w:rPr>
      </w:pPr>
      <w:r w:rsidRPr="00C13FDF">
        <w:rPr>
          <w:rFonts w:ascii="ITC Avant Garde" w:hAnsi="ITC Avant Garde" w:cstheme="minorHAnsi"/>
          <w:lang w:val="es-ES_tradnl"/>
        </w:rPr>
        <w:lastRenderedPageBreak/>
        <w:t xml:space="preserve">Conforme a los pronunciamientos públicos ya señalados por parte del </w:t>
      </w:r>
      <w:r w:rsidR="003F0843">
        <w:rPr>
          <w:rFonts w:ascii="ITC Avant Garde" w:hAnsi="ITC Avant Garde" w:cstheme="minorHAnsi"/>
          <w:lang w:val="es-ES_tradnl"/>
        </w:rPr>
        <w:t>Presidente</w:t>
      </w:r>
      <w:r w:rsidR="003F0843" w:rsidRPr="00C13FDF">
        <w:rPr>
          <w:rFonts w:ascii="ITC Avant Garde" w:hAnsi="ITC Avant Garde" w:cstheme="minorHAnsi"/>
          <w:lang w:val="es-ES_tradnl"/>
        </w:rPr>
        <w:t xml:space="preserve"> </w:t>
      </w:r>
      <w:r w:rsidRPr="00C13FDF">
        <w:rPr>
          <w:rFonts w:ascii="ITC Avant Garde" w:hAnsi="ITC Avant Garde" w:cstheme="minorHAnsi"/>
          <w:lang w:val="es-ES_tradnl"/>
        </w:rPr>
        <w:t xml:space="preserve">Electo y habida cuenta de que no es un hecho cierto, pero altamente probable, que la Cámara de Diputados en uso de sus facultades, no apruebe recursos para el ejercicio de las partidas del capítulo 1000 servicios personales destinadas a: seguro de gastos médicos mayores, seguro de separación individualizado, y apoyo económico para cubrir los gastos de mantenimiento, combustible, lubricantes, seguros y depreciación del vehículo que sea de su propiedad y utilice en el desempeño de sus funciones; el IFT se vería obligado a suspender durante el ejercicio 2019 el otorgamiento de dichas prestaciones. </w:t>
      </w:r>
    </w:p>
    <w:p w:rsidR="00EA6C31" w:rsidRDefault="00C13FDF" w:rsidP="00A7767E">
      <w:pPr>
        <w:spacing w:before="240"/>
        <w:jc w:val="both"/>
        <w:rPr>
          <w:rFonts w:ascii="ITC Avant Garde" w:hAnsi="ITC Avant Garde" w:cstheme="minorHAnsi"/>
          <w:lang w:val="es-ES_tradnl"/>
        </w:rPr>
      </w:pPr>
      <w:r w:rsidRPr="00C13FDF">
        <w:rPr>
          <w:rFonts w:ascii="ITC Avant Garde" w:hAnsi="ITC Avant Garde" w:cstheme="minorHAnsi"/>
          <w:lang w:val="es-ES_tradnl"/>
        </w:rPr>
        <w:t>Por lo anterior y con la finalidad de optimizar el uso de los recursos con los que cuenta el Instituto, y ante el escenario previsible de que, aun previendo recursos, la Cámara de Diputados no autorice su ejercicio, las señaladas partidas no contienen una previsión presupuestal, sin que ello implique la supresión de dichas prestaciones.</w:t>
      </w:r>
    </w:p>
    <w:p w:rsidR="00C13FDF" w:rsidRPr="00C13FDF" w:rsidRDefault="00C13FDF" w:rsidP="00A7767E">
      <w:pPr>
        <w:spacing w:before="240"/>
        <w:jc w:val="both"/>
        <w:rPr>
          <w:rFonts w:ascii="ITC Avant Garde" w:hAnsi="ITC Avant Garde" w:cstheme="minorHAnsi"/>
          <w:lang w:val="es-ES_tradnl"/>
        </w:rPr>
      </w:pPr>
      <w:r w:rsidRPr="00C13FDF">
        <w:rPr>
          <w:rFonts w:ascii="ITC Avant Garde" w:hAnsi="ITC Avant Garde" w:cstheme="minorHAnsi"/>
          <w:lang w:val="es-ES_tradnl"/>
        </w:rPr>
        <w:t>Las prestaciones que se propone sean consideradas como parte de esta suspensión, son las establecidas en los artículos 34; 83, y 84 de las Disposiciones, y 22, fracciones I, III; 26, y 31 del Manual de Remuneraciones para los Servidores Públicos del Instituto Federal de Telecomunicaciones, para el ejercicio fiscal 2018; conforme a lo siguiente:</w:t>
      </w:r>
    </w:p>
    <w:p w:rsidR="00C13FDF" w:rsidRPr="00C13FDF" w:rsidRDefault="00C13FDF" w:rsidP="00A7767E">
      <w:pPr>
        <w:pStyle w:val="Prrafodelista"/>
        <w:numPr>
          <w:ilvl w:val="0"/>
          <w:numId w:val="6"/>
        </w:numPr>
        <w:spacing w:before="240" w:after="200"/>
        <w:jc w:val="both"/>
        <w:rPr>
          <w:rFonts w:ascii="ITC Avant Garde" w:hAnsi="ITC Avant Garde" w:cstheme="minorHAnsi"/>
          <w:sz w:val="22"/>
          <w:szCs w:val="22"/>
          <w:lang w:val="es-ES_tradnl"/>
        </w:rPr>
      </w:pPr>
      <w:r w:rsidRPr="00C13FDF">
        <w:rPr>
          <w:rFonts w:ascii="ITC Avant Garde" w:hAnsi="ITC Avant Garde" w:cstheme="minorHAnsi"/>
          <w:sz w:val="22"/>
          <w:szCs w:val="22"/>
          <w:lang w:val="es-ES_tradnl"/>
        </w:rPr>
        <w:t>Seguro de Gastos Médicos Mayores (primas básicas de titular, cónyuge e hijos);</w:t>
      </w:r>
    </w:p>
    <w:p w:rsidR="00C13FDF" w:rsidRPr="00C13FDF" w:rsidRDefault="00C13FDF" w:rsidP="00A7767E">
      <w:pPr>
        <w:pStyle w:val="Prrafodelista"/>
        <w:numPr>
          <w:ilvl w:val="0"/>
          <w:numId w:val="6"/>
        </w:numPr>
        <w:spacing w:before="240" w:after="200"/>
        <w:jc w:val="both"/>
        <w:rPr>
          <w:rFonts w:ascii="ITC Avant Garde" w:hAnsi="ITC Avant Garde" w:cstheme="minorHAnsi"/>
          <w:sz w:val="22"/>
          <w:szCs w:val="22"/>
          <w:lang w:val="es-ES_tradnl"/>
        </w:rPr>
      </w:pPr>
      <w:r w:rsidRPr="00C13FDF">
        <w:rPr>
          <w:rFonts w:ascii="ITC Avant Garde" w:hAnsi="ITC Avant Garde" w:cstheme="minorHAnsi"/>
          <w:sz w:val="22"/>
          <w:szCs w:val="22"/>
          <w:lang w:val="es-ES_tradnl"/>
        </w:rPr>
        <w:t>Seguro de Separación Individualizado, que constituye un beneficio del seguro de vida (porcentaje de aportación patronal neta);</w:t>
      </w:r>
    </w:p>
    <w:p w:rsidR="00C13FDF" w:rsidRPr="00C13FDF" w:rsidRDefault="00C13FDF" w:rsidP="00A7767E">
      <w:pPr>
        <w:pStyle w:val="Prrafodelista"/>
        <w:numPr>
          <w:ilvl w:val="0"/>
          <w:numId w:val="6"/>
        </w:numPr>
        <w:spacing w:before="240" w:after="200"/>
        <w:jc w:val="both"/>
        <w:rPr>
          <w:rFonts w:ascii="ITC Avant Garde" w:hAnsi="ITC Avant Garde" w:cstheme="minorHAnsi"/>
          <w:sz w:val="22"/>
          <w:szCs w:val="22"/>
          <w:lang w:val="es-ES_tradnl"/>
        </w:rPr>
      </w:pPr>
      <w:r w:rsidRPr="00C13FDF">
        <w:rPr>
          <w:rFonts w:ascii="ITC Avant Garde" w:hAnsi="ITC Avant Garde" w:cstheme="minorHAnsi"/>
          <w:sz w:val="22"/>
          <w:szCs w:val="22"/>
          <w:lang w:val="es-ES_tradnl"/>
        </w:rPr>
        <w:t xml:space="preserve">Apoyo económico para cubrir los gastos de mantenimiento, combustible, lubricantes, seguros y depreciación del vehículo que sea de su propiedad y utilice en el desempeño de sus funciones (importe mensual neto), y </w:t>
      </w:r>
    </w:p>
    <w:p w:rsidR="00EA6C31" w:rsidRDefault="00C13FDF" w:rsidP="00A7767E">
      <w:pPr>
        <w:pStyle w:val="Prrafodelista"/>
        <w:numPr>
          <w:ilvl w:val="0"/>
          <w:numId w:val="6"/>
        </w:numPr>
        <w:spacing w:before="240" w:after="200"/>
        <w:jc w:val="both"/>
        <w:rPr>
          <w:rFonts w:ascii="ITC Avant Garde" w:hAnsi="ITC Avant Garde" w:cstheme="minorHAnsi"/>
          <w:sz w:val="22"/>
          <w:szCs w:val="22"/>
          <w:lang w:val="es-ES_tradnl"/>
        </w:rPr>
      </w:pPr>
      <w:r w:rsidRPr="00C13FDF">
        <w:rPr>
          <w:rFonts w:ascii="ITC Avant Garde" w:hAnsi="ITC Avant Garde" w:cstheme="minorHAnsi"/>
          <w:sz w:val="22"/>
          <w:szCs w:val="22"/>
          <w:lang w:val="es-ES_tradnl"/>
        </w:rPr>
        <w:t xml:space="preserve">Estímulos al desempeño. </w:t>
      </w:r>
    </w:p>
    <w:p w:rsidR="00EA6C31" w:rsidRDefault="00C13FDF" w:rsidP="00A7767E">
      <w:pPr>
        <w:spacing w:before="240"/>
        <w:jc w:val="both"/>
        <w:rPr>
          <w:rFonts w:ascii="ITC Avant Garde" w:hAnsi="ITC Avant Garde" w:cstheme="minorHAnsi"/>
          <w:lang w:val="es-ES_tradnl"/>
        </w:rPr>
      </w:pPr>
      <w:r w:rsidRPr="00C13FDF">
        <w:rPr>
          <w:rFonts w:ascii="ITC Avant Garde" w:hAnsi="ITC Avant Garde" w:cstheme="minorHAnsi"/>
          <w:lang w:val="es-ES_tradnl"/>
        </w:rPr>
        <w:t>Lo anterior, en concordancia con el artículo 8 de la Ley Federal de Remuneraciones de los Servidores Públicos, que entró en vigor el 6 de noviembre pasado, y considerando que únicamente podrán concederse y cubrirse pagos por concepto de prestaciones, cuando éstas se encuentren expresamente asignadas por una ley o decreto legislativo o cuando estén señaladas en contrato colectivo o Condiciones Generales de Trabajo, siendo este último el caso aplicable al IFT, es decir, que el legislador federal decidió no anular el pago de prestaciones, sino tan solo regularlas para sujetarlas a la combinación de 2 factores:</w:t>
      </w:r>
    </w:p>
    <w:p w:rsidR="00C13FDF" w:rsidRPr="003B7B58" w:rsidRDefault="00C13FDF" w:rsidP="00A7767E">
      <w:pPr>
        <w:pStyle w:val="Prrafodelista"/>
        <w:numPr>
          <w:ilvl w:val="0"/>
          <w:numId w:val="10"/>
        </w:numPr>
        <w:spacing w:before="240" w:after="200"/>
        <w:jc w:val="both"/>
        <w:rPr>
          <w:rFonts w:ascii="ITC Avant Garde" w:hAnsi="ITC Avant Garde" w:cstheme="minorHAnsi"/>
          <w:sz w:val="22"/>
          <w:szCs w:val="22"/>
          <w:lang w:val="es-ES_tradnl"/>
        </w:rPr>
      </w:pPr>
      <w:r w:rsidRPr="003B7B58">
        <w:rPr>
          <w:rFonts w:ascii="ITC Avant Garde" w:hAnsi="ITC Avant Garde" w:cstheme="minorHAnsi"/>
          <w:sz w:val="22"/>
          <w:szCs w:val="22"/>
          <w:lang w:val="es-ES_tradnl"/>
        </w:rPr>
        <w:t>Su preexistencia legal o normativa, y</w:t>
      </w:r>
    </w:p>
    <w:p w:rsidR="00EA6C31" w:rsidRDefault="00C13FDF" w:rsidP="00A7767E">
      <w:pPr>
        <w:pStyle w:val="Prrafodelista"/>
        <w:numPr>
          <w:ilvl w:val="0"/>
          <w:numId w:val="10"/>
        </w:numPr>
        <w:spacing w:before="240" w:after="200"/>
        <w:jc w:val="both"/>
        <w:rPr>
          <w:rFonts w:ascii="ITC Avant Garde" w:hAnsi="ITC Avant Garde" w:cstheme="minorHAnsi"/>
          <w:sz w:val="22"/>
          <w:szCs w:val="22"/>
          <w:lang w:val="es-ES_tradnl"/>
        </w:rPr>
      </w:pPr>
      <w:r w:rsidRPr="003B7B58">
        <w:rPr>
          <w:rFonts w:ascii="ITC Avant Garde" w:hAnsi="ITC Avant Garde" w:cstheme="minorHAnsi"/>
          <w:sz w:val="22"/>
          <w:szCs w:val="22"/>
          <w:lang w:val="es-ES_tradnl"/>
        </w:rPr>
        <w:lastRenderedPageBreak/>
        <w:t>La existencia de una previsión presupuestal en el Presupuesto de Egresos de la Federación que corresponda, para posteriormente en caso de existir disponibilidad presupuestal, contemplarlas en las partidas relativas de cada ejecutor de gasto, incluyendo desde luego al IFT, conforme las previsiones de la LFPRH.</w:t>
      </w:r>
    </w:p>
    <w:p w:rsidR="00EA6C31" w:rsidRDefault="00C13FDF" w:rsidP="00A7767E">
      <w:pPr>
        <w:spacing w:before="240"/>
        <w:jc w:val="both"/>
        <w:rPr>
          <w:rFonts w:ascii="ITC Avant Garde" w:hAnsi="ITC Avant Garde" w:cstheme="minorHAnsi"/>
          <w:lang w:val="es-ES_tradnl"/>
        </w:rPr>
      </w:pPr>
      <w:r w:rsidRPr="00C13FDF">
        <w:rPr>
          <w:rFonts w:ascii="ITC Avant Garde" w:hAnsi="ITC Avant Garde" w:cstheme="minorHAnsi"/>
          <w:lang w:val="es-ES_tradnl"/>
        </w:rPr>
        <w:t>En ese sentido, considerando la inminencia del ajuste presupuestal que se avecina en materia de servicios personales para el ejercicio 2019, el cual</w:t>
      </w:r>
      <w:r w:rsidR="00EA5962">
        <w:rPr>
          <w:rFonts w:ascii="ITC Avant Garde" w:hAnsi="ITC Avant Garde" w:cstheme="minorHAnsi"/>
          <w:lang w:val="es-ES_tradnl"/>
        </w:rPr>
        <w:t>,</w:t>
      </w:r>
      <w:r w:rsidRPr="00C13FDF">
        <w:rPr>
          <w:rFonts w:ascii="ITC Avant Garde" w:hAnsi="ITC Avant Garde" w:cstheme="minorHAnsi"/>
          <w:lang w:val="es-ES_tradnl"/>
        </w:rPr>
        <w:t xml:space="preserve"> sin ser un hecho de realización cierta, sí es muy probable que acontezca</w:t>
      </w:r>
      <w:r w:rsidR="0019418F">
        <w:rPr>
          <w:rFonts w:ascii="ITC Avant Garde" w:hAnsi="ITC Avant Garde" w:cstheme="minorHAnsi"/>
          <w:lang w:val="es-ES_tradnl"/>
        </w:rPr>
        <w:t>,</w:t>
      </w:r>
      <w:r w:rsidRPr="00C13FDF">
        <w:rPr>
          <w:rFonts w:ascii="ITC Avant Garde" w:hAnsi="ITC Avant Garde" w:cstheme="minorHAnsi"/>
          <w:lang w:val="es-ES_tradnl"/>
        </w:rPr>
        <w:t xml:space="preserve"> se contempla como si fuese consumado en la integración del presupuesto 2019 del Instituto.</w:t>
      </w:r>
    </w:p>
    <w:p w:rsidR="00EA6C31" w:rsidRDefault="00C13FDF" w:rsidP="00A7767E">
      <w:pPr>
        <w:spacing w:before="240"/>
        <w:jc w:val="both"/>
        <w:rPr>
          <w:rFonts w:ascii="ITC Avant Garde" w:hAnsi="ITC Avant Garde" w:cstheme="minorHAnsi"/>
          <w:lang w:val="es-ES_tradnl"/>
        </w:rPr>
      </w:pPr>
      <w:r w:rsidRPr="00C13FDF">
        <w:rPr>
          <w:rFonts w:ascii="ITC Avant Garde" w:hAnsi="ITC Avant Garde" w:cstheme="minorHAnsi"/>
          <w:lang w:val="es-ES_tradnl"/>
        </w:rPr>
        <w:t xml:space="preserve">Por lo anterior, y dada la alta probabilidad de que la Cámara de Diputados no apruebe recursos en las partidas correspondientes del capítulo de servicios personales para el pago de las prestaciones ya señaladas, </w:t>
      </w:r>
      <w:r w:rsidR="00932A37" w:rsidRPr="00932A37">
        <w:rPr>
          <w:rFonts w:ascii="ITC Avant Garde" w:hAnsi="ITC Avant Garde" w:cstheme="minorHAnsi"/>
          <w:lang w:val="es-ES_tradnl"/>
        </w:rPr>
        <w:t>aun si se hubiera</w:t>
      </w:r>
      <w:r w:rsidR="003B7B58">
        <w:rPr>
          <w:rFonts w:ascii="ITC Avant Garde" w:hAnsi="ITC Avant Garde" w:cstheme="minorHAnsi"/>
          <w:lang w:val="es-ES_tradnl"/>
        </w:rPr>
        <w:t>n</w:t>
      </w:r>
      <w:r w:rsidR="00932A37" w:rsidRPr="00932A37">
        <w:rPr>
          <w:rFonts w:ascii="ITC Avant Garde" w:hAnsi="ITC Avant Garde" w:cstheme="minorHAnsi"/>
          <w:lang w:val="es-ES_tradnl"/>
        </w:rPr>
        <w:t xml:space="preserve"> previsto los recursos</w:t>
      </w:r>
      <w:r w:rsidR="00932A37" w:rsidRPr="00932A37" w:rsidDel="00932A37">
        <w:rPr>
          <w:rFonts w:ascii="ITC Avant Garde" w:hAnsi="ITC Avant Garde" w:cstheme="minorHAnsi"/>
          <w:lang w:val="es-ES_tradnl"/>
        </w:rPr>
        <w:t xml:space="preserve"> </w:t>
      </w:r>
      <w:r w:rsidR="003B7B58">
        <w:rPr>
          <w:rFonts w:ascii="ITC Avant Garde" w:hAnsi="ITC Avant Garde" w:cstheme="minorHAnsi"/>
          <w:lang w:val="es-ES_tradnl"/>
        </w:rPr>
        <w:t>en el</w:t>
      </w:r>
      <w:r w:rsidR="003B7B58" w:rsidRPr="00C13FDF">
        <w:rPr>
          <w:rFonts w:ascii="ITC Avant Garde" w:hAnsi="ITC Avant Garde" w:cstheme="minorHAnsi"/>
          <w:lang w:val="es-ES_tradnl"/>
        </w:rPr>
        <w:t xml:space="preserve"> </w:t>
      </w:r>
      <w:r w:rsidRPr="00C13FDF">
        <w:rPr>
          <w:rFonts w:ascii="ITC Avant Garde" w:hAnsi="ITC Avant Garde" w:cstheme="minorHAnsi"/>
          <w:lang w:val="es-ES_tradnl"/>
        </w:rPr>
        <w:t xml:space="preserve">presupuesto; se </w:t>
      </w:r>
      <w:r w:rsidR="003D467D">
        <w:rPr>
          <w:rFonts w:ascii="ITC Avant Garde" w:hAnsi="ITC Avant Garde" w:cstheme="minorHAnsi"/>
          <w:lang w:val="es-ES_tradnl"/>
        </w:rPr>
        <w:t xml:space="preserve">considera conveniente autorizar la </w:t>
      </w:r>
      <w:r w:rsidRPr="00C13FDF">
        <w:rPr>
          <w:rFonts w:ascii="ITC Avant Garde" w:hAnsi="ITC Avant Garde" w:cstheme="minorHAnsi"/>
          <w:lang w:val="es-ES_tradnl"/>
        </w:rPr>
        <w:t>suspensión de mérito.</w:t>
      </w:r>
    </w:p>
    <w:p w:rsidR="00EA6C31" w:rsidRDefault="00C13FDF" w:rsidP="00A7767E">
      <w:pPr>
        <w:spacing w:before="240"/>
        <w:jc w:val="both"/>
        <w:rPr>
          <w:rFonts w:ascii="ITC Avant Garde" w:hAnsi="ITC Avant Garde" w:cstheme="minorHAnsi"/>
          <w:lang w:val="es-ES_tradnl"/>
        </w:rPr>
      </w:pPr>
      <w:r w:rsidRPr="00C13FDF">
        <w:rPr>
          <w:rFonts w:ascii="ITC Avant Garde" w:hAnsi="ITC Avant Garde" w:cstheme="minorHAnsi"/>
          <w:lang w:val="es-ES_tradnl"/>
        </w:rPr>
        <w:t xml:space="preserve">Ello sin desconocer que conforme a la normatividad que regula las relaciones laborales del Instituto con sus trabajadores, aludida con antelación, los servidores públicos del IFT cuentan con una serie de prestaciones previstas por Condiciones Generales de Trabajo no renunciables, que incluso se puede afirmar se tratan de derechos laborales adquiridos, los cuales no se suprimen, con motivo de esta suspensión. </w:t>
      </w:r>
    </w:p>
    <w:p w:rsidR="00EA6C31" w:rsidRDefault="008B0CB3" w:rsidP="00A7767E">
      <w:pPr>
        <w:spacing w:before="240"/>
        <w:jc w:val="both"/>
        <w:rPr>
          <w:rFonts w:ascii="ITC Avant Garde" w:hAnsi="ITC Avant Garde" w:cstheme="minorHAnsi"/>
          <w:b/>
          <w:lang w:val="es-ES_tradnl"/>
        </w:rPr>
      </w:pPr>
      <w:r w:rsidRPr="00882D0A">
        <w:rPr>
          <w:rFonts w:ascii="ITC Avant Garde" w:hAnsi="ITC Avant Garde" w:cstheme="minorHAnsi"/>
          <w:b/>
          <w:lang w:val="es-ES_tradnl"/>
        </w:rPr>
        <w:t xml:space="preserve">DÉCIMO </w:t>
      </w:r>
      <w:r w:rsidR="001026F0">
        <w:rPr>
          <w:rFonts w:ascii="ITC Avant Garde" w:hAnsi="ITC Avant Garde" w:cstheme="minorHAnsi"/>
          <w:b/>
          <w:lang w:val="es-ES_tradnl"/>
        </w:rPr>
        <w:t>OCTAVO</w:t>
      </w:r>
      <w:r w:rsidRPr="00882D0A">
        <w:rPr>
          <w:rFonts w:ascii="ITC Avant Garde" w:hAnsi="ITC Avant Garde" w:cstheme="minorHAnsi"/>
          <w:b/>
          <w:lang w:val="es-ES_tradnl"/>
        </w:rPr>
        <w:t xml:space="preserve">. </w:t>
      </w:r>
      <w:r>
        <w:rPr>
          <w:rFonts w:ascii="ITC Avant Garde" w:hAnsi="ITC Avant Garde" w:cstheme="minorHAnsi"/>
          <w:b/>
          <w:lang w:val="es-ES_tradnl"/>
        </w:rPr>
        <w:t xml:space="preserve">– </w:t>
      </w:r>
      <w:r w:rsidR="00866169">
        <w:rPr>
          <w:rFonts w:ascii="ITC Avant Garde" w:hAnsi="ITC Avant Garde" w:cstheme="minorHAnsi"/>
          <w:b/>
          <w:lang w:val="es-ES_tradnl"/>
        </w:rPr>
        <w:t xml:space="preserve"> </w:t>
      </w:r>
      <w:r w:rsidR="00866169">
        <w:rPr>
          <w:rFonts w:ascii="ITC Avant Garde" w:hAnsi="ITC Avant Garde" w:cstheme="minorHAnsi"/>
          <w:lang w:val="es-ES_tradnl"/>
        </w:rPr>
        <w:t>Que, e</w:t>
      </w:r>
      <w:r w:rsidR="00866169" w:rsidRPr="00866169">
        <w:rPr>
          <w:rFonts w:ascii="ITC Avant Garde" w:hAnsi="ITC Avant Garde" w:cstheme="minorHAnsi"/>
          <w:lang w:val="es-ES_tradnl"/>
        </w:rPr>
        <w:t>l artículo 127 constitucional</w:t>
      </w:r>
      <w:r w:rsidR="00397F7D">
        <w:rPr>
          <w:rFonts w:ascii="ITC Avant Garde" w:hAnsi="ITC Avant Garde" w:cstheme="minorHAnsi"/>
          <w:lang w:val="es-ES_tradnl"/>
        </w:rPr>
        <w:t xml:space="preserve"> en sus fracciones II y </w:t>
      </w:r>
      <w:r w:rsidR="00932A37">
        <w:rPr>
          <w:rFonts w:ascii="ITC Avant Garde" w:hAnsi="ITC Avant Garde" w:cstheme="minorHAnsi"/>
          <w:lang w:val="es-ES_tradnl"/>
        </w:rPr>
        <w:t xml:space="preserve">III, </w:t>
      </w:r>
      <w:r w:rsidR="00932A37" w:rsidRPr="00866169">
        <w:rPr>
          <w:rFonts w:ascii="ITC Avant Garde" w:hAnsi="ITC Avant Garde" w:cstheme="minorHAnsi"/>
          <w:lang w:val="es-ES_tradnl"/>
        </w:rPr>
        <w:t>establece</w:t>
      </w:r>
      <w:r w:rsidR="00866169" w:rsidRPr="00866169">
        <w:rPr>
          <w:rFonts w:ascii="ITC Avant Garde" w:hAnsi="ITC Avant Garde" w:cstheme="minorHAnsi"/>
          <w:lang w:val="es-ES_tradnl"/>
        </w:rPr>
        <w:t xml:space="preserve"> las bases conforme a las cuales deberá determinarse la remuneración adecuada y proporcional a las responsabilidades de los servidores públicos:</w:t>
      </w:r>
    </w:p>
    <w:p w:rsidR="00866169" w:rsidRPr="00F949CE" w:rsidRDefault="00866169" w:rsidP="00A7767E">
      <w:pPr>
        <w:spacing w:before="240"/>
        <w:ind w:left="426" w:right="899"/>
        <w:jc w:val="both"/>
        <w:rPr>
          <w:rFonts w:ascii="ITC Avant Garde" w:hAnsi="ITC Avant Garde" w:cstheme="minorHAnsi"/>
          <w:i/>
          <w:lang w:val="es-ES_tradnl"/>
        </w:rPr>
      </w:pPr>
      <w:r w:rsidRPr="00F949CE">
        <w:rPr>
          <w:rFonts w:ascii="ITC Avant Garde" w:hAnsi="ITC Avant Garde" w:cstheme="minorHAnsi"/>
          <w:i/>
          <w:lang w:val="es-ES_tradnl"/>
        </w:rPr>
        <w:t>“II. Ningún servidor público podrá recibir remuneración, en términos de la fracción anterior, por el desempeño de su función, empleo, cargo o comisión, mayor a la establecida para el Presidente de la República en el presupuesto correspondiente.”</w:t>
      </w:r>
    </w:p>
    <w:p w:rsidR="00EA6C31" w:rsidRDefault="00866169" w:rsidP="00A7767E">
      <w:pPr>
        <w:spacing w:before="240"/>
        <w:ind w:left="426" w:right="899"/>
        <w:jc w:val="both"/>
        <w:rPr>
          <w:rFonts w:ascii="ITC Avant Garde" w:hAnsi="ITC Avant Garde" w:cstheme="minorHAnsi"/>
          <w:i/>
          <w:lang w:val="es-ES_tradnl"/>
        </w:rPr>
      </w:pPr>
      <w:r w:rsidRPr="00F949CE">
        <w:rPr>
          <w:rFonts w:ascii="ITC Avant Garde" w:hAnsi="ITC Avant Garde" w:cstheme="minorHAnsi"/>
          <w:i/>
          <w:lang w:val="es-ES_tradnl"/>
        </w:rPr>
        <w:t>“III. Ningún servidor público podrá tener una remuneración igual o mayor que su superior jerárquico; salvo que el excedente sea consecuencia del desempeño de varios empleos públicos, que su remuneración sea producto de las condiciones generales de trabajo, derivado de un trabajo técnico calificado o por especialización en su función, la suma de dichas retribuciones no deberá exceder la mitad de la remuneración establecida para el Presidente de la República en el presupuesto correspondiente.”</w:t>
      </w:r>
    </w:p>
    <w:p w:rsidR="00EA6C31" w:rsidRDefault="00866169" w:rsidP="00A7767E">
      <w:pPr>
        <w:spacing w:before="240"/>
        <w:jc w:val="both"/>
        <w:rPr>
          <w:rFonts w:ascii="ITC Avant Garde" w:hAnsi="ITC Avant Garde" w:cstheme="minorHAnsi"/>
          <w:lang w:val="es-ES_tradnl"/>
        </w:rPr>
      </w:pPr>
      <w:r w:rsidRPr="00866169">
        <w:rPr>
          <w:rFonts w:ascii="ITC Avant Garde" w:hAnsi="ITC Avant Garde" w:cstheme="minorHAnsi"/>
          <w:lang w:val="es-ES_tradnl"/>
        </w:rPr>
        <w:t xml:space="preserve">Del texto se desprende la regla general consistente en que ningún servidor público puede recibir remuneración mayor a la del Presidente de la República, así como la posibilidad de que la remuneración de un servidor público exceda la remuneración del </w:t>
      </w:r>
      <w:r w:rsidRPr="00866169">
        <w:rPr>
          <w:rFonts w:ascii="ITC Avant Garde" w:hAnsi="ITC Avant Garde" w:cstheme="minorHAnsi"/>
          <w:lang w:val="es-ES_tradnl"/>
        </w:rPr>
        <w:lastRenderedPageBreak/>
        <w:t>superior jerárquico, únicamente en los casos previstos en la fracción III del artículo 127 constitucional, lo que claramente incluye a los subalternos del Presidente de la República, al no haber disposición expresa en contrario.</w:t>
      </w:r>
    </w:p>
    <w:p w:rsidR="00EA6C31" w:rsidRDefault="00866169" w:rsidP="00A7767E">
      <w:pPr>
        <w:spacing w:before="240"/>
        <w:jc w:val="both"/>
        <w:rPr>
          <w:rFonts w:ascii="ITC Avant Garde" w:hAnsi="ITC Avant Garde" w:cstheme="minorHAnsi"/>
          <w:lang w:val="es-ES_tradnl"/>
        </w:rPr>
      </w:pPr>
      <w:r w:rsidRPr="00866169">
        <w:rPr>
          <w:rFonts w:ascii="ITC Avant Garde" w:hAnsi="ITC Avant Garde" w:cstheme="minorHAnsi"/>
          <w:lang w:val="es-ES_tradnl"/>
        </w:rPr>
        <w:t>De lo anterior es posible concluir que, como excepción, algunos servidores públicos pueden tener una remuneración total superior a la del Presidente de la República, conforme a lo siguiente:</w:t>
      </w:r>
    </w:p>
    <w:p w:rsidR="00866169" w:rsidRPr="00866169" w:rsidRDefault="00866169" w:rsidP="00A7767E">
      <w:pPr>
        <w:spacing w:before="240"/>
        <w:ind w:left="426"/>
        <w:jc w:val="both"/>
        <w:rPr>
          <w:rFonts w:ascii="ITC Avant Garde" w:hAnsi="ITC Avant Garde" w:cstheme="minorHAnsi"/>
          <w:lang w:val="es-ES_tradnl"/>
        </w:rPr>
      </w:pPr>
      <w:r w:rsidRPr="00866169">
        <w:rPr>
          <w:rFonts w:ascii="ITC Avant Garde" w:hAnsi="ITC Avant Garde" w:cstheme="minorHAnsi"/>
          <w:lang w:val="es-ES_tradnl"/>
        </w:rPr>
        <w:t>i)</w:t>
      </w:r>
      <w:r w:rsidRPr="00866169">
        <w:rPr>
          <w:rFonts w:ascii="ITC Avant Garde" w:hAnsi="ITC Avant Garde" w:cstheme="minorHAnsi"/>
          <w:lang w:val="es-ES_tradnl"/>
        </w:rPr>
        <w:tab/>
        <w:t>Únicamente como consecuencia de que se actualice alguna de las hipótesis previstas en la fracción III del artículo 127 constitucional, y</w:t>
      </w:r>
    </w:p>
    <w:p w:rsidR="00EA6C31" w:rsidRDefault="00866169" w:rsidP="00A7767E">
      <w:pPr>
        <w:spacing w:before="240"/>
        <w:ind w:left="426"/>
        <w:jc w:val="both"/>
        <w:rPr>
          <w:rFonts w:ascii="ITC Avant Garde" w:hAnsi="ITC Avant Garde" w:cstheme="minorHAnsi"/>
          <w:lang w:val="es-ES_tradnl"/>
        </w:rPr>
      </w:pPr>
      <w:r w:rsidRPr="00866169">
        <w:rPr>
          <w:rFonts w:ascii="ITC Avant Garde" w:hAnsi="ITC Avant Garde" w:cstheme="minorHAnsi"/>
          <w:lang w:val="es-ES_tradnl"/>
        </w:rPr>
        <w:t>ii)</w:t>
      </w:r>
      <w:r w:rsidRPr="00866169">
        <w:rPr>
          <w:rFonts w:ascii="ITC Avant Garde" w:hAnsi="ITC Avant Garde" w:cstheme="minorHAnsi"/>
          <w:lang w:val="es-ES_tradnl"/>
        </w:rPr>
        <w:tab/>
        <w:t>El límite máximo de la remuneración total en estos casos está determinado por la suma de la remuneración base (derivada del desempeño de un empleo, cargo o comisión y que debe ser inferior a la del Presidente) y el excedente (derivado de la actualización de alguna hipótesis de la fracción III del Art. 127, y que no puede ser superior a la mitad de la remuneración del Presidente). Como se desprende de la lectura del texto constitucional, se trata de dos elementos claros y distinguibles, cada uno sujeto a un límite constitucional distinto.</w:t>
      </w:r>
    </w:p>
    <w:p w:rsidR="00EA6C31" w:rsidRDefault="00866169" w:rsidP="00A7767E">
      <w:pPr>
        <w:spacing w:before="240"/>
        <w:jc w:val="both"/>
        <w:rPr>
          <w:rFonts w:ascii="ITC Avant Garde" w:hAnsi="ITC Avant Garde" w:cstheme="minorHAnsi"/>
          <w:lang w:val="es-ES_tradnl"/>
        </w:rPr>
      </w:pPr>
      <w:r w:rsidRPr="00866169">
        <w:rPr>
          <w:rFonts w:ascii="ITC Avant Garde" w:hAnsi="ITC Avant Garde" w:cstheme="minorHAnsi"/>
          <w:lang w:val="es-ES_tradnl"/>
        </w:rPr>
        <w:t>Así, la remuneración total de un servidor público que se ubique en alguna hipótesis prevista en la fracción III del artículo 127 debe ser menor al 150% de la remuneraci</w:t>
      </w:r>
      <w:r w:rsidR="00D53A59">
        <w:rPr>
          <w:rFonts w:ascii="ITC Avant Garde" w:hAnsi="ITC Avant Garde" w:cstheme="minorHAnsi"/>
          <w:lang w:val="es-ES_tradnl"/>
        </w:rPr>
        <w:t>ó</w:t>
      </w:r>
      <w:r w:rsidRPr="00866169">
        <w:rPr>
          <w:rFonts w:ascii="ITC Avant Garde" w:hAnsi="ITC Avant Garde" w:cstheme="minorHAnsi"/>
          <w:lang w:val="es-ES_tradnl"/>
        </w:rPr>
        <w:t>n del Presidente de la República, asumiendo que</w:t>
      </w:r>
      <w:r w:rsidR="00D53A59">
        <w:rPr>
          <w:rFonts w:ascii="ITC Avant Garde" w:hAnsi="ITC Avant Garde" w:cstheme="minorHAnsi"/>
          <w:lang w:val="es-ES_tradnl"/>
        </w:rPr>
        <w:t>,</w:t>
      </w:r>
      <w:r w:rsidRPr="00866169">
        <w:rPr>
          <w:rFonts w:ascii="ITC Avant Garde" w:hAnsi="ITC Avant Garde" w:cstheme="minorHAnsi"/>
          <w:lang w:val="es-ES_tradnl"/>
        </w:rPr>
        <w:t xml:space="preserve"> por principio, la remuneración base de dicho servidor púbico no podría ser superior a la del Presidente (100%) como lo ordena la fracción II del artículo 127, y el excedente justificado por la Constitución no puede ser mayor a la mitad de dicha remuneración (50%), como lo establece la fracción III de dicho artículo.</w:t>
      </w:r>
    </w:p>
    <w:p w:rsidR="00EA6C31" w:rsidRDefault="00866169" w:rsidP="00A7767E">
      <w:pPr>
        <w:spacing w:before="240"/>
        <w:jc w:val="both"/>
        <w:rPr>
          <w:rFonts w:ascii="ITC Avant Garde" w:hAnsi="ITC Avant Garde" w:cstheme="minorHAnsi"/>
          <w:lang w:val="es-ES_tradnl"/>
        </w:rPr>
      </w:pPr>
      <w:r w:rsidRPr="00866169">
        <w:rPr>
          <w:rFonts w:ascii="ITC Avant Garde" w:hAnsi="ITC Avant Garde" w:cstheme="minorHAnsi"/>
          <w:lang w:val="es-ES_tradnl"/>
        </w:rPr>
        <w:t xml:space="preserve">De hecho, el límite máximo al excedente solo encuentra sentido precisamente en que la remuneración total exceda a la remuneración del superior jerárquico (incluido el Presidente); es decir, de no superarse la remuneración del superior jerárquico (incluido el Presidente) por actualizarse alguna hipótesis de la fracción III, la regla relativa al excedente no tendría aplicación alguna ni razón de ser. </w:t>
      </w:r>
    </w:p>
    <w:p w:rsidR="00EA6C31" w:rsidRDefault="00866169" w:rsidP="00A7767E">
      <w:pPr>
        <w:spacing w:before="240"/>
        <w:jc w:val="both"/>
        <w:rPr>
          <w:rFonts w:ascii="ITC Avant Garde" w:hAnsi="ITC Avant Garde" w:cstheme="minorHAnsi"/>
          <w:lang w:val="es-ES_tradnl"/>
        </w:rPr>
      </w:pPr>
      <w:r w:rsidRPr="00866169">
        <w:rPr>
          <w:rFonts w:ascii="ITC Avant Garde" w:hAnsi="ITC Avant Garde" w:cstheme="minorHAnsi"/>
          <w:lang w:val="es-ES_tradnl"/>
        </w:rPr>
        <w:t xml:space="preserve">Por lo anterior, considerar de forma aislada, que en ningún caso debe superarse </w:t>
      </w:r>
      <w:r w:rsidR="00397F7D">
        <w:rPr>
          <w:rFonts w:ascii="ITC Avant Garde" w:hAnsi="ITC Avant Garde" w:cstheme="minorHAnsi"/>
          <w:lang w:val="es-ES_tradnl"/>
        </w:rPr>
        <w:t xml:space="preserve">la remuneración </w:t>
      </w:r>
      <w:r w:rsidRPr="00866169">
        <w:rPr>
          <w:rFonts w:ascii="ITC Avant Garde" w:hAnsi="ITC Avant Garde" w:cstheme="minorHAnsi"/>
          <w:lang w:val="es-ES_tradnl"/>
        </w:rPr>
        <w:t xml:space="preserve">del Presidente de la República, </w:t>
      </w:r>
      <w:r w:rsidR="00F949CE" w:rsidRPr="00866169">
        <w:rPr>
          <w:rFonts w:ascii="ITC Avant Garde" w:hAnsi="ITC Avant Garde" w:cstheme="minorHAnsi"/>
          <w:lang w:val="es-ES_tradnl"/>
        </w:rPr>
        <w:t>aun</w:t>
      </w:r>
      <w:r w:rsidRPr="00866169">
        <w:rPr>
          <w:rFonts w:ascii="ITC Avant Garde" w:hAnsi="ITC Avant Garde" w:cstheme="minorHAnsi"/>
          <w:lang w:val="es-ES_tradnl"/>
        </w:rPr>
        <w:t xml:space="preserve"> cuando se actualice alguno de los casos previstos en la fracción III, sería contrario a la Constitución, al eliminar de facto la validez y sentido a dicha disposición constitucional. </w:t>
      </w:r>
    </w:p>
    <w:p w:rsidR="00EA6C31" w:rsidRDefault="00866169" w:rsidP="00A7767E">
      <w:pPr>
        <w:spacing w:before="240"/>
        <w:jc w:val="both"/>
        <w:rPr>
          <w:rFonts w:ascii="ITC Avant Garde" w:hAnsi="ITC Avant Garde" w:cstheme="minorHAnsi"/>
          <w:lang w:val="es-ES_tradnl"/>
        </w:rPr>
      </w:pPr>
      <w:r w:rsidRPr="00866169">
        <w:rPr>
          <w:rFonts w:ascii="ITC Avant Garde" w:hAnsi="ITC Avant Garde" w:cstheme="minorHAnsi"/>
          <w:lang w:val="es-ES_tradnl"/>
        </w:rPr>
        <w:t xml:space="preserve">Adicionalmente, bajo una interpretación en ese sentido, solo los servidores públicos de menor jerarquía en la estructura podrían agotar el máximo previsto por la Constitución en el excedente (50% del salario del Presidente), sin superar la remuneración total del </w:t>
      </w:r>
      <w:r w:rsidRPr="00866169">
        <w:rPr>
          <w:rFonts w:ascii="ITC Avant Garde" w:hAnsi="ITC Avant Garde" w:cstheme="minorHAnsi"/>
          <w:lang w:val="es-ES_tradnl"/>
        </w:rPr>
        <w:lastRenderedPageBreak/>
        <w:t>Presidente de la República; lo que implicaría negar este derecho a los servidores públicos de mayor jerarquía en igualdad de condiciones (ubicarse en alguna hipótesis de la fracción III</w:t>
      </w:r>
      <w:r w:rsidR="00397F7D">
        <w:rPr>
          <w:rFonts w:ascii="ITC Avant Garde" w:hAnsi="ITC Avant Garde" w:cstheme="minorHAnsi"/>
          <w:lang w:val="es-ES_tradnl"/>
        </w:rPr>
        <w:t xml:space="preserve"> del artículo 127 constitucional</w:t>
      </w:r>
      <w:r w:rsidRPr="00866169">
        <w:rPr>
          <w:rFonts w:ascii="ITC Avant Garde" w:hAnsi="ITC Avant Garde" w:cstheme="minorHAnsi"/>
          <w:lang w:val="es-ES_tradnl"/>
        </w:rPr>
        <w:t xml:space="preserve">). Esto no solo sería contrario en general al derecho a la igualdad previsto en la Constitución sino también en su aplicación específica al mandato del propio artículo 127 de que el salario sea adecuado y proporcional a las responsabilidades de los servidores públicos, derecho que claramente se cumpliría en forma diferenciada atendiendo al nivel jerárquico y monto de las remuneraciones. </w:t>
      </w:r>
    </w:p>
    <w:p w:rsidR="00EA6C31" w:rsidRDefault="00866169" w:rsidP="00A7767E">
      <w:pPr>
        <w:spacing w:before="240"/>
        <w:jc w:val="both"/>
        <w:rPr>
          <w:rFonts w:ascii="ITC Avant Garde" w:hAnsi="ITC Avant Garde" w:cstheme="minorHAnsi"/>
          <w:lang w:val="es-ES_tradnl"/>
        </w:rPr>
      </w:pPr>
      <w:r w:rsidRPr="00866169">
        <w:rPr>
          <w:rFonts w:ascii="ITC Avant Garde" w:hAnsi="ITC Avant Garde" w:cstheme="minorHAnsi"/>
          <w:lang w:val="es-ES_tradnl"/>
        </w:rPr>
        <w:t>En este orden de ideas, y considerando que:</w:t>
      </w:r>
    </w:p>
    <w:p w:rsidR="00EA6C31" w:rsidRDefault="00866169" w:rsidP="00A7767E">
      <w:pPr>
        <w:spacing w:before="240"/>
        <w:jc w:val="both"/>
        <w:rPr>
          <w:rFonts w:ascii="ITC Avant Garde" w:hAnsi="ITC Avant Garde" w:cstheme="minorHAnsi"/>
          <w:lang w:val="es-ES_tradnl"/>
        </w:rPr>
      </w:pPr>
      <w:r w:rsidRPr="00FB70CD">
        <w:rPr>
          <w:rFonts w:ascii="ITC Avant Garde" w:hAnsi="ITC Avant Garde" w:cstheme="minorHAnsi"/>
          <w:b/>
          <w:lang w:val="es-ES_tradnl"/>
        </w:rPr>
        <w:t>Primero</w:t>
      </w:r>
      <w:r w:rsidRPr="00866169">
        <w:rPr>
          <w:rFonts w:ascii="ITC Avant Garde" w:hAnsi="ITC Avant Garde" w:cstheme="minorHAnsi"/>
          <w:lang w:val="es-ES_tradnl"/>
        </w:rPr>
        <w:t xml:space="preserve">. El análisis que llevó a cabo el legislador (Senado de la República) para aprobar la iniciativa de reforma al artículo 127 </w:t>
      </w:r>
      <w:r w:rsidR="00D53A59">
        <w:rPr>
          <w:rFonts w:ascii="ITC Avant Garde" w:hAnsi="ITC Avant Garde" w:cstheme="minorHAnsi"/>
          <w:lang w:val="es-ES_tradnl"/>
        </w:rPr>
        <w:t>c</w:t>
      </w:r>
      <w:r w:rsidRPr="00866169">
        <w:rPr>
          <w:rFonts w:ascii="ITC Avant Garde" w:hAnsi="ITC Avant Garde" w:cstheme="minorHAnsi"/>
          <w:lang w:val="es-ES_tradnl"/>
        </w:rPr>
        <w:t xml:space="preserve">onstitucional en 2009 contempló, entre otros aspectos, lo siguiente: </w:t>
      </w:r>
    </w:p>
    <w:p w:rsidR="00EA6C31" w:rsidRDefault="00866169" w:rsidP="00A7767E">
      <w:pPr>
        <w:spacing w:before="240"/>
        <w:ind w:left="426" w:right="899"/>
        <w:jc w:val="both"/>
        <w:rPr>
          <w:rFonts w:ascii="ITC Avant Garde" w:hAnsi="ITC Avant Garde" w:cstheme="minorHAnsi"/>
          <w:i/>
          <w:lang w:val="es-ES_tradnl"/>
        </w:rPr>
      </w:pPr>
      <w:r w:rsidRPr="00F949CE">
        <w:rPr>
          <w:rFonts w:ascii="ITC Avant Garde" w:hAnsi="ITC Avant Garde" w:cstheme="minorHAnsi"/>
          <w:i/>
          <w:lang w:val="es-ES_tradnl"/>
        </w:rPr>
        <w:t>“(…) se consideró conveniente fijar como referente la remuneración del titular del Poder Ejecutivo Federal, sin que esto signifique una preeminencia de dicho poder sobre los otros o se pretenda, en forma alguna, vulnerar la igualdad de los poderes, pu</w:t>
      </w:r>
      <w:r w:rsidR="00F949CE">
        <w:rPr>
          <w:rFonts w:ascii="ITC Avant Garde" w:hAnsi="ITC Avant Garde" w:cstheme="minorHAnsi"/>
          <w:i/>
          <w:lang w:val="es-ES_tradnl"/>
        </w:rPr>
        <w:t>es simplemente es un referente”</w:t>
      </w:r>
      <w:r w:rsidRPr="00F949CE">
        <w:rPr>
          <w:rFonts w:ascii="ITC Avant Garde" w:hAnsi="ITC Avant Garde" w:cstheme="minorHAnsi"/>
          <w:i/>
          <w:lang w:val="es-ES_tradnl"/>
        </w:rPr>
        <w:t>.</w:t>
      </w:r>
    </w:p>
    <w:p w:rsidR="00EA6C31" w:rsidRDefault="00866169" w:rsidP="00A7767E">
      <w:pPr>
        <w:spacing w:before="240"/>
        <w:jc w:val="both"/>
        <w:rPr>
          <w:rFonts w:ascii="ITC Avant Garde" w:hAnsi="ITC Avant Garde" w:cstheme="minorHAnsi"/>
          <w:lang w:val="es-ES_tradnl"/>
        </w:rPr>
      </w:pPr>
      <w:r w:rsidRPr="003B7B58">
        <w:rPr>
          <w:rFonts w:ascii="ITC Avant Garde" w:hAnsi="ITC Avant Garde" w:cstheme="minorHAnsi"/>
          <w:b/>
          <w:lang w:val="es-ES_tradnl"/>
        </w:rPr>
        <w:t>Segundo</w:t>
      </w:r>
      <w:r w:rsidRPr="00866169">
        <w:rPr>
          <w:rFonts w:ascii="ITC Avant Garde" w:hAnsi="ITC Avant Garde" w:cstheme="minorHAnsi"/>
          <w:lang w:val="es-ES_tradnl"/>
        </w:rPr>
        <w:t>. El diseño que adoptó el Constituyente, y fue reflejado en la legislación y normatividad que da origen al IFT, parte de la alta especialización técnica y de una estructura de incentivos para preservar la autonomía e independencia de sus resoluciones, tal y como lo refleja la iniciativa de reforma al artículo 28 Constitucional, que señala:</w:t>
      </w:r>
    </w:p>
    <w:p w:rsidR="00EA6C31" w:rsidRDefault="00866169" w:rsidP="00A7767E">
      <w:pPr>
        <w:spacing w:before="240"/>
        <w:jc w:val="both"/>
        <w:rPr>
          <w:rFonts w:ascii="ITC Avant Garde" w:hAnsi="ITC Avant Garde" w:cstheme="minorHAnsi"/>
          <w:lang w:val="es-ES_tradnl"/>
        </w:rPr>
      </w:pPr>
      <w:r w:rsidRPr="00866169">
        <w:rPr>
          <w:rFonts w:ascii="ITC Avant Garde" w:hAnsi="ITC Avant Garde" w:cstheme="minorHAnsi"/>
          <w:lang w:val="es-ES_tradnl"/>
        </w:rPr>
        <w:t>“La relevancia y trascendencia de la actividad reguladora en las materias de competencia económica, telecomunicaciones y radiodifusión, hacen conveniente que cuenten con absoluta autonomía en el ejercicio de sus funciones, sujetos a criterios eminentemente técnicos y ajenos a cualquier otro interés. Al respecto, la OCDE ha considerado importante que los Estados cuenten con organismos reguladores independientes de todas las partes interesadas para asegurar una competencia justa y transparente en el mercado.”</w:t>
      </w:r>
      <w:r w:rsidR="007362FF">
        <w:rPr>
          <w:rFonts w:ascii="ITC Avant Garde" w:hAnsi="ITC Avant Garde" w:cstheme="minorHAnsi"/>
          <w:lang w:val="es-ES_tradnl"/>
        </w:rPr>
        <w:t>.</w:t>
      </w:r>
    </w:p>
    <w:p w:rsidR="00EA6C31" w:rsidRDefault="00866169" w:rsidP="00A7767E">
      <w:pPr>
        <w:spacing w:before="240"/>
        <w:jc w:val="both"/>
        <w:rPr>
          <w:rFonts w:ascii="ITC Avant Garde" w:hAnsi="ITC Avant Garde" w:cstheme="minorHAnsi"/>
          <w:lang w:val="es-ES_tradnl"/>
        </w:rPr>
      </w:pPr>
      <w:r w:rsidRPr="003B7B58">
        <w:rPr>
          <w:rFonts w:ascii="ITC Avant Garde" w:hAnsi="ITC Avant Garde" w:cstheme="minorHAnsi"/>
          <w:b/>
          <w:lang w:val="es-ES_tradnl"/>
        </w:rPr>
        <w:t>Tercero</w:t>
      </w:r>
      <w:r w:rsidRPr="00866169">
        <w:rPr>
          <w:rFonts w:ascii="ITC Avant Garde" w:hAnsi="ITC Avant Garde" w:cstheme="minorHAnsi"/>
          <w:lang w:val="es-ES_tradnl"/>
        </w:rPr>
        <w:t>. El propio Constituyente estableció también mecanismos que privilegian la creación y funcionamiento de un ente regulador profesional y técnico, entre ellos destacan:</w:t>
      </w:r>
    </w:p>
    <w:p w:rsidR="00866169" w:rsidRPr="00866169" w:rsidRDefault="00866169" w:rsidP="00A7767E">
      <w:pPr>
        <w:spacing w:before="240"/>
        <w:ind w:left="284"/>
        <w:jc w:val="both"/>
        <w:rPr>
          <w:rFonts w:ascii="ITC Avant Garde" w:hAnsi="ITC Avant Garde" w:cstheme="minorHAnsi"/>
          <w:lang w:val="es-ES_tradnl"/>
        </w:rPr>
      </w:pPr>
      <w:r w:rsidRPr="00866169">
        <w:rPr>
          <w:rFonts w:ascii="ITC Avant Garde" w:hAnsi="ITC Avant Garde" w:cstheme="minorHAnsi"/>
          <w:lang w:val="es-ES_tradnl"/>
        </w:rPr>
        <w:t>•</w:t>
      </w:r>
      <w:r w:rsidRPr="00866169">
        <w:rPr>
          <w:rFonts w:ascii="ITC Avant Garde" w:hAnsi="ITC Avant Garde" w:cstheme="minorHAnsi"/>
          <w:lang w:val="es-ES_tradnl"/>
        </w:rPr>
        <w:tab/>
        <w:t xml:space="preserve">El máximo órgano de gobierno del IFT se integra por siete Comisionados, incluyendo el Comisionado Presidente, quienes son seleccionados mediante un proceso que observa los principios de transparencia, publicidad y máxima </w:t>
      </w:r>
      <w:r w:rsidRPr="00866169">
        <w:rPr>
          <w:rFonts w:ascii="ITC Avant Garde" w:hAnsi="ITC Avant Garde" w:cstheme="minorHAnsi"/>
          <w:lang w:val="es-ES_tradnl"/>
        </w:rPr>
        <w:lastRenderedPageBreak/>
        <w:t>concurrencia, en donde los candidatos deben cumplir con elementos de idoneidad que combinan aspectos técnicos y académicos de alta especialización, así como de independencia.</w:t>
      </w:r>
    </w:p>
    <w:p w:rsidR="00866169" w:rsidRPr="00866169" w:rsidRDefault="00866169" w:rsidP="00A7767E">
      <w:pPr>
        <w:spacing w:before="240"/>
        <w:ind w:left="284"/>
        <w:jc w:val="both"/>
        <w:rPr>
          <w:rFonts w:ascii="ITC Avant Garde" w:hAnsi="ITC Avant Garde" w:cstheme="minorHAnsi"/>
          <w:lang w:val="es-ES_tradnl"/>
        </w:rPr>
      </w:pPr>
      <w:r w:rsidRPr="00866169">
        <w:rPr>
          <w:rFonts w:ascii="ITC Avant Garde" w:hAnsi="ITC Avant Garde" w:cstheme="minorHAnsi"/>
          <w:lang w:val="es-ES_tradnl"/>
        </w:rPr>
        <w:t>•</w:t>
      </w:r>
      <w:r w:rsidRPr="00866169">
        <w:rPr>
          <w:rFonts w:ascii="ITC Avant Garde" w:hAnsi="ITC Avant Garde" w:cstheme="minorHAnsi"/>
          <w:lang w:val="es-ES_tradnl"/>
        </w:rPr>
        <w:tab/>
        <w:t>El IFT y la Comisión Federal de Competencia Económica son los únicos órganos del Estado Mexicano en los que los miembros de sus órganos de gobierno</w:t>
      </w:r>
      <w:r w:rsidR="00D53A59">
        <w:rPr>
          <w:rFonts w:ascii="ITC Avant Garde" w:hAnsi="ITC Avant Garde" w:cstheme="minorHAnsi"/>
          <w:lang w:val="es-ES_tradnl"/>
        </w:rPr>
        <w:t>, incluyendo sus Presidentes,</w:t>
      </w:r>
      <w:r w:rsidRPr="00866169">
        <w:rPr>
          <w:rFonts w:ascii="ITC Avant Garde" w:hAnsi="ITC Avant Garde" w:cstheme="minorHAnsi"/>
          <w:lang w:val="es-ES_tradnl"/>
        </w:rPr>
        <w:t xml:space="preserve"> deben acreditar, mediante una evaluación, que poseen los conocimientos técnicos de alta especialización para desempeñar dichos cargos.</w:t>
      </w:r>
    </w:p>
    <w:p w:rsidR="00866169" w:rsidRPr="00866169" w:rsidRDefault="00866169" w:rsidP="00A7767E">
      <w:pPr>
        <w:spacing w:before="240"/>
        <w:ind w:left="284"/>
        <w:jc w:val="both"/>
        <w:rPr>
          <w:rFonts w:ascii="ITC Avant Garde" w:hAnsi="ITC Avant Garde" w:cstheme="minorHAnsi"/>
          <w:lang w:val="es-ES_tradnl"/>
        </w:rPr>
      </w:pPr>
      <w:r w:rsidRPr="00866169">
        <w:rPr>
          <w:rFonts w:ascii="ITC Avant Garde" w:hAnsi="ITC Avant Garde" w:cstheme="minorHAnsi"/>
          <w:lang w:val="es-ES_tradnl"/>
        </w:rPr>
        <w:t>•</w:t>
      </w:r>
      <w:r w:rsidRPr="00866169">
        <w:rPr>
          <w:rFonts w:ascii="ITC Avant Garde" w:hAnsi="ITC Avant Garde" w:cstheme="minorHAnsi"/>
          <w:lang w:val="es-ES_tradnl"/>
        </w:rPr>
        <w:tab/>
        <w:t xml:space="preserve">La validación técnica está respaldada por el examen de conocimientos que realizan en conjunto tres </w:t>
      </w:r>
      <w:r w:rsidR="00D53A59">
        <w:rPr>
          <w:rFonts w:ascii="ITC Avant Garde" w:hAnsi="ITC Avant Garde" w:cstheme="minorHAnsi"/>
          <w:lang w:val="es-ES_tradnl"/>
        </w:rPr>
        <w:t>ó</w:t>
      </w:r>
      <w:r w:rsidRPr="00866169">
        <w:rPr>
          <w:rFonts w:ascii="ITC Avant Garde" w:hAnsi="ITC Avant Garde" w:cstheme="minorHAnsi"/>
          <w:lang w:val="es-ES_tradnl"/>
        </w:rPr>
        <w:t xml:space="preserve">rganos </w:t>
      </w:r>
      <w:r w:rsidR="00D53A59">
        <w:rPr>
          <w:rFonts w:ascii="ITC Avant Garde" w:hAnsi="ITC Avant Garde" w:cstheme="minorHAnsi"/>
          <w:lang w:val="es-ES_tradnl"/>
        </w:rPr>
        <w:t>a</w:t>
      </w:r>
      <w:r w:rsidRPr="00866169">
        <w:rPr>
          <w:rFonts w:ascii="ITC Avant Garde" w:hAnsi="ITC Avant Garde" w:cstheme="minorHAnsi"/>
          <w:lang w:val="es-ES_tradnl"/>
        </w:rPr>
        <w:t xml:space="preserve">utónomos (Banco de México; INEGI y el INEE). </w:t>
      </w:r>
    </w:p>
    <w:p w:rsidR="00EA6C31" w:rsidRDefault="00866169" w:rsidP="00A7767E">
      <w:pPr>
        <w:spacing w:before="240"/>
        <w:ind w:left="284"/>
        <w:jc w:val="both"/>
        <w:rPr>
          <w:rFonts w:ascii="ITC Avant Garde" w:hAnsi="ITC Avant Garde" w:cstheme="minorHAnsi"/>
          <w:lang w:val="es-ES_tradnl"/>
        </w:rPr>
      </w:pPr>
      <w:r w:rsidRPr="00866169">
        <w:rPr>
          <w:rFonts w:ascii="ITC Avant Garde" w:hAnsi="ITC Avant Garde" w:cstheme="minorHAnsi"/>
          <w:lang w:val="es-ES_tradnl"/>
        </w:rPr>
        <w:t>•</w:t>
      </w:r>
      <w:r w:rsidRPr="00866169">
        <w:rPr>
          <w:rFonts w:ascii="ITC Avant Garde" w:hAnsi="ITC Avant Garde" w:cstheme="minorHAnsi"/>
          <w:lang w:val="es-ES_tradnl"/>
        </w:rPr>
        <w:tab/>
        <w:t>Se cuenta con la participación de dos poderes de la Unión, pues la elección la realiza el Senado, por mayoría calificada de dos terceras partes, a propuesta del Ejecutivo Federal, y</w:t>
      </w:r>
    </w:p>
    <w:p w:rsidR="00EA6C31" w:rsidRDefault="00866169" w:rsidP="00A7767E">
      <w:pPr>
        <w:spacing w:before="240"/>
        <w:jc w:val="both"/>
        <w:rPr>
          <w:rFonts w:ascii="ITC Avant Garde" w:hAnsi="ITC Avant Garde" w:cstheme="minorHAnsi"/>
          <w:lang w:val="es-ES_tradnl"/>
        </w:rPr>
      </w:pPr>
      <w:r w:rsidRPr="003B7B58">
        <w:rPr>
          <w:rFonts w:ascii="ITC Avant Garde" w:hAnsi="ITC Avant Garde" w:cstheme="minorHAnsi"/>
          <w:b/>
          <w:lang w:val="es-ES_tradnl"/>
        </w:rPr>
        <w:t>Cuarto</w:t>
      </w:r>
      <w:r w:rsidRPr="00866169">
        <w:rPr>
          <w:rFonts w:ascii="ITC Avant Garde" w:hAnsi="ITC Avant Garde" w:cstheme="minorHAnsi"/>
          <w:lang w:val="es-ES_tradnl"/>
        </w:rPr>
        <w:t>. La Ley Federal de Telecomunicaciones y Radiodifusión (LFTR) establece:</w:t>
      </w:r>
    </w:p>
    <w:p w:rsidR="00EA6C31" w:rsidRDefault="00866169" w:rsidP="00A7767E">
      <w:pPr>
        <w:spacing w:before="240"/>
        <w:ind w:left="426" w:right="899"/>
        <w:jc w:val="both"/>
        <w:rPr>
          <w:rFonts w:ascii="ITC Avant Garde" w:hAnsi="ITC Avant Garde" w:cstheme="minorHAnsi"/>
          <w:i/>
          <w:lang w:val="es-ES_tradnl"/>
        </w:rPr>
      </w:pPr>
      <w:r w:rsidRPr="00F949CE">
        <w:rPr>
          <w:rFonts w:ascii="ITC Avant Garde" w:hAnsi="ITC Avant Garde" w:cstheme="minorHAnsi"/>
          <w:i/>
          <w:lang w:val="es-ES_tradnl"/>
        </w:rPr>
        <w:t>“Artículo 7. Los funcionarios del Instituto deberán guiarse por los principios de autonomía, legalidad, objetividad, imparcialidad, certeza, eficiencia, eficacia, transparencia y rendición de cuentas. Desempeñarán su función con autonomía y probidad”.</w:t>
      </w:r>
    </w:p>
    <w:p w:rsidR="00EA6C31" w:rsidRDefault="00866169" w:rsidP="00A7767E">
      <w:pPr>
        <w:spacing w:before="240"/>
        <w:ind w:left="426" w:right="899"/>
        <w:jc w:val="both"/>
        <w:rPr>
          <w:rFonts w:ascii="ITC Avant Garde" w:hAnsi="ITC Avant Garde" w:cstheme="minorHAnsi"/>
          <w:i/>
          <w:lang w:val="es-ES_tradnl"/>
        </w:rPr>
      </w:pPr>
      <w:r w:rsidRPr="00F949CE">
        <w:rPr>
          <w:rFonts w:ascii="ITC Avant Garde" w:hAnsi="ITC Avant Garde" w:cstheme="minorHAnsi"/>
          <w:i/>
          <w:lang w:val="es-ES_tradnl"/>
        </w:rPr>
        <w:t>“Artículo 43. El Instituto contará y deberá establecer un sistema de servicio profesional que evalúe, reconozca la capacidad, desempeño, experiencia de sus servidores públicos y procurará la igualdad de género. Dicho sistema deberá ser aprobado por el Pleno a propuesta del Comisionado Presidente”.</w:t>
      </w:r>
    </w:p>
    <w:p w:rsidR="00EA6C31" w:rsidRDefault="00866169" w:rsidP="00A7767E">
      <w:pPr>
        <w:spacing w:before="240"/>
        <w:jc w:val="both"/>
        <w:rPr>
          <w:rFonts w:ascii="ITC Avant Garde" w:hAnsi="ITC Avant Garde" w:cstheme="minorHAnsi"/>
          <w:lang w:val="es-ES_tradnl"/>
        </w:rPr>
      </w:pPr>
      <w:r w:rsidRPr="003B7B58">
        <w:rPr>
          <w:rFonts w:ascii="ITC Avant Garde" w:hAnsi="ITC Avant Garde" w:cstheme="minorHAnsi"/>
          <w:b/>
          <w:lang w:val="es-ES_tradnl"/>
        </w:rPr>
        <w:t>Quinto</w:t>
      </w:r>
      <w:r w:rsidRPr="00866169">
        <w:rPr>
          <w:rFonts w:ascii="ITC Avant Garde" w:hAnsi="ITC Avant Garde" w:cstheme="minorHAnsi"/>
          <w:lang w:val="es-ES_tradnl"/>
        </w:rPr>
        <w:t>. En cumplimiento a lo anterior, en febrero de 2015 el Instituto emitió las Disposiciones por las que se establece el Sistema de Servicio Profesional del Instituto Federal de Telecomunicaciones, mismas que le permiten contar con un Sistema de Servicio Profesional para todo su personal, que contempla los mecanismos para atraer, desarrollar y retener talento altamente especializado, para llevar a cabo las funciones del regulador en materia de telecomunicaciones y radiodifusión del Estado Mexicano, que además, incorpora de manera interrelacionada los procesos de: Planeación de personal; Ingreso; Formación y Capacitación; Desarrollo; Administración del Desempeño; Remuneraciones y Prestaciones, y Separación, así como las Condiciones Generales de Trabajo que establecen los derechos, obligaciones y el esquema de remuneraciones, percepciones ordinarias o extraordinarias, prestaciones y demás elementos que rigen las relaciones laborales del Instituto con sus trabajadores.</w:t>
      </w:r>
    </w:p>
    <w:p w:rsidR="00EA6C31" w:rsidRDefault="00866169" w:rsidP="00A7767E">
      <w:pPr>
        <w:spacing w:before="240"/>
        <w:jc w:val="both"/>
        <w:rPr>
          <w:rFonts w:ascii="ITC Avant Garde" w:hAnsi="ITC Avant Garde" w:cstheme="minorHAnsi"/>
          <w:lang w:val="es-ES_tradnl"/>
        </w:rPr>
      </w:pPr>
      <w:r w:rsidRPr="00866169">
        <w:rPr>
          <w:rFonts w:ascii="ITC Avant Garde" w:hAnsi="ITC Avant Garde" w:cstheme="minorHAnsi"/>
          <w:lang w:val="es-ES_tradnl"/>
        </w:rPr>
        <w:lastRenderedPageBreak/>
        <w:t>En resumen, es claro en nuestra normativa el régimen jurídico específico otorgado al Instituto, que incluye, entre otros aspectos:</w:t>
      </w:r>
    </w:p>
    <w:p w:rsidR="00866169" w:rsidRPr="00866169" w:rsidRDefault="00866169" w:rsidP="00A7767E">
      <w:pPr>
        <w:spacing w:before="240"/>
        <w:ind w:left="284"/>
        <w:jc w:val="both"/>
        <w:rPr>
          <w:rFonts w:ascii="ITC Avant Garde" w:hAnsi="ITC Avant Garde" w:cstheme="minorHAnsi"/>
          <w:lang w:val="es-ES_tradnl"/>
        </w:rPr>
      </w:pPr>
      <w:r w:rsidRPr="00866169">
        <w:rPr>
          <w:rFonts w:ascii="ITC Avant Garde" w:hAnsi="ITC Avant Garde" w:cstheme="minorHAnsi"/>
          <w:lang w:val="es-ES_tradnl"/>
        </w:rPr>
        <w:t>•</w:t>
      </w:r>
      <w:r w:rsidRPr="00866169">
        <w:rPr>
          <w:rFonts w:ascii="ITC Avant Garde" w:hAnsi="ITC Avant Garde" w:cstheme="minorHAnsi"/>
          <w:lang w:val="es-ES_tradnl"/>
        </w:rPr>
        <w:tab/>
        <w:t xml:space="preserve">El reconocimiento como </w:t>
      </w:r>
      <w:r w:rsidR="00D53A59">
        <w:rPr>
          <w:rFonts w:ascii="ITC Avant Garde" w:hAnsi="ITC Avant Garde" w:cstheme="minorHAnsi"/>
          <w:lang w:val="es-ES_tradnl"/>
        </w:rPr>
        <w:t>ó</w:t>
      </w:r>
      <w:r w:rsidRPr="00866169">
        <w:rPr>
          <w:rFonts w:ascii="ITC Avant Garde" w:hAnsi="ITC Avant Garde" w:cstheme="minorHAnsi"/>
          <w:lang w:val="es-ES_tradnl"/>
        </w:rPr>
        <w:t xml:space="preserve">rgano </w:t>
      </w:r>
      <w:r w:rsidR="00D53A59">
        <w:rPr>
          <w:rFonts w:ascii="ITC Avant Garde" w:hAnsi="ITC Avant Garde" w:cstheme="minorHAnsi"/>
          <w:lang w:val="es-ES_tradnl"/>
        </w:rPr>
        <w:t>c</w:t>
      </w:r>
      <w:r w:rsidRPr="00866169">
        <w:rPr>
          <w:rFonts w:ascii="ITC Avant Garde" w:hAnsi="ITC Avant Garde" w:cstheme="minorHAnsi"/>
          <w:lang w:val="es-ES_tradnl"/>
        </w:rPr>
        <w:t xml:space="preserve">onstitucional </w:t>
      </w:r>
      <w:r w:rsidR="00D53A59">
        <w:rPr>
          <w:rFonts w:ascii="ITC Avant Garde" w:hAnsi="ITC Avant Garde" w:cstheme="minorHAnsi"/>
          <w:lang w:val="es-ES_tradnl"/>
        </w:rPr>
        <w:t>a</w:t>
      </w:r>
      <w:r w:rsidRPr="00866169">
        <w:rPr>
          <w:rFonts w:ascii="ITC Avant Garde" w:hAnsi="ITC Avant Garde" w:cstheme="minorHAnsi"/>
          <w:lang w:val="es-ES_tradnl"/>
        </w:rPr>
        <w:t>utónomo;</w:t>
      </w:r>
    </w:p>
    <w:p w:rsidR="00866169" w:rsidRPr="00866169" w:rsidRDefault="00866169" w:rsidP="00A7767E">
      <w:pPr>
        <w:spacing w:before="240"/>
        <w:ind w:left="284"/>
        <w:jc w:val="both"/>
        <w:rPr>
          <w:rFonts w:ascii="ITC Avant Garde" w:hAnsi="ITC Avant Garde" w:cstheme="minorHAnsi"/>
          <w:lang w:val="es-ES_tradnl"/>
        </w:rPr>
      </w:pPr>
      <w:r w:rsidRPr="00866169">
        <w:rPr>
          <w:rFonts w:ascii="ITC Avant Garde" w:hAnsi="ITC Avant Garde" w:cstheme="minorHAnsi"/>
          <w:lang w:val="es-ES_tradnl"/>
        </w:rPr>
        <w:t>•</w:t>
      </w:r>
      <w:r w:rsidRPr="00866169">
        <w:rPr>
          <w:rFonts w:ascii="ITC Avant Garde" w:hAnsi="ITC Avant Garde" w:cstheme="minorHAnsi"/>
          <w:lang w:val="es-ES_tradnl"/>
        </w:rPr>
        <w:tab/>
        <w:t>La existencia de un mandato claro respecto de su trabajo técnico, calificado, y de alta especialización en su función;</w:t>
      </w:r>
    </w:p>
    <w:p w:rsidR="00866169" w:rsidRPr="00866169" w:rsidRDefault="00866169" w:rsidP="00A7767E">
      <w:pPr>
        <w:spacing w:before="240"/>
        <w:ind w:left="284"/>
        <w:jc w:val="both"/>
        <w:rPr>
          <w:rFonts w:ascii="ITC Avant Garde" w:hAnsi="ITC Avant Garde" w:cstheme="minorHAnsi"/>
          <w:lang w:val="es-ES_tradnl"/>
        </w:rPr>
      </w:pPr>
      <w:r w:rsidRPr="00866169">
        <w:rPr>
          <w:rFonts w:ascii="ITC Avant Garde" w:hAnsi="ITC Avant Garde" w:cstheme="minorHAnsi"/>
          <w:lang w:val="es-ES_tradnl"/>
        </w:rPr>
        <w:t>•</w:t>
      </w:r>
      <w:r w:rsidRPr="00866169">
        <w:rPr>
          <w:rFonts w:ascii="ITC Avant Garde" w:hAnsi="ITC Avant Garde" w:cstheme="minorHAnsi"/>
          <w:lang w:val="es-ES_tradnl"/>
        </w:rPr>
        <w:tab/>
        <w:t>Que el IFT y la COFECE sean los únicos órganos del Estado Mexicano en los que los miembros de sus órganos de gobierno</w:t>
      </w:r>
      <w:r w:rsidR="00D53A59">
        <w:rPr>
          <w:rFonts w:ascii="ITC Avant Garde" w:hAnsi="ITC Avant Garde" w:cstheme="minorHAnsi"/>
          <w:lang w:val="es-ES_tradnl"/>
        </w:rPr>
        <w:t>, incluyendo a sus Presidentes,</w:t>
      </w:r>
      <w:r w:rsidRPr="00866169">
        <w:rPr>
          <w:rFonts w:ascii="ITC Avant Garde" w:hAnsi="ITC Avant Garde" w:cstheme="minorHAnsi"/>
          <w:lang w:val="es-ES_tradnl"/>
        </w:rPr>
        <w:t xml:space="preserve"> deben acreditar, mediante una evaluación, que poseen los conocimientos técnicos de alta especialización para desempeñar dichos cargos;</w:t>
      </w:r>
    </w:p>
    <w:p w:rsidR="00EA6C31" w:rsidRDefault="00866169" w:rsidP="00A7767E">
      <w:pPr>
        <w:spacing w:before="240"/>
        <w:ind w:left="284"/>
        <w:jc w:val="both"/>
        <w:rPr>
          <w:rFonts w:ascii="ITC Avant Garde" w:hAnsi="ITC Avant Garde" w:cstheme="minorHAnsi"/>
          <w:lang w:val="es-ES_tradnl"/>
        </w:rPr>
      </w:pPr>
      <w:r w:rsidRPr="00866169">
        <w:rPr>
          <w:rFonts w:ascii="ITC Avant Garde" w:hAnsi="ITC Avant Garde" w:cstheme="minorHAnsi"/>
          <w:lang w:val="es-ES_tradnl"/>
        </w:rPr>
        <w:t>•</w:t>
      </w:r>
      <w:r w:rsidRPr="00866169">
        <w:rPr>
          <w:rFonts w:ascii="ITC Avant Garde" w:hAnsi="ITC Avant Garde" w:cstheme="minorHAnsi"/>
          <w:lang w:val="es-ES_tradnl"/>
        </w:rPr>
        <w:tab/>
        <w:t xml:space="preserve">El mandato de la LFTR al IFT para establecer un Sistema de Servicio Profesional, y </w:t>
      </w:r>
    </w:p>
    <w:p w:rsidR="00EA6C31" w:rsidRDefault="00866169" w:rsidP="00A7767E">
      <w:pPr>
        <w:spacing w:before="240"/>
        <w:jc w:val="both"/>
        <w:rPr>
          <w:rFonts w:ascii="ITC Avant Garde" w:hAnsi="ITC Avant Garde" w:cstheme="minorHAnsi"/>
          <w:lang w:val="es-ES_tradnl"/>
        </w:rPr>
      </w:pPr>
      <w:r w:rsidRPr="00866169">
        <w:rPr>
          <w:rFonts w:ascii="ITC Avant Garde" w:hAnsi="ITC Avant Garde" w:cstheme="minorHAnsi"/>
          <w:lang w:val="es-ES_tradnl"/>
        </w:rPr>
        <w:t xml:space="preserve">Este régimen jurídico conlleva a determinar que 16 servidores públicos del Instituto (1% de la plantilla total), se ubican claramente en los supuestos de excepción, considerados en la fracción III del artículo 127 Constitucional. </w:t>
      </w:r>
    </w:p>
    <w:p w:rsidR="00EA6C31" w:rsidRDefault="00866169" w:rsidP="00A7767E">
      <w:pPr>
        <w:spacing w:before="240"/>
        <w:jc w:val="both"/>
        <w:rPr>
          <w:rFonts w:ascii="ITC Avant Garde" w:hAnsi="ITC Avant Garde" w:cstheme="minorHAnsi"/>
          <w:lang w:val="es-ES_tradnl"/>
        </w:rPr>
      </w:pPr>
      <w:r w:rsidRPr="00866169">
        <w:rPr>
          <w:rFonts w:ascii="ITC Avant Garde" w:hAnsi="ITC Avant Garde" w:cstheme="minorHAnsi"/>
          <w:lang w:val="es-ES_tradnl"/>
        </w:rPr>
        <w:t>Es por ello que:</w:t>
      </w:r>
    </w:p>
    <w:p w:rsidR="00866169" w:rsidRPr="00866169" w:rsidRDefault="00866169" w:rsidP="00A7767E">
      <w:pPr>
        <w:spacing w:before="240"/>
        <w:ind w:left="284"/>
        <w:jc w:val="both"/>
        <w:rPr>
          <w:rFonts w:ascii="ITC Avant Garde" w:hAnsi="ITC Avant Garde" w:cstheme="minorHAnsi"/>
          <w:lang w:val="es-ES_tradnl"/>
        </w:rPr>
      </w:pPr>
      <w:r w:rsidRPr="00866169">
        <w:rPr>
          <w:rFonts w:ascii="ITC Avant Garde" w:hAnsi="ITC Avant Garde" w:cstheme="minorHAnsi"/>
          <w:lang w:val="es-ES_tradnl"/>
        </w:rPr>
        <w:t>•</w:t>
      </w:r>
      <w:r w:rsidRPr="00866169">
        <w:rPr>
          <w:rFonts w:ascii="ITC Avant Garde" w:hAnsi="ITC Avant Garde" w:cstheme="minorHAnsi"/>
          <w:lang w:val="es-ES_tradnl"/>
        </w:rPr>
        <w:tab/>
        <w:t xml:space="preserve">El Comisionado Presidente del IFT, en su carácter de </w:t>
      </w:r>
      <w:r w:rsidR="00D53A59">
        <w:rPr>
          <w:rFonts w:ascii="ITC Avant Garde" w:hAnsi="ITC Avant Garde" w:cstheme="minorHAnsi"/>
          <w:lang w:val="es-ES_tradnl"/>
        </w:rPr>
        <w:t>t</w:t>
      </w:r>
      <w:r w:rsidRPr="00866169">
        <w:rPr>
          <w:rFonts w:ascii="ITC Avant Garde" w:hAnsi="ITC Avant Garde" w:cstheme="minorHAnsi"/>
          <w:lang w:val="es-ES_tradnl"/>
        </w:rPr>
        <w:t xml:space="preserve">itular de un </w:t>
      </w:r>
      <w:r w:rsidR="00D53A59">
        <w:rPr>
          <w:rFonts w:ascii="ITC Avant Garde" w:hAnsi="ITC Avant Garde" w:cstheme="minorHAnsi"/>
          <w:lang w:val="es-ES_tradnl"/>
        </w:rPr>
        <w:t>ó</w:t>
      </w:r>
      <w:r w:rsidRPr="00866169">
        <w:rPr>
          <w:rFonts w:ascii="ITC Avant Garde" w:hAnsi="ITC Avant Garde" w:cstheme="minorHAnsi"/>
          <w:lang w:val="es-ES_tradnl"/>
        </w:rPr>
        <w:t xml:space="preserve">rgano </w:t>
      </w:r>
      <w:r w:rsidR="00D53A59">
        <w:rPr>
          <w:rFonts w:ascii="ITC Avant Garde" w:hAnsi="ITC Avant Garde" w:cstheme="minorHAnsi"/>
          <w:lang w:val="es-ES_tradnl"/>
        </w:rPr>
        <w:t>c</w:t>
      </w:r>
      <w:r w:rsidRPr="00866169">
        <w:rPr>
          <w:rFonts w:ascii="ITC Avant Garde" w:hAnsi="ITC Avant Garde" w:cstheme="minorHAnsi"/>
          <w:lang w:val="es-ES_tradnl"/>
        </w:rPr>
        <w:t xml:space="preserve">onstitucional </w:t>
      </w:r>
      <w:r w:rsidR="00D53A59">
        <w:rPr>
          <w:rFonts w:ascii="ITC Avant Garde" w:hAnsi="ITC Avant Garde" w:cstheme="minorHAnsi"/>
          <w:lang w:val="es-ES_tradnl"/>
        </w:rPr>
        <w:t>a</w:t>
      </w:r>
      <w:r w:rsidRPr="00866169">
        <w:rPr>
          <w:rFonts w:ascii="ITC Avant Garde" w:hAnsi="ITC Avant Garde" w:cstheme="minorHAnsi"/>
          <w:lang w:val="es-ES_tradnl"/>
        </w:rPr>
        <w:t xml:space="preserve">utónomo, no está subordinado, ni depende jerárquicamente del </w:t>
      </w:r>
      <w:r w:rsidR="00D53A59">
        <w:rPr>
          <w:rFonts w:ascii="ITC Avant Garde" w:hAnsi="ITC Avant Garde" w:cstheme="minorHAnsi"/>
          <w:lang w:val="es-ES_tradnl"/>
        </w:rPr>
        <w:t>t</w:t>
      </w:r>
      <w:r w:rsidRPr="00866169">
        <w:rPr>
          <w:rFonts w:ascii="ITC Avant Garde" w:hAnsi="ITC Avant Garde" w:cstheme="minorHAnsi"/>
          <w:lang w:val="es-ES_tradnl"/>
        </w:rPr>
        <w:t>itular del Poder Ejecutivo.</w:t>
      </w:r>
    </w:p>
    <w:p w:rsidR="00866169" w:rsidRPr="00866169" w:rsidRDefault="00866169" w:rsidP="00A7767E">
      <w:pPr>
        <w:spacing w:before="240"/>
        <w:ind w:left="284"/>
        <w:jc w:val="both"/>
        <w:rPr>
          <w:rFonts w:ascii="ITC Avant Garde" w:hAnsi="ITC Avant Garde" w:cstheme="minorHAnsi"/>
          <w:lang w:val="es-ES_tradnl"/>
        </w:rPr>
      </w:pPr>
      <w:r w:rsidRPr="00866169">
        <w:rPr>
          <w:rFonts w:ascii="ITC Avant Garde" w:hAnsi="ITC Avant Garde" w:cstheme="minorHAnsi"/>
          <w:lang w:val="es-ES_tradnl"/>
        </w:rPr>
        <w:t>•</w:t>
      </w:r>
      <w:r w:rsidRPr="00866169">
        <w:rPr>
          <w:rFonts w:ascii="ITC Avant Garde" w:hAnsi="ITC Avant Garde" w:cstheme="minorHAnsi"/>
          <w:lang w:val="es-ES_tradnl"/>
        </w:rPr>
        <w:tab/>
        <w:t>La remuneración del Presidente de la República es solamente un referente sin que ello implique preeminencia del Poder Ejecutivo sobre los otros poderes y órganos constitucionales autónomos</w:t>
      </w:r>
      <w:r w:rsidR="00D53A59">
        <w:rPr>
          <w:rFonts w:ascii="ITC Avant Garde" w:hAnsi="ITC Avant Garde" w:cstheme="minorHAnsi"/>
          <w:lang w:val="es-ES_tradnl"/>
        </w:rPr>
        <w:t>, l</w:t>
      </w:r>
      <w:r w:rsidRPr="00866169">
        <w:rPr>
          <w:rFonts w:ascii="ITC Avant Garde" w:hAnsi="ITC Avant Garde" w:cstheme="minorHAnsi"/>
          <w:lang w:val="es-ES_tradnl"/>
        </w:rPr>
        <w:t>o cual se desprende del análisis de las iniciativas de reforma al art. 127 constitucional, que refleja que ese fue el espíritu del Constituyente Permanente.</w:t>
      </w:r>
    </w:p>
    <w:p w:rsidR="00866169" w:rsidRPr="00866169" w:rsidRDefault="00866169" w:rsidP="00A7767E">
      <w:pPr>
        <w:spacing w:before="240"/>
        <w:ind w:left="284"/>
        <w:jc w:val="both"/>
        <w:rPr>
          <w:rFonts w:ascii="ITC Avant Garde" w:hAnsi="ITC Avant Garde" w:cstheme="minorHAnsi"/>
          <w:lang w:val="es-ES_tradnl"/>
        </w:rPr>
      </w:pPr>
      <w:r w:rsidRPr="00866169">
        <w:rPr>
          <w:rFonts w:ascii="ITC Avant Garde" w:hAnsi="ITC Avant Garde" w:cstheme="minorHAnsi"/>
          <w:lang w:val="es-ES_tradnl"/>
        </w:rPr>
        <w:t>•</w:t>
      </w:r>
      <w:r w:rsidRPr="00866169">
        <w:rPr>
          <w:rFonts w:ascii="ITC Avant Garde" w:hAnsi="ITC Avant Garde" w:cstheme="minorHAnsi"/>
          <w:lang w:val="es-ES_tradnl"/>
        </w:rPr>
        <w:tab/>
        <w:t xml:space="preserve">La Remuneración Total Anual Neta propuesta para el Presidente de la República para el ejercicio fiscal 2019 es válida únicamente como parámetro máximo de comparación, para establecer la remuneración del Presidente del Instituto, en términos de la fracción III del artículo 127 constitucional como referente para la determinación del excedente de su remuneración total, y </w:t>
      </w:r>
    </w:p>
    <w:p w:rsidR="00EA6C31" w:rsidRDefault="00866169" w:rsidP="00A7767E">
      <w:pPr>
        <w:spacing w:before="240"/>
        <w:ind w:left="284"/>
        <w:jc w:val="both"/>
        <w:rPr>
          <w:rFonts w:ascii="ITC Avant Garde" w:hAnsi="ITC Avant Garde" w:cstheme="minorHAnsi"/>
          <w:lang w:val="es-ES_tradnl"/>
        </w:rPr>
      </w:pPr>
      <w:r w:rsidRPr="00866169">
        <w:rPr>
          <w:rFonts w:ascii="ITC Avant Garde" w:hAnsi="ITC Avant Garde" w:cstheme="minorHAnsi"/>
          <w:lang w:val="es-ES_tradnl"/>
        </w:rPr>
        <w:t>•</w:t>
      </w:r>
      <w:r w:rsidRPr="00866169">
        <w:rPr>
          <w:rFonts w:ascii="ITC Avant Garde" w:hAnsi="ITC Avant Garde" w:cstheme="minorHAnsi"/>
          <w:lang w:val="es-ES_tradnl"/>
        </w:rPr>
        <w:tab/>
        <w:t xml:space="preserve">Se cumplen los supuestos de excepción establecidos en la fracción III del artículo 127 constitucional; </w:t>
      </w:r>
    </w:p>
    <w:p w:rsidR="00866169" w:rsidRDefault="00866169" w:rsidP="00A7767E">
      <w:pPr>
        <w:spacing w:before="240"/>
        <w:jc w:val="both"/>
        <w:rPr>
          <w:rFonts w:ascii="ITC Avant Garde" w:hAnsi="ITC Avant Garde" w:cstheme="minorHAnsi"/>
          <w:lang w:val="es-ES_tradnl"/>
        </w:rPr>
      </w:pPr>
      <w:r w:rsidRPr="00866169">
        <w:rPr>
          <w:rFonts w:ascii="ITC Avant Garde" w:hAnsi="ITC Avant Garde" w:cstheme="minorHAnsi"/>
          <w:lang w:val="es-ES_tradnl"/>
        </w:rPr>
        <w:t xml:space="preserve">El </w:t>
      </w:r>
      <w:r w:rsidR="00590AC9">
        <w:rPr>
          <w:rFonts w:ascii="ITC Avant Garde" w:hAnsi="ITC Avant Garde" w:cstheme="minorHAnsi"/>
          <w:lang w:val="es-ES_tradnl"/>
        </w:rPr>
        <w:t>Proyecto</w:t>
      </w:r>
      <w:r w:rsidRPr="00866169">
        <w:rPr>
          <w:rFonts w:ascii="ITC Avant Garde" w:hAnsi="ITC Avant Garde" w:cstheme="minorHAnsi"/>
          <w:lang w:val="es-ES_tradnl"/>
        </w:rPr>
        <w:t xml:space="preserve"> de Presupuesto que </w:t>
      </w:r>
      <w:r w:rsidR="00590AC9">
        <w:rPr>
          <w:rFonts w:ascii="ITC Avant Garde" w:hAnsi="ITC Avant Garde" w:cstheme="minorHAnsi"/>
          <w:lang w:val="es-ES_tradnl"/>
        </w:rPr>
        <w:t xml:space="preserve">será </w:t>
      </w:r>
      <w:r w:rsidRPr="00866169">
        <w:rPr>
          <w:rFonts w:ascii="ITC Avant Garde" w:hAnsi="ITC Avant Garde" w:cstheme="minorHAnsi"/>
          <w:lang w:val="es-ES_tradnl"/>
        </w:rPr>
        <w:t xml:space="preserve">propuesto a la Cámara de Diputados del H. Congreso de la Unión, sin menoscabo de la autonomía constitucional del IFT, contempla </w:t>
      </w:r>
      <w:r w:rsidRPr="00866169">
        <w:rPr>
          <w:rFonts w:ascii="ITC Avant Garde" w:hAnsi="ITC Avant Garde" w:cstheme="minorHAnsi"/>
          <w:lang w:val="es-ES_tradnl"/>
        </w:rPr>
        <w:lastRenderedPageBreak/>
        <w:t>una Remuneración Total Anual (RTA) del Presidente del Instituto, así como las remuneraciones de los Comisionados, el Coordinador Ejecutivo; el Titular de la Autoridad Investigadora, y los Titulares de las Unidades de: Competencia Económica; Concesiones y Servicios; Cumplimiento; Espectro Radioeléctrico; Medios y Contenidos Audiovisuales; Política Regulatoria, y Asuntos Jurídicos,</w:t>
      </w:r>
      <w:r w:rsidR="0034287E">
        <w:rPr>
          <w:rFonts w:ascii="ITC Avant Garde" w:hAnsi="ITC Avant Garde" w:cstheme="minorHAnsi"/>
          <w:lang w:val="es-ES_tradnl"/>
        </w:rPr>
        <w:t xml:space="preserve"> con un excedente de hasta un 30</w:t>
      </w:r>
      <w:r w:rsidRPr="00866169">
        <w:rPr>
          <w:rFonts w:ascii="ITC Avant Garde" w:hAnsi="ITC Avant Garde" w:cstheme="minorHAnsi"/>
          <w:lang w:val="es-ES_tradnl"/>
        </w:rPr>
        <w:t xml:space="preserve">% de la remuneración que se establezca para el Presidente de la República en el Presupuesto de Egresos de la Federación para el </w:t>
      </w:r>
      <w:r w:rsidR="00D53A59">
        <w:rPr>
          <w:rFonts w:ascii="ITC Avant Garde" w:hAnsi="ITC Avant Garde" w:cstheme="minorHAnsi"/>
          <w:lang w:val="es-ES_tradnl"/>
        </w:rPr>
        <w:t>e</w:t>
      </w:r>
      <w:r w:rsidRPr="00866169">
        <w:rPr>
          <w:rFonts w:ascii="ITC Avant Garde" w:hAnsi="ITC Avant Garde" w:cstheme="minorHAnsi"/>
          <w:lang w:val="es-ES_tradnl"/>
        </w:rPr>
        <w:t xml:space="preserve">jercicio </w:t>
      </w:r>
      <w:r w:rsidR="00D53A59">
        <w:rPr>
          <w:rFonts w:ascii="ITC Avant Garde" w:hAnsi="ITC Avant Garde" w:cstheme="minorHAnsi"/>
          <w:lang w:val="es-ES_tradnl"/>
        </w:rPr>
        <w:t>f</w:t>
      </w:r>
      <w:r w:rsidRPr="00866169">
        <w:rPr>
          <w:rFonts w:ascii="ITC Avant Garde" w:hAnsi="ITC Avant Garde" w:cstheme="minorHAnsi"/>
          <w:lang w:val="es-ES_tradnl"/>
        </w:rPr>
        <w:t xml:space="preserve">iscal 2019, con fundamento en lo establecido en la fracción III del artículo 127 </w:t>
      </w:r>
      <w:r w:rsidR="00D53A59">
        <w:rPr>
          <w:rFonts w:ascii="ITC Avant Garde" w:hAnsi="ITC Avant Garde" w:cstheme="minorHAnsi"/>
          <w:lang w:val="es-ES_tradnl"/>
        </w:rPr>
        <w:t>c</w:t>
      </w:r>
      <w:r w:rsidRPr="00866169">
        <w:rPr>
          <w:rFonts w:ascii="ITC Avant Garde" w:hAnsi="ITC Avant Garde" w:cstheme="minorHAnsi"/>
          <w:lang w:val="es-ES_tradnl"/>
        </w:rPr>
        <w:t>onstitucional, y los artículos 2, primer párrafo, fracciones XV y XLII; 4, primer párrafo, fracción III y último párrafo y 5, primer párrafo, fracción I, inciso a) de la LFPRH, conforme a los sueldos siguientes:</w:t>
      </w:r>
    </w:p>
    <w:p w:rsidR="00642B89" w:rsidRDefault="00FB399C" w:rsidP="00FB399C">
      <w:pPr>
        <w:spacing w:before="240"/>
        <w:jc w:val="center"/>
        <w:rPr>
          <w:rFonts w:ascii="ITC Avant Garde" w:hAnsi="ITC Avant Garde" w:cstheme="minorHAnsi"/>
          <w:lang w:val="es-ES_tradnl"/>
        </w:rPr>
      </w:pPr>
      <w:r>
        <w:rPr>
          <w:noProof/>
          <w:lang w:eastAsia="es-MX"/>
        </w:rPr>
        <w:drawing>
          <wp:inline distT="0" distB="0" distL="0" distR="0" wp14:anchorId="18F6D119" wp14:editId="4076202E">
            <wp:extent cx="5514975" cy="3971925"/>
            <wp:effectExtent l="0" t="0" r="9525" b="9525"/>
            <wp:docPr id="3" name="Imagen 3" descr="Puestos" title="Pues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27478"/>
                    <a:stretch/>
                  </pic:blipFill>
                  <pic:spPr bwMode="auto">
                    <a:xfrm>
                      <a:off x="0" y="0"/>
                      <a:ext cx="5514975" cy="3971925"/>
                    </a:xfrm>
                    <a:prstGeom prst="rect">
                      <a:avLst/>
                    </a:prstGeom>
                    <a:ln>
                      <a:noFill/>
                    </a:ln>
                    <a:extLst>
                      <a:ext uri="{53640926-AAD7-44D8-BBD7-CCE9431645EC}">
                        <a14:shadowObscured xmlns:a14="http://schemas.microsoft.com/office/drawing/2010/main"/>
                      </a:ext>
                    </a:extLst>
                  </pic:spPr>
                </pic:pic>
              </a:graphicData>
            </a:graphic>
          </wp:inline>
        </w:drawing>
      </w:r>
    </w:p>
    <w:p w:rsidR="00C502CA" w:rsidRDefault="00C502CA" w:rsidP="00A7767E">
      <w:pPr>
        <w:spacing w:before="240"/>
        <w:jc w:val="both"/>
        <w:rPr>
          <w:rFonts w:ascii="ITC Avant Garde" w:hAnsi="ITC Avant Garde" w:cstheme="minorHAnsi"/>
          <w:lang w:val="es-ES_tradnl"/>
        </w:rPr>
        <w:sectPr w:rsidR="00C502CA" w:rsidSect="00A27B7A">
          <w:headerReference w:type="even" r:id="rId13"/>
          <w:footerReference w:type="default" r:id="rId14"/>
          <w:headerReference w:type="first" r:id="rId15"/>
          <w:pgSz w:w="12240" w:h="15840"/>
          <w:pgMar w:top="1985" w:right="1418" w:bottom="1418" w:left="1418" w:header="709" w:footer="709" w:gutter="0"/>
          <w:cols w:space="708"/>
          <w:docGrid w:linePitch="360"/>
        </w:sectPr>
      </w:pPr>
    </w:p>
    <w:p w:rsidR="00EA6C31" w:rsidRDefault="00042171" w:rsidP="00A7767E">
      <w:pPr>
        <w:spacing w:before="240"/>
        <w:jc w:val="both"/>
        <w:rPr>
          <w:rFonts w:ascii="Arial" w:eastAsia="Times New Roman" w:hAnsi="Arial" w:cs="Arial"/>
          <w:b/>
          <w:bCs/>
          <w:noProof/>
          <w:color w:val="000000"/>
          <w:sz w:val="24"/>
          <w:szCs w:val="24"/>
          <w:lang w:eastAsia="es-MX"/>
        </w:rPr>
      </w:pPr>
      <w:r>
        <w:rPr>
          <w:rFonts w:ascii="ITC Avant Garde" w:hAnsi="ITC Avant Garde" w:cstheme="minorHAnsi"/>
          <w:lang w:val="es-ES_tradnl"/>
        </w:rPr>
        <w:lastRenderedPageBreak/>
        <w:t xml:space="preserve">En este sentido, a </w:t>
      </w:r>
      <w:r w:rsidR="005A51A1">
        <w:rPr>
          <w:rFonts w:ascii="ITC Avant Garde" w:hAnsi="ITC Avant Garde" w:cstheme="minorHAnsi"/>
          <w:lang w:val="es-ES_tradnl"/>
        </w:rPr>
        <w:t>continuación,</w:t>
      </w:r>
      <w:r>
        <w:rPr>
          <w:rFonts w:ascii="ITC Avant Garde" w:hAnsi="ITC Avant Garde" w:cstheme="minorHAnsi"/>
          <w:lang w:val="es-ES_tradnl"/>
        </w:rPr>
        <w:t xml:space="preserve"> se presenta </w:t>
      </w:r>
      <w:r w:rsidR="00D53A59">
        <w:rPr>
          <w:rFonts w:ascii="ITC Avant Garde" w:hAnsi="ITC Avant Garde" w:cstheme="minorHAnsi"/>
          <w:lang w:val="es-ES_tradnl"/>
        </w:rPr>
        <w:t xml:space="preserve">un </w:t>
      </w:r>
      <w:r>
        <w:rPr>
          <w:rFonts w:ascii="ITC Avant Garde" w:hAnsi="ITC Avant Garde" w:cstheme="minorHAnsi"/>
          <w:lang w:val="es-ES_tradnl"/>
        </w:rPr>
        <w:t>cuadro comparativo de la Remuneración Total Anual Neta para los 16 puestos señalados:</w:t>
      </w:r>
    </w:p>
    <w:p w:rsidR="00EA6C31" w:rsidRDefault="00C502CA" w:rsidP="00A7767E">
      <w:pPr>
        <w:spacing w:before="240"/>
        <w:jc w:val="center"/>
        <w:rPr>
          <w:rFonts w:ascii="ITC Avant Garde" w:hAnsi="ITC Avant Garde" w:cstheme="minorHAnsi"/>
          <w:lang w:val="es-ES_tradnl"/>
        </w:rPr>
      </w:pPr>
      <w:r w:rsidRPr="009A167E">
        <w:rPr>
          <w:rFonts w:ascii="Arial" w:eastAsia="Times New Roman" w:hAnsi="Arial" w:cs="Arial"/>
          <w:b/>
          <w:bCs/>
          <w:noProof/>
          <w:color w:val="000000"/>
          <w:sz w:val="24"/>
          <w:szCs w:val="24"/>
          <w:lang w:eastAsia="es-MX"/>
        </w:rPr>
        <w:drawing>
          <wp:inline distT="0" distB="0" distL="0" distR="0" wp14:anchorId="501EC472" wp14:editId="61CB7093">
            <wp:extent cx="8782908" cy="4541177"/>
            <wp:effectExtent l="0" t="0" r="0" b="0"/>
            <wp:docPr id="9" name="Imagen 9" descr="Imagen de cuadro comparativo de la Remuneración Total Anual Neta para 16 puestos." title="nivel Jerárqu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8785960" cy="4542755"/>
                    </a:xfrm>
                    <a:prstGeom prst="rect">
                      <a:avLst/>
                    </a:prstGeom>
                  </pic:spPr>
                </pic:pic>
              </a:graphicData>
            </a:graphic>
          </wp:inline>
        </w:drawing>
      </w:r>
    </w:p>
    <w:p w:rsidR="00FD0F4D" w:rsidRDefault="00FD0F4D" w:rsidP="00A7767E">
      <w:pPr>
        <w:spacing w:before="240"/>
        <w:jc w:val="both"/>
        <w:rPr>
          <w:rFonts w:ascii="ITC Avant Garde" w:hAnsi="ITC Avant Garde" w:cstheme="minorHAnsi"/>
          <w:lang w:val="es-ES_tradnl"/>
        </w:rPr>
        <w:sectPr w:rsidR="00FD0F4D" w:rsidSect="00FD0F4D">
          <w:headerReference w:type="default" r:id="rId17"/>
          <w:pgSz w:w="15840" w:h="12240" w:orient="landscape"/>
          <w:pgMar w:top="1701" w:right="2268" w:bottom="1418" w:left="851" w:header="709" w:footer="709" w:gutter="0"/>
          <w:cols w:space="708"/>
          <w:docGrid w:linePitch="360"/>
        </w:sectPr>
      </w:pPr>
    </w:p>
    <w:p w:rsidR="00EA6C31" w:rsidRDefault="00866169" w:rsidP="00A7767E">
      <w:pPr>
        <w:spacing w:before="240"/>
        <w:jc w:val="both"/>
        <w:rPr>
          <w:rFonts w:ascii="ITC Avant Garde" w:hAnsi="ITC Avant Garde" w:cstheme="minorHAnsi"/>
          <w:lang w:val="es-ES_tradnl"/>
        </w:rPr>
      </w:pPr>
      <w:r w:rsidRPr="00866169">
        <w:rPr>
          <w:rFonts w:ascii="ITC Avant Garde" w:hAnsi="ITC Avant Garde" w:cstheme="minorHAnsi"/>
          <w:lang w:val="es-ES_tradnl"/>
        </w:rPr>
        <w:lastRenderedPageBreak/>
        <w:t>Por lo anteriormente expuesto, y tomando en cuenta:</w:t>
      </w:r>
    </w:p>
    <w:p w:rsidR="00866169" w:rsidRPr="00866169" w:rsidRDefault="00866169" w:rsidP="00A7767E">
      <w:pPr>
        <w:spacing w:before="240"/>
        <w:ind w:left="284"/>
        <w:jc w:val="both"/>
        <w:rPr>
          <w:rFonts w:ascii="ITC Avant Garde" w:hAnsi="ITC Avant Garde" w:cstheme="minorHAnsi"/>
          <w:lang w:val="es-ES_tradnl"/>
        </w:rPr>
      </w:pPr>
      <w:r w:rsidRPr="00866169">
        <w:rPr>
          <w:rFonts w:ascii="ITC Avant Garde" w:hAnsi="ITC Avant Garde" w:cstheme="minorHAnsi"/>
          <w:lang w:val="es-ES_tradnl"/>
        </w:rPr>
        <w:t>•</w:t>
      </w:r>
      <w:r w:rsidRPr="00866169">
        <w:rPr>
          <w:rFonts w:ascii="ITC Avant Garde" w:hAnsi="ITC Avant Garde" w:cstheme="minorHAnsi"/>
          <w:lang w:val="es-ES_tradnl"/>
        </w:rPr>
        <w:tab/>
        <w:t>El trabajo técnico calificado;</w:t>
      </w:r>
    </w:p>
    <w:p w:rsidR="00866169" w:rsidRPr="00866169" w:rsidRDefault="00866169" w:rsidP="00A7767E">
      <w:pPr>
        <w:spacing w:before="240"/>
        <w:ind w:left="284"/>
        <w:jc w:val="both"/>
        <w:rPr>
          <w:rFonts w:ascii="ITC Avant Garde" w:hAnsi="ITC Avant Garde" w:cstheme="minorHAnsi"/>
          <w:lang w:val="es-ES_tradnl"/>
        </w:rPr>
      </w:pPr>
      <w:r w:rsidRPr="00866169">
        <w:rPr>
          <w:rFonts w:ascii="ITC Avant Garde" w:hAnsi="ITC Avant Garde" w:cstheme="minorHAnsi"/>
          <w:lang w:val="es-ES_tradnl"/>
        </w:rPr>
        <w:t>•</w:t>
      </w:r>
      <w:r w:rsidRPr="00866169">
        <w:rPr>
          <w:rFonts w:ascii="ITC Avant Garde" w:hAnsi="ITC Avant Garde" w:cstheme="minorHAnsi"/>
          <w:lang w:val="es-ES_tradnl"/>
        </w:rPr>
        <w:tab/>
        <w:t>La especialización en la función, y</w:t>
      </w:r>
    </w:p>
    <w:p w:rsidR="00EA6C31" w:rsidRDefault="00866169" w:rsidP="00A7767E">
      <w:pPr>
        <w:spacing w:before="240"/>
        <w:ind w:left="284"/>
        <w:jc w:val="both"/>
        <w:rPr>
          <w:rFonts w:ascii="ITC Avant Garde" w:hAnsi="ITC Avant Garde" w:cstheme="minorHAnsi"/>
          <w:lang w:val="es-ES_tradnl"/>
        </w:rPr>
      </w:pPr>
      <w:r w:rsidRPr="00866169">
        <w:rPr>
          <w:rFonts w:ascii="ITC Avant Garde" w:hAnsi="ITC Avant Garde" w:cstheme="minorHAnsi"/>
          <w:lang w:val="es-ES_tradnl"/>
        </w:rPr>
        <w:t>•</w:t>
      </w:r>
      <w:r w:rsidRPr="00866169">
        <w:rPr>
          <w:rFonts w:ascii="ITC Avant Garde" w:hAnsi="ITC Avant Garde" w:cstheme="minorHAnsi"/>
          <w:lang w:val="es-ES_tradnl"/>
        </w:rPr>
        <w:tab/>
        <w:t>La existencia de condiciones generales de trabajo que rigen las relaciones laborales del IFT con su personal;</w:t>
      </w:r>
    </w:p>
    <w:p w:rsidR="00EA6C31" w:rsidRDefault="00866169" w:rsidP="00A7767E">
      <w:pPr>
        <w:spacing w:before="240"/>
        <w:jc w:val="both"/>
        <w:rPr>
          <w:rFonts w:ascii="ITC Avant Garde" w:hAnsi="ITC Avant Garde" w:cstheme="minorHAnsi"/>
          <w:lang w:val="es-ES_tradnl"/>
        </w:rPr>
      </w:pPr>
      <w:r w:rsidRPr="00866169">
        <w:rPr>
          <w:rFonts w:ascii="ITC Avant Garde" w:hAnsi="ITC Avant Garde" w:cstheme="minorHAnsi"/>
          <w:lang w:val="es-ES_tradnl"/>
        </w:rPr>
        <w:t xml:space="preserve">Se considera que los 16 puestos mencionados, actualizan los supuestos contenidos en la fracción III del artículo 127 Constitucional y el artículo 6 fracción II, incisos b), c) y d) de la Ley Federal de Remuneraciones de los Servidores Públicos, Reglamentaria de los artículos 75 y 127 de la Constitución Política de los Estados Unidos Mexicanos, por lo que para dichos puestos se </w:t>
      </w:r>
      <w:r w:rsidR="00B17732">
        <w:rPr>
          <w:rFonts w:ascii="ITC Avant Garde" w:hAnsi="ITC Avant Garde" w:cstheme="minorHAnsi"/>
          <w:lang w:val="es-ES_tradnl"/>
        </w:rPr>
        <w:t>p</w:t>
      </w:r>
      <w:r w:rsidR="0012007F">
        <w:rPr>
          <w:rFonts w:ascii="ITC Avant Garde" w:hAnsi="ITC Avant Garde" w:cstheme="minorHAnsi"/>
          <w:lang w:val="es-ES_tradnl"/>
        </w:rPr>
        <w:t>rev</w:t>
      </w:r>
      <w:r w:rsidR="00B17732">
        <w:rPr>
          <w:rFonts w:ascii="ITC Avant Garde" w:hAnsi="ITC Avant Garde" w:cstheme="minorHAnsi"/>
          <w:lang w:val="es-ES_tradnl"/>
        </w:rPr>
        <w:t>é</w:t>
      </w:r>
      <w:r w:rsidRPr="00866169">
        <w:rPr>
          <w:rFonts w:ascii="ITC Avant Garde" w:hAnsi="ITC Avant Garde" w:cstheme="minorHAnsi"/>
          <w:lang w:val="es-ES_tradnl"/>
        </w:rPr>
        <w:t xml:space="preserve"> un monto mayor a la Remuneración Total Anual propuesta para el Presidente de la República para el ejercicio fiscal 2019</w:t>
      </w:r>
      <w:r w:rsidR="00D53A59">
        <w:rPr>
          <w:rFonts w:ascii="ITC Avant Garde" w:hAnsi="ITC Avant Garde" w:cstheme="minorHAnsi"/>
          <w:lang w:val="es-ES_tradnl"/>
        </w:rPr>
        <w:t>, m</w:t>
      </w:r>
      <w:r w:rsidRPr="00866169">
        <w:rPr>
          <w:rFonts w:ascii="ITC Avant Garde" w:hAnsi="ITC Avant Garde" w:cstheme="minorHAnsi"/>
          <w:lang w:val="es-ES_tradnl"/>
        </w:rPr>
        <w:t>ientras que el resto de los puestos del Instituto se ubica por debajo del referente máximo descrito.</w:t>
      </w:r>
    </w:p>
    <w:p w:rsidR="00EA6C31" w:rsidRDefault="00F949CE" w:rsidP="00A7767E">
      <w:pPr>
        <w:spacing w:before="240"/>
        <w:jc w:val="both"/>
        <w:rPr>
          <w:rFonts w:ascii="ITC Avant Garde" w:hAnsi="ITC Avant Garde" w:cs="Arial"/>
          <w:b/>
          <w:lang w:val="es-ES_tradnl"/>
        </w:rPr>
      </w:pPr>
      <w:r w:rsidRPr="00097134">
        <w:rPr>
          <w:rFonts w:ascii="ITC Avant Garde" w:hAnsi="ITC Avant Garde" w:cs="Arial"/>
          <w:b/>
          <w:lang w:val="es-ES_tradnl"/>
        </w:rPr>
        <w:t xml:space="preserve">DÉCIMO </w:t>
      </w:r>
      <w:r>
        <w:rPr>
          <w:rFonts w:ascii="ITC Avant Garde" w:hAnsi="ITC Avant Garde" w:cs="Arial"/>
          <w:b/>
          <w:lang w:val="es-ES_tradnl"/>
        </w:rPr>
        <w:t xml:space="preserve">NOVENO. - </w:t>
      </w:r>
      <w:r w:rsidRPr="00F949CE">
        <w:rPr>
          <w:rFonts w:ascii="ITC Avant Garde" w:hAnsi="ITC Avant Garde" w:cs="Arial"/>
          <w:lang w:val="es-ES_tradnl"/>
        </w:rPr>
        <w:t>Que</w:t>
      </w:r>
      <w:r w:rsidRPr="00F949CE">
        <w:rPr>
          <w:rFonts w:ascii="ITC Avant Garde" w:hAnsi="ITC Avant Garde" w:cs="Arial"/>
          <w:b/>
          <w:lang w:val="es-ES_tradnl"/>
        </w:rPr>
        <w:t xml:space="preserve"> </w:t>
      </w:r>
      <w:r w:rsidRPr="00F949CE">
        <w:rPr>
          <w:rFonts w:ascii="ITC Avant Garde" w:eastAsiaTheme="minorEastAsia" w:hAnsi="ITC Avant Garde" w:cs="Arial"/>
          <w:lang w:eastAsia="es-MX"/>
        </w:rPr>
        <w:t xml:space="preserve">el sector de las Telecomunicaciones y la Radiodifusión en México, al igual que en el resto del mundo, es punta de lanza en materia de innovación tecnológica y desarrollo económico e inclusión social. En el caso de México el sector representa el 2.5% del </w:t>
      </w:r>
      <w:r w:rsidR="00911E9E">
        <w:rPr>
          <w:rFonts w:ascii="ITC Avant Garde" w:eastAsiaTheme="minorEastAsia" w:hAnsi="ITC Avant Garde" w:cs="Arial"/>
          <w:lang w:eastAsia="es-MX"/>
        </w:rPr>
        <w:t>p</w:t>
      </w:r>
      <w:r w:rsidRPr="00F949CE">
        <w:rPr>
          <w:rFonts w:ascii="ITC Avant Garde" w:eastAsiaTheme="minorEastAsia" w:hAnsi="ITC Avant Garde" w:cs="Arial"/>
          <w:lang w:eastAsia="es-MX"/>
        </w:rPr>
        <w:t xml:space="preserve">roducto </w:t>
      </w:r>
      <w:r w:rsidR="00911E9E">
        <w:rPr>
          <w:rFonts w:ascii="ITC Avant Garde" w:eastAsiaTheme="minorEastAsia" w:hAnsi="ITC Avant Garde" w:cs="Arial"/>
          <w:lang w:eastAsia="es-MX"/>
        </w:rPr>
        <w:t>i</w:t>
      </w:r>
      <w:r w:rsidRPr="00F949CE">
        <w:rPr>
          <w:rFonts w:ascii="ITC Avant Garde" w:eastAsiaTheme="minorEastAsia" w:hAnsi="ITC Avant Garde" w:cs="Arial"/>
          <w:lang w:eastAsia="es-MX"/>
        </w:rPr>
        <w:t xml:space="preserve">nterno </w:t>
      </w:r>
      <w:r w:rsidR="00911E9E">
        <w:rPr>
          <w:rFonts w:ascii="ITC Avant Garde" w:eastAsiaTheme="minorEastAsia" w:hAnsi="ITC Avant Garde" w:cs="Arial"/>
          <w:lang w:eastAsia="es-MX"/>
        </w:rPr>
        <w:t>b</w:t>
      </w:r>
      <w:r w:rsidRPr="00F949CE">
        <w:rPr>
          <w:rFonts w:ascii="ITC Avant Garde" w:eastAsiaTheme="minorEastAsia" w:hAnsi="ITC Avant Garde" w:cs="Arial"/>
          <w:lang w:eastAsia="es-MX"/>
        </w:rPr>
        <w:t xml:space="preserve">ruto </w:t>
      </w:r>
      <w:r w:rsidR="00911E9E">
        <w:rPr>
          <w:rFonts w:ascii="ITC Avant Garde" w:eastAsiaTheme="minorEastAsia" w:hAnsi="ITC Avant Garde" w:cs="Arial"/>
          <w:lang w:eastAsia="es-MX"/>
        </w:rPr>
        <w:t>n</w:t>
      </w:r>
      <w:r w:rsidRPr="00F949CE">
        <w:rPr>
          <w:rFonts w:ascii="ITC Avant Garde" w:eastAsiaTheme="minorEastAsia" w:hAnsi="ITC Avant Garde" w:cs="Arial"/>
          <w:lang w:eastAsia="es-MX"/>
        </w:rPr>
        <w:t>acional</w:t>
      </w:r>
      <w:r w:rsidR="00FC163C">
        <w:rPr>
          <w:rFonts w:ascii="ITC Avant Garde" w:eastAsiaTheme="minorEastAsia" w:hAnsi="ITC Avant Garde" w:cs="Arial"/>
          <w:lang w:eastAsia="es-MX"/>
        </w:rPr>
        <w:t xml:space="preserve"> (PIB)</w:t>
      </w:r>
      <w:r w:rsidRPr="00F949CE">
        <w:rPr>
          <w:rFonts w:ascii="ITC Avant Garde" w:eastAsiaTheme="minorEastAsia" w:hAnsi="ITC Avant Garde" w:cs="Arial"/>
          <w:lang w:eastAsia="es-MX"/>
        </w:rPr>
        <w:t>, lo que se estima en 467 mil millones de pesos mexicanos</w:t>
      </w:r>
      <w:r w:rsidRPr="00F949CE">
        <w:rPr>
          <w:rFonts w:ascii="ITC Avant Garde" w:eastAsiaTheme="minorEastAsia" w:hAnsi="ITC Avant Garde" w:cs="Arial"/>
          <w:vertAlign w:val="superscript"/>
          <w:lang w:eastAsia="es-MX"/>
        </w:rPr>
        <w:footnoteReference w:id="2"/>
      </w:r>
      <w:r w:rsidRPr="00F949CE">
        <w:rPr>
          <w:rFonts w:ascii="ITC Avant Garde" w:eastAsiaTheme="minorEastAsia" w:hAnsi="ITC Avant Garde" w:cs="Arial"/>
          <w:lang w:eastAsia="es-MX"/>
        </w:rPr>
        <w:t>.</w:t>
      </w:r>
      <w:r w:rsidR="008D08BC">
        <w:rPr>
          <w:rFonts w:ascii="ITC Avant Garde" w:eastAsiaTheme="minorEastAsia" w:hAnsi="ITC Avant Garde" w:cs="Arial"/>
          <w:lang w:eastAsia="es-MX"/>
        </w:rPr>
        <w:t>Cabe mencionar que</w:t>
      </w:r>
      <w:r w:rsidR="00FC163C">
        <w:rPr>
          <w:rFonts w:ascii="ITC Avant Garde" w:eastAsiaTheme="minorEastAsia" w:hAnsi="ITC Avant Garde" w:cs="Arial"/>
          <w:lang w:eastAsia="es-MX"/>
        </w:rPr>
        <w:t xml:space="preserve"> el PIB del sector de telecomunicaciones y radiodifusión creció en el último año un 8.2%, mientras que el crecimiento del PIB nacional fue del 2.6%.  </w:t>
      </w:r>
    </w:p>
    <w:p w:rsidR="00EA6C31" w:rsidRDefault="00F949CE" w:rsidP="00A7767E">
      <w:pPr>
        <w:spacing w:before="240"/>
        <w:jc w:val="both"/>
        <w:rPr>
          <w:rFonts w:ascii="ITC Avant Garde" w:eastAsiaTheme="minorEastAsia" w:hAnsi="ITC Avant Garde" w:cs="Arial"/>
          <w:lang w:eastAsia="es-MX"/>
        </w:rPr>
      </w:pPr>
      <w:r w:rsidRPr="00F949CE">
        <w:rPr>
          <w:rFonts w:ascii="ITC Avant Garde" w:eastAsiaTheme="minorEastAsia" w:hAnsi="ITC Avant Garde" w:cs="Arial"/>
          <w:lang w:eastAsia="es-MX"/>
        </w:rPr>
        <w:t>En este sentido la regulación, el diseño e implementación de políticas públicas y los mecanismos que incentiven la competencia en el sector, así como el despliegue de infraestructura, la participación de un mayor número de agentes económicos, el empoderamiento de los usuarios y las audiencias, el acceso de un mayor número de población a los servicios, y la reducción de costos; representan en su conjunto, un factor clave para mantener el dinamismo del sector y su contribución al crecimiento económico y el desarrollo social.</w:t>
      </w:r>
    </w:p>
    <w:p w:rsidR="00F949CE" w:rsidRDefault="00F949CE" w:rsidP="00A7767E">
      <w:pPr>
        <w:spacing w:before="240"/>
        <w:jc w:val="both"/>
        <w:rPr>
          <w:rFonts w:ascii="ITC Avant Garde" w:eastAsiaTheme="minorEastAsia" w:hAnsi="ITC Avant Garde" w:cs="Arial"/>
          <w:lang w:eastAsia="es-MX"/>
        </w:rPr>
      </w:pPr>
      <w:r w:rsidRPr="00F949CE">
        <w:rPr>
          <w:rFonts w:ascii="ITC Avant Garde" w:eastAsiaTheme="minorEastAsia" w:hAnsi="ITC Avant Garde" w:cs="Arial"/>
          <w:lang w:eastAsia="es-MX"/>
        </w:rPr>
        <w:t xml:space="preserve">Todo ello, en el contexto de los Derechos Humanos tutelados en la Constitución Política de los Estados Unidos Mexicanos, en el sentido de que el Estado garantizará el derecho de toda persona al libre acceso a la información plural y oportuna; a buscar, recibir y difundir información e ideas de toda índole por cualquier medio de expresión; al acceso </w:t>
      </w:r>
      <w:r w:rsidRPr="00F949CE">
        <w:rPr>
          <w:rFonts w:ascii="ITC Avant Garde" w:eastAsiaTheme="minorEastAsia" w:hAnsi="ITC Avant Garde" w:cs="Arial"/>
          <w:lang w:eastAsia="es-MX"/>
        </w:rPr>
        <w:lastRenderedPageBreak/>
        <w:t>a las tecnologías de la información y comunicación, así como a los servicios de radiodifusión y telecomunicaciones, incluyendo la banda ancha e internet.</w:t>
      </w:r>
    </w:p>
    <w:p w:rsidR="00EA6C31" w:rsidRDefault="00F949CE" w:rsidP="00A7767E">
      <w:pPr>
        <w:spacing w:before="240"/>
        <w:jc w:val="both"/>
        <w:rPr>
          <w:rFonts w:ascii="ITC Avant Garde" w:eastAsiaTheme="minorEastAsia" w:hAnsi="ITC Avant Garde" w:cs="Arial"/>
          <w:lang w:eastAsia="es-MX"/>
        </w:rPr>
      </w:pPr>
      <w:r w:rsidRPr="00F949CE">
        <w:rPr>
          <w:rFonts w:ascii="ITC Avant Garde" w:eastAsiaTheme="minorEastAsia" w:hAnsi="ITC Avant Garde" w:cs="Arial"/>
          <w:lang w:eastAsia="es-MX"/>
        </w:rPr>
        <w:t>Adicionalmente, y en materia de telecomunicaciones y radiodifusión, el Estado garantizará la integración de la población a la sociedad de la información y el conocimiento, mediante una política de inclusión digital universal; que define a las telecomunicaciones y la radiodifusión como servicios públicos de interés general, por lo que el Estado debe garantizar que se ofrezcan en condiciones de competencia, calidad, pluralidad, cobertura universal, interconexión, convergencia, continuidad, libre acceso, veracidad de la información y fomento de los valores de la identidad nacional, entre otros.</w:t>
      </w:r>
    </w:p>
    <w:p w:rsidR="00EA6C31" w:rsidRDefault="00F949CE" w:rsidP="00A7767E">
      <w:pPr>
        <w:spacing w:before="240"/>
        <w:jc w:val="both"/>
        <w:rPr>
          <w:rFonts w:ascii="ITC Avant Garde" w:eastAsiaTheme="minorEastAsia" w:hAnsi="ITC Avant Garde" w:cs="Arial"/>
          <w:lang w:eastAsia="es-MX"/>
        </w:rPr>
      </w:pPr>
      <w:r w:rsidRPr="00F949CE">
        <w:rPr>
          <w:rFonts w:ascii="ITC Avant Garde" w:eastAsiaTheme="minorEastAsia" w:hAnsi="ITC Avant Garde" w:cs="Arial"/>
          <w:lang w:eastAsia="es-MX"/>
        </w:rPr>
        <w:t xml:space="preserve">Todo ello conlleva la necesidad de contar con un equipo humano altamente calificado en diversas disciplinas, tales como: </w:t>
      </w:r>
    </w:p>
    <w:p w:rsidR="00F949CE" w:rsidRPr="00F949CE" w:rsidRDefault="00F949CE" w:rsidP="00A7767E">
      <w:pPr>
        <w:pStyle w:val="Prrafodelista"/>
        <w:numPr>
          <w:ilvl w:val="0"/>
          <w:numId w:val="7"/>
        </w:numPr>
        <w:spacing w:before="240" w:after="200" w:line="259" w:lineRule="auto"/>
        <w:contextualSpacing/>
        <w:jc w:val="both"/>
        <w:rPr>
          <w:rFonts w:ascii="ITC Avant Garde" w:eastAsiaTheme="minorEastAsia" w:hAnsi="ITC Avant Garde" w:cs="Arial"/>
          <w:sz w:val="22"/>
          <w:szCs w:val="22"/>
          <w:lang w:eastAsia="es-MX"/>
        </w:rPr>
      </w:pPr>
      <w:r w:rsidRPr="00F949CE">
        <w:rPr>
          <w:rFonts w:ascii="ITC Avant Garde" w:eastAsiaTheme="minorEastAsia" w:hAnsi="ITC Avant Garde" w:cs="Arial"/>
          <w:sz w:val="22"/>
          <w:szCs w:val="22"/>
          <w:lang w:eastAsia="es-MX"/>
        </w:rPr>
        <w:t>Ingenierías en: Telecomunicaciones, Mecánica y Electrónica, Telemática, Redes, Sistemas e Informática;</w:t>
      </w:r>
    </w:p>
    <w:p w:rsidR="00F949CE" w:rsidRPr="00F949CE" w:rsidRDefault="00F949CE" w:rsidP="00A7767E">
      <w:pPr>
        <w:pStyle w:val="Prrafodelista"/>
        <w:numPr>
          <w:ilvl w:val="0"/>
          <w:numId w:val="7"/>
        </w:numPr>
        <w:spacing w:before="240" w:after="200" w:line="259" w:lineRule="auto"/>
        <w:contextualSpacing/>
        <w:jc w:val="both"/>
        <w:rPr>
          <w:rFonts w:ascii="ITC Avant Garde" w:eastAsiaTheme="minorEastAsia" w:hAnsi="ITC Avant Garde" w:cs="Arial"/>
          <w:sz w:val="22"/>
          <w:szCs w:val="22"/>
          <w:lang w:eastAsia="es-MX"/>
        </w:rPr>
      </w:pPr>
      <w:r w:rsidRPr="00F949CE">
        <w:rPr>
          <w:rFonts w:ascii="ITC Avant Garde" w:eastAsiaTheme="minorEastAsia" w:hAnsi="ITC Avant Garde" w:cs="Arial"/>
          <w:sz w:val="22"/>
          <w:szCs w:val="22"/>
          <w:lang w:eastAsia="es-MX"/>
        </w:rPr>
        <w:t>Economía: Políticas públicas, Matemática, Industrial, de Mercados, y de las Tecnologías de la Información</w:t>
      </w:r>
      <w:r w:rsidR="00911E9E">
        <w:rPr>
          <w:rFonts w:ascii="ITC Avant Garde" w:eastAsiaTheme="minorEastAsia" w:hAnsi="ITC Avant Garde" w:cs="Arial"/>
          <w:sz w:val="22"/>
          <w:szCs w:val="22"/>
          <w:lang w:eastAsia="es-MX"/>
        </w:rPr>
        <w:t>, Regulación y Competencia, Análisis de Costos;</w:t>
      </w:r>
    </w:p>
    <w:p w:rsidR="00F949CE" w:rsidRPr="00F949CE" w:rsidRDefault="00F949CE" w:rsidP="00A7767E">
      <w:pPr>
        <w:pStyle w:val="Prrafodelista"/>
        <w:numPr>
          <w:ilvl w:val="0"/>
          <w:numId w:val="7"/>
        </w:numPr>
        <w:spacing w:before="240" w:after="200" w:line="259" w:lineRule="auto"/>
        <w:contextualSpacing/>
        <w:jc w:val="both"/>
        <w:rPr>
          <w:rFonts w:ascii="ITC Avant Garde" w:eastAsiaTheme="minorEastAsia" w:hAnsi="ITC Avant Garde" w:cs="Arial"/>
          <w:sz w:val="22"/>
          <w:szCs w:val="22"/>
          <w:lang w:eastAsia="es-MX"/>
        </w:rPr>
      </w:pPr>
      <w:r w:rsidRPr="00F949CE">
        <w:rPr>
          <w:rFonts w:ascii="ITC Avant Garde" w:eastAsiaTheme="minorEastAsia" w:hAnsi="ITC Avant Garde" w:cs="Arial"/>
          <w:sz w:val="22"/>
          <w:szCs w:val="22"/>
          <w:lang w:eastAsia="es-MX"/>
        </w:rPr>
        <w:t xml:space="preserve">Derecho: Constitucional, </w:t>
      </w:r>
      <w:r w:rsidR="00911E9E">
        <w:rPr>
          <w:rFonts w:ascii="ITC Avant Garde" w:eastAsiaTheme="minorEastAsia" w:hAnsi="ITC Avant Garde" w:cs="Arial"/>
          <w:sz w:val="22"/>
          <w:szCs w:val="22"/>
          <w:lang w:eastAsia="es-MX"/>
        </w:rPr>
        <w:t xml:space="preserve">Propiedad Intelectual, </w:t>
      </w:r>
      <w:r w:rsidRPr="00F949CE">
        <w:rPr>
          <w:rFonts w:ascii="ITC Avant Garde" w:eastAsiaTheme="minorEastAsia" w:hAnsi="ITC Avant Garde" w:cs="Arial"/>
          <w:sz w:val="22"/>
          <w:szCs w:val="22"/>
          <w:lang w:eastAsia="es-MX"/>
        </w:rPr>
        <w:t xml:space="preserve">Derechos Humanos, Administrativo, Corporativo, </w:t>
      </w:r>
      <w:r w:rsidR="00911E9E">
        <w:rPr>
          <w:rFonts w:ascii="ITC Avant Garde" w:eastAsiaTheme="minorEastAsia" w:hAnsi="ITC Avant Garde" w:cs="Arial"/>
          <w:sz w:val="22"/>
          <w:szCs w:val="22"/>
          <w:lang w:eastAsia="es-MX"/>
        </w:rPr>
        <w:t>d</w:t>
      </w:r>
      <w:r w:rsidRPr="00F949CE">
        <w:rPr>
          <w:rFonts w:ascii="ITC Avant Garde" w:eastAsiaTheme="minorEastAsia" w:hAnsi="ITC Avant Garde" w:cs="Arial"/>
          <w:sz w:val="22"/>
          <w:szCs w:val="22"/>
          <w:lang w:eastAsia="es-MX"/>
        </w:rPr>
        <w:t xml:space="preserve">e la Competencia, Fiscal y Mercantil; </w:t>
      </w:r>
    </w:p>
    <w:p w:rsidR="00EA6C31" w:rsidRDefault="006F4E1D" w:rsidP="00A7767E">
      <w:pPr>
        <w:pStyle w:val="Prrafodelista"/>
        <w:numPr>
          <w:ilvl w:val="0"/>
          <w:numId w:val="9"/>
        </w:numPr>
        <w:spacing w:before="240" w:after="200" w:line="259" w:lineRule="auto"/>
        <w:contextualSpacing/>
        <w:jc w:val="both"/>
      </w:pPr>
      <w:r w:rsidRPr="006F4E1D">
        <w:rPr>
          <w:rFonts w:ascii="ITC Avant Garde" w:eastAsiaTheme="minorEastAsia" w:hAnsi="ITC Avant Garde" w:cs="Arial"/>
          <w:sz w:val="22"/>
          <w:szCs w:val="22"/>
          <w:lang w:eastAsia="es-MX"/>
        </w:rPr>
        <w:t>Especialidades</w:t>
      </w:r>
      <w:r>
        <w:rPr>
          <w:rFonts w:ascii="ITC Avant Garde" w:eastAsiaTheme="minorEastAsia" w:hAnsi="ITC Avant Garde" w:cs="Arial"/>
          <w:sz w:val="22"/>
          <w:szCs w:val="22"/>
          <w:lang w:eastAsia="es-MX"/>
        </w:rPr>
        <w:t xml:space="preserve"> tales como</w:t>
      </w:r>
      <w:r w:rsidRPr="006F4E1D">
        <w:rPr>
          <w:rFonts w:ascii="ITC Avant Garde" w:eastAsiaTheme="minorEastAsia" w:hAnsi="ITC Avant Garde" w:cs="Arial"/>
          <w:sz w:val="22"/>
          <w:szCs w:val="22"/>
          <w:lang w:eastAsia="es-MX"/>
        </w:rPr>
        <w:t xml:space="preserve">: </w:t>
      </w:r>
      <w:r w:rsidRPr="003B7B58">
        <w:rPr>
          <w:rFonts w:ascii="ITC Avant Garde" w:eastAsiaTheme="minorEastAsia" w:hAnsi="ITC Avant Garde" w:cs="Arial"/>
          <w:sz w:val="22"/>
          <w:szCs w:val="22"/>
          <w:lang w:eastAsia="es-MX"/>
        </w:rPr>
        <w:t>Ciberseguridad, Privacidad y Protección de datos personales, Big data, Entorno digital</w:t>
      </w:r>
      <w:r w:rsidR="005A51A1" w:rsidRPr="003B7B58">
        <w:rPr>
          <w:rFonts w:ascii="ITC Avant Garde" w:eastAsiaTheme="minorEastAsia" w:hAnsi="ITC Avant Garde" w:cs="Arial"/>
          <w:sz w:val="22"/>
          <w:szCs w:val="22"/>
          <w:lang w:eastAsia="es-MX"/>
        </w:rPr>
        <w:t xml:space="preserve"> y</w:t>
      </w:r>
      <w:r w:rsidRPr="003B7B58">
        <w:rPr>
          <w:rFonts w:ascii="ITC Avant Garde" w:eastAsiaTheme="minorEastAsia" w:hAnsi="ITC Avant Garde" w:cs="Arial"/>
          <w:sz w:val="22"/>
          <w:szCs w:val="22"/>
          <w:lang w:eastAsia="es-MX"/>
        </w:rPr>
        <w:t xml:space="preserve"> Derechos </w:t>
      </w:r>
      <w:r w:rsidR="00911E9E" w:rsidRPr="003B7B58">
        <w:rPr>
          <w:rFonts w:ascii="ITC Avant Garde" w:eastAsiaTheme="minorEastAsia" w:hAnsi="ITC Avant Garde" w:cs="Arial"/>
          <w:sz w:val="22"/>
          <w:szCs w:val="22"/>
          <w:lang w:eastAsia="es-MX"/>
        </w:rPr>
        <w:t>de las audiencias</w:t>
      </w:r>
      <w:r w:rsidR="005A51A1" w:rsidRPr="003B7B58">
        <w:rPr>
          <w:rFonts w:ascii="ITC Avant Garde" w:eastAsiaTheme="minorEastAsia" w:hAnsi="ITC Avant Garde" w:cs="Arial"/>
          <w:sz w:val="22"/>
          <w:szCs w:val="22"/>
          <w:lang w:eastAsia="es-MX"/>
        </w:rPr>
        <w:t>.</w:t>
      </w:r>
    </w:p>
    <w:p w:rsidR="00EA6C31" w:rsidRDefault="00F949CE" w:rsidP="00A7767E">
      <w:pPr>
        <w:spacing w:before="240"/>
        <w:jc w:val="both"/>
        <w:rPr>
          <w:rFonts w:ascii="ITC Avant Garde" w:eastAsiaTheme="minorEastAsia" w:hAnsi="ITC Avant Garde" w:cs="Arial"/>
          <w:lang w:eastAsia="es-MX"/>
        </w:rPr>
      </w:pPr>
      <w:r w:rsidRPr="00F949CE">
        <w:rPr>
          <w:rFonts w:ascii="ITC Avant Garde" w:eastAsiaTheme="minorEastAsia" w:hAnsi="ITC Avant Garde" w:cs="Arial"/>
          <w:lang w:eastAsia="es-MX"/>
        </w:rPr>
        <w:t>El órgano máximo de decisión del Instituto, así como las principales áreas sustantivas del Instituto, desarrollan actividades técnic</w:t>
      </w:r>
      <w:r w:rsidR="00911E9E">
        <w:rPr>
          <w:rFonts w:ascii="ITC Avant Garde" w:eastAsiaTheme="minorEastAsia" w:hAnsi="ITC Avant Garde" w:cs="Arial"/>
          <w:lang w:eastAsia="es-MX"/>
        </w:rPr>
        <w:t>as</w:t>
      </w:r>
      <w:r w:rsidRPr="00F949CE">
        <w:rPr>
          <w:rFonts w:ascii="ITC Avant Garde" w:eastAsiaTheme="minorEastAsia" w:hAnsi="ITC Avant Garde" w:cs="Arial"/>
          <w:lang w:eastAsia="es-MX"/>
        </w:rPr>
        <w:t xml:space="preserve"> calificadas y de alta especialización en su función, conforme a lo siguiente:</w:t>
      </w:r>
    </w:p>
    <w:p w:rsidR="00F949CE" w:rsidRDefault="00F949CE" w:rsidP="00A7767E">
      <w:pPr>
        <w:pStyle w:val="Prrafodelista"/>
        <w:numPr>
          <w:ilvl w:val="0"/>
          <w:numId w:val="8"/>
        </w:numPr>
        <w:spacing w:before="240" w:after="200" w:line="259" w:lineRule="auto"/>
        <w:contextualSpacing/>
        <w:jc w:val="both"/>
        <w:rPr>
          <w:rFonts w:ascii="ITC Avant Garde" w:eastAsiaTheme="minorEastAsia" w:hAnsi="ITC Avant Garde" w:cs="Arial"/>
          <w:sz w:val="22"/>
          <w:szCs w:val="22"/>
          <w:lang w:eastAsia="es-MX"/>
        </w:rPr>
      </w:pPr>
      <w:r w:rsidRPr="00F949CE">
        <w:rPr>
          <w:rFonts w:ascii="ITC Avant Garde" w:eastAsiaTheme="minorEastAsia" w:hAnsi="ITC Avant Garde" w:cs="Arial"/>
          <w:sz w:val="22"/>
          <w:szCs w:val="22"/>
          <w:lang w:eastAsia="es-MX"/>
        </w:rPr>
        <w:t>Regular, promover y supervisar el uso, aprovechamiento y explotación eficiente del espectro radioeléctrico, los recursos orbitales, los servicios satelitales, las redes de telecomunicaciones y la prestación de los servicios de radiodifusión y telecomunicaciones, así como el acceso a infraestructura activa, pasiva e insumos esenciales;</w:t>
      </w:r>
      <w:r w:rsidR="00643D07">
        <w:rPr>
          <w:rFonts w:ascii="ITC Avant Garde" w:eastAsiaTheme="minorEastAsia" w:hAnsi="ITC Avant Garde" w:cs="Arial"/>
          <w:sz w:val="22"/>
          <w:szCs w:val="22"/>
          <w:lang w:eastAsia="es-MX"/>
        </w:rPr>
        <w:t xml:space="preserve"> lo que incluye </w:t>
      </w:r>
      <w:r w:rsidR="00643D07" w:rsidRPr="003B7B58">
        <w:rPr>
          <w:rFonts w:ascii="ITC Avant Garde" w:eastAsiaTheme="minorEastAsia" w:hAnsi="ITC Avant Garde" w:cs="Arial"/>
          <w:sz w:val="22"/>
          <w:szCs w:val="22"/>
          <w:lang w:eastAsia="es-MX"/>
        </w:rPr>
        <w:t>el diseño de licitaciones competitivas de espectro.</w:t>
      </w:r>
    </w:p>
    <w:p w:rsidR="00F949CE" w:rsidRPr="00F949CE" w:rsidRDefault="00F949CE" w:rsidP="00A7767E">
      <w:pPr>
        <w:pStyle w:val="Prrafodelista"/>
        <w:numPr>
          <w:ilvl w:val="0"/>
          <w:numId w:val="8"/>
        </w:numPr>
        <w:spacing w:before="240" w:after="200" w:line="259" w:lineRule="auto"/>
        <w:contextualSpacing/>
        <w:jc w:val="both"/>
        <w:rPr>
          <w:rFonts w:ascii="ITC Avant Garde" w:eastAsiaTheme="minorEastAsia" w:hAnsi="ITC Avant Garde" w:cs="Arial"/>
          <w:sz w:val="22"/>
          <w:szCs w:val="22"/>
          <w:lang w:eastAsia="es-MX"/>
        </w:rPr>
      </w:pPr>
      <w:r w:rsidRPr="00F949CE">
        <w:rPr>
          <w:rFonts w:ascii="ITC Avant Garde" w:eastAsiaTheme="minorEastAsia" w:hAnsi="ITC Avant Garde" w:cs="Arial"/>
          <w:sz w:val="22"/>
          <w:szCs w:val="22"/>
          <w:lang w:eastAsia="es-MX"/>
        </w:rPr>
        <w:t>Elaborar disposiciones administrativas de carácter general, planes técnicos fundamentales, lineamientos, reglas, ordenamientos técnicos y normas en materia de telecomunicaciones y radiodifusión</w:t>
      </w:r>
      <w:r w:rsidR="00643D07">
        <w:rPr>
          <w:rFonts w:ascii="ITC Avant Garde" w:eastAsiaTheme="minorEastAsia" w:hAnsi="ITC Avant Garde" w:cs="Arial"/>
          <w:sz w:val="22"/>
          <w:szCs w:val="22"/>
          <w:lang w:eastAsia="es-MX"/>
        </w:rPr>
        <w:t xml:space="preserve">, tales como: el </w:t>
      </w:r>
      <w:r w:rsidR="00643D07" w:rsidRPr="003B7B58">
        <w:rPr>
          <w:rFonts w:ascii="ITC Avant Garde" w:eastAsiaTheme="minorEastAsia" w:hAnsi="ITC Avant Garde" w:cs="Arial"/>
          <w:sz w:val="22"/>
          <w:szCs w:val="22"/>
          <w:lang w:eastAsia="es-MX"/>
        </w:rPr>
        <w:t>desarrollo de modelos de costos, resoluciones de desacuerdos de interconexión, autorización de ofertas de referencia de servicios mayoristas y emitir disposiciones técnicas para la operación de equipo de telecomunicaciones.</w:t>
      </w:r>
    </w:p>
    <w:p w:rsidR="00F949CE" w:rsidRDefault="00F949CE" w:rsidP="00A7767E">
      <w:pPr>
        <w:pStyle w:val="Prrafodelista"/>
        <w:numPr>
          <w:ilvl w:val="0"/>
          <w:numId w:val="8"/>
        </w:numPr>
        <w:spacing w:before="240" w:after="200" w:line="259" w:lineRule="auto"/>
        <w:contextualSpacing/>
        <w:jc w:val="both"/>
        <w:rPr>
          <w:rFonts w:ascii="ITC Avant Garde" w:eastAsiaTheme="minorEastAsia" w:hAnsi="ITC Avant Garde" w:cs="Arial"/>
          <w:sz w:val="22"/>
          <w:szCs w:val="22"/>
          <w:lang w:eastAsia="es-MX"/>
        </w:rPr>
      </w:pPr>
      <w:r w:rsidRPr="00F949CE">
        <w:rPr>
          <w:rFonts w:ascii="ITC Avant Garde" w:eastAsiaTheme="minorEastAsia" w:hAnsi="ITC Avant Garde" w:cs="Arial"/>
          <w:sz w:val="22"/>
          <w:szCs w:val="22"/>
          <w:lang w:eastAsia="es-MX"/>
        </w:rPr>
        <w:t xml:space="preserve">Determinar y autorizar lineamientos de carácter general para el otorgamiento de concesiones para el uso, aprovechamiento o explotación del espectro </w:t>
      </w:r>
      <w:r w:rsidRPr="00F949CE">
        <w:rPr>
          <w:rFonts w:ascii="ITC Avant Garde" w:eastAsiaTheme="minorEastAsia" w:hAnsi="ITC Avant Garde" w:cs="Arial"/>
          <w:sz w:val="22"/>
          <w:szCs w:val="22"/>
          <w:lang w:eastAsia="es-MX"/>
        </w:rPr>
        <w:lastRenderedPageBreak/>
        <w:t>radioeléctrico, así como para la ocupación y explotación de recursos orbitales para uso público, social y privado;</w:t>
      </w:r>
    </w:p>
    <w:p w:rsidR="00F949CE" w:rsidRPr="0020330A" w:rsidRDefault="00F949CE" w:rsidP="00A7767E">
      <w:pPr>
        <w:pStyle w:val="Prrafodelista"/>
        <w:numPr>
          <w:ilvl w:val="0"/>
          <w:numId w:val="8"/>
        </w:numPr>
        <w:spacing w:before="240" w:after="200" w:line="259" w:lineRule="auto"/>
        <w:contextualSpacing/>
        <w:jc w:val="both"/>
        <w:rPr>
          <w:rFonts w:ascii="ITC Avant Garde" w:eastAsiaTheme="minorEastAsia" w:hAnsi="ITC Avant Garde" w:cs="Arial"/>
          <w:lang w:eastAsia="es-MX"/>
        </w:rPr>
      </w:pPr>
      <w:r w:rsidRPr="00F949CE">
        <w:rPr>
          <w:rFonts w:ascii="ITC Avant Garde" w:eastAsiaTheme="minorEastAsia" w:hAnsi="ITC Avant Garde" w:cs="Arial"/>
          <w:sz w:val="22"/>
          <w:szCs w:val="22"/>
          <w:lang w:eastAsia="es-MX"/>
        </w:rPr>
        <w:t>Sustanciar procedimientos, y elaborar los proyectos de resolución correspondientes a los procedimientos seguidos en forma de juicio conforme a lo establecido en la Ley Federal de Competencia Económica, en los sectores de telecomunicaciones y radiodifusión</w:t>
      </w:r>
      <w:r w:rsidR="00911E9E">
        <w:rPr>
          <w:rFonts w:ascii="ITC Avant Garde" w:eastAsiaTheme="minorEastAsia" w:hAnsi="ITC Avant Garde" w:cs="Arial"/>
          <w:sz w:val="22"/>
          <w:szCs w:val="22"/>
          <w:lang w:eastAsia="es-MX"/>
        </w:rPr>
        <w:t>, en</w:t>
      </w:r>
      <w:r w:rsidR="00521598">
        <w:rPr>
          <w:rFonts w:ascii="ITC Avant Garde" w:eastAsiaTheme="minorEastAsia" w:hAnsi="ITC Avant Garde" w:cs="Arial"/>
          <w:sz w:val="22"/>
          <w:szCs w:val="22"/>
          <w:lang w:eastAsia="es-MX"/>
        </w:rPr>
        <w:t>t</w:t>
      </w:r>
      <w:r w:rsidR="00911E9E">
        <w:rPr>
          <w:rFonts w:ascii="ITC Avant Garde" w:eastAsiaTheme="minorEastAsia" w:hAnsi="ITC Avant Garde" w:cs="Arial"/>
          <w:sz w:val="22"/>
          <w:szCs w:val="22"/>
          <w:lang w:eastAsia="es-MX"/>
        </w:rPr>
        <w:t>re otros los relativos a prácticas monopólicas absolutas y relativas, barreras a la competencia e insumos esenciales</w:t>
      </w:r>
      <w:r w:rsidRPr="00F949CE">
        <w:rPr>
          <w:rFonts w:ascii="ITC Avant Garde" w:eastAsiaTheme="minorEastAsia" w:hAnsi="ITC Avant Garde" w:cs="Arial"/>
          <w:sz w:val="22"/>
          <w:szCs w:val="22"/>
          <w:lang w:eastAsia="es-MX"/>
        </w:rPr>
        <w:t>.</w:t>
      </w:r>
    </w:p>
    <w:p w:rsidR="00F949CE" w:rsidRDefault="00F949CE" w:rsidP="00A7767E">
      <w:pPr>
        <w:pStyle w:val="Prrafodelista"/>
        <w:numPr>
          <w:ilvl w:val="0"/>
          <w:numId w:val="8"/>
        </w:numPr>
        <w:spacing w:before="240" w:after="200" w:line="259" w:lineRule="auto"/>
        <w:contextualSpacing/>
        <w:jc w:val="both"/>
        <w:rPr>
          <w:rFonts w:ascii="ITC Avant Garde" w:eastAsiaTheme="minorEastAsia" w:hAnsi="ITC Avant Garde" w:cs="Arial"/>
          <w:sz w:val="22"/>
          <w:szCs w:val="22"/>
          <w:lang w:eastAsia="es-MX"/>
        </w:rPr>
      </w:pPr>
      <w:r w:rsidRPr="00F949CE">
        <w:rPr>
          <w:rFonts w:ascii="ITC Avant Garde" w:eastAsiaTheme="minorEastAsia" w:hAnsi="ITC Avant Garde" w:cs="Arial"/>
          <w:sz w:val="22"/>
          <w:szCs w:val="22"/>
          <w:lang w:eastAsia="es-MX"/>
        </w:rPr>
        <w:t>Conocer de la etapa de investigación y ser parte en el procedimiento seguido en forma de juicio de conformidad con lo establecido en la Ley Federal de Competencia Económica;</w:t>
      </w:r>
    </w:p>
    <w:p w:rsidR="00F949CE" w:rsidRDefault="0059423A" w:rsidP="00A7767E">
      <w:pPr>
        <w:pStyle w:val="Prrafodelista"/>
        <w:numPr>
          <w:ilvl w:val="0"/>
          <w:numId w:val="8"/>
        </w:numPr>
        <w:spacing w:before="240" w:after="200" w:line="259" w:lineRule="auto"/>
        <w:contextualSpacing/>
        <w:jc w:val="both"/>
        <w:rPr>
          <w:rFonts w:ascii="ITC Avant Garde" w:eastAsiaTheme="minorEastAsia" w:hAnsi="ITC Avant Garde" w:cs="Arial"/>
          <w:sz w:val="22"/>
          <w:szCs w:val="22"/>
          <w:lang w:eastAsia="es-MX"/>
        </w:rPr>
      </w:pPr>
      <w:r>
        <w:rPr>
          <w:rFonts w:ascii="ITC Avant Garde" w:eastAsiaTheme="minorEastAsia" w:hAnsi="ITC Avant Garde" w:cs="Arial"/>
          <w:sz w:val="22"/>
          <w:szCs w:val="22"/>
          <w:lang w:eastAsia="es-MX"/>
        </w:rPr>
        <w:t>E</w:t>
      </w:r>
      <w:r w:rsidR="00F949CE" w:rsidRPr="00F949CE">
        <w:rPr>
          <w:rFonts w:ascii="ITC Avant Garde" w:eastAsiaTheme="minorEastAsia" w:hAnsi="ITC Avant Garde" w:cs="Arial"/>
          <w:sz w:val="22"/>
          <w:szCs w:val="22"/>
          <w:lang w:eastAsia="es-MX"/>
        </w:rPr>
        <w:t>valuar</w:t>
      </w:r>
      <w:r>
        <w:rPr>
          <w:rFonts w:ascii="ITC Avant Garde" w:eastAsiaTheme="minorEastAsia" w:hAnsi="ITC Avant Garde" w:cs="Arial"/>
          <w:sz w:val="22"/>
          <w:szCs w:val="22"/>
          <w:lang w:eastAsia="es-MX"/>
        </w:rPr>
        <w:t xml:space="preserve"> y tramitar</w:t>
      </w:r>
      <w:r w:rsidR="00F949CE" w:rsidRPr="00F949CE">
        <w:rPr>
          <w:rFonts w:ascii="ITC Avant Garde" w:eastAsiaTheme="minorEastAsia" w:hAnsi="ITC Avant Garde" w:cs="Arial"/>
          <w:sz w:val="22"/>
          <w:szCs w:val="22"/>
          <w:lang w:eastAsia="es-MX"/>
        </w:rPr>
        <w:t xml:space="preserve"> las solicitudes de autorización para transitar a la concesión única o para consolidar sus títulos en una sola concesión en los casos de las concesiones en materia de telecomunicaciones;</w:t>
      </w:r>
    </w:p>
    <w:p w:rsidR="00F949CE" w:rsidRDefault="00F949CE" w:rsidP="00A7767E">
      <w:pPr>
        <w:pStyle w:val="Prrafodelista"/>
        <w:numPr>
          <w:ilvl w:val="0"/>
          <w:numId w:val="8"/>
        </w:numPr>
        <w:spacing w:before="240" w:after="200" w:line="259" w:lineRule="auto"/>
        <w:contextualSpacing/>
        <w:jc w:val="both"/>
        <w:rPr>
          <w:rFonts w:ascii="ITC Avant Garde" w:eastAsiaTheme="minorEastAsia" w:hAnsi="ITC Avant Garde" w:cs="Arial"/>
          <w:sz w:val="22"/>
          <w:szCs w:val="22"/>
          <w:lang w:eastAsia="es-MX"/>
        </w:rPr>
      </w:pPr>
      <w:r w:rsidRPr="00F949CE">
        <w:rPr>
          <w:rFonts w:ascii="ITC Avant Garde" w:eastAsiaTheme="minorEastAsia" w:hAnsi="ITC Avant Garde" w:cs="Arial"/>
          <w:sz w:val="22"/>
          <w:szCs w:val="22"/>
          <w:lang w:eastAsia="es-MX"/>
        </w:rPr>
        <w:t xml:space="preserve">Supervisar, conforme a los programas de supervisión y vigilancia que determine o cuando se presenten hechos, actos u omisiones que motiven la supervisión, que los concesionarios, autorizados y demás sujetos regulados cumplan con las obligaciones y condiciones establecidas en los títulos de concesión, autorizaciones, acuerdos, resoluciones y demás disposiciones legales, reglamentarias y administrativas aplicables, </w:t>
      </w:r>
      <w:r w:rsidR="00643D07">
        <w:rPr>
          <w:rFonts w:ascii="ITC Avant Garde" w:eastAsiaTheme="minorEastAsia" w:hAnsi="ITC Avant Garde" w:cs="Arial"/>
          <w:sz w:val="22"/>
          <w:szCs w:val="22"/>
          <w:lang w:eastAsia="es-MX"/>
        </w:rPr>
        <w:t>dentro de lo que se contempla</w:t>
      </w:r>
      <w:r w:rsidR="00FB70CD">
        <w:rPr>
          <w:rFonts w:ascii="ITC Avant Garde" w:eastAsiaTheme="minorEastAsia" w:hAnsi="ITC Avant Garde" w:cs="Arial"/>
          <w:sz w:val="22"/>
          <w:szCs w:val="22"/>
          <w:lang w:eastAsia="es-MX"/>
        </w:rPr>
        <w:t xml:space="preserve"> </w:t>
      </w:r>
      <w:r w:rsidR="00643D07" w:rsidRPr="003B7B58">
        <w:rPr>
          <w:rFonts w:ascii="ITC Avant Garde" w:eastAsiaTheme="minorEastAsia" w:hAnsi="ITC Avant Garde" w:cs="Arial"/>
          <w:sz w:val="22"/>
          <w:szCs w:val="22"/>
          <w:lang w:eastAsia="es-MX"/>
        </w:rPr>
        <w:t>supervisar niveles de calidad provistos a través de las redes.</w:t>
      </w:r>
    </w:p>
    <w:p w:rsidR="00EA6C31" w:rsidRDefault="00F949CE" w:rsidP="00A7767E">
      <w:pPr>
        <w:pStyle w:val="Prrafodelista"/>
        <w:numPr>
          <w:ilvl w:val="0"/>
          <w:numId w:val="8"/>
        </w:numPr>
        <w:spacing w:before="240" w:after="200" w:line="259" w:lineRule="auto"/>
        <w:contextualSpacing/>
        <w:jc w:val="both"/>
        <w:rPr>
          <w:rFonts w:ascii="ITC Avant Garde" w:eastAsiaTheme="minorEastAsia" w:hAnsi="ITC Avant Garde" w:cs="Arial"/>
          <w:sz w:val="22"/>
          <w:szCs w:val="22"/>
          <w:lang w:eastAsia="es-MX"/>
        </w:rPr>
      </w:pPr>
      <w:r w:rsidRPr="00F949CE">
        <w:rPr>
          <w:rFonts w:ascii="ITC Avant Garde" w:eastAsiaTheme="minorEastAsia" w:hAnsi="ITC Avant Garde" w:cs="Arial"/>
          <w:sz w:val="22"/>
          <w:szCs w:val="22"/>
          <w:lang w:eastAsia="es-MX"/>
        </w:rPr>
        <w:t>Diseñar y planear la política en medios y contenidos audiovisuales, en los que se propicie el libre acceso a información plural y oportuna, la diversidad, la no discriminación, la libertad de expresión y de difusión.</w:t>
      </w:r>
    </w:p>
    <w:p w:rsidR="00EA6C31" w:rsidRDefault="00F949CE" w:rsidP="00A7767E">
      <w:pPr>
        <w:spacing w:before="240"/>
        <w:jc w:val="both"/>
        <w:rPr>
          <w:rFonts w:ascii="ITC Avant Garde" w:eastAsiaTheme="minorEastAsia" w:hAnsi="ITC Avant Garde" w:cs="Arial"/>
          <w:lang w:eastAsia="es-MX"/>
        </w:rPr>
      </w:pPr>
      <w:r w:rsidRPr="00F949CE">
        <w:rPr>
          <w:rFonts w:ascii="ITC Avant Garde" w:hAnsi="ITC Avant Garde" w:cs="Arial"/>
        </w:rPr>
        <w:t xml:space="preserve">Todas estas actividades </w:t>
      </w:r>
      <w:r w:rsidRPr="00F949CE">
        <w:rPr>
          <w:rFonts w:ascii="ITC Avant Garde" w:eastAsiaTheme="minorEastAsia" w:hAnsi="ITC Avant Garde" w:cs="Arial"/>
          <w:lang w:eastAsia="es-MX"/>
        </w:rPr>
        <w:t>técnic</w:t>
      </w:r>
      <w:r w:rsidR="00EB5389">
        <w:rPr>
          <w:rFonts w:ascii="ITC Avant Garde" w:eastAsiaTheme="minorEastAsia" w:hAnsi="ITC Avant Garde" w:cs="Arial"/>
          <w:lang w:eastAsia="es-MX"/>
        </w:rPr>
        <w:t>as</w:t>
      </w:r>
      <w:r w:rsidRPr="00F949CE">
        <w:rPr>
          <w:rFonts w:ascii="ITC Avant Garde" w:eastAsiaTheme="minorEastAsia" w:hAnsi="ITC Avant Garde" w:cs="Arial"/>
          <w:lang w:eastAsia="es-MX"/>
        </w:rPr>
        <w:t xml:space="preserve"> calificadas y de alta especialización en su función, son ejecutadas en el Instituto por: el Comisionado Presidente del Instituto, los Comisionados, el Coordinador Ejecutivo, el Titular de la Autoridad Investigadora, y los Titulares de las Unidades de: Competencia Económica, Concesiones y Servicios Cumplimiento, Espectro Radioeléctrico, Medios y Contenidos Audiovisuales, Política Regulatoria, y Asuntos Jurídicos.</w:t>
      </w:r>
    </w:p>
    <w:p w:rsidR="00EA6C31" w:rsidRDefault="00F949CE" w:rsidP="00A7767E">
      <w:pPr>
        <w:pStyle w:val="Sinespaciado"/>
        <w:spacing w:before="240" w:after="200" w:line="276" w:lineRule="auto"/>
        <w:jc w:val="both"/>
        <w:rPr>
          <w:rFonts w:cs="Arial"/>
        </w:rPr>
      </w:pPr>
      <w:r w:rsidRPr="00F949CE">
        <w:rPr>
          <w:rFonts w:cs="Arial"/>
        </w:rPr>
        <w:t>Por lo antes expuesto y del análisis del marco jurídico específico del Instituto, se desprende:</w:t>
      </w:r>
    </w:p>
    <w:p w:rsidR="00F949CE" w:rsidRPr="00F949CE" w:rsidRDefault="00F949CE" w:rsidP="00A7767E">
      <w:pPr>
        <w:pStyle w:val="Prrafodelista"/>
        <w:numPr>
          <w:ilvl w:val="2"/>
          <w:numId w:val="1"/>
        </w:numPr>
        <w:spacing w:before="240" w:after="200" w:line="276" w:lineRule="auto"/>
        <w:ind w:left="709" w:hanging="283"/>
        <w:contextualSpacing/>
        <w:jc w:val="both"/>
        <w:rPr>
          <w:rFonts w:ascii="ITC Avant Garde" w:hAnsi="ITC Avant Garde" w:cs="Arial"/>
          <w:sz w:val="22"/>
          <w:szCs w:val="22"/>
        </w:rPr>
      </w:pPr>
      <w:r w:rsidRPr="00F949CE">
        <w:rPr>
          <w:rFonts w:ascii="ITC Avant Garde" w:hAnsi="ITC Avant Garde" w:cs="Arial"/>
          <w:sz w:val="22"/>
          <w:szCs w:val="22"/>
        </w:rPr>
        <w:t xml:space="preserve">El reconocimiento como </w:t>
      </w:r>
      <w:r w:rsidR="00B74530">
        <w:rPr>
          <w:rFonts w:ascii="ITC Avant Garde" w:hAnsi="ITC Avant Garde" w:cs="Arial"/>
          <w:sz w:val="22"/>
          <w:szCs w:val="22"/>
        </w:rPr>
        <w:t>ó</w:t>
      </w:r>
      <w:r w:rsidRPr="00F949CE">
        <w:rPr>
          <w:rFonts w:ascii="ITC Avant Garde" w:hAnsi="ITC Avant Garde" w:cs="Arial"/>
          <w:sz w:val="22"/>
          <w:szCs w:val="22"/>
        </w:rPr>
        <w:t xml:space="preserve">rgano </w:t>
      </w:r>
      <w:r w:rsidR="00B74530">
        <w:rPr>
          <w:rFonts w:ascii="ITC Avant Garde" w:hAnsi="ITC Avant Garde" w:cs="Arial"/>
          <w:sz w:val="22"/>
          <w:szCs w:val="22"/>
        </w:rPr>
        <w:t>c</w:t>
      </w:r>
      <w:r w:rsidRPr="00F949CE">
        <w:rPr>
          <w:rFonts w:ascii="ITC Avant Garde" w:hAnsi="ITC Avant Garde" w:cs="Arial"/>
          <w:sz w:val="22"/>
          <w:szCs w:val="22"/>
        </w:rPr>
        <w:t xml:space="preserve">onstitucional </w:t>
      </w:r>
      <w:r w:rsidR="00B74530">
        <w:rPr>
          <w:rFonts w:ascii="ITC Avant Garde" w:hAnsi="ITC Avant Garde" w:cs="Arial"/>
          <w:sz w:val="22"/>
          <w:szCs w:val="22"/>
        </w:rPr>
        <w:t>a</w:t>
      </w:r>
      <w:r w:rsidRPr="00F949CE">
        <w:rPr>
          <w:rFonts w:ascii="ITC Avant Garde" w:hAnsi="ITC Avant Garde" w:cs="Arial"/>
          <w:sz w:val="22"/>
          <w:szCs w:val="22"/>
        </w:rPr>
        <w:t>utónomo;</w:t>
      </w:r>
    </w:p>
    <w:p w:rsidR="00F949CE" w:rsidRPr="00F949CE" w:rsidRDefault="00F949CE" w:rsidP="00A7767E">
      <w:pPr>
        <w:pStyle w:val="Prrafodelista"/>
        <w:numPr>
          <w:ilvl w:val="2"/>
          <w:numId w:val="1"/>
        </w:numPr>
        <w:spacing w:before="240" w:after="200" w:line="276" w:lineRule="auto"/>
        <w:ind w:left="709" w:hanging="283"/>
        <w:contextualSpacing/>
        <w:jc w:val="both"/>
        <w:rPr>
          <w:rFonts w:ascii="ITC Avant Garde" w:hAnsi="ITC Avant Garde" w:cs="Arial"/>
          <w:sz w:val="22"/>
          <w:szCs w:val="22"/>
        </w:rPr>
      </w:pPr>
      <w:r w:rsidRPr="00F949CE">
        <w:rPr>
          <w:rFonts w:ascii="ITC Avant Garde" w:hAnsi="ITC Avant Garde" w:cs="Arial"/>
          <w:sz w:val="22"/>
          <w:szCs w:val="22"/>
        </w:rPr>
        <w:t>La existencia de un mandato claro respecto de su trabajo técnico, calificado, y de alta especialización en su función;</w:t>
      </w:r>
    </w:p>
    <w:p w:rsidR="00F949CE" w:rsidRPr="00F949CE" w:rsidRDefault="00F949CE" w:rsidP="00A7767E">
      <w:pPr>
        <w:pStyle w:val="Prrafodelista"/>
        <w:numPr>
          <w:ilvl w:val="2"/>
          <w:numId w:val="1"/>
        </w:numPr>
        <w:spacing w:before="240" w:after="200" w:line="276" w:lineRule="auto"/>
        <w:ind w:left="709" w:hanging="283"/>
        <w:contextualSpacing/>
        <w:jc w:val="both"/>
        <w:rPr>
          <w:rFonts w:ascii="ITC Avant Garde" w:hAnsi="ITC Avant Garde" w:cs="Arial"/>
          <w:sz w:val="22"/>
          <w:szCs w:val="22"/>
        </w:rPr>
      </w:pPr>
      <w:r w:rsidRPr="00F949CE">
        <w:rPr>
          <w:rFonts w:ascii="ITC Avant Garde" w:hAnsi="ITC Avant Garde" w:cs="Arial"/>
          <w:sz w:val="22"/>
          <w:szCs w:val="22"/>
        </w:rPr>
        <w:t xml:space="preserve">Que el IFT y la COFECE son los únicos órganos del Estado Mexicano en los que sus </w:t>
      </w:r>
      <w:r w:rsidR="00B74530">
        <w:rPr>
          <w:rFonts w:ascii="ITC Avant Garde" w:hAnsi="ITC Avant Garde" w:cs="Arial"/>
          <w:sz w:val="22"/>
          <w:szCs w:val="22"/>
        </w:rPr>
        <w:t>t</w:t>
      </w:r>
      <w:r w:rsidRPr="00F949CE">
        <w:rPr>
          <w:rFonts w:ascii="ITC Avant Garde" w:hAnsi="ITC Avant Garde" w:cs="Arial"/>
          <w:sz w:val="22"/>
          <w:szCs w:val="22"/>
        </w:rPr>
        <w:t xml:space="preserve">itulares y los miembros de sus órganos de gobierno deben acreditar, mediante </w:t>
      </w:r>
      <w:r w:rsidRPr="00F949CE">
        <w:rPr>
          <w:rFonts w:ascii="ITC Avant Garde" w:hAnsi="ITC Avant Garde" w:cs="Arial"/>
          <w:sz w:val="22"/>
          <w:szCs w:val="22"/>
        </w:rPr>
        <w:lastRenderedPageBreak/>
        <w:t>una evaluación, que poseen los conocimientos técnicos de alta especialización para desempeñar dichos cargos;</w:t>
      </w:r>
    </w:p>
    <w:p w:rsidR="00F949CE" w:rsidRPr="00F949CE" w:rsidRDefault="00F949CE" w:rsidP="00A7767E">
      <w:pPr>
        <w:pStyle w:val="Prrafodelista"/>
        <w:numPr>
          <w:ilvl w:val="2"/>
          <w:numId w:val="1"/>
        </w:numPr>
        <w:spacing w:before="240" w:after="200" w:line="276" w:lineRule="auto"/>
        <w:ind w:left="709" w:hanging="283"/>
        <w:contextualSpacing/>
        <w:jc w:val="both"/>
        <w:rPr>
          <w:rFonts w:ascii="ITC Avant Garde" w:hAnsi="ITC Avant Garde" w:cs="Arial"/>
          <w:sz w:val="22"/>
          <w:szCs w:val="22"/>
        </w:rPr>
      </w:pPr>
      <w:r w:rsidRPr="00F949CE">
        <w:rPr>
          <w:rFonts w:ascii="ITC Avant Garde" w:hAnsi="ITC Avant Garde" w:cs="Arial"/>
          <w:sz w:val="22"/>
          <w:szCs w:val="22"/>
        </w:rPr>
        <w:t xml:space="preserve">El mandato de la LFTR al IFT para establecer un Sistema de Servicio Profesional, y </w:t>
      </w:r>
    </w:p>
    <w:p w:rsidR="00F949CE" w:rsidRPr="00F949CE" w:rsidRDefault="00F949CE" w:rsidP="00A7767E">
      <w:pPr>
        <w:pStyle w:val="Prrafodelista"/>
        <w:numPr>
          <w:ilvl w:val="2"/>
          <w:numId w:val="1"/>
        </w:numPr>
        <w:spacing w:before="240" w:after="200" w:line="276" w:lineRule="auto"/>
        <w:ind w:left="709" w:hanging="283"/>
        <w:contextualSpacing/>
        <w:jc w:val="both"/>
        <w:rPr>
          <w:rFonts w:ascii="ITC Avant Garde" w:hAnsi="ITC Avant Garde" w:cs="Arial"/>
          <w:sz w:val="22"/>
          <w:szCs w:val="22"/>
        </w:rPr>
      </w:pPr>
      <w:r w:rsidRPr="00F949CE">
        <w:rPr>
          <w:rFonts w:ascii="ITC Avant Garde" w:hAnsi="ITC Avant Garde" w:cs="Arial"/>
          <w:sz w:val="22"/>
          <w:szCs w:val="22"/>
        </w:rPr>
        <w:t xml:space="preserve">Que el Comisionado Presidente del IFT, en su carácter de </w:t>
      </w:r>
      <w:r w:rsidR="00B74530">
        <w:rPr>
          <w:rFonts w:ascii="ITC Avant Garde" w:hAnsi="ITC Avant Garde" w:cs="Arial"/>
          <w:sz w:val="22"/>
          <w:szCs w:val="22"/>
        </w:rPr>
        <w:t>t</w:t>
      </w:r>
      <w:r w:rsidRPr="00F949CE">
        <w:rPr>
          <w:rFonts w:ascii="ITC Avant Garde" w:hAnsi="ITC Avant Garde" w:cs="Arial"/>
          <w:sz w:val="22"/>
          <w:szCs w:val="22"/>
        </w:rPr>
        <w:t xml:space="preserve">itular de un </w:t>
      </w:r>
      <w:r w:rsidR="00B74530">
        <w:rPr>
          <w:rFonts w:ascii="ITC Avant Garde" w:hAnsi="ITC Avant Garde" w:cs="Arial"/>
          <w:sz w:val="22"/>
          <w:szCs w:val="22"/>
        </w:rPr>
        <w:t>ó</w:t>
      </w:r>
      <w:r w:rsidRPr="00F949CE">
        <w:rPr>
          <w:rFonts w:ascii="ITC Avant Garde" w:hAnsi="ITC Avant Garde" w:cs="Arial"/>
          <w:sz w:val="22"/>
          <w:szCs w:val="22"/>
        </w:rPr>
        <w:t xml:space="preserve">rgano </w:t>
      </w:r>
      <w:r w:rsidR="00B74530">
        <w:rPr>
          <w:rFonts w:ascii="ITC Avant Garde" w:hAnsi="ITC Avant Garde" w:cs="Arial"/>
          <w:sz w:val="22"/>
          <w:szCs w:val="22"/>
        </w:rPr>
        <w:t>c</w:t>
      </w:r>
      <w:r w:rsidRPr="00F949CE">
        <w:rPr>
          <w:rFonts w:ascii="ITC Avant Garde" w:hAnsi="ITC Avant Garde" w:cs="Arial"/>
          <w:sz w:val="22"/>
          <w:szCs w:val="22"/>
        </w:rPr>
        <w:t xml:space="preserve">onstitucional </w:t>
      </w:r>
      <w:r w:rsidR="00B74530">
        <w:rPr>
          <w:rFonts w:ascii="ITC Avant Garde" w:hAnsi="ITC Avant Garde" w:cs="Arial"/>
          <w:sz w:val="22"/>
          <w:szCs w:val="22"/>
        </w:rPr>
        <w:t>a</w:t>
      </w:r>
      <w:r w:rsidRPr="00F949CE">
        <w:rPr>
          <w:rFonts w:ascii="ITC Avant Garde" w:hAnsi="ITC Avant Garde" w:cs="Arial"/>
          <w:sz w:val="22"/>
          <w:szCs w:val="22"/>
        </w:rPr>
        <w:t xml:space="preserve">utónomo, no está subordinado, ni depende jerárquicamente del </w:t>
      </w:r>
      <w:r w:rsidR="00B74530">
        <w:rPr>
          <w:rFonts w:ascii="ITC Avant Garde" w:hAnsi="ITC Avant Garde" w:cs="Arial"/>
          <w:sz w:val="22"/>
          <w:szCs w:val="22"/>
        </w:rPr>
        <w:t>t</w:t>
      </w:r>
      <w:r w:rsidRPr="00F949CE">
        <w:rPr>
          <w:rFonts w:ascii="ITC Avant Garde" w:hAnsi="ITC Avant Garde" w:cs="Arial"/>
          <w:sz w:val="22"/>
          <w:szCs w:val="22"/>
        </w:rPr>
        <w:t>itular del Poder Ejecutivo;</w:t>
      </w:r>
    </w:p>
    <w:p w:rsidR="00EA6C31" w:rsidRDefault="00F949CE" w:rsidP="00A7767E">
      <w:pPr>
        <w:pStyle w:val="Prrafodelista"/>
        <w:numPr>
          <w:ilvl w:val="2"/>
          <w:numId w:val="1"/>
        </w:numPr>
        <w:spacing w:before="240" w:after="200" w:line="276" w:lineRule="auto"/>
        <w:ind w:left="709" w:hanging="283"/>
        <w:contextualSpacing/>
        <w:jc w:val="both"/>
        <w:rPr>
          <w:rFonts w:ascii="ITC Avant Garde" w:hAnsi="ITC Avant Garde" w:cs="Arial"/>
          <w:sz w:val="22"/>
          <w:szCs w:val="22"/>
        </w:rPr>
      </w:pPr>
      <w:r w:rsidRPr="00F949CE">
        <w:rPr>
          <w:rFonts w:ascii="ITC Avant Garde" w:hAnsi="ITC Avant Garde" w:cs="Arial"/>
          <w:sz w:val="22"/>
          <w:szCs w:val="22"/>
        </w:rPr>
        <w:t>Que la remuneración del Presidente de la República es únicamente un referente, sin que ello implique preeminencia del Poder Ejecutivo sobre los otros poderes y órganos constitucionales autónomos</w:t>
      </w:r>
      <w:r w:rsidR="00B74530">
        <w:rPr>
          <w:rFonts w:ascii="ITC Avant Garde" w:hAnsi="ITC Avant Garde" w:cs="Arial"/>
          <w:sz w:val="22"/>
          <w:szCs w:val="22"/>
        </w:rPr>
        <w:t>, l</w:t>
      </w:r>
      <w:r w:rsidRPr="00F949CE">
        <w:rPr>
          <w:rFonts w:ascii="ITC Avant Garde" w:hAnsi="ITC Avant Garde" w:cs="Arial"/>
          <w:sz w:val="22"/>
          <w:szCs w:val="22"/>
        </w:rPr>
        <w:t xml:space="preserve">o cual se desprende del análisis de las iniciativas de reforma al artículo 127 </w:t>
      </w:r>
      <w:r w:rsidR="00B74530">
        <w:rPr>
          <w:rFonts w:ascii="ITC Avant Garde" w:hAnsi="ITC Avant Garde" w:cs="Arial"/>
          <w:sz w:val="22"/>
          <w:szCs w:val="22"/>
        </w:rPr>
        <w:t>c</w:t>
      </w:r>
      <w:r w:rsidRPr="00F949CE">
        <w:rPr>
          <w:rFonts w:ascii="ITC Avant Garde" w:hAnsi="ITC Avant Garde" w:cs="Arial"/>
          <w:sz w:val="22"/>
          <w:szCs w:val="22"/>
        </w:rPr>
        <w:t xml:space="preserve">onstitucional, que refleja que ese fue el espíritu del Constituyente Permanente. </w:t>
      </w:r>
    </w:p>
    <w:p w:rsidR="00EA6C31" w:rsidRDefault="00F949CE" w:rsidP="00A7767E">
      <w:pPr>
        <w:pStyle w:val="Sinespaciado"/>
        <w:spacing w:before="240" w:after="200" w:line="276" w:lineRule="auto"/>
        <w:jc w:val="both"/>
        <w:rPr>
          <w:rFonts w:ascii="Arial" w:hAnsi="Arial" w:cs="Arial"/>
          <w:sz w:val="24"/>
          <w:szCs w:val="24"/>
        </w:rPr>
      </w:pPr>
      <w:r>
        <w:rPr>
          <w:rFonts w:cs="Arial"/>
          <w:b/>
          <w:lang w:val="es-ES_tradnl"/>
        </w:rPr>
        <w:t>VIGÉSIMO</w:t>
      </w:r>
      <w:r w:rsidR="00661BA8" w:rsidRPr="00097134">
        <w:rPr>
          <w:rFonts w:cs="Arial"/>
          <w:b/>
          <w:lang w:val="es-ES_tradnl"/>
        </w:rPr>
        <w:t>.</w:t>
      </w:r>
      <w:r w:rsidR="00661BA8" w:rsidRPr="00097134">
        <w:rPr>
          <w:rFonts w:cs="Arial"/>
          <w:lang w:val="es-ES_tradnl"/>
        </w:rPr>
        <w:t xml:space="preserve"> - </w:t>
      </w:r>
      <w:r w:rsidR="001A6C8C" w:rsidRPr="001A6C8C">
        <w:rPr>
          <w:rFonts w:cs="Arial"/>
        </w:rPr>
        <w:t>Que</w:t>
      </w:r>
      <w:r w:rsidR="001A6C8C">
        <w:rPr>
          <w:rFonts w:ascii="Arial" w:hAnsi="Arial" w:cs="Arial"/>
          <w:sz w:val="24"/>
          <w:szCs w:val="24"/>
        </w:rPr>
        <w:t xml:space="preserve"> </w:t>
      </w:r>
      <w:r w:rsidR="001A6C8C">
        <w:rPr>
          <w:rFonts w:cs="Arial"/>
        </w:rPr>
        <w:t>l</w:t>
      </w:r>
      <w:r w:rsidR="001A6C8C" w:rsidRPr="001A6C8C">
        <w:rPr>
          <w:rFonts w:cs="Arial"/>
        </w:rPr>
        <w:t>a base actual para la valuación de los puestos del Instituto y el diseño del correspondiente tabulador específico de sueldos y salarios, se realizó utilizando una metodología</w:t>
      </w:r>
      <w:r w:rsidR="001A6C8C" w:rsidRPr="001A6C8C">
        <w:rPr>
          <w:rStyle w:val="Refdenotaalpie"/>
          <w:rFonts w:cs="Arial"/>
        </w:rPr>
        <w:footnoteReference w:id="3"/>
      </w:r>
      <w:r w:rsidR="001A6C8C" w:rsidRPr="001A6C8C">
        <w:rPr>
          <w:rFonts w:cs="Arial"/>
        </w:rPr>
        <w:t>, que mediante una adaptación combinada de la graduación por puntos y el método de comparación con base en tres elementos básicos (competencias, solución de problemas, y responsabilidad en la toma de decisiones) permite determinar su competitividad externa y su equidad interna, de una manera objetiva y sobre bases técnicas.</w:t>
      </w:r>
    </w:p>
    <w:p w:rsidR="00EA6C31" w:rsidRDefault="00CF48C1" w:rsidP="00A7767E">
      <w:pPr>
        <w:spacing w:before="240"/>
        <w:jc w:val="both"/>
        <w:rPr>
          <w:rFonts w:ascii="ITC Avant Garde" w:hAnsi="ITC Avant Garde" w:cs="Arial"/>
          <w:lang w:val="es-ES_tradnl"/>
        </w:rPr>
      </w:pPr>
      <w:r>
        <w:rPr>
          <w:rFonts w:ascii="ITC Avant Garde" w:hAnsi="ITC Avant Garde" w:cs="Arial"/>
          <w:b/>
          <w:lang w:val="es-ES_tradnl"/>
        </w:rPr>
        <w:t>VIGÉSIMO</w:t>
      </w:r>
      <w:r w:rsidR="00624E3F" w:rsidRPr="006C14EA">
        <w:rPr>
          <w:rFonts w:ascii="ITC Avant Garde" w:hAnsi="ITC Avant Garde" w:cs="Arial"/>
          <w:b/>
          <w:lang w:val="es-ES_tradnl"/>
        </w:rPr>
        <w:t xml:space="preserve"> </w:t>
      </w:r>
      <w:r w:rsidR="005E1470">
        <w:rPr>
          <w:rFonts w:ascii="ITC Avant Garde" w:hAnsi="ITC Avant Garde" w:cs="Arial"/>
          <w:b/>
          <w:lang w:val="es-ES_tradnl"/>
        </w:rPr>
        <w:t>PRIMERO</w:t>
      </w:r>
      <w:r w:rsidR="00624E3F" w:rsidRPr="006C14EA">
        <w:rPr>
          <w:rFonts w:ascii="ITC Avant Garde" w:hAnsi="ITC Avant Garde" w:cs="Arial"/>
          <w:b/>
          <w:lang w:val="es-ES_tradnl"/>
        </w:rPr>
        <w:t>.</w:t>
      </w:r>
      <w:r w:rsidR="00624E3F" w:rsidRPr="007C5A61">
        <w:rPr>
          <w:rFonts w:ascii="ITC Avant Garde" w:hAnsi="ITC Avant Garde" w:cs="Arial"/>
          <w:lang w:val="es-ES_tradnl"/>
        </w:rPr>
        <w:t xml:space="preserve"> - </w:t>
      </w:r>
      <w:r w:rsidR="00624E3F" w:rsidRPr="008F7FAA">
        <w:rPr>
          <w:rFonts w:ascii="ITC Avant Garde" w:hAnsi="ITC Avant Garde" w:cs="Arial"/>
          <w:lang w:val="es-ES_tradnl"/>
        </w:rPr>
        <w:t xml:space="preserve">Que, con base en lo antes expuesto, el </w:t>
      </w:r>
      <w:r w:rsidR="00FA65D4">
        <w:rPr>
          <w:rFonts w:ascii="ITC Avant Garde" w:hAnsi="ITC Avant Garde" w:cs="Arial"/>
          <w:lang w:val="es-ES_tradnl"/>
        </w:rPr>
        <w:t>a</w:t>
      </w:r>
      <w:r w:rsidR="00624E3F" w:rsidRPr="008F7FAA">
        <w:rPr>
          <w:rFonts w:ascii="ITC Avant Garde" w:hAnsi="ITC Avant Garde" w:cs="Arial"/>
          <w:lang w:val="es-ES_tradnl"/>
        </w:rPr>
        <w:t xml:space="preserve">nteproyecto de Presupuesto de Egresos del IFT para 2019 considera un monto total de </w:t>
      </w:r>
      <w:r w:rsidR="00624E3F" w:rsidRPr="008F7FAA">
        <w:rPr>
          <w:rFonts w:ascii="ITC Avant Garde" w:hAnsi="ITC Avant Garde" w:cs="Arial"/>
          <w:b/>
          <w:lang w:val="es-ES_tradnl"/>
        </w:rPr>
        <w:t>1,780.0 millones de pesos</w:t>
      </w:r>
      <w:r w:rsidR="00624E3F" w:rsidRPr="008F7FAA">
        <w:rPr>
          <w:rFonts w:ascii="ITC Avant Garde" w:hAnsi="ITC Avant Garde" w:cs="Arial"/>
          <w:lang w:val="es-ES_tradnl"/>
        </w:rPr>
        <w:t xml:space="preserve"> (mdp); </w:t>
      </w:r>
      <w:r w:rsidR="00624E3F" w:rsidRPr="008F7FAA">
        <w:rPr>
          <w:rFonts w:ascii="ITC Avant Garde" w:hAnsi="ITC Avant Garde" w:cs="Arial"/>
          <w:b/>
          <w:lang w:val="es-ES_tradnl"/>
        </w:rPr>
        <w:t>10.9%</w:t>
      </w:r>
      <w:r w:rsidR="00624E3F" w:rsidRPr="008F7FAA">
        <w:rPr>
          <w:rFonts w:ascii="ITC Avant Garde" w:hAnsi="ITC Avant Garde" w:cs="Arial"/>
          <w:lang w:val="es-ES_tradnl"/>
        </w:rPr>
        <w:t xml:space="preserve"> menor en términos nominales y </w:t>
      </w:r>
      <w:r w:rsidR="00624E3F" w:rsidRPr="008F7FAA">
        <w:rPr>
          <w:rFonts w:ascii="ITC Avant Garde" w:hAnsi="ITC Avant Garde" w:cs="Arial"/>
          <w:b/>
          <w:lang w:val="es-ES_tradnl"/>
        </w:rPr>
        <w:t>14.8%</w:t>
      </w:r>
      <w:r w:rsidR="00624E3F" w:rsidRPr="008F7FAA">
        <w:rPr>
          <w:rFonts w:ascii="ITC Avant Garde" w:hAnsi="ITC Avant Garde" w:cs="Arial"/>
          <w:lang w:val="es-ES_tradnl"/>
        </w:rPr>
        <w:t xml:space="preserve"> menor en términos reales respecto al </w:t>
      </w:r>
      <w:r w:rsidR="00B74530">
        <w:rPr>
          <w:rFonts w:ascii="ITC Avant Garde" w:hAnsi="ITC Avant Garde" w:cs="Arial"/>
          <w:lang w:val="es-ES_tradnl"/>
        </w:rPr>
        <w:t>p</w:t>
      </w:r>
      <w:r w:rsidR="00624E3F" w:rsidRPr="008F7FAA">
        <w:rPr>
          <w:rFonts w:ascii="ITC Avant Garde" w:hAnsi="ITC Avant Garde" w:cs="Arial"/>
          <w:lang w:val="es-ES_tradnl"/>
        </w:rPr>
        <w:t xml:space="preserve">resupuesto </w:t>
      </w:r>
      <w:r w:rsidR="00B74530">
        <w:rPr>
          <w:rFonts w:ascii="ITC Avant Garde" w:hAnsi="ITC Avant Garde" w:cs="Arial"/>
          <w:lang w:val="es-ES_tradnl"/>
        </w:rPr>
        <w:t>a</w:t>
      </w:r>
      <w:r w:rsidR="00624E3F" w:rsidRPr="008F7FAA">
        <w:rPr>
          <w:rFonts w:ascii="ITC Avant Garde" w:hAnsi="ITC Avant Garde" w:cs="Arial"/>
          <w:lang w:val="es-ES_tradnl"/>
        </w:rPr>
        <w:t xml:space="preserve">utorizado en 2018. </w:t>
      </w:r>
    </w:p>
    <w:p w:rsidR="00EA6C31" w:rsidRDefault="003E27CA" w:rsidP="00A7767E">
      <w:pPr>
        <w:spacing w:before="240"/>
        <w:jc w:val="both"/>
        <w:rPr>
          <w:rFonts w:ascii="ITC Avant Garde" w:hAnsi="ITC Avant Garde" w:cs="Arial"/>
          <w:lang w:val="es-ES_tradnl"/>
        </w:rPr>
      </w:pPr>
      <w:r>
        <w:rPr>
          <w:rFonts w:ascii="ITC Avant Garde" w:hAnsi="ITC Avant Garde" w:cs="Arial"/>
          <w:lang w:val="es-ES_tradnl"/>
        </w:rPr>
        <w:t xml:space="preserve">Dicho </w:t>
      </w:r>
      <w:r w:rsidR="00B74530">
        <w:rPr>
          <w:rFonts w:ascii="ITC Avant Garde" w:hAnsi="ITC Avant Garde" w:cs="Arial"/>
          <w:lang w:val="es-ES_tradnl"/>
        </w:rPr>
        <w:t>a</w:t>
      </w:r>
      <w:r>
        <w:rPr>
          <w:rFonts w:ascii="ITC Avant Garde" w:hAnsi="ITC Avant Garde" w:cs="Arial"/>
          <w:lang w:val="es-ES_tradnl"/>
        </w:rPr>
        <w:t xml:space="preserve">nteproyecto </w:t>
      </w:r>
      <w:r w:rsidR="00624E3F" w:rsidRPr="008F7FAA">
        <w:rPr>
          <w:rFonts w:ascii="ITC Avant Garde" w:hAnsi="ITC Avant Garde" w:cs="Arial"/>
          <w:lang w:val="es-ES_tradnl"/>
        </w:rPr>
        <w:t xml:space="preserve">representa un valor acumulado real desde 2014 menor en </w:t>
      </w:r>
      <w:r w:rsidR="00624E3F" w:rsidRPr="008F7FAA">
        <w:rPr>
          <w:rFonts w:ascii="ITC Avant Garde" w:hAnsi="ITC Avant Garde" w:cs="Arial"/>
          <w:b/>
          <w:lang w:val="es-ES_tradnl"/>
        </w:rPr>
        <w:t>26.1%</w:t>
      </w:r>
      <w:r w:rsidR="00624E3F" w:rsidRPr="008F7FAA">
        <w:rPr>
          <w:rFonts w:ascii="ITC Avant Garde" w:hAnsi="ITC Avant Garde" w:cs="Arial"/>
          <w:lang w:val="es-ES_tradnl"/>
        </w:rPr>
        <w:t xml:space="preserve"> y se orienta a la obtención de resultados en la gestión institucional, atendiendo a la estructura programática y clasificaciones determinadas en la LFPRH y cumpliendo con la estimación de</w:t>
      </w:r>
      <w:r w:rsidR="00624E3F" w:rsidRPr="008F7FAA">
        <w:rPr>
          <w:rFonts w:ascii="ITC Avant Garde" w:hAnsi="ITC Avant Garde" w:cs="Arial"/>
          <w:b/>
          <w:lang w:val="es-ES_tradnl"/>
        </w:rPr>
        <w:t xml:space="preserve"> </w:t>
      </w:r>
      <w:r w:rsidR="00624E3F" w:rsidRPr="008F7FAA">
        <w:rPr>
          <w:rFonts w:ascii="ITC Avant Garde" w:hAnsi="ITC Avant Garde" w:cs="Arial"/>
          <w:lang w:val="es-ES_tradnl"/>
        </w:rPr>
        <w:t xml:space="preserve">2,047.29 mdp de </w:t>
      </w:r>
      <w:r w:rsidR="00B74530">
        <w:rPr>
          <w:rFonts w:ascii="ITC Avant Garde" w:hAnsi="ITC Avant Garde" w:cs="Arial"/>
          <w:lang w:val="es-ES_tradnl"/>
        </w:rPr>
        <w:t>l</w:t>
      </w:r>
      <w:r w:rsidR="00624E3F" w:rsidRPr="008F7FAA">
        <w:rPr>
          <w:rFonts w:ascii="ITC Avant Garde" w:hAnsi="ITC Avant Garde" w:cs="Arial"/>
          <w:lang w:val="es-ES_tradnl"/>
        </w:rPr>
        <w:t xml:space="preserve">ímite </w:t>
      </w:r>
      <w:r w:rsidR="00B74530">
        <w:rPr>
          <w:rFonts w:ascii="ITC Avant Garde" w:hAnsi="ITC Avant Garde" w:cs="Arial"/>
          <w:lang w:val="es-ES_tradnl"/>
        </w:rPr>
        <w:t>m</w:t>
      </w:r>
      <w:r w:rsidR="00624E3F" w:rsidRPr="008F7FAA">
        <w:rPr>
          <w:rFonts w:ascii="ITC Avant Garde" w:hAnsi="ITC Avant Garde" w:cs="Arial"/>
          <w:lang w:val="es-ES_tradnl"/>
        </w:rPr>
        <w:t xml:space="preserve">áximo del </w:t>
      </w:r>
      <w:r w:rsidR="00B74530">
        <w:rPr>
          <w:rFonts w:ascii="ITC Avant Garde" w:hAnsi="ITC Avant Garde" w:cs="Arial"/>
          <w:lang w:val="es-ES_tradnl"/>
        </w:rPr>
        <w:t>g</w:t>
      </w:r>
      <w:r w:rsidR="00624E3F" w:rsidRPr="008F7FAA">
        <w:rPr>
          <w:rFonts w:ascii="ITC Avant Garde" w:hAnsi="ITC Avant Garde" w:cs="Arial"/>
          <w:lang w:val="es-ES_tradnl"/>
        </w:rPr>
        <w:t xml:space="preserve">asto </w:t>
      </w:r>
      <w:r w:rsidR="00B74530">
        <w:rPr>
          <w:rFonts w:ascii="ITC Avant Garde" w:hAnsi="ITC Avant Garde" w:cs="Arial"/>
          <w:lang w:val="es-ES_tradnl"/>
        </w:rPr>
        <w:t>c</w:t>
      </w:r>
      <w:r w:rsidR="00624E3F" w:rsidRPr="008F7FAA">
        <w:rPr>
          <w:rFonts w:ascii="ITC Avant Garde" w:hAnsi="ITC Avant Garde" w:cs="Arial"/>
          <w:lang w:val="es-ES_tradnl"/>
        </w:rPr>
        <w:t xml:space="preserve">orriente </w:t>
      </w:r>
      <w:r w:rsidR="00B74530">
        <w:rPr>
          <w:rFonts w:ascii="ITC Avant Garde" w:hAnsi="ITC Avant Garde" w:cs="Arial"/>
          <w:lang w:val="es-ES_tradnl"/>
        </w:rPr>
        <w:t>e</w:t>
      </w:r>
      <w:r w:rsidR="00624E3F" w:rsidRPr="008F7FAA">
        <w:rPr>
          <w:rFonts w:ascii="ITC Avant Garde" w:hAnsi="ITC Avant Garde" w:cs="Arial"/>
          <w:lang w:val="es-ES_tradnl"/>
        </w:rPr>
        <w:t>structural</w:t>
      </w:r>
      <w:r w:rsidR="00624E3F" w:rsidRPr="008F7FAA">
        <w:rPr>
          <w:rFonts w:ascii="ITC Avant Garde" w:hAnsi="ITC Avant Garde" w:cs="Arial"/>
          <w:vertAlign w:val="superscript"/>
        </w:rPr>
        <w:footnoteReference w:id="4"/>
      </w:r>
      <w:r w:rsidR="00624E3F" w:rsidRPr="008F7FAA">
        <w:rPr>
          <w:rFonts w:ascii="ITC Avant Garde" w:hAnsi="ITC Avant Garde" w:cs="Arial"/>
          <w:lang w:val="es-ES_tradnl"/>
        </w:rPr>
        <w:t xml:space="preserve">, consistente en que el gasto neto total de los capítulos 1000 (servicios personales), 2000 (materiales y suministros) y 3000 (servicios generales) del clasificador por objeto del gasto, no podrá ser superior en un 2.0 % (dos por ciento) en términos reales respecto al </w:t>
      </w:r>
      <w:r w:rsidR="00B74530">
        <w:rPr>
          <w:rFonts w:ascii="ITC Avant Garde" w:hAnsi="ITC Avant Garde" w:cs="Arial"/>
          <w:lang w:val="es-ES_tradnl"/>
        </w:rPr>
        <w:t>g</w:t>
      </w:r>
      <w:r w:rsidR="00624E3F" w:rsidRPr="008F7FAA">
        <w:rPr>
          <w:rFonts w:ascii="ITC Avant Garde" w:hAnsi="ITC Avant Garde" w:cs="Arial"/>
          <w:lang w:val="es-ES_tradnl"/>
        </w:rPr>
        <w:t xml:space="preserve">asto </w:t>
      </w:r>
      <w:r w:rsidR="00B74530">
        <w:rPr>
          <w:rFonts w:ascii="ITC Avant Garde" w:hAnsi="ITC Avant Garde" w:cs="Arial"/>
          <w:lang w:val="es-ES_tradnl"/>
        </w:rPr>
        <w:t>c</w:t>
      </w:r>
      <w:r w:rsidR="00624E3F" w:rsidRPr="008F7FAA">
        <w:rPr>
          <w:rFonts w:ascii="ITC Avant Garde" w:hAnsi="ITC Avant Garde" w:cs="Arial"/>
          <w:lang w:val="es-ES_tradnl"/>
        </w:rPr>
        <w:t xml:space="preserve">orriente </w:t>
      </w:r>
      <w:r w:rsidR="00B74530">
        <w:rPr>
          <w:rFonts w:ascii="ITC Avant Garde" w:hAnsi="ITC Avant Garde" w:cs="Arial"/>
          <w:lang w:val="es-ES_tradnl"/>
        </w:rPr>
        <w:t>e</w:t>
      </w:r>
      <w:r w:rsidR="00624E3F" w:rsidRPr="008F7FAA">
        <w:rPr>
          <w:rFonts w:ascii="ITC Avant Garde" w:hAnsi="ITC Avant Garde" w:cs="Arial"/>
          <w:lang w:val="es-ES_tradnl"/>
        </w:rPr>
        <w:t xml:space="preserve">structural aprobado en el Presupuesto de Egresos de la Federación 2018, así </w:t>
      </w:r>
      <w:r w:rsidR="00624E3F" w:rsidRPr="008F7FAA">
        <w:rPr>
          <w:rFonts w:ascii="ITC Avant Garde" w:hAnsi="ITC Avant Garde" w:cs="Arial"/>
          <w:lang w:val="es-ES_tradnl"/>
        </w:rPr>
        <w:lastRenderedPageBreak/>
        <w:t xml:space="preserve">como que se ajusta al nuevo entorno en materia de austeridad y remuneraciones de los servidores públicos. </w:t>
      </w:r>
    </w:p>
    <w:p w:rsidR="00624E3F" w:rsidRDefault="00B74530" w:rsidP="00A7767E">
      <w:pPr>
        <w:spacing w:before="240"/>
        <w:jc w:val="both"/>
        <w:rPr>
          <w:rFonts w:ascii="ITC Avant Garde" w:hAnsi="ITC Avant Garde" w:cs="Arial"/>
          <w:lang w:val="es-ES_tradnl"/>
        </w:rPr>
      </w:pPr>
      <w:r>
        <w:rPr>
          <w:rFonts w:ascii="ITC Avant Garde" w:hAnsi="ITC Avant Garde" w:cs="Arial"/>
          <w:lang w:val="es-ES_tradnl"/>
        </w:rPr>
        <w:t>Con base en</w:t>
      </w:r>
      <w:r w:rsidR="00624E3F" w:rsidRPr="008F7FAA">
        <w:rPr>
          <w:rFonts w:ascii="ITC Avant Garde" w:hAnsi="ITC Avant Garde" w:cs="Arial"/>
          <w:lang w:val="es-ES_tradnl"/>
        </w:rPr>
        <w:t xml:space="preserve"> lo anterior, el </w:t>
      </w:r>
      <w:r w:rsidR="00E12CDB">
        <w:rPr>
          <w:rFonts w:ascii="ITC Avant Garde" w:hAnsi="ITC Avant Garde" w:cs="Arial"/>
          <w:lang w:val="es-ES_tradnl"/>
        </w:rPr>
        <w:t>a</w:t>
      </w:r>
      <w:r w:rsidR="00624E3F" w:rsidRPr="008F7FAA">
        <w:rPr>
          <w:rFonts w:ascii="ITC Avant Garde" w:hAnsi="ITC Avant Garde" w:cs="Arial"/>
          <w:lang w:val="es-ES_tradnl"/>
        </w:rPr>
        <w:t>nteproyecto de Presupuesto del Instituto para el ejercicio fiscal 2019 se distribuye de la siguiente manera:</w:t>
      </w:r>
    </w:p>
    <w:p w:rsidR="00624E3F" w:rsidRDefault="00624E3F" w:rsidP="00A7767E">
      <w:pPr>
        <w:spacing w:before="240" w:line="240" w:lineRule="auto"/>
        <w:jc w:val="center"/>
        <w:rPr>
          <w:rFonts w:ascii="ITC Avant Garde" w:hAnsi="ITC Avant Garde" w:cs="Arial"/>
          <w:b/>
          <w:sz w:val="24"/>
          <w:szCs w:val="24"/>
          <w:lang w:val="es-ES_tradnl"/>
        </w:rPr>
      </w:pPr>
      <w:r w:rsidRPr="000F331B">
        <w:rPr>
          <w:rFonts w:ascii="ITC Avant Garde" w:hAnsi="ITC Avant Garde" w:cs="Arial"/>
          <w:b/>
          <w:lang w:val="es-ES_tradnl"/>
        </w:rPr>
        <w:t>Distribución del Anteproyecto de Presupuesto para el ejercicio fiscal 2019 respecto al Presupuesto Autorizado 2018 (Millones de pesos)</w:t>
      </w:r>
      <w:r w:rsidRPr="000F331B">
        <w:rPr>
          <w:rFonts w:ascii="ITC Avant Garde" w:hAnsi="ITC Avant Garde" w:cs="Arial"/>
          <w:b/>
          <w:sz w:val="24"/>
          <w:szCs w:val="24"/>
          <w:lang w:val="es-ES_tradnl"/>
        </w:rPr>
        <w:t xml:space="preserve"> </w:t>
      </w:r>
      <w:r w:rsidRPr="000F331B">
        <w:rPr>
          <w:rFonts w:ascii="ITC Avant Garde" w:hAnsi="ITC Avant Garde" w:cs="Arial"/>
          <w:b/>
          <w:sz w:val="24"/>
          <w:szCs w:val="24"/>
          <w:vertAlign w:val="superscript"/>
          <w:lang w:val="es-ES_tradnl"/>
        </w:rPr>
        <w:t>1)</w:t>
      </w:r>
      <w:r w:rsidRPr="000F331B">
        <w:rPr>
          <w:rFonts w:ascii="ITC Avant Garde" w:hAnsi="ITC Avant Garde" w:cs="Arial"/>
          <w:b/>
          <w:sz w:val="24"/>
          <w:szCs w:val="24"/>
          <w:lang w:val="es-ES_tradnl"/>
        </w:rPr>
        <w:t xml:space="preserve"> </w:t>
      </w:r>
    </w:p>
    <w:p w:rsidR="00EA6C31" w:rsidRDefault="00FB399C" w:rsidP="00A7767E">
      <w:pPr>
        <w:spacing w:before="240"/>
        <w:ind w:left="567" w:right="474"/>
        <w:rPr>
          <w:rFonts w:ascii="ITC Avant Garde" w:hAnsi="ITC Avant Garde" w:cs="Arial"/>
          <w:sz w:val="24"/>
          <w:szCs w:val="24"/>
          <w:lang w:val="es-ES_tradnl"/>
        </w:rPr>
      </w:pPr>
      <w:r>
        <w:rPr>
          <w:noProof/>
          <w:lang w:eastAsia="es-MX"/>
        </w:rPr>
        <w:drawing>
          <wp:inline distT="0" distB="0" distL="0" distR="0" wp14:anchorId="3ED1061B" wp14:editId="03B027B6">
            <wp:extent cx="5591175" cy="4133850"/>
            <wp:effectExtent l="0" t="0" r="9525" b="0"/>
            <wp:docPr id="4" name="Imagen 4" descr="Imagen de tabla de la Distribución del Anteproyecto de Presupuesto para el ejercicio fiscal 2019 respecto al Presupuesto Autorizado 2018 en Millones de pesos." title="Distribución del Anteproy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591175" cy="4133850"/>
                    </a:xfrm>
                    <a:prstGeom prst="rect">
                      <a:avLst/>
                    </a:prstGeom>
                  </pic:spPr>
                </pic:pic>
              </a:graphicData>
            </a:graphic>
          </wp:inline>
        </w:drawing>
      </w:r>
      <w:r w:rsidR="00624E3F" w:rsidRPr="000F331B">
        <w:rPr>
          <w:rFonts w:ascii="ITC Avant Garde" w:hAnsi="ITC Avant Garde" w:cs="Arial"/>
          <w:sz w:val="24"/>
          <w:szCs w:val="24"/>
          <w:lang w:val="es-ES_tradnl"/>
        </w:rPr>
        <w:t xml:space="preserve"> </w:t>
      </w:r>
    </w:p>
    <w:p w:rsidR="00EA6C31" w:rsidRPr="00D10DFE" w:rsidRDefault="008955D8" w:rsidP="00D10DFE">
      <w:pPr>
        <w:pStyle w:val="Ttulo2"/>
        <w:keepNext/>
        <w:keepLines/>
        <w:pBdr>
          <w:top w:val="none" w:sz="0" w:space="0" w:color="auto"/>
          <w:between w:val="none" w:sz="0" w:space="0" w:color="auto"/>
        </w:pBdr>
        <w:spacing w:before="40" w:after="240" w:line="276" w:lineRule="auto"/>
        <w:jc w:val="center"/>
        <w:rPr>
          <w:rFonts w:ascii="ITC Avant Garde" w:eastAsiaTheme="majorEastAsia" w:hAnsi="ITC Avant Garde" w:cstheme="majorBidi"/>
          <w:b/>
          <w:color w:val="000000" w:themeColor="text1"/>
          <w:sz w:val="22"/>
          <w:szCs w:val="22"/>
          <w:lang w:eastAsia="en-US"/>
        </w:rPr>
      </w:pPr>
      <w:r w:rsidRPr="00D10DFE">
        <w:rPr>
          <w:rFonts w:ascii="ITC Avant Garde" w:eastAsiaTheme="majorEastAsia" w:hAnsi="ITC Avant Garde" w:cstheme="majorBidi"/>
          <w:b/>
          <w:color w:val="000000" w:themeColor="text1"/>
          <w:sz w:val="22"/>
          <w:szCs w:val="22"/>
          <w:lang w:eastAsia="en-US"/>
        </w:rPr>
        <w:t>ACUERDO</w:t>
      </w:r>
      <w:r w:rsidR="00A16021" w:rsidRPr="00D10DFE">
        <w:rPr>
          <w:rFonts w:ascii="ITC Avant Garde" w:eastAsiaTheme="majorEastAsia" w:hAnsi="ITC Avant Garde" w:cstheme="majorBidi"/>
          <w:b/>
          <w:color w:val="000000" w:themeColor="text1"/>
          <w:sz w:val="22"/>
          <w:szCs w:val="22"/>
          <w:lang w:eastAsia="en-US"/>
        </w:rPr>
        <w:t>S</w:t>
      </w:r>
    </w:p>
    <w:p w:rsidR="00EA6C31" w:rsidRDefault="00340FFB" w:rsidP="00A7767E">
      <w:pPr>
        <w:spacing w:before="240"/>
        <w:jc w:val="both"/>
        <w:rPr>
          <w:rFonts w:ascii="ITC Avant Garde" w:hAnsi="ITC Avant Garde" w:cs="Arial"/>
          <w:lang w:val="es-ES_tradnl"/>
        </w:rPr>
      </w:pPr>
      <w:bookmarkStart w:id="0" w:name="_GoBack"/>
      <w:bookmarkEnd w:id="0"/>
      <w:r>
        <w:rPr>
          <w:rFonts w:ascii="ITC Avant Garde" w:hAnsi="ITC Avant Garde" w:cs="Arial"/>
          <w:b/>
          <w:lang w:val="es-ES_tradnl"/>
        </w:rPr>
        <w:t>PRIMERO</w:t>
      </w:r>
      <w:r w:rsidRPr="00340FFB">
        <w:rPr>
          <w:rFonts w:ascii="ITC Avant Garde" w:hAnsi="ITC Avant Garde" w:cs="Arial"/>
          <w:b/>
          <w:lang w:val="es-ES_tradnl"/>
        </w:rPr>
        <w:t>.</w:t>
      </w:r>
      <w:r w:rsidRPr="00340FFB">
        <w:rPr>
          <w:rFonts w:ascii="ITC Avant Garde" w:hAnsi="ITC Avant Garde" w:cs="Arial"/>
          <w:lang w:val="es-ES_tradnl"/>
        </w:rPr>
        <w:t xml:space="preserve"> En cumplimiento a lo dispuesto por el artículo 28, 74, fracción IV, y 75 párrafo tercero de la Constitución Política de los Estados Unidos Mexicanos; 17, fracción VI de la Ley Federal de Telecomunicaciones y Radiodifusión; 5, fracción I y 30 de la Ley Federal de Presupuesto y Responsabilidad Hacendaria; 6 fracción II, incisos b), c) y d), y 8 de la Ley Federal de Remuneraciones de los Servidores Públicos, Reglamentaria de los artículos 75 y 127 de la Constitución Política de los Estados Unidos Mexicanos; 4, fracción I del Estatuto Orgánico del Instituto Federal de Tel</w:t>
      </w:r>
      <w:r w:rsidR="00E12CDB">
        <w:rPr>
          <w:rFonts w:ascii="ITC Avant Garde" w:hAnsi="ITC Avant Garde" w:cs="Arial"/>
          <w:lang w:val="es-ES_tradnl"/>
        </w:rPr>
        <w:t xml:space="preserve">ecomunicaciones, se aprueba el </w:t>
      </w:r>
      <w:r w:rsidR="00E12CDB">
        <w:rPr>
          <w:rFonts w:ascii="ITC Avant Garde" w:hAnsi="ITC Avant Garde" w:cs="Arial"/>
          <w:lang w:val="es-ES_tradnl"/>
        </w:rPr>
        <w:lastRenderedPageBreak/>
        <w:t>a</w:t>
      </w:r>
      <w:r w:rsidRPr="00340FFB">
        <w:rPr>
          <w:rFonts w:ascii="ITC Avant Garde" w:hAnsi="ITC Avant Garde" w:cs="Arial"/>
          <w:lang w:val="es-ES_tradnl"/>
        </w:rPr>
        <w:t>nteproyecto de Presupuesto del Instituto Federal de Telecomunicaciones para el ejercicio fiscal 2019, en los términos siguientes:</w:t>
      </w:r>
    </w:p>
    <w:p w:rsidR="00340FFB" w:rsidRDefault="00340FFB" w:rsidP="00A7767E">
      <w:pPr>
        <w:autoSpaceDE w:val="0"/>
        <w:autoSpaceDN w:val="0"/>
        <w:adjustRightInd w:val="0"/>
        <w:spacing w:before="240" w:line="240" w:lineRule="auto"/>
        <w:jc w:val="center"/>
        <w:rPr>
          <w:rFonts w:ascii="ITC Avant Garde" w:hAnsi="ITC Avant Garde" w:cs="Arial"/>
          <w:b/>
          <w:lang w:val="es-ES_tradnl"/>
        </w:rPr>
      </w:pPr>
      <w:r w:rsidRPr="00340FFB">
        <w:rPr>
          <w:rFonts w:ascii="ITC Avant Garde" w:hAnsi="ITC Avant Garde" w:cs="Arial"/>
          <w:b/>
          <w:lang w:val="es-ES_tradnl"/>
        </w:rPr>
        <w:t>Anteproyecto de presupuesto del Instituto Federal de Telecomunicaciones para el ejercicio fiscal 2019 por capítulo de gasto (millones de pesos)</w:t>
      </w:r>
    </w:p>
    <w:p w:rsidR="00EA6C31" w:rsidRDefault="00FB399C" w:rsidP="00A7767E">
      <w:pPr>
        <w:spacing w:before="240"/>
        <w:jc w:val="both"/>
        <w:rPr>
          <w:rFonts w:ascii="ITC Avant Garde" w:hAnsi="ITC Avant Garde" w:cs="Arial"/>
          <w:lang w:val="es-ES_tradnl"/>
        </w:rPr>
      </w:pPr>
      <w:r>
        <w:rPr>
          <w:noProof/>
          <w:lang w:eastAsia="es-MX"/>
        </w:rPr>
        <w:drawing>
          <wp:inline distT="0" distB="0" distL="0" distR="0" wp14:anchorId="312C468C" wp14:editId="1CB71BC9">
            <wp:extent cx="5915025" cy="3495675"/>
            <wp:effectExtent l="0" t="0" r="9525" b="9525"/>
            <wp:docPr id="6" name="Imagen 6" descr="Imagen de tabla del Anteproyecto de presupuesto del Instituto Federal de Telecomunicaciones para el ejercicio fiscal 2019 por capítulo de gasto en millones de pesos." title="Capitulo de gas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15025" cy="3495675"/>
                    </a:xfrm>
                    <a:prstGeom prst="rect">
                      <a:avLst/>
                    </a:prstGeom>
                  </pic:spPr>
                </pic:pic>
              </a:graphicData>
            </a:graphic>
          </wp:inline>
        </w:drawing>
      </w:r>
      <w:r w:rsidR="00340FFB" w:rsidRPr="00340FFB">
        <w:rPr>
          <w:rFonts w:ascii="ITC Avant Garde" w:hAnsi="ITC Avant Garde" w:cs="Arial"/>
          <w:lang w:val="es-ES_tradnl"/>
        </w:rPr>
        <w:t xml:space="preserve">A efecto de que el Instituto esté en posibilidad de dar cumplimiento a las disposiciones mencionadas, en tiempo y legal forma, se deberá remitir el </w:t>
      </w:r>
      <w:r w:rsidR="00FA65D4">
        <w:rPr>
          <w:rFonts w:ascii="ITC Avant Garde" w:hAnsi="ITC Avant Garde" w:cs="Arial"/>
          <w:lang w:val="es-ES_tradnl"/>
        </w:rPr>
        <w:t>a</w:t>
      </w:r>
      <w:r w:rsidR="00340FFB" w:rsidRPr="00340FFB">
        <w:rPr>
          <w:rFonts w:ascii="ITC Avant Garde" w:hAnsi="ITC Avant Garde" w:cs="Arial"/>
          <w:lang w:val="es-ES_tradnl"/>
        </w:rPr>
        <w:t xml:space="preserve">nteproyecto de Presupuesto del Instituto Federal de Telecomunicaciones para el ejercicio fiscal 2019, por conducto del Comisionado Presidente del Instituto al </w:t>
      </w:r>
      <w:r w:rsidR="00B74530">
        <w:rPr>
          <w:rFonts w:ascii="ITC Avant Garde" w:hAnsi="ITC Avant Garde" w:cs="Arial"/>
          <w:lang w:val="es-ES_tradnl"/>
        </w:rPr>
        <w:t>t</w:t>
      </w:r>
      <w:r w:rsidR="00340FFB" w:rsidRPr="00340FFB">
        <w:rPr>
          <w:rFonts w:ascii="ITC Avant Garde" w:hAnsi="ITC Avant Garde" w:cs="Arial"/>
          <w:lang w:val="es-ES_tradnl"/>
        </w:rPr>
        <w:t>itular de la Secretaría de Hacienda y Crédito Público, a más tardar el 30 de noviembre de 2018, a fin de que sea incluido en el Proyecto de Presupuesto de Egresos de la Federación para el Ejercicio Fiscal 2019.</w:t>
      </w:r>
    </w:p>
    <w:p w:rsidR="00EA6C31" w:rsidRDefault="00654430" w:rsidP="00A7767E">
      <w:pPr>
        <w:spacing w:before="240"/>
        <w:jc w:val="both"/>
        <w:rPr>
          <w:rFonts w:ascii="ITC Avant Garde" w:hAnsi="ITC Avant Garde" w:cs="Arial"/>
          <w:lang w:val="es-ES_tradnl"/>
        </w:rPr>
      </w:pPr>
      <w:r>
        <w:rPr>
          <w:rFonts w:ascii="ITC Avant Garde" w:hAnsi="ITC Avant Garde" w:cs="Arial"/>
          <w:b/>
          <w:lang w:val="es-ES_tradnl"/>
        </w:rPr>
        <w:t>SEGUNDO</w:t>
      </w:r>
      <w:r w:rsidR="00340FFB" w:rsidRPr="00340FFB">
        <w:rPr>
          <w:rFonts w:ascii="ITC Avant Garde" w:hAnsi="ITC Avant Garde" w:cs="Arial"/>
          <w:b/>
          <w:lang w:val="es-ES_tradnl"/>
        </w:rPr>
        <w:t>.</w:t>
      </w:r>
      <w:r w:rsidR="00340FFB" w:rsidRPr="00340FFB">
        <w:rPr>
          <w:rFonts w:ascii="ITC Avant Garde" w:hAnsi="ITC Avant Garde" w:cs="Arial"/>
          <w:lang w:val="es-ES_tradnl"/>
        </w:rPr>
        <w:t xml:space="preserve"> Con fundamento en los artículos 28, 123, Apartado B fracción IV, y 127 de la Constitución Política de los Estados Unidos Mexicanos; 15, fracción LV, 41, 42 y 43 de la Ley Federal de Telecomunicaciones y Radiodifusión; 5, fracción I y 66 de la Ley Federal de Presupuesto y Responsabilidad Hacendaria; fracción II incisos b), c) y d), del artículo 6 y 8 de la Ley Federal de Remuneraciones de los Servidores Públicos, Reglamentaria de los artículos 75 y 127 de la Constitución Política de los Estados Unidos Mexicanos; 8, fracción I, 42, 43, y 78 de las Disposiciones por las que se establece el Sistema de Servicio Profesional del Instituto Federal de Telecomunicaciones, y 4, fracción I, y 6, fracción XXXVIII del Estatuto Orgánico del Instituto Federal de Telecomunicaciones, se acuerda:</w:t>
      </w:r>
    </w:p>
    <w:p w:rsidR="00340FFB" w:rsidRDefault="00340FFB" w:rsidP="00A7767E">
      <w:pPr>
        <w:pStyle w:val="Prrafodelista"/>
        <w:numPr>
          <w:ilvl w:val="0"/>
          <w:numId w:val="2"/>
        </w:numPr>
        <w:spacing w:before="240" w:after="200" w:line="276" w:lineRule="auto"/>
        <w:ind w:left="284" w:hanging="284"/>
        <w:contextualSpacing/>
        <w:jc w:val="both"/>
        <w:rPr>
          <w:rFonts w:ascii="ITC Avant Garde" w:hAnsi="ITC Avant Garde" w:cs="Arial"/>
          <w:sz w:val="22"/>
          <w:szCs w:val="22"/>
          <w:lang w:val="es-ES_tradnl"/>
        </w:rPr>
      </w:pPr>
      <w:r w:rsidRPr="00340FFB">
        <w:rPr>
          <w:rFonts w:ascii="ITC Avant Garde" w:hAnsi="ITC Avant Garde" w:cs="Arial"/>
          <w:sz w:val="22"/>
          <w:szCs w:val="22"/>
          <w:lang w:val="es-ES_tradnl"/>
        </w:rPr>
        <w:lastRenderedPageBreak/>
        <w:t>Que el Presidente del Instituto, los Comisionados, el Coordinador Ejecutivo; el Titular de la Autoridad Investigadora, y los Titulares de las Unidades de: Competencia Económica; Concesiones y Servicios; Cumplimiento; Espectro Radioeléctrico; Medios y Contenidos Audiovisuales; Política Regulatoria, y Asuntos Jurídicos; que ejercen atribuciones que actualizan los supuestos de trabajo técnico calificado y especialización en la función; y tomando en cuenta la existencia de Condiciones Generales de Trabajo que rigen las relaciones laborales del IFT</w:t>
      </w:r>
      <w:r w:rsidR="00B74530">
        <w:rPr>
          <w:rFonts w:ascii="ITC Avant Garde" w:hAnsi="ITC Avant Garde" w:cs="Arial"/>
          <w:sz w:val="22"/>
          <w:szCs w:val="22"/>
          <w:lang w:val="es-ES_tradnl"/>
        </w:rPr>
        <w:t>,</w:t>
      </w:r>
      <w:r w:rsidRPr="00340FFB">
        <w:rPr>
          <w:rFonts w:ascii="ITC Avant Garde" w:hAnsi="ITC Avant Garde" w:cs="Arial"/>
          <w:sz w:val="22"/>
          <w:szCs w:val="22"/>
          <w:lang w:val="es-ES_tradnl"/>
        </w:rPr>
        <w:t xml:space="preserve"> se ubiquen hasta en un 30% por arriba de la Remuneración Total Anual propuesta para el Presidente de la República para el ejercicio fiscal 2019;</w:t>
      </w:r>
    </w:p>
    <w:p w:rsidR="00340FFB" w:rsidRPr="00340FFB" w:rsidRDefault="00340FFB" w:rsidP="00A7767E">
      <w:pPr>
        <w:pStyle w:val="Prrafodelista"/>
        <w:numPr>
          <w:ilvl w:val="0"/>
          <w:numId w:val="2"/>
        </w:numPr>
        <w:spacing w:before="240" w:after="200" w:line="276" w:lineRule="auto"/>
        <w:ind w:left="284" w:hanging="284"/>
        <w:contextualSpacing/>
        <w:jc w:val="both"/>
        <w:rPr>
          <w:rFonts w:ascii="ITC Avant Garde" w:hAnsi="ITC Avant Garde" w:cs="Arial"/>
          <w:sz w:val="22"/>
          <w:szCs w:val="22"/>
          <w:lang w:val="es-ES_tradnl"/>
        </w:rPr>
      </w:pPr>
      <w:r w:rsidRPr="00340FFB">
        <w:rPr>
          <w:rFonts w:ascii="ITC Avant Garde" w:hAnsi="ITC Avant Garde" w:cs="Arial"/>
          <w:sz w:val="22"/>
          <w:szCs w:val="22"/>
          <w:lang w:val="es-ES_tradnl"/>
        </w:rPr>
        <w:t xml:space="preserve">Se Instruye a la Unidad de Administración, a diseñar un nuevo Tabulador de Sueldos y Salarios que, preservando los principios contenidos en las Disposiciones por las que se establece el Sistema de Servicio Profesional del Instituto Federal de Telecomunicaciones, incorpore los ajustes autorizados por este Pleno considerando las remuneraciones de los 16 puestos cuyo trabajo técnico calificado y especialización en la función, los ubican en los supuestos de la fracción III del artículo 127 Constitucional; así como del resto de los puestos del Instituto, y </w:t>
      </w:r>
    </w:p>
    <w:p w:rsidR="0036747D" w:rsidRDefault="00340FFB" w:rsidP="00A7767E">
      <w:pPr>
        <w:pStyle w:val="Prrafodelista"/>
        <w:numPr>
          <w:ilvl w:val="0"/>
          <w:numId w:val="2"/>
        </w:numPr>
        <w:spacing w:before="240" w:after="200" w:line="276" w:lineRule="auto"/>
        <w:ind w:left="284" w:hanging="284"/>
        <w:contextualSpacing/>
        <w:jc w:val="both"/>
        <w:rPr>
          <w:rFonts w:ascii="ITC Avant Garde" w:hAnsi="ITC Avant Garde" w:cs="Arial"/>
          <w:sz w:val="22"/>
          <w:szCs w:val="22"/>
          <w:lang w:val="es-ES_tradnl"/>
        </w:rPr>
      </w:pPr>
      <w:r w:rsidRPr="00340FFB">
        <w:rPr>
          <w:rFonts w:ascii="ITC Avant Garde" w:hAnsi="ITC Avant Garde" w:cs="Arial"/>
          <w:sz w:val="22"/>
          <w:szCs w:val="22"/>
          <w:lang w:val="es-ES_tradnl"/>
        </w:rPr>
        <w:t xml:space="preserve">Considerando que las remuneraciones son determinadas de manera anual en los presupuestos de egresos correspondientes, así como las medidas de austeridad adoptadas por el Instituto como parte del </w:t>
      </w:r>
      <w:r w:rsidR="00FA65D4">
        <w:rPr>
          <w:rFonts w:ascii="ITC Avant Garde" w:hAnsi="ITC Avant Garde" w:cs="Arial"/>
          <w:sz w:val="22"/>
          <w:szCs w:val="22"/>
          <w:lang w:val="es-ES_tradnl"/>
        </w:rPr>
        <w:t>a</w:t>
      </w:r>
      <w:r w:rsidRPr="00340FFB">
        <w:rPr>
          <w:rFonts w:ascii="ITC Avant Garde" w:hAnsi="ITC Avant Garde" w:cs="Arial"/>
          <w:sz w:val="22"/>
          <w:szCs w:val="22"/>
          <w:lang w:val="es-ES_tradnl"/>
        </w:rPr>
        <w:t xml:space="preserve">nteproyecto de Presupuesto para el ejercicio fiscal 2019, en previsión a la posible determinación de la Cámara de Diputados de no ejercer recursos para el otorgamiento de </w:t>
      </w:r>
      <w:r w:rsidR="00B74530">
        <w:rPr>
          <w:rFonts w:ascii="ITC Avant Garde" w:hAnsi="ITC Avant Garde" w:cs="Arial"/>
          <w:sz w:val="22"/>
          <w:szCs w:val="22"/>
          <w:lang w:val="es-ES_tradnl"/>
        </w:rPr>
        <w:t>s</w:t>
      </w:r>
      <w:r w:rsidRPr="00340FFB">
        <w:rPr>
          <w:rFonts w:ascii="ITC Avant Garde" w:hAnsi="ITC Avant Garde" w:cs="Arial"/>
          <w:sz w:val="22"/>
          <w:szCs w:val="22"/>
          <w:lang w:val="es-ES_tradnl"/>
        </w:rPr>
        <w:t xml:space="preserve">eguros de: </w:t>
      </w:r>
      <w:r w:rsidR="00B74530">
        <w:rPr>
          <w:rFonts w:ascii="ITC Avant Garde" w:hAnsi="ITC Avant Garde" w:cs="Arial"/>
          <w:sz w:val="22"/>
          <w:szCs w:val="22"/>
          <w:lang w:val="es-ES_tradnl"/>
        </w:rPr>
        <w:t>g</w:t>
      </w:r>
      <w:r w:rsidRPr="00340FFB">
        <w:rPr>
          <w:rFonts w:ascii="ITC Avant Garde" w:hAnsi="ITC Avant Garde" w:cs="Arial"/>
          <w:sz w:val="22"/>
          <w:szCs w:val="22"/>
          <w:lang w:val="es-ES_tradnl"/>
        </w:rPr>
        <w:t xml:space="preserve">astos </w:t>
      </w:r>
      <w:r w:rsidR="00B74530">
        <w:rPr>
          <w:rFonts w:ascii="ITC Avant Garde" w:hAnsi="ITC Avant Garde" w:cs="Arial"/>
          <w:sz w:val="22"/>
          <w:szCs w:val="22"/>
          <w:lang w:val="es-ES_tradnl"/>
        </w:rPr>
        <w:t>m</w:t>
      </w:r>
      <w:r w:rsidRPr="00340FFB">
        <w:rPr>
          <w:rFonts w:ascii="ITC Avant Garde" w:hAnsi="ITC Avant Garde" w:cs="Arial"/>
          <w:sz w:val="22"/>
          <w:szCs w:val="22"/>
          <w:lang w:val="es-ES_tradnl"/>
        </w:rPr>
        <w:t xml:space="preserve">édicos </w:t>
      </w:r>
      <w:r w:rsidR="00B74530">
        <w:rPr>
          <w:rFonts w:ascii="ITC Avant Garde" w:hAnsi="ITC Avant Garde" w:cs="Arial"/>
          <w:sz w:val="22"/>
          <w:szCs w:val="22"/>
          <w:lang w:val="es-ES_tradnl"/>
        </w:rPr>
        <w:t>m</w:t>
      </w:r>
      <w:r w:rsidRPr="00340FFB">
        <w:rPr>
          <w:rFonts w:ascii="ITC Avant Garde" w:hAnsi="ITC Avant Garde" w:cs="Arial"/>
          <w:sz w:val="22"/>
          <w:szCs w:val="22"/>
          <w:lang w:val="es-ES_tradnl"/>
        </w:rPr>
        <w:t xml:space="preserve">ayores, </w:t>
      </w:r>
      <w:r w:rsidR="00B74530">
        <w:rPr>
          <w:rFonts w:ascii="ITC Avant Garde" w:hAnsi="ITC Avant Garde" w:cs="Arial"/>
          <w:sz w:val="22"/>
          <w:szCs w:val="22"/>
          <w:lang w:val="es-ES_tradnl"/>
        </w:rPr>
        <w:t>s</w:t>
      </w:r>
      <w:r w:rsidRPr="00340FFB">
        <w:rPr>
          <w:rFonts w:ascii="ITC Avant Garde" w:hAnsi="ITC Avant Garde" w:cs="Arial"/>
          <w:sz w:val="22"/>
          <w:szCs w:val="22"/>
          <w:lang w:val="es-ES_tradnl"/>
        </w:rPr>
        <w:t xml:space="preserve">eparación </w:t>
      </w:r>
      <w:r w:rsidR="00B74530">
        <w:rPr>
          <w:rFonts w:ascii="ITC Avant Garde" w:hAnsi="ITC Avant Garde" w:cs="Arial"/>
          <w:sz w:val="22"/>
          <w:szCs w:val="22"/>
          <w:lang w:val="es-ES_tradnl"/>
        </w:rPr>
        <w:t>i</w:t>
      </w:r>
      <w:r w:rsidRPr="00340FFB">
        <w:rPr>
          <w:rFonts w:ascii="ITC Avant Garde" w:hAnsi="ITC Avant Garde" w:cs="Arial"/>
          <w:sz w:val="22"/>
          <w:szCs w:val="22"/>
          <w:lang w:val="es-ES_tradnl"/>
        </w:rPr>
        <w:t xml:space="preserve">ndividualizado, y el </w:t>
      </w:r>
      <w:r w:rsidR="00B74530">
        <w:rPr>
          <w:rFonts w:ascii="ITC Avant Garde" w:hAnsi="ITC Avant Garde" w:cs="Arial"/>
          <w:sz w:val="22"/>
          <w:szCs w:val="22"/>
          <w:lang w:val="es-ES_tradnl"/>
        </w:rPr>
        <w:t>a</w:t>
      </w:r>
      <w:r w:rsidRPr="00340FFB">
        <w:rPr>
          <w:rFonts w:ascii="ITC Avant Garde" w:hAnsi="ITC Avant Garde" w:cs="Arial"/>
          <w:sz w:val="22"/>
          <w:szCs w:val="22"/>
          <w:lang w:val="es-ES_tradnl"/>
        </w:rPr>
        <w:t>poyo económico para cubrir los gastos de mantenimiento, combustible, lubricantes, seguros y depreciación del vehículo que sea de su propiedad y utilice en el desempeño de sus funciones y, en atención a la disponibilidad presupuestal con la que se contará en el capítulo de servicios personales, se SUSPENDE durante el ejercicio 2019, el otorgamiento y pago de las prestaciones contenidas en los artículos 34; 83, y 84 de las Disposiciones por las que se establece el Sistema de Servicio Profesional del Instituto Federal de Telecomunicaciones, y 22 fracción I y III, y 31 del Manual de Remuneraciones de los Servidores Públicos del Instituto Federal de Telecomunicaciones para el ejercicio fiscal 2018.</w:t>
      </w:r>
      <w:r w:rsidR="0036747D">
        <w:rPr>
          <w:rFonts w:ascii="ITC Avant Garde" w:hAnsi="ITC Avant Garde" w:cs="Arial"/>
          <w:sz w:val="22"/>
          <w:szCs w:val="22"/>
          <w:lang w:val="es-ES_tradnl"/>
        </w:rPr>
        <w:br w:type="page"/>
      </w:r>
    </w:p>
    <w:p w:rsidR="00EA6C31" w:rsidRDefault="00340FFB" w:rsidP="00A7767E">
      <w:pPr>
        <w:pStyle w:val="Prrafodelista"/>
        <w:numPr>
          <w:ilvl w:val="0"/>
          <w:numId w:val="2"/>
        </w:numPr>
        <w:spacing w:before="240" w:after="200" w:line="276" w:lineRule="auto"/>
        <w:ind w:left="284" w:hanging="284"/>
        <w:contextualSpacing/>
        <w:jc w:val="both"/>
        <w:rPr>
          <w:rFonts w:ascii="ITC Avant Garde" w:hAnsi="ITC Avant Garde" w:cs="Arial"/>
          <w:sz w:val="22"/>
          <w:szCs w:val="22"/>
          <w:lang w:val="es-ES_tradnl"/>
        </w:rPr>
      </w:pPr>
      <w:r w:rsidRPr="00340FFB">
        <w:rPr>
          <w:rFonts w:ascii="ITC Avant Garde" w:hAnsi="ITC Avant Garde" w:cs="Arial"/>
          <w:sz w:val="22"/>
          <w:szCs w:val="22"/>
          <w:lang w:val="es-ES_tradnl"/>
        </w:rPr>
        <w:lastRenderedPageBreak/>
        <w:t>Se instruye al Comité Directivo del Sistema de Servicio Profesional del Instituto, que lleve a cabo las acciones necesarias, para que durante el ejercicio 2019, se suspenda el otorgamiento de estímulos económicos, vinculados al Proceso de Evaluación del Desempeño.</w:t>
      </w:r>
    </w:p>
    <w:p w:rsidR="00EA6C31" w:rsidRDefault="001F06FB" w:rsidP="00A7767E">
      <w:pPr>
        <w:spacing w:before="240" w:line="240" w:lineRule="auto"/>
        <w:jc w:val="both"/>
        <w:rPr>
          <w:sz w:val="12"/>
          <w:szCs w:val="12"/>
        </w:rPr>
      </w:pPr>
      <w:r w:rsidRPr="001F06FB">
        <w:rPr>
          <w:rFonts w:ascii="ITC Avant Garde" w:hAnsi="ITC Avant Garde"/>
          <w:sz w:val="12"/>
          <w:szCs w:val="12"/>
          <w:lang w:val="es-ES"/>
        </w:rPr>
        <w:t xml:space="preserve">El presente Acuerdo fue aprobado por el Pleno del Instituto Federal de Telecomunicaciones en su V Sesión Extraordinaria celebrada el 16 de noviembre de 2018, </w:t>
      </w:r>
      <w:r w:rsidRPr="001F06FB">
        <w:rPr>
          <w:rFonts w:ascii="ITC Avant Garde" w:hAnsi="ITC Avant Garde"/>
          <w:bCs/>
          <w:sz w:val="12"/>
          <w:szCs w:val="12"/>
          <w:lang w:val="es-ES"/>
        </w:rPr>
        <w:t xml:space="preserve">por </w:t>
      </w:r>
      <w:r w:rsidR="00DD3848">
        <w:rPr>
          <w:rFonts w:ascii="ITC Avant Garde" w:hAnsi="ITC Avant Garde"/>
          <w:bCs/>
          <w:sz w:val="12"/>
          <w:szCs w:val="12"/>
          <w:lang w:val="es-ES"/>
        </w:rPr>
        <w:t>mayoría</w:t>
      </w:r>
      <w:r w:rsidRPr="001F06FB">
        <w:rPr>
          <w:rFonts w:ascii="ITC Avant Garde" w:hAnsi="ITC Avant Garde"/>
          <w:bCs/>
          <w:sz w:val="12"/>
          <w:szCs w:val="12"/>
          <w:lang w:val="es-ES"/>
        </w:rPr>
        <w:t xml:space="preserve"> </w:t>
      </w:r>
      <w:r w:rsidRPr="001F06FB">
        <w:rPr>
          <w:rFonts w:ascii="ITC Avant Garde" w:hAnsi="ITC Avant Garde"/>
          <w:sz w:val="12"/>
          <w:szCs w:val="12"/>
          <w:lang w:val="es-ES"/>
        </w:rPr>
        <w:t>de votos de los Comisionados Gabriel Oswaldo Contreras Saldívar, María Elena Estavillo Flores, Mario Germán Fromow Rangel</w:t>
      </w:r>
      <w:r w:rsidR="00DD3848">
        <w:rPr>
          <w:rFonts w:ascii="ITC Avant Garde" w:hAnsi="ITC Avant Garde"/>
          <w:sz w:val="12"/>
          <w:szCs w:val="12"/>
          <w:lang w:val="es-ES"/>
        </w:rPr>
        <w:t xml:space="preserve">, </w:t>
      </w:r>
      <w:r w:rsidRPr="001F06FB">
        <w:rPr>
          <w:rFonts w:ascii="ITC Avant Garde" w:hAnsi="ITC Avant Garde"/>
          <w:sz w:val="12"/>
          <w:szCs w:val="12"/>
          <w:lang w:val="es-ES"/>
        </w:rPr>
        <w:t xml:space="preserve">Javier Juárez Mojica, Arturo Robles Rovalo y Sóstenes Díaz González; </w:t>
      </w:r>
      <w:r w:rsidR="00DD3848">
        <w:rPr>
          <w:rFonts w:ascii="ITC Avant Garde" w:hAnsi="ITC Avant Garde"/>
          <w:sz w:val="12"/>
          <w:szCs w:val="12"/>
          <w:lang w:val="es-ES"/>
        </w:rPr>
        <w:t xml:space="preserve">y con el voto en contra del Comisionado Adolfo Cuevas Teja; </w:t>
      </w:r>
      <w:r w:rsidRPr="001F06FB">
        <w:rPr>
          <w:rFonts w:ascii="ITC Avant Garde" w:hAnsi="ITC Avant Garde"/>
          <w:sz w:val="12"/>
          <w:szCs w:val="12"/>
          <w:lang w:val="es-ES"/>
        </w:rPr>
        <w:t>con fundamento en los párrafos vigésimo, fracciones I y III; y vigésimo primero, del artículo 28 de la Constitución Política de los Estados Unidos Mexicanos; artículos 7, 16 y 45 de la Ley Federal de Telecomunicaciones y Radiodifusión; así como en los artículos 1, 7, 8 y 12 del Estatuto Orgánico del Instituto Federal de Telecomunicaciones, mediante Acuerdo P/IFT/EXT/161118/21.</w:t>
      </w:r>
    </w:p>
    <w:p w:rsidR="005D6C25" w:rsidRPr="002B277C" w:rsidRDefault="001F06FB" w:rsidP="00A7767E">
      <w:pPr>
        <w:tabs>
          <w:tab w:val="left" w:pos="142"/>
          <w:tab w:val="left" w:pos="5954"/>
        </w:tabs>
        <w:spacing w:before="240" w:line="240" w:lineRule="auto"/>
        <w:jc w:val="both"/>
        <w:rPr>
          <w:rFonts w:ascii="ITC Avant Garde" w:hAnsi="ITC Avant Garde" w:cs="Arial"/>
          <w:lang w:val="es-ES_tradnl"/>
        </w:rPr>
      </w:pPr>
      <w:r w:rsidRPr="001F06FB">
        <w:rPr>
          <w:rFonts w:ascii="ITC Avant Garde" w:eastAsia="Times New Roman" w:hAnsi="ITC Avant Garde"/>
          <w:sz w:val="12"/>
          <w:szCs w:val="12"/>
          <w:lang w:val="es-ES"/>
        </w:rPr>
        <w:t>El Comisionado Javier Juárez Mojica asistió, participó y emitió su voto razonado en la Sesión, mediante comunicación electrónica a distancia, en términos de los artículos 45 cuarto párrafo de la Ley Federal de Telecomunicaciones y Radiodifusión, y 8 tercer párrafo del Estatuto Orgánico del Instituto Federal de Telecomunicaciones.</w:t>
      </w:r>
    </w:p>
    <w:sectPr w:rsidR="005D6C25" w:rsidRPr="002B277C" w:rsidSect="00A27B7A">
      <w:headerReference w:type="default" r:id="rId20"/>
      <w:pgSz w:w="12240" w:h="15840"/>
      <w:pgMar w:top="1985" w:right="1418" w:bottom="1418" w:left="1418" w:header="709" w:footer="709"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4A13439" w16cid:durableId="1F986013"/>
  <w16cid:commentId w16cid:paraId="69ECA6CB" w16cid:durableId="1F986014"/>
  <w16cid:commentId w16cid:paraId="1A5FBE33" w16cid:durableId="1F986015"/>
  <w16cid:commentId w16cid:paraId="1AD935B7" w16cid:durableId="1F986016"/>
  <w16cid:commentId w16cid:paraId="02186051" w16cid:durableId="1F98661E"/>
  <w16cid:commentId w16cid:paraId="74514FC5" w16cid:durableId="1F986614"/>
  <w16cid:commentId w16cid:paraId="3EB2111B" w16cid:durableId="1F986698"/>
  <w16cid:commentId w16cid:paraId="0194727E" w16cid:durableId="1F9867B3"/>
  <w16cid:commentId w16cid:paraId="26823F95" w16cid:durableId="1F986017"/>
  <w16cid:commentId w16cid:paraId="41133C12" w16cid:durableId="1F98686E"/>
  <w16cid:commentId w16cid:paraId="28330DEC" w16cid:durableId="1F986018"/>
  <w16cid:commentId w16cid:paraId="6CEB5D26" w16cid:durableId="1F986019"/>
  <w16cid:commentId w16cid:paraId="268BF3F6" w16cid:durableId="1F986968"/>
  <w16cid:commentId w16cid:paraId="010C1B87" w16cid:durableId="1F98601A"/>
  <w16cid:commentId w16cid:paraId="0DA836FE" w16cid:durableId="1F98601B"/>
  <w16cid:commentId w16cid:paraId="1E1B6505" w16cid:durableId="1F98601C"/>
  <w16cid:commentId w16cid:paraId="26F0F902" w16cid:durableId="1F98601D"/>
  <w16cid:commentId w16cid:paraId="1DAB9ABD" w16cid:durableId="1F986E88"/>
  <w16cid:commentId w16cid:paraId="68964827" w16cid:durableId="1F986F45"/>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B4168" w:rsidRDefault="002B4168" w:rsidP="00072BC8">
      <w:pPr>
        <w:spacing w:after="0" w:line="240" w:lineRule="auto"/>
      </w:pPr>
      <w:r>
        <w:separator/>
      </w:r>
    </w:p>
  </w:endnote>
  <w:endnote w:type="continuationSeparator" w:id="0">
    <w:p w:rsidR="002B4168" w:rsidRDefault="002B4168" w:rsidP="00072BC8">
      <w:pPr>
        <w:spacing w:after="0" w:line="240" w:lineRule="auto"/>
      </w:pPr>
      <w:r>
        <w:continuationSeparator/>
      </w:r>
    </w:p>
  </w:endnote>
  <w:endnote w:type="continuationNotice" w:id="1">
    <w:p w:rsidR="002B4168" w:rsidRDefault="002B416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G Palacio (W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ourier">
    <w:panose1 w:val="02070409020205020404"/>
    <w:charset w:val="00"/>
    <w:family w:val="auto"/>
    <w:pitch w:val="variable"/>
    <w:sig w:usb0="00000003"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Helv">
    <w:panose1 w:val="020B060402020203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ITC Avant Garde">
    <w:panose1 w:val="020B0402020203020304"/>
    <w:charset w:val="00"/>
    <w:family w:val="swiss"/>
    <w:pitch w:val="variable"/>
    <w:sig w:usb0="00000007" w:usb1="00000000" w:usb2="00000000" w:usb3="00000000" w:csb0="00000093" w:csb1="00000000"/>
  </w:font>
  <w:font w:name="MS Mincho">
    <w:altName w:val="Yu Gothic UI"/>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ITC Avant Garde" w:hAnsi="ITC Avant Garde"/>
        <w:sz w:val="20"/>
        <w:szCs w:val="20"/>
      </w:rPr>
      <w:id w:val="-287737897"/>
      <w:docPartObj>
        <w:docPartGallery w:val="Page Numbers (Bottom of Page)"/>
        <w:docPartUnique/>
      </w:docPartObj>
    </w:sdtPr>
    <w:sdtEndPr/>
    <w:sdtContent>
      <w:p w:rsidR="004A40ED" w:rsidRPr="0036747D" w:rsidRDefault="004A40ED" w:rsidP="0036747D">
        <w:pPr>
          <w:pStyle w:val="Piedepgina"/>
          <w:jc w:val="center"/>
          <w:rPr>
            <w:rFonts w:ascii="ITC Avant Garde" w:hAnsi="ITC Avant Garde"/>
            <w:sz w:val="20"/>
            <w:szCs w:val="20"/>
          </w:rPr>
        </w:pPr>
        <w:r w:rsidRPr="002E4C6F">
          <w:rPr>
            <w:rFonts w:ascii="ITC Avant Garde" w:hAnsi="ITC Avant Garde"/>
            <w:sz w:val="20"/>
            <w:szCs w:val="20"/>
          </w:rPr>
          <w:fldChar w:fldCharType="begin"/>
        </w:r>
        <w:r w:rsidRPr="002E4C6F">
          <w:rPr>
            <w:rFonts w:ascii="ITC Avant Garde" w:hAnsi="ITC Avant Garde"/>
            <w:sz w:val="20"/>
            <w:szCs w:val="20"/>
          </w:rPr>
          <w:instrText>PAGE   \* MERGEFORMAT</w:instrText>
        </w:r>
        <w:r w:rsidRPr="002E4C6F">
          <w:rPr>
            <w:rFonts w:ascii="ITC Avant Garde" w:hAnsi="ITC Avant Garde"/>
            <w:sz w:val="20"/>
            <w:szCs w:val="20"/>
          </w:rPr>
          <w:fldChar w:fldCharType="separate"/>
        </w:r>
        <w:r w:rsidR="00D10DFE" w:rsidRPr="00D10DFE">
          <w:rPr>
            <w:rFonts w:ascii="ITC Avant Garde" w:hAnsi="ITC Avant Garde"/>
            <w:noProof/>
            <w:sz w:val="20"/>
            <w:szCs w:val="20"/>
            <w:lang w:val="es-ES"/>
          </w:rPr>
          <w:t>1</w:t>
        </w:r>
        <w:r w:rsidRPr="002E4C6F">
          <w:rPr>
            <w:rFonts w:ascii="ITC Avant Garde" w:hAnsi="ITC Avant Garde"/>
            <w:sz w:val="20"/>
            <w:szCs w:val="20"/>
          </w:rPr>
          <w:fldChar w:fldCharType="end"/>
        </w:r>
        <w:r>
          <w:rPr>
            <w:rFonts w:ascii="ITC Avant Garde" w:hAnsi="ITC Avant Garde"/>
            <w:sz w:val="20"/>
            <w:szCs w:val="20"/>
          </w:rPr>
          <w:t xml:space="preserve"> de 2</w:t>
        </w:r>
        <w:r w:rsidR="00D553A7">
          <w:rPr>
            <w:rFonts w:ascii="ITC Avant Garde" w:hAnsi="ITC Avant Garde"/>
            <w:sz w:val="20"/>
            <w:szCs w:val="20"/>
          </w:rPr>
          <w:t>3</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B4168" w:rsidRDefault="002B4168" w:rsidP="00072BC8">
      <w:pPr>
        <w:spacing w:after="0" w:line="240" w:lineRule="auto"/>
      </w:pPr>
      <w:r>
        <w:separator/>
      </w:r>
    </w:p>
  </w:footnote>
  <w:footnote w:type="continuationSeparator" w:id="0">
    <w:p w:rsidR="002B4168" w:rsidRDefault="002B4168" w:rsidP="00072BC8">
      <w:pPr>
        <w:spacing w:after="0" w:line="240" w:lineRule="auto"/>
      </w:pPr>
      <w:r>
        <w:continuationSeparator/>
      </w:r>
    </w:p>
  </w:footnote>
  <w:footnote w:type="continuationNotice" w:id="1">
    <w:p w:rsidR="002B4168" w:rsidRDefault="002B4168">
      <w:pPr>
        <w:spacing w:after="0" w:line="240" w:lineRule="auto"/>
      </w:pPr>
    </w:p>
  </w:footnote>
  <w:footnote w:id="2">
    <w:p w:rsidR="004A40ED" w:rsidRPr="00753463" w:rsidRDefault="004A40ED" w:rsidP="00F949CE">
      <w:pPr>
        <w:pStyle w:val="Textonotapie"/>
        <w:rPr>
          <w:rFonts w:ascii="Arial" w:hAnsi="Arial" w:cs="Arial"/>
          <w:sz w:val="18"/>
          <w:szCs w:val="18"/>
        </w:rPr>
      </w:pPr>
      <w:r w:rsidRPr="00753463">
        <w:rPr>
          <w:rStyle w:val="Refdenotaalpie"/>
          <w:rFonts w:ascii="Arial" w:hAnsi="Arial" w:cs="Arial"/>
          <w:sz w:val="18"/>
          <w:szCs w:val="18"/>
        </w:rPr>
        <w:footnoteRef/>
      </w:r>
      <w:r w:rsidRPr="00753463">
        <w:rPr>
          <w:rFonts w:ascii="Arial" w:hAnsi="Arial" w:cs="Arial"/>
          <w:sz w:val="18"/>
          <w:szCs w:val="18"/>
        </w:rPr>
        <w:t xml:space="preserve"> </w:t>
      </w:r>
      <w:r w:rsidRPr="00F949CE">
        <w:rPr>
          <w:rFonts w:ascii="ITC Avant Garde" w:hAnsi="ITC Avant Garde" w:cs="Arial"/>
          <w:sz w:val="16"/>
          <w:szCs w:val="16"/>
        </w:rPr>
        <w:t xml:space="preserve">Fuente: Banco de Información de Telecomunicaciones, consultada en la liga siguiente: </w:t>
      </w:r>
      <w:r w:rsidRPr="00EA6C31">
        <w:rPr>
          <w:rStyle w:val="Hipervnculo"/>
          <w:rFonts w:ascii="ITC Avant Garde" w:hAnsi="ITC Avant Garde" w:cs="Arial"/>
          <w:sz w:val="16"/>
          <w:szCs w:val="16"/>
        </w:rPr>
        <w:t>https://bit.ift.org.mx/SASVisualAnalyticsViewer/VisualAnalyticsViewer_guest.jsp?appSwitcherDisabled=false&amp;reportName=Resumen%20de%20Indicadores%20Trimestrales&amp;reportPath=/Shared+Data/SAS+Visual+Analytics/Nueva+carpeta/&amp;appSwitcherDisabled=true</w:t>
      </w:r>
    </w:p>
  </w:footnote>
  <w:footnote w:id="3">
    <w:p w:rsidR="004A40ED" w:rsidRPr="00753463" w:rsidRDefault="004A40ED" w:rsidP="001A6C8C">
      <w:pPr>
        <w:pStyle w:val="Textonotapie"/>
        <w:jc w:val="both"/>
        <w:rPr>
          <w:rFonts w:ascii="Arial" w:hAnsi="Arial" w:cs="Arial"/>
          <w:sz w:val="18"/>
          <w:szCs w:val="18"/>
        </w:rPr>
      </w:pPr>
      <w:r w:rsidRPr="00753463">
        <w:rPr>
          <w:rStyle w:val="Refdenotaalpie"/>
          <w:rFonts w:ascii="Arial" w:hAnsi="Arial" w:cs="Arial"/>
          <w:sz w:val="18"/>
          <w:szCs w:val="18"/>
        </w:rPr>
        <w:footnoteRef/>
      </w:r>
      <w:r w:rsidRPr="00753463">
        <w:rPr>
          <w:rFonts w:ascii="Arial" w:hAnsi="Arial" w:cs="Arial"/>
          <w:sz w:val="18"/>
          <w:szCs w:val="18"/>
        </w:rPr>
        <w:t xml:space="preserve"> </w:t>
      </w:r>
      <w:r w:rsidRPr="003B709C">
        <w:rPr>
          <w:rFonts w:ascii="ITC Avant Garde" w:hAnsi="ITC Avant Garde" w:cs="Arial"/>
          <w:sz w:val="16"/>
          <w:szCs w:val="16"/>
        </w:rPr>
        <w:t>Método Hay de Perfiles y Escalas para la Valuación de Puestos, de la empresa Hay Group, S.A. de C.V., que es la base del Tabulador de Sueldos y Salarios con curva Salarial de Sector Central de las Dependencias y Entidades y algunas Estatales y Paraestatales como PEMEX, así como de una cantidad importante de empresas del sector privado, por lo que su utilización facilita su alineamiento y, permite comparar en cualquier momento y sobre criterios equivalentes.</w:t>
      </w:r>
    </w:p>
  </w:footnote>
  <w:footnote w:id="4">
    <w:p w:rsidR="004A40ED" w:rsidRPr="00041E01" w:rsidRDefault="004A40ED" w:rsidP="00624E3F">
      <w:pPr>
        <w:pStyle w:val="Textonotapie"/>
        <w:jc w:val="both"/>
        <w:rPr>
          <w:rFonts w:ascii="Arial" w:eastAsiaTheme="minorHAnsi" w:hAnsi="Arial" w:cs="Arial"/>
          <w:sz w:val="18"/>
          <w:szCs w:val="18"/>
          <w:lang w:val="es-ES_tradnl"/>
        </w:rPr>
      </w:pPr>
      <w:r w:rsidRPr="00041E01">
        <w:rPr>
          <w:rFonts w:ascii="Arial" w:eastAsiaTheme="minorHAnsi" w:hAnsi="Arial" w:cs="Arial"/>
          <w:sz w:val="18"/>
          <w:szCs w:val="18"/>
          <w:vertAlign w:val="superscript"/>
          <w:lang w:val="es-ES_tradnl"/>
        </w:rPr>
        <w:footnoteRef/>
      </w:r>
      <w:r w:rsidRPr="00041E01">
        <w:rPr>
          <w:rFonts w:ascii="Arial" w:eastAsiaTheme="minorHAnsi" w:hAnsi="Arial" w:cs="Arial"/>
          <w:sz w:val="18"/>
          <w:szCs w:val="18"/>
          <w:lang w:val="es-ES_tradnl"/>
        </w:rPr>
        <w:t xml:space="preserve"> </w:t>
      </w:r>
      <w:r w:rsidRPr="003B709C">
        <w:rPr>
          <w:rFonts w:ascii="ITC Avant Garde" w:eastAsiaTheme="minorHAnsi" w:hAnsi="ITC Avant Garde" w:cs="Arial"/>
          <w:sz w:val="16"/>
          <w:szCs w:val="16"/>
          <w:lang w:val="es-ES_tradnl"/>
        </w:rPr>
        <w:t>De acuerdo con el último párrafo del artículo 17 del Decreto por el que se reforman, adicionan y derogan diversas disposiciones de la Ley Federal de Presupuesto y Responsabilidad Hacendaria emitido el 24 de enero de 2014, disponible en: http://www.dof.gob.mx/nota_detalle.php?codigo=5330709&amp;fecha=24/01/2014</w:t>
      </w:r>
      <w:r w:rsidRPr="00041E01">
        <w:rPr>
          <w:rFonts w:ascii="Arial" w:eastAsiaTheme="minorHAnsi" w:hAnsi="Arial" w:cs="Arial"/>
          <w:sz w:val="18"/>
          <w:szCs w:val="18"/>
          <w:lang w:val="es-ES_tradnl"/>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A40ED" w:rsidRDefault="002B4168">
    <w:pPr>
      <w:pStyle w:val="Encabezado"/>
    </w:pPr>
    <w:r>
      <w:rPr>
        <w:noProof/>
        <w:lang w:eastAsia="es-MX"/>
      </w:rPr>
      <w:pict w14:anchorId="63CAA96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908759" o:spid="_x0000_s2052" type="#_x0000_t75" alt="hoja membretada s dir-01" style="position:absolute;margin-left:0;margin-top:0;width:612pt;height:11in;z-index:-251658239;mso-wrap-edited:f;mso-width-percent:0;mso-height-percent:0;mso-position-horizontal:center;mso-position-horizontal-relative:margin;mso-position-vertical:center;mso-position-vertical-relative:margin;mso-width-percent:0;mso-height-percent:0" o:allowincell="f">
          <v:imagedata r:id="rId1" o:title="hoja membretada s dir-0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A40ED" w:rsidRDefault="002B4168">
    <w:pPr>
      <w:pStyle w:val="Encabezado"/>
    </w:pPr>
    <w:r>
      <w:rPr>
        <w:noProof/>
        <w:lang w:eastAsia="es-MX"/>
      </w:rPr>
      <w:pict w14:anchorId="4EBB187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908758" o:spid="_x0000_s2050" type="#_x0000_t75" alt="hoja membretada s dir-01" style="position:absolute;margin-left:0;margin-top:0;width:612pt;height:11in;z-index:-251658240;mso-wrap-edited:f;mso-width-percent:0;mso-height-percent:0;mso-position-horizontal:center;mso-position-horizontal-relative:margin;mso-position-vertical:center;mso-position-vertical-relative:margin;mso-width-percent:0;mso-height-percent:0" o:allowincell="f">
          <v:imagedata r:id="rId1" o:title="hoja membretada s dir-0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A40ED" w:rsidRDefault="004A40ED">
    <w:pPr>
      <w:pStyle w:val="Encabezado"/>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A40ED" w:rsidRDefault="004A40ED">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C1D2A"/>
    <w:multiLevelType w:val="hybridMultilevel"/>
    <w:tmpl w:val="0614769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13127C2"/>
    <w:multiLevelType w:val="hybridMultilevel"/>
    <w:tmpl w:val="0C6AC2B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31AD7C21"/>
    <w:multiLevelType w:val="hybridMultilevel"/>
    <w:tmpl w:val="B0A63D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34FE313B"/>
    <w:multiLevelType w:val="hybridMultilevel"/>
    <w:tmpl w:val="2A64A722"/>
    <w:lvl w:ilvl="0" w:tplc="5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4E5A0ABE"/>
    <w:multiLevelType w:val="hybridMultilevel"/>
    <w:tmpl w:val="88A4A7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5035416B"/>
    <w:multiLevelType w:val="hybridMultilevel"/>
    <w:tmpl w:val="D20E0586"/>
    <w:lvl w:ilvl="0" w:tplc="5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5E2337F7"/>
    <w:multiLevelType w:val="hybridMultilevel"/>
    <w:tmpl w:val="6F8CCFC8"/>
    <w:lvl w:ilvl="0" w:tplc="D9CE7740">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65263051"/>
    <w:multiLevelType w:val="hybridMultilevel"/>
    <w:tmpl w:val="9C20FD10"/>
    <w:lvl w:ilvl="0" w:tplc="080A000F">
      <w:start w:val="1"/>
      <w:numFmt w:val="decimal"/>
      <w:lvlText w:val="%1."/>
      <w:lvlJc w:val="left"/>
      <w:pPr>
        <w:ind w:left="774" w:hanging="360"/>
      </w:pPr>
    </w:lvl>
    <w:lvl w:ilvl="1" w:tplc="080A0019" w:tentative="1">
      <w:start w:val="1"/>
      <w:numFmt w:val="lowerLetter"/>
      <w:lvlText w:val="%2."/>
      <w:lvlJc w:val="left"/>
      <w:pPr>
        <w:ind w:left="1494" w:hanging="360"/>
      </w:pPr>
    </w:lvl>
    <w:lvl w:ilvl="2" w:tplc="080A001B" w:tentative="1">
      <w:start w:val="1"/>
      <w:numFmt w:val="lowerRoman"/>
      <w:lvlText w:val="%3."/>
      <w:lvlJc w:val="right"/>
      <w:pPr>
        <w:ind w:left="2214" w:hanging="180"/>
      </w:pPr>
    </w:lvl>
    <w:lvl w:ilvl="3" w:tplc="080A000F" w:tentative="1">
      <w:start w:val="1"/>
      <w:numFmt w:val="decimal"/>
      <w:lvlText w:val="%4."/>
      <w:lvlJc w:val="left"/>
      <w:pPr>
        <w:ind w:left="2934" w:hanging="360"/>
      </w:pPr>
    </w:lvl>
    <w:lvl w:ilvl="4" w:tplc="080A0019" w:tentative="1">
      <w:start w:val="1"/>
      <w:numFmt w:val="lowerLetter"/>
      <w:lvlText w:val="%5."/>
      <w:lvlJc w:val="left"/>
      <w:pPr>
        <w:ind w:left="3654" w:hanging="360"/>
      </w:pPr>
    </w:lvl>
    <w:lvl w:ilvl="5" w:tplc="080A001B" w:tentative="1">
      <w:start w:val="1"/>
      <w:numFmt w:val="lowerRoman"/>
      <w:lvlText w:val="%6."/>
      <w:lvlJc w:val="right"/>
      <w:pPr>
        <w:ind w:left="4374" w:hanging="180"/>
      </w:pPr>
    </w:lvl>
    <w:lvl w:ilvl="6" w:tplc="080A000F" w:tentative="1">
      <w:start w:val="1"/>
      <w:numFmt w:val="decimal"/>
      <w:lvlText w:val="%7."/>
      <w:lvlJc w:val="left"/>
      <w:pPr>
        <w:ind w:left="5094" w:hanging="360"/>
      </w:pPr>
    </w:lvl>
    <w:lvl w:ilvl="7" w:tplc="080A0019" w:tentative="1">
      <w:start w:val="1"/>
      <w:numFmt w:val="lowerLetter"/>
      <w:lvlText w:val="%8."/>
      <w:lvlJc w:val="left"/>
      <w:pPr>
        <w:ind w:left="5814" w:hanging="360"/>
      </w:pPr>
    </w:lvl>
    <w:lvl w:ilvl="8" w:tplc="080A001B" w:tentative="1">
      <w:start w:val="1"/>
      <w:numFmt w:val="lowerRoman"/>
      <w:lvlText w:val="%9."/>
      <w:lvlJc w:val="right"/>
      <w:pPr>
        <w:ind w:left="6534" w:hanging="180"/>
      </w:pPr>
    </w:lvl>
  </w:abstractNum>
  <w:abstractNum w:abstractNumId="8" w15:restartNumberingAfterBreak="0">
    <w:nsid w:val="6E2719EC"/>
    <w:multiLevelType w:val="hybridMultilevel"/>
    <w:tmpl w:val="6A106204"/>
    <w:lvl w:ilvl="0" w:tplc="080A0001">
      <w:start w:val="1"/>
      <w:numFmt w:val="bullet"/>
      <w:lvlText w:val=""/>
      <w:lvlJc w:val="left"/>
      <w:pPr>
        <w:ind w:left="1068" w:hanging="360"/>
      </w:pPr>
      <w:rPr>
        <w:rFonts w:ascii="Symbol" w:hAnsi="Symbol"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9" w15:restartNumberingAfterBreak="0">
    <w:nsid w:val="718377E0"/>
    <w:multiLevelType w:val="hybridMultilevel"/>
    <w:tmpl w:val="15EAF46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
  </w:num>
  <w:num w:numId="2">
    <w:abstractNumId w:val="6"/>
  </w:num>
  <w:num w:numId="3">
    <w:abstractNumId w:val="8"/>
  </w:num>
  <w:num w:numId="4">
    <w:abstractNumId w:val="9"/>
  </w:num>
  <w:num w:numId="5">
    <w:abstractNumId w:val="5"/>
  </w:num>
  <w:num w:numId="6">
    <w:abstractNumId w:val="1"/>
  </w:num>
  <w:num w:numId="7">
    <w:abstractNumId w:val="0"/>
  </w:num>
  <w:num w:numId="8">
    <w:abstractNumId w:val="7"/>
  </w:num>
  <w:num w:numId="9">
    <w:abstractNumId w:val="4"/>
  </w:num>
  <w:num w:numId="10">
    <w:abstractNumId w:val="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efaultTabStop w:val="708"/>
  <w:hyphenationZone w:val="425"/>
  <w:characterSpacingControl w:val="doNotCompress"/>
  <w:hdrShapeDefaults>
    <o:shapedefaults v:ext="edit" spidmax="2053"/>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2BC8"/>
    <w:rsid w:val="00001EE1"/>
    <w:rsid w:val="00003786"/>
    <w:rsid w:val="00013D47"/>
    <w:rsid w:val="000154B0"/>
    <w:rsid w:val="00020418"/>
    <w:rsid w:val="00020F55"/>
    <w:rsid w:val="00021B87"/>
    <w:rsid w:val="00021C69"/>
    <w:rsid w:val="000247E8"/>
    <w:rsid w:val="00024B42"/>
    <w:rsid w:val="00025D30"/>
    <w:rsid w:val="00026777"/>
    <w:rsid w:val="000307A7"/>
    <w:rsid w:val="0003506C"/>
    <w:rsid w:val="000352B8"/>
    <w:rsid w:val="00035957"/>
    <w:rsid w:val="00036370"/>
    <w:rsid w:val="000367B2"/>
    <w:rsid w:val="00037FFE"/>
    <w:rsid w:val="00040547"/>
    <w:rsid w:val="000414B0"/>
    <w:rsid w:val="00042171"/>
    <w:rsid w:val="00042846"/>
    <w:rsid w:val="000464F0"/>
    <w:rsid w:val="00051590"/>
    <w:rsid w:val="00054FBE"/>
    <w:rsid w:val="00055079"/>
    <w:rsid w:val="00055517"/>
    <w:rsid w:val="00057698"/>
    <w:rsid w:val="000623C7"/>
    <w:rsid w:val="00063697"/>
    <w:rsid w:val="00066271"/>
    <w:rsid w:val="00066F99"/>
    <w:rsid w:val="00072BC8"/>
    <w:rsid w:val="00073FF3"/>
    <w:rsid w:val="00077F54"/>
    <w:rsid w:val="00083130"/>
    <w:rsid w:val="00087A6E"/>
    <w:rsid w:val="000922FD"/>
    <w:rsid w:val="00094287"/>
    <w:rsid w:val="000944FC"/>
    <w:rsid w:val="000955CD"/>
    <w:rsid w:val="00095B98"/>
    <w:rsid w:val="00097134"/>
    <w:rsid w:val="000A1EB9"/>
    <w:rsid w:val="000A2F42"/>
    <w:rsid w:val="000A3B9C"/>
    <w:rsid w:val="000A56A9"/>
    <w:rsid w:val="000A6F2B"/>
    <w:rsid w:val="000B14FA"/>
    <w:rsid w:val="000B48F2"/>
    <w:rsid w:val="000B6599"/>
    <w:rsid w:val="000C11D7"/>
    <w:rsid w:val="000C2102"/>
    <w:rsid w:val="000C22B7"/>
    <w:rsid w:val="000C4995"/>
    <w:rsid w:val="000C6C18"/>
    <w:rsid w:val="000D37B3"/>
    <w:rsid w:val="000D70D9"/>
    <w:rsid w:val="000E0F05"/>
    <w:rsid w:val="000E3060"/>
    <w:rsid w:val="000E4C28"/>
    <w:rsid w:val="000F26B4"/>
    <w:rsid w:val="000F331B"/>
    <w:rsid w:val="000F3611"/>
    <w:rsid w:val="000F7B4C"/>
    <w:rsid w:val="000F7FB2"/>
    <w:rsid w:val="001003A3"/>
    <w:rsid w:val="001026F0"/>
    <w:rsid w:val="00106523"/>
    <w:rsid w:val="00106DDB"/>
    <w:rsid w:val="0010748A"/>
    <w:rsid w:val="00112CBE"/>
    <w:rsid w:val="0011412C"/>
    <w:rsid w:val="0012007F"/>
    <w:rsid w:val="001209E0"/>
    <w:rsid w:val="00122DF4"/>
    <w:rsid w:val="00137255"/>
    <w:rsid w:val="001377C7"/>
    <w:rsid w:val="00137D8C"/>
    <w:rsid w:val="001443BE"/>
    <w:rsid w:val="0014626B"/>
    <w:rsid w:val="00151873"/>
    <w:rsid w:val="00152000"/>
    <w:rsid w:val="00157796"/>
    <w:rsid w:val="0016280C"/>
    <w:rsid w:val="00164313"/>
    <w:rsid w:val="00164D9A"/>
    <w:rsid w:val="00166FA0"/>
    <w:rsid w:val="001733F6"/>
    <w:rsid w:val="00175B49"/>
    <w:rsid w:val="00175E25"/>
    <w:rsid w:val="00185CF3"/>
    <w:rsid w:val="0018739A"/>
    <w:rsid w:val="001917CF"/>
    <w:rsid w:val="001928DB"/>
    <w:rsid w:val="0019418F"/>
    <w:rsid w:val="001963B7"/>
    <w:rsid w:val="00197742"/>
    <w:rsid w:val="001A17DF"/>
    <w:rsid w:val="001A1BA9"/>
    <w:rsid w:val="001A6C8C"/>
    <w:rsid w:val="001B009A"/>
    <w:rsid w:val="001B238D"/>
    <w:rsid w:val="001B331D"/>
    <w:rsid w:val="001B48EF"/>
    <w:rsid w:val="001B58A1"/>
    <w:rsid w:val="001C3BB5"/>
    <w:rsid w:val="001C4C07"/>
    <w:rsid w:val="001C7B31"/>
    <w:rsid w:val="001E14B2"/>
    <w:rsid w:val="001E2888"/>
    <w:rsid w:val="001E7CE3"/>
    <w:rsid w:val="001F06FB"/>
    <w:rsid w:val="002017B0"/>
    <w:rsid w:val="0020330A"/>
    <w:rsid w:val="00203F10"/>
    <w:rsid w:val="00210841"/>
    <w:rsid w:val="0021377E"/>
    <w:rsid w:val="002165E0"/>
    <w:rsid w:val="0021772C"/>
    <w:rsid w:val="00217FF4"/>
    <w:rsid w:val="002204FA"/>
    <w:rsid w:val="00220B5B"/>
    <w:rsid w:val="00221261"/>
    <w:rsid w:val="00226A4A"/>
    <w:rsid w:val="002273E2"/>
    <w:rsid w:val="002303E9"/>
    <w:rsid w:val="00231419"/>
    <w:rsid w:val="0023492A"/>
    <w:rsid w:val="0023752B"/>
    <w:rsid w:val="00241046"/>
    <w:rsid w:val="00243339"/>
    <w:rsid w:val="00243FB4"/>
    <w:rsid w:val="00246FC3"/>
    <w:rsid w:val="00250143"/>
    <w:rsid w:val="00253D0D"/>
    <w:rsid w:val="0025529A"/>
    <w:rsid w:val="00257125"/>
    <w:rsid w:val="00261A41"/>
    <w:rsid w:val="00263363"/>
    <w:rsid w:val="002636DC"/>
    <w:rsid w:val="0026499A"/>
    <w:rsid w:val="0026771E"/>
    <w:rsid w:val="00271B55"/>
    <w:rsid w:val="0027475C"/>
    <w:rsid w:val="00287D44"/>
    <w:rsid w:val="00292443"/>
    <w:rsid w:val="00292A23"/>
    <w:rsid w:val="00293B86"/>
    <w:rsid w:val="002A489F"/>
    <w:rsid w:val="002A5450"/>
    <w:rsid w:val="002A7100"/>
    <w:rsid w:val="002B0BE5"/>
    <w:rsid w:val="002B15DA"/>
    <w:rsid w:val="002B1CE2"/>
    <w:rsid w:val="002B277C"/>
    <w:rsid w:val="002B4168"/>
    <w:rsid w:val="002C1E3D"/>
    <w:rsid w:val="002C2E05"/>
    <w:rsid w:val="002C54E0"/>
    <w:rsid w:val="002D6395"/>
    <w:rsid w:val="002E0BA3"/>
    <w:rsid w:val="002E0EB2"/>
    <w:rsid w:val="002E30CA"/>
    <w:rsid w:val="002E3E4C"/>
    <w:rsid w:val="002E4C6F"/>
    <w:rsid w:val="002F463D"/>
    <w:rsid w:val="002F51AC"/>
    <w:rsid w:val="00302FA5"/>
    <w:rsid w:val="00310D20"/>
    <w:rsid w:val="00312647"/>
    <w:rsid w:val="003130D3"/>
    <w:rsid w:val="00320CDE"/>
    <w:rsid w:val="00322858"/>
    <w:rsid w:val="003228DA"/>
    <w:rsid w:val="003270A7"/>
    <w:rsid w:val="00331728"/>
    <w:rsid w:val="003317F0"/>
    <w:rsid w:val="00331E0D"/>
    <w:rsid w:val="003327FF"/>
    <w:rsid w:val="0033294A"/>
    <w:rsid w:val="00333C10"/>
    <w:rsid w:val="00334990"/>
    <w:rsid w:val="00340FFB"/>
    <w:rsid w:val="00341CC8"/>
    <w:rsid w:val="0034287E"/>
    <w:rsid w:val="00345282"/>
    <w:rsid w:val="0034735C"/>
    <w:rsid w:val="00360394"/>
    <w:rsid w:val="003633B8"/>
    <w:rsid w:val="0036747D"/>
    <w:rsid w:val="00370B4E"/>
    <w:rsid w:val="003718F5"/>
    <w:rsid w:val="00372C5C"/>
    <w:rsid w:val="003740CC"/>
    <w:rsid w:val="00385C0C"/>
    <w:rsid w:val="00386002"/>
    <w:rsid w:val="00390108"/>
    <w:rsid w:val="00391D34"/>
    <w:rsid w:val="003949A1"/>
    <w:rsid w:val="00397F7D"/>
    <w:rsid w:val="003A0D83"/>
    <w:rsid w:val="003A6837"/>
    <w:rsid w:val="003A73A1"/>
    <w:rsid w:val="003A78A7"/>
    <w:rsid w:val="003B0A51"/>
    <w:rsid w:val="003B33D2"/>
    <w:rsid w:val="003B35DA"/>
    <w:rsid w:val="003B45F6"/>
    <w:rsid w:val="003B6FB0"/>
    <w:rsid w:val="003B709C"/>
    <w:rsid w:val="003B7B58"/>
    <w:rsid w:val="003B7B8D"/>
    <w:rsid w:val="003C60D2"/>
    <w:rsid w:val="003C7170"/>
    <w:rsid w:val="003C78FB"/>
    <w:rsid w:val="003D040D"/>
    <w:rsid w:val="003D04B8"/>
    <w:rsid w:val="003D0AAC"/>
    <w:rsid w:val="003D1606"/>
    <w:rsid w:val="003D38F3"/>
    <w:rsid w:val="003D467D"/>
    <w:rsid w:val="003E1FF3"/>
    <w:rsid w:val="003E27CA"/>
    <w:rsid w:val="003E6F84"/>
    <w:rsid w:val="003E7937"/>
    <w:rsid w:val="003F0843"/>
    <w:rsid w:val="003F29D3"/>
    <w:rsid w:val="003F30B9"/>
    <w:rsid w:val="003F4425"/>
    <w:rsid w:val="003F6095"/>
    <w:rsid w:val="00402726"/>
    <w:rsid w:val="0040335D"/>
    <w:rsid w:val="00404CB3"/>
    <w:rsid w:val="00415328"/>
    <w:rsid w:val="00417199"/>
    <w:rsid w:val="0042494A"/>
    <w:rsid w:val="0042722E"/>
    <w:rsid w:val="004309FE"/>
    <w:rsid w:val="00433B5C"/>
    <w:rsid w:val="00434DD8"/>
    <w:rsid w:val="00436DB7"/>
    <w:rsid w:val="0043732A"/>
    <w:rsid w:val="00440875"/>
    <w:rsid w:val="0044111B"/>
    <w:rsid w:val="004414A0"/>
    <w:rsid w:val="004458B8"/>
    <w:rsid w:val="00446A4A"/>
    <w:rsid w:val="00450752"/>
    <w:rsid w:val="00455DB0"/>
    <w:rsid w:val="0046085F"/>
    <w:rsid w:val="00463CE8"/>
    <w:rsid w:val="00465658"/>
    <w:rsid w:val="004662C1"/>
    <w:rsid w:val="00467C9C"/>
    <w:rsid w:val="00470616"/>
    <w:rsid w:val="0047517D"/>
    <w:rsid w:val="00475E6A"/>
    <w:rsid w:val="00477AB2"/>
    <w:rsid w:val="00487502"/>
    <w:rsid w:val="0049085B"/>
    <w:rsid w:val="00493941"/>
    <w:rsid w:val="004951D2"/>
    <w:rsid w:val="0049709C"/>
    <w:rsid w:val="00497195"/>
    <w:rsid w:val="00497807"/>
    <w:rsid w:val="00497C99"/>
    <w:rsid w:val="004A041D"/>
    <w:rsid w:val="004A2825"/>
    <w:rsid w:val="004A3F2B"/>
    <w:rsid w:val="004A40ED"/>
    <w:rsid w:val="004A7F1C"/>
    <w:rsid w:val="004B17E9"/>
    <w:rsid w:val="004B568E"/>
    <w:rsid w:val="004B7D98"/>
    <w:rsid w:val="004C2034"/>
    <w:rsid w:val="004C3221"/>
    <w:rsid w:val="004C4F2E"/>
    <w:rsid w:val="004D0D04"/>
    <w:rsid w:val="004D1C40"/>
    <w:rsid w:val="004D5435"/>
    <w:rsid w:val="004D68A4"/>
    <w:rsid w:val="004E2456"/>
    <w:rsid w:val="004E2791"/>
    <w:rsid w:val="004E5B26"/>
    <w:rsid w:val="004E7F53"/>
    <w:rsid w:val="004F039E"/>
    <w:rsid w:val="004F1D21"/>
    <w:rsid w:val="004F5636"/>
    <w:rsid w:val="004F6602"/>
    <w:rsid w:val="0050049D"/>
    <w:rsid w:val="0050115D"/>
    <w:rsid w:val="00501D29"/>
    <w:rsid w:val="005036AA"/>
    <w:rsid w:val="00503BD2"/>
    <w:rsid w:val="00504275"/>
    <w:rsid w:val="00504FF0"/>
    <w:rsid w:val="00505541"/>
    <w:rsid w:val="00506116"/>
    <w:rsid w:val="00506232"/>
    <w:rsid w:val="0050629B"/>
    <w:rsid w:val="005067E7"/>
    <w:rsid w:val="00506AF4"/>
    <w:rsid w:val="005072B6"/>
    <w:rsid w:val="00510467"/>
    <w:rsid w:val="005129DA"/>
    <w:rsid w:val="00513C3E"/>
    <w:rsid w:val="005145A9"/>
    <w:rsid w:val="0051488F"/>
    <w:rsid w:val="00515929"/>
    <w:rsid w:val="00520018"/>
    <w:rsid w:val="00521598"/>
    <w:rsid w:val="0052607E"/>
    <w:rsid w:val="005276D7"/>
    <w:rsid w:val="00527B87"/>
    <w:rsid w:val="005305F8"/>
    <w:rsid w:val="005312B7"/>
    <w:rsid w:val="00531641"/>
    <w:rsid w:val="005319C8"/>
    <w:rsid w:val="00534970"/>
    <w:rsid w:val="00534D71"/>
    <w:rsid w:val="00534F92"/>
    <w:rsid w:val="00537952"/>
    <w:rsid w:val="00546A51"/>
    <w:rsid w:val="005471AB"/>
    <w:rsid w:val="00553788"/>
    <w:rsid w:val="00571D7F"/>
    <w:rsid w:val="00572BF1"/>
    <w:rsid w:val="005748FF"/>
    <w:rsid w:val="0057656F"/>
    <w:rsid w:val="0057754A"/>
    <w:rsid w:val="00583C82"/>
    <w:rsid w:val="00585E43"/>
    <w:rsid w:val="005908DD"/>
    <w:rsid w:val="00590AC9"/>
    <w:rsid w:val="0059423A"/>
    <w:rsid w:val="00594821"/>
    <w:rsid w:val="0059494E"/>
    <w:rsid w:val="0059510D"/>
    <w:rsid w:val="005964B1"/>
    <w:rsid w:val="00596997"/>
    <w:rsid w:val="005A093F"/>
    <w:rsid w:val="005A283C"/>
    <w:rsid w:val="005A4E7F"/>
    <w:rsid w:val="005A51A1"/>
    <w:rsid w:val="005B1EA4"/>
    <w:rsid w:val="005B3193"/>
    <w:rsid w:val="005B49E9"/>
    <w:rsid w:val="005B5039"/>
    <w:rsid w:val="005B6F89"/>
    <w:rsid w:val="005B72C7"/>
    <w:rsid w:val="005B78BA"/>
    <w:rsid w:val="005B7F39"/>
    <w:rsid w:val="005C1240"/>
    <w:rsid w:val="005C265B"/>
    <w:rsid w:val="005C3A59"/>
    <w:rsid w:val="005C420A"/>
    <w:rsid w:val="005C4F1C"/>
    <w:rsid w:val="005D0963"/>
    <w:rsid w:val="005D16A7"/>
    <w:rsid w:val="005D30A9"/>
    <w:rsid w:val="005D6B55"/>
    <w:rsid w:val="005D6C25"/>
    <w:rsid w:val="005E07A5"/>
    <w:rsid w:val="005E1470"/>
    <w:rsid w:val="005E56A4"/>
    <w:rsid w:val="005E6B31"/>
    <w:rsid w:val="005E6F92"/>
    <w:rsid w:val="005F41D1"/>
    <w:rsid w:val="005F4204"/>
    <w:rsid w:val="005F552F"/>
    <w:rsid w:val="005F5A3C"/>
    <w:rsid w:val="0060053D"/>
    <w:rsid w:val="00600C35"/>
    <w:rsid w:val="00613055"/>
    <w:rsid w:val="006150CA"/>
    <w:rsid w:val="00615519"/>
    <w:rsid w:val="00616B04"/>
    <w:rsid w:val="0062281F"/>
    <w:rsid w:val="00623238"/>
    <w:rsid w:val="0062389B"/>
    <w:rsid w:val="00624E3F"/>
    <w:rsid w:val="00631CD6"/>
    <w:rsid w:val="006330DE"/>
    <w:rsid w:val="0063662E"/>
    <w:rsid w:val="006368EC"/>
    <w:rsid w:val="00642B89"/>
    <w:rsid w:val="00643D07"/>
    <w:rsid w:val="006449A1"/>
    <w:rsid w:val="00654430"/>
    <w:rsid w:val="00656E04"/>
    <w:rsid w:val="00660614"/>
    <w:rsid w:val="00661BA8"/>
    <w:rsid w:val="006633E7"/>
    <w:rsid w:val="006666C2"/>
    <w:rsid w:val="006673ED"/>
    <w:rsid w:val="00672440"/>
    <w:rsid w:val="0067465C"/>
    <w:rsid w:val="00675035"/>
    <w:rsid w:val="00676763"/>
    <w:rsid w:val="00676D06"/>
    <w:rsid w:val="00682072"/>
    <w:rsid w:val="006824E2"/>
    <w:rsid w:val="00683EC0"/>
    <w:rsid w:val="0069040F"/>
    <w:rsid w:val="006917AD"/>
    <w:rsid w:val="00691F0D"/>
    <w:rsid w:val="006933BE"/>
    <w:rsid w:val="00693E42"/>
    <w:rsid w:val="006947DD"/>
    <w:rsid w:val="00695D2C"/>
    <w:rsid w:val="00695D68"/>
    <w:rsid w:val="006A179A"/>
    <w:rsid w:val="006A1E55"/>
    <w:rsid w:val="006A1FD0"/>
    <w:rsid w:val="006A43FB"/>
    <w:rsid w:val="006A5BBE"/>
    <w:rsid w:val="006A6B09"/>
    <w:rsid w:val="006B225D"/>
    <w:rsid w:val="006B35A9"/>
    <w:rsid w:val="006B360C"/>
    <w:rsid w:val="006B7A75"/>
    <w:rsid w:val="006C14B2"/>
    <w:rsid w:val="006C14EA"/>
    <w:rsid w:val="006C2685"/>
    <w:rsid w:val="006C2DF2"/>
    <w:rsid w:val="006C2EDC"/>
    <w:rsid w:val="006C4C87"/>
    <w:rsid w:val="006C4D27"/>
    <w:rsid w:val="006C4E73"/>
    <w:rsid w:val="006D1484"/>
    <w:rsid w:val="006D5750"/>
    <w:rsid w:val="006D6114"/>
    <w:rsid w:val="006D63D0"/>
    <w:rsid w:val="006E12E7"/>
    <w:rsid w:val="006E5B1F"/>
    <w:rsid w:val="006E6607"/>
    <w:rsid w:val="006F17A8"/>
    <w:rsid w:val="006F4E1D"/>
    <w:rsid w:val="006F74CD"/>
    <w:rsid w:val="007055D8"/>
    <w:rsid w:val="00705B69"/>
    <w:rsid w:val="00705C06"/>
    <w:rsid w:val="00706605"/>
    <w:rsid w:val="00707C3D"/>
    <w:rsid w:val="00711936"/>
    <w:rsid w:val="00713271"/>
    <w:rsid w:val="00714218"/>
    <w:rsid w:val="00716286"/>
    <w:rsid w:val="00717A81"/>
    <w:rsid w:val="00721F17"/>
    <w:rsid w:val="00723C07"/>
    <w:rsid w:val="00725B9C"/>
    <w:rsid w:val="00727B5D"/>
    <w:rsid w:val="00730957"/>
    <w:rsid w:val="007362FF"/>
    <w:rsid w:val="00737B6B"/>
    <w:rsid w:val="007436F8"/>
    <w:rsid w:val="00745843"/>
    <w:rsid w:val="00750D23"/>
    <w:rsid w:val="00761C83"/>
    <w:rsid w:val="0076302C"/>
    <w:rsid w:val="00764332"/>
    <w:rsid w:val="007729DE"/>
    <w:rsid w:val="00773028"/>
    <w:rsid w:val="00774760"/>
    <w:rsid w:val="00774E28"/>
    <w:rsid w:val="00775A3F"/>
    <w:rsid w:val="007803CA"/>
    <w:rsid w:val="0078470B"/>
    <w:rsid w:val="007864FA"/>
    <w:rsid w:val="007874A2"/>
    <w:rsid w:val="00790A10"/>
    <w:rsid w:val="00791F0A"/>
    <w:rsid w:val="007A5329"/>
    <w:rsid w:val="007A6F9B"/>
    <w:rsid w:val="007B0347"/>
    <w:rsid w:val="007C3502"/>
    <w:rsid w:val="007C5A61"/>
    <w:rsid w:val="007D0B5E"/>
    <w:rsid w:val="007D130F"/>
    <w:rsid w:val="007D18DB"/>
    <w:rsid w:val="007D2DD9"/>
    <w:rsid w:val="007D39E7"/>
    <w:rsid w:val="007D4F42"/>
    <w:rsid w:val="007D5CDE"/>
    <w:rsid w:val="007D7E2D"/>
    <w:rsid w:val="007E3D34"/>
    <w:rsid w:val="007E525B"/>
    <w:rsid w:val="007E78FD"/>
    <w:rsid w:val="007E7E0D"/>
    <w:rsid w:val="007F2D1E"/>
    <w:rsid w:val="007F6B2E"/>
    <w:rsid w:val="007F7488"/>
    <w:rsid w:val="00800288"/>
    <w:rsid w:val="0080134D"/>
    <w:rsid w:val="0080261D"/>
    <w:rsid w:val="00810692"/>
    <w:rsid w:val="00811862"/>
    <w:rsid w:val="00811B91"/>
    <w:rsid w:val="00811D59"/>
    <w:rsid w:val="00812555"/>
    <w:rsid w:val="0081676D"/>
    <w:rsid w:val="00816F1B"/>
    <w:rsid w:val="008207BE"/>
    <w:rsid w:val="008222EF"/>
    <w:rsid w:val="00823B87"/>
    <w:rsid w:val="00825A98"/>
    <w:rsid w:val="008325DD"/>
    <w:rsid w:val="008365B6"/>
    <w:rsid w:val="008403CC"/>
    <w:rsid w:val="0084210A"/>
    <w:rsid w:val="0084317B"/>
    <w:rsid w:val="00844D15"/>
    <w:rsid w:val="00850346"/>
    <w:rsid w:val="00850DE8"/>
    <w:rsid w:val="008520CF"/>
    <w:rsid w:val="00852C0D"/>
    <w:rsid w:val="00855A34"/>
    <w:rsid w:val="00856111"/>
    <w:rsid w:val="00857968"/>
    <w:rsid w:val="00860F1C"/>
    <w:rsid w:val="00863DB8"/>
    <w:rsid w:val="00866169"/>
    <w:rsid w:val="0087192F"/>
    <w:rsid w:val="0087244F"/>
    <w:rsid w:val="008729F1"/>
    <w:rsid w:val="00874B92"/>
    <w:rsid w:val="00876373"/>
    <w:rsid w:val="008805C9"/>
    <w:rsid w:val="0088189E"/>
    <w:rsid w:val="00882D0A"/>
    <w:rsid w:val="0088307F"/>
    <w:rsid w:val="00884547"/>
    <w:rsid w:val="00890BE5"/>
    <w:rsid w:val="0089173F"/>
    <w:rsid w:val="008955D8"/>
    <w:rsid w:val="00895820"/>
    <w:rsid w:val="00896E6C"/>
    <w:rsid w:val="008978BC"/>
    <w:rsid w:val="00897AEB"/>
    <w:rsid w:val="008A2A57"/>
    <w:rsid w:val="008A31A2"/>
    <w:rsid w:val="008A351A"/>
    <w:rsid w:val="008A6323"/>
    <w:rsid w:val="008B0CB3"/>
    <w:rsid w:val="008B1B0C"/>
    <w:rsid w:val="008B1CE7"/>
    <w:rsid w:val="008B37B4"/>
    <w:rsid w:val="008B3F59"/>
    <w:rsid w:val="008B43F0"/>
    <w:rsid w:val="008B44FB"/>
    <w:rsid w:val="008B5EF7"/>
    <w:rsid w:val="008B618F"/>
    <w:rsid w:val="008B6D89"/>
    <w:rsid w:val="008C2BC1"/>
    <w:rsid w:val="008C5A9F"/>
    <w:rsid w:val="008C7987"/>
    <w:rsid w:val="008D06A4"/>
    <w:rsid w:val="008D08BC"/>
    <w:rsid w:val="008D2BAB"/>
    <w:rsid w:val="008D46D3"/>
    <w:rsid w:val="008D72E1"/>
    <w:rsid w:val="008E03CE"/>
    <w:rsid w:val="008E392D"/>
    <w:rsid w:val="008F4539"/>
    <w:rsid w:val="008F55E6"/>
    <w:rsid w:val="008F7FAA"/>
    <w:rsid w:val="009003A1"/>
    <w:rsid w:val="009030DC"/>
    <w:rsid w:val="0090320A"/>
    <w:rsid w:val="00903750"/>
    <w:rsid w:val="0090537E"/>
    <w:rsid w:val="009057A4"/>
    <w:rsid w:val="00906863"/>
    <w:rsid w:val="00906CE5"/>
    <w:rsid w:val="00907A61"/>
    <w:rsid w:val="00907CCB"/>
    <w:rsid w:val="009113E0"/>
    <w:rsid w:val="00911C59"/>
    <w:rsid w:val="00911E9E"/>
    <w:rsid w:val="00912016"/>
    <w:rsid w:val="00912241"/>
    <w:rsid w:val="00916A7E"/>
    <w:rsid w:val="009235EE"/>
    <w:rsid w:val="0093166D"/>
    <w:rsid w:val="00932A37"/>
    <w:rsid w:val="0093430A"/>
    <w:rsid w:val="00936128"/>
    <w:rsid w:val="00941E7E"/>
    <w:rsid w:val="0094257D"/>
    <w:rsid w:val="00945DC7"/>
    <w:rsid w:val="009463FB"/>
    <w:rsid w:val="00946DEC"/>
    <w:rsid w:val="00953FA6"/>
    <w:rsid w:val="00955382"/>
    <w:rsid w:val="00957469"/>
    <w:rsid w:val="00960EEE"/>
    <w:rsid w:val="00963968"/>
    <w:rsid w:val="009648DE"/>
    <w:rsid w:val="009649C6"/>
    <w:rsid w:val="0097275B"/>
    <w:rsid w:val="00972EB6"/>
    <w:rsid w:val="00973D30"/>
    <w:rsid w:val="0097600B"/>
    <w:rsid w:val="00981C7E"/>
    <w:rsid w:val="00982A3B"/>
    <w:rsid w:val="00991416"/>
    <w:rsid w:val="00996618"/>
    <w:rsid w:val="00997B81"/>
    <w:rsid w:val="00997E45"/>
    <w:rsid w:val="009A5B33"/>
    <w:rsid w:val="009B20FB"/>
    <w:rsid w:val="009B2255"/>
    <w:rsid w:val="009B5A73"/>
    <w:rsid w:val="009B7A15"/>
    <w:rsid w:val="009C1181"/>
    <w:rsid w:val="009C2CDE"/>
    <w:rsid w:val="009C3971"/>
    <w:rsid w:val="009D075D"/>
    <w:rsid w:val="009D6099"/>
    <w:rsid w:val="009E1BF9"/>
    <w:rsid w:val="009E48C9"/>
    <w:rsid w:val="009E5E1A"/>
    <w:rsid w:val="009E6408"/>
    <w:rsid w:val="009E73A8"/>
    <w:rsid w:val="009F02CE"/>
    <w:rsid w:val="009F2409"/>
    <w:rsid w:val="009F26C6"/>
    <w:rsid w:val="009F4170"/>
    <w:rsid w:val="009F4BE1"/>
    <w:rsid w:val="009F50D6"/>
    <w:rsid w:val="009F6BC4"/>
    <w:rsid w:val="00A02EDD"/>
    <w:rsid w:val="00A039B8"/>
    <w:rsid w:val="00A03E4E"/>
    <w:rsid w:val="00A04C6E"/>
    <w:rsid w:val="00A05AB3"/>
    <w:rsid w:val="00A12083"/>
    <w:rsid w:val="00A16021"/>
    <w:rsid w:val="00A17EC5"/>
    <w:rsid w:val="00A209D7"/>
    <w:rsid w:val="00A2644D"/>
    <w:rsid w:val="00A26A86"/>
    <w:rsid w:val="00A2768D"/>
    <w:rsid w:val="00A27B7A"/>
    <w:rsid w:val="00A314CB"/>
    <w:rsid w:val="00A3193C"/>
    <w:rsid w:val="00A333BD"/>
    <w:rsid w:val="00A3387B"/>
    <w:rsid w:val="00A33F6B"/>
    <w:rsid w:val="00A36AB8"/>
    <w:rsid w:val="00A37F14"/>
    <w:rsid w:val="00A402A8"/>
    <w:rsid w:val="00A40F8F"/>
    <w:rsid w:val="00A4192E"/>
    <w:rsid w:val="00A43D13"/>
    <w:rsid w:val="00A443CF"/>
    <w:rsid w:val="00A4449C"/>
    <w:rsid w:val="00A539AB"/>
    <w:rsid w:val="00A548E4"/>
    <w:rsid w:val="00A550F5"/>
    <w:rsid w:val="00A566A2"/>
    <w:rsid w:val="00A57D17"/>
    <w:rsid w:val="00A62E3E"/>
    <w:rsid w:val="00A67350"/>
    <w:rsid w:val="00A7152C"/>
    <w:rsid w:val="00A72B2D"/>
    <w:rsid w:val="00A735B7"/>
    <w:rsid w:val="00A73A30"/>
    <w:rsid w:val="00A749CB"/>
    <w:rsid w:val="00A763FC"/>
    <w:rsid w:val="00A7767E"/>
    <w:rsid w:val="00A80F12"/>
    <w:rsid w:val="00A82CEF"/>
    <w:rsid w:val="00A857C7"/>
    <w:rsid w:val="00A949EF"/>
    <w:rsid w:val="00A96091"/>
    <w:rsid w:val="00A97E23"/>
    <w:rsid w:val="00AA272D"/>
    <w:rsid w:val="00AA6026"/>
    <w:rsid w:val="00AB089F"/>
    <w:rsid w:val="00AB3AB3"/>
    <w:rsid w:val="00AB4BA2"/>
    <w:rsid w:val="00AB7D04"/>
    <w:rsid w:val="00AC35C4"/>
    <w:rsid w:val="00AC4A06"/>
    <w:rsid w:val="00AC7BFE"/>
    <w:rsid w:val="00AD11A0"/>
    <w:rsid w:val="00AD3669"/>
    <w:rsid w:val="00AD5D6A"/>
    <w:rsid w:val="00AD62B7"/>
    <w:rsid w:val="00AE0DCD"/>
    <w:rsid w:val="00AE0F0A"/>
    <w:rsid w:val="00AE731B"/>
    <w:rsid w:val="00AE7C72"/>
    <w:rsid w:val="00AF1ADB"/>
    <w:rsid w:val="00AF2E79"/>
    <w:rsid w:val="00AF45B3"/>
    <w:rsid w:val="00AF5E3C"/>
    <w:rsid w:val="00AF624D"/>
    <w:rsid w:val="00B03760"/>
    <w:rsid w:val="00B06D7D"/>
    <w:rsid w:val="00B10DB9"/>
    <w:rsid w:val="00B11EF3"/>
    <w:rsid w:val="00B1431A"/>
    <w:rsid w:val="00B150A7"/>
    <w:rsid w:val="00B158FB"/>
    <w:rsid w:val="00B17732"/>
    <w:rsid w:val="00B25CD3"/>
    <w:rsid w:val="00B25FC3"/>
    <w:rsid w:val="00B33838"/>
    <w:rsid w:val="00B424EA"/>
    <w:rsid w:val="00B55112"/>
    <w:rsid w:val="00B5646B"/>
    <w:rsid w:val="00B606C8"/>
    <w:rsid w:val="00B62F63"/>
    <w:rsid w:val="00B63963"/>
    <w:rsid w:val="00B64DCC"/>
    <w:rsid w:val="00B65258"/>
    <w:rsid w:val="00B65B61"/>
    <w:rsid w:val="00B73DBD"/>
    <w:rsid w:val="00B73F6C"/>
    <w:rsid w:val="00B74530"/>
    <w:rsid w:val="00B776F2"/>
    <w:rsid w:val="00B828F8"/>
    <w:rsid w:val="00B845FD"/>
    <w:rsid w:val="00B84E38"/>
    <w:rsid w:val="00BA0716"/>
    <w:rsid w:val="00BA3312"/>
    <w:rsid w:val="00BA4D7F"/>
    <w:rsid w:val="00BA6CB9"/>
    <w:rsid w:val="00BB22C6"/>
    <w:rsid w:val="00BB2CA6"/>
    <w:rsid w:val="00BB36F9"/>
    <w:rsid w:val="00BB6BB2"/>
    <w:rsid w:val="00BB7E7C"/>
    <w:rsid w:val="00BC0740"/>
    <w:rsid w:val="00BC5D73"/>
    <w:rsid w:val="00BC76F8"/>
    <w:rsid w:val="00BD05C2"/>
    <w:rsid w:val="00BD18CC"/>
    <w:rsid w:val="00BD7B3D"/>
    <w:rsid w:val="00BE025F"/>
    <w:rsid w:val="00BE0CDF"/>
    <w:rsid w:val="00BE16CA"/>
    <w:rsid w:val="00BE2DC6"/>
    <w:rsid w:val="00BE6985"/>
    <w:rsid w:val="00BE7579"/>
    <w:rsid w:val="00BF3FC5"/>
    <w:rsid w:val="00BF4D46"/>
    <w:rsid w:val="00BF574D"/>
    <w:rsid w:val="00BF5EF5"/>
    <w:rsid w:val="00C00AAD"/>
    <w:rsid w:val="00C01112"/>
    <w:rsid w:val="00C03262"/>
    <w:rsid w:val="00C051CF"/>
    <w:rsid w:val="00C1054A"/>
    <w:rsid w:val="00C1098D"/>
    <w:rsid w:val="00C1333A"/>
    <w:rsid w:val="00C13FDF"/>
    <w:rsid w:val="00C2018A"/>
    <w:rsid w:val="00C20E96"/>
    <w:rsid w:val="00C21973"/>
    <w:rsid w:val="00C22B4E"/>
    <w:rsid w:val="00C2393B"/>
    <w:rsid w:val="00C24B73"/>
    <w:rsid w:val="00C2503B"/>
    <w:rsid w:val="00C263BA"/>
    <w:rsid w:val="00C26FF9"/>
    <w:rsid w:val="00C27414"/>
    <w:rsid w:val="00C34819"/>
    <w:rsid w:val="00C36807"/>
    <w:rsid w:val="00C37E83"/>
    <w:rsid w:val="00C4162D"/>
    <w:rsid w:val="00C440EB"/>
    <w:rsid w:val="00C4527E"/>
    <w:rsid w:val="00C45F7E"/>
    <w:rsid w:val="00C479C1"/>
    <w:rsid w:val="00C502CA"/>
    <w:rsid w:val="00C50BD5"/>
    <w:rsid w:val="00C51174"/>
    <w:rsid w:val="00C61339"/>
    <w:rsid w:val="00C632ED"/>
    <w:rsid w:val="00C64E38"/>
    <w:rsid w:val="00C70B45"/>
    <w:rsid w:val="00C71BD1"/>
    <w:rsid w:val="00C74708"/>
    <w:rsid w:val="00C77B79"/>
    <w:rsid w:val="00C81F68"/>
    <w:rsid w:val="00C87EE9"/>
    <w:rsid w:val="00C904CB"/>
    <w:rsid w:val="00C90D87"/>
    <w:rsid w:val="00C9176E"/>
    <w:rsid w:val="00C92709"/>
    <w:rsid w:val="00C93CB8"/>
    <w:rsid w:val="00C94300"/>
    <w:rsid w:val="00C957D3"/>
    <w:rsid w:val="00CA0C77"/>
    <w:rsid w:val="00CA0C97"/>
    <w:rsid w:val="00CA0E39"/>
    <w:rsid w:val="00CA269C"/>
    <w:rsid w:val="00CA38B6"/>
    <w:rsid w:val="00CA48F9"/>
    <w:rsid w:val="00CB0D12"/>
    <w:rsid w:val="00CB2A40"/>
    <w:rsid w:val="00CB67BD"/>
    <w:rsid w:val="00CC24CE"/>
    <w:rsid w:val="00CC2894"/>
    <w:rsid w:val="00CC2CF3"/>
    <w:rsid w:val="00CC3182"/>
    <w:rsid w:val="00CC5FCB"/>
    <w:rsid w:val="00CD640A"/>
    <w:rsid w:val="00CD6FB2"/>
    <w:rsid w:val="00CD7749"/>
    <w:rsid w:val="00CE2BBD"/>
    <w:rsid w:val="00CE375E"/>
    <w:rsid w:val="00CE4946"/>
    <w:rsid w:val="00CE7F92"/>
    <w:rsid w:val="00CF0FFF"/>
    <w:rsid w:val="00CF1458"/>
    <w:rsid w:val="00CF48C1"/>
    <w:rsid w:val="00D01814"/>
    <w:rsid w:val="00D0239E"/>
    <w:rsid w:val="00D04D7A"/>
    <w:rsid w:val="00D06E0A"/>
    <w:rsid w:val="00D10DFE"/>
    <w:rsid w:val="00D11818"/>
    <w:rsid w:val="00D11F22"/>
    <w:rsid w:val="00D12EA5"/>
    <w:rsid w:val="00D13DBC"/>
    <w:rsid w:val="00D2042B"/>
    <w:rsid w:val="00D24CD9"/>
    <w:rsid w:val="00D32930"/>
    <w:rsid w:val="00D32B04"/>
    <w:rsid w:val="00D3311F"/>
    <w:rsid w:val="00D34985"/>
    <w:rsid w:val="00D3713F"/>
    <w:rsid w:val="00D4008B"/>
    <w:rsid w:val="00D406A8"/>
    <w:rsid w:val="00D45F91"/>
    <w:rsid w:val="00D464C3"/>
    <w:rsid w:val="00D47B89"/>
    <w:rsid w:val="00D5043B"/>
    <w:rsid w:val="00D52659"/>
    <w:rsid w:val="00D53A59"/>
    <w:rsid w:val="00D53AF4"/>
    <w:rsid w:val="00D553A7"/>
    <w:rsid w:val="00D55947"/>
    <w:rsid w:val="00D64A35"/>
    <w:rsid w:val="00D651F7"/>
    <w:rsid w:val="00D723D7"/>
    <w:rsid w:val="00D72AB4"/>
    <w:rsid w:val="00D73DBE"/>
    <w:rsid w:val="00D74E98"/>
    <w:rsid w:val="00D74F35"/>
    <w:rsid w:val="00D81F99"/>
    <w:rsid w:val="00D82A3F"/>
    <w:rsid w:val="00DA1627"/>
    <w:rsid w:val="00DA1FC2"/>
    <w:rsid w:val="00DA2B83"/>
    <w:rsid w:val="00DA5258"/>
    <w:rsid w:val="00DB5BE4"/>
    <w:rsid w:val="00DC026E"/>
    <w:rsid w:val="00DC461E"/>
    <w:rsid w:val="00DC474B"/>
    <w:rsid w:val="00DD050E"/>
    <w:rsid w:val="00DD2368"/>
    <w:rsid w:val="00DD3848"/>
    <w:rsid w:val="00DD4B87"/>
    <w:rsid w:val="00DD5ED9"/>
    <w:rsid w:val="00DE143C"/>
    <w:rsid w:val="00DE50B4"/>
    <w:rsid w:val="00DE5140"/>
    <w:rsid w:val="00DF1D69"/>
    <w:rsid w:val="00DF7AF5"/>
    <w:rsid w:val="00DF7BC1"/>
    <w:rsid w:val="00DF7C85"/>
    <w:rsid w:val="00E0016A"/>
    <w:rsid w:val="00E035B6"/>
    <w:rsid w:val="00E045E9"/>
    <w:rsid w:val="00E04678"/>
    <w:rsid w:val="00E0536C"/>
    <w:rsid w:val="00E1037F"/>
    <w:rsid w:val="00E11B8F"/>
    <w:rsid w:val="00E11FFA"/>
    <w:rsid w:val="00E12CDB"/>
    <w:rsid w:val="00E15409"/>
    <w:rsid w:val="00E15A00"/>
    <w:rsid w:val="00E1600B"/>
    <w:rsid w:val="00E166FC"/>
    <w:rsid w:val="00E25927"/>
    <w:rsid w:val="00E269AA"/>
    <w:rsid w:val="00E26E95"/>
    <w:rsid w:val="00E27C80"/>
    <w:rsid w:val="00E30171"/>
    <w:rsid w:val="00E303F0"/>
    <w:rsid w:val="00E32C16"/>
    <w:rsid w:val="00E33080"/>
    <w:rsid w:val="00E361D4"/>
    <w:rsid w:val="00E37BFA"/>
    <w:rsid w:val="00E402AA"/>
    <w:rsid w:val="00E40B4D"/>
    <w:rsid w:val="00E40B89"/>
    <w:rsid w:val="00E4417A"/>
    <w:rsid w:val="00E44538"/>
    <w:rsid w:val="00E44CF5"/>
    <w:rsid w:val="00E45FF2"/>
    <w:rsid w:val="00E50B62"/>
    <w:rsid w:val="00E51F57"/>
    <w:rsid w:val="00E53282"/>
    <w:rsid w:val="00E5781C"/>
    <w:rsid w:val="00E57D67"/>
    <w:rsid w:val="00E607F6"/>
    <w:rsid w:val="00E6231A"/>
    <w:rsid w:val="00E6683B"/>
    <w:rsid w:val="00E756B9"/>
    <w:rsid w:val="00E853A8"/>
    <w:rsid w:val="00E8760C"/>
    <w:rsid w:val="00E90023"/>
    <w:rsid w:val="00E90831"/>
    <w:rsid w:val="00E90E7B"/>
    <w:rsid w:val="00E91CAE"/>
    <w:rsid w:val="00EA0472"/>
    <w:rsid w:val="00EA14DF"/>
    <w:rsid w:val="00EA2BD9"/>
    <w:rsid w:val="00EA465F"/>
    <w:rsid w:val="00EA5962"/>
    <w:rsid w:val="00EA6C31"/>
    <w:rsid w:val="00EB42D1"/>
    <w:rsid w:val="00EB5389"/>
    <w:rsid w:val="00EC23EA"/>
    <w:rsid w:val="00EC46D0"/>
    <w:rsid w:val="00EC6C29"/>
    <w:rsid w:val="00EC7019"/>
    <w:rsid w:val="00ED0C45"/>
    <w:rsid w:val="00ED0D4F"/>
    <w:rsid w:val="00EE1602"/>
    <w:rsid w:val="00EE351C"/>
    <w:rsid w:val="00EE65E9"/>
    <w:rsid w:val="00EE780A"/>
    <w:rsid w:val="00EE7C64"/>
    <w:rsid w:val="00EF0151"/>
    <w:rsid w:val="00EF2092"/>
    <w:rsid w:val="00EF455E"/>
    <w:rsid w:val="00F024BC"/>
    <w:rsid w:val="00F04B1B"/>
    <w:rsid w:val="00F06FAC"/>
    <w:rsid w:val="00F24F62"/>
    <w:rsid w:val="00F3020E"/>
    <w:rsid w:val="00F33927"/>
    <w:rsid w:val="00F33CF9"/>
    <w:rsid w:val="00F35833"/>
    <w:rsid w:val="00F36B1D"/>
    <w:rsid w:val="00F4335A"/>
    <w:rsid w:val="00F4560A"/>
    <w:rsid w:val="00F47C55"/>
    <w:rsid w:val="00F50370"/>
    <w:rsid w:val="00F508D9"/>
    <w:rsid w:val="00F52006"/>
    <w:rsid w:val="00F53B99"/>
    <w:rsid w:val="00F61163"/>
    <w:rsid w:val="00F62E08"/>
    <w:rsid w:val="00F637BB"/>
    <w:rsid w:val="00F65B39"/>
    <w:rsid w:val="00F6717F"/>
    <w:rsid w:val="00F67E2D"/>
    <w:rsid w:val="00F7069D"/>
    <w:rsid w:val="00F71372"/>
    <w:rsid w:val="00F80911"/>
    <w:rsid w:val="00F80D5A"/>
    <w:rsid w:val="00F8353D"/>
    <w:rsid w:val="00F87326"/>
    <w:rsid w:val="00F93044"/>
    <w:rsid w:val="00F9396C"/>
    <w:rsid w:val="00F949CE"/>
    <w:rsid w:val="00FA06E9"/>
    <w:rsid w:val="00FA299E"/>
    <w:rsid w:val="00FA65D4"/>
    <w:rsid w:val="00FA66F1"/>
    <w:rsid w:val="00FA6C65"/>
    <w:rsid w:val="00FA6CCD"/>
    <w:rsid w:val="00FB18C1"/>
    <w:rsid w:val="00FB265B"/>
    <w:rsid w:val="00FB2AFA"/>
    <w:rsid w:val="00FB399C"/>
    <w:rsid w:val="00FB3C00"/>
    <w:rsid w:val="00FB62E2"/>
    <w:rsid w:val="00FB70CD"/>
    <w:rsid w:val="00FC0473"/>
    <w:rsid w:val="00FC12E5"/>
    <w:rsid w:val="00FC163C"/>
    <w:rsid w:val="00FC365D"/>
    <w:rsid w:val="00FC51BD"/>
    <w:rsid w:val="00FC6B15"/>
    <w:rsid w:val="00FD0F4D"/>
    <w:rsid w:val="00FD66CF"/>
    <w:rsid w:val="00FE672C"/>
    <w:rsid w:val="00FE70D3"/>
    <w:rsid w:val="00FF2575"/>
    <w:rsid w:val="00FF4D91"/>
    <w:rsid w:val="00FF53F3"/>
    <w:rsid w:val="00FF6664"/>
    <w:rsid w:val="00FF6C96"/>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iPriority="0" w:unhideWhenUsed="1"/>
    <w:lsdException w:name="List 5" w:semiHidden="1" w:uiPriority="0"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sz w:val="22"/>
      <w:szCs w:val="22"/>
      <w:lang w:eastAsia="en-US"/>
    </w:rPr>
  </w:style>
  <w:style w:type="paragraph" w:styleId="Ttulo1">
    <w:name w:val="heading 1"/>
    <w:basedOn w:val="Normal"/>
    <w:next w:val="Normal"/>
    <w:link w:val="Ttulo1Car"/>
    <w:uiPriority w:val="9"/>
    <w:qFormat/>
    <w:rsid w:val="00BE7579"/>
    <w:pPr>
      <w:pBdr>
        <w:bottom w:val="single" w:sz="12" w:space="1" w:color="auto"/>
        <w:between w:val="single" w:sz="12" w:space="1" w:color="auto"/>
      </w:pBdr>
      <w:spacing w:after="0" w:line="216" w:lineRule="atLeast"/>
      <w:jc w:val="both"/>
      <w:outlineLvl w:val="0"/>
    </w:pPr>
    <w:rPr>
      <w:rFonts w:ascii="CG Palacio (WN)" w:eastAsia="Times New Roman" w:hAnsi="CG Palacio (WN)"/>
      <w:b/>
      <w:sz w:val="18"/>
      <w:szCs w:val="20"/>
      <w:lang w:eastAsia="es-ES"/>
    </w:rPr>
  </w:style>
  <w:style w:type="paragraph" w:styleId="Ttulo2">
    <w:name w:val="heading 2"/>
    <w:basedOn w:val="Normal"/>
    <w:next w:val="Normal"/>
    <w:link w:val="Ttulo2Car"/>
    <w:uiPriority w:val="9"/>
    <w:qFormat/>
    <w:rsid w:val="00BE7579"/>
    <w:pPr>
      <w:pBdr>
        <w:top w:val="double" w:sz="6" w:space="1" w:color="auto"/>
        <w:between w:val="double" w:sz="6" w:space="1" w:color="auto"/>
      </w:pBdr>
      <w:spacing w:after="101" w:line="216" w:lineRule="atLeast"/>
      <w:jc w:val="both"/>
      <w:outlineLvl w:val="1"/>
    </w:pPr>
    <w:rPr>
      <w:rFonts w:ascii="Arial" w:eastAsia="Times New Roman" w:hAnsi="Arial"/>
      <w:sz w:val="18"/>
      <w:szCs w:val="20"/>
      <w:lang w:eastAsia="es-ES"/>
    </w:rPr>
  </w:style>
  <w:style w:type="paragraph" w:styleId="Ttulo3">
    <w:name w:val="heading 3"/>
    <w:basedOn w:val="Normal"/>
    <w:next w:val="Sangranormal"/>
    <w:link w:val="Ttulo3Car"/>
    <w:uiPriority w:val="9"/>
    <w:qFormat/>
    <w:rsid w:val="00BE7579"/>
    <w:pPr>
      <w:spacing w:after="101" w:line="216" w:lineRule="atLeast"/>
      <w:ind w:firstLine="288"/>
      <w:jc w:val="both"/>
      <w:outlineLvl w:val="2"/>
    </w:pPr>
    <w:rPr>
      <w:rFonts w:ascii="Arial" w:eastAsia="Times New Roman" w:hAnsi="Arial"/>
      <w:sz w:val="18"/>
      <w:szCs w:val="20"/>
      <w:lang w:eastAsia="es-ES"/>
    </w:rPr>
  </w:style>
  <w:style w:type="paragraph" w:styleId="Ttulo4">
    <w:name w:val="heading 4"/>
    <w:basedOn w:val="Normal"/>
    <w:next w:val="Sangranormal"/>
    <w:link w:val="Ttulo4Car"/>
    <w:uiPriority w:val="9"/>
    <w:qFormat/>
    <w:rsid w:val="00BE7579"/>
    <w:pPr>
      <w:spacing w:after="0" w:line="240" w:lineRule="auto"/>
      <w:ind w:left="354"/>
      <w:outlineLvl w:val="3"/>
    </w:pPr>
    <w:rPr>
      <w:rFonts w:ascii="Courier" w:eastAsia="Times New Roman" w:hAnsi="Courier"/>
      <w:sz w:val="24"/>
      <w:szCs w:val="20"/>
      <w:u w:val="single"/>
      <w:lang w:eastAsia="es-ES"/>
    </w:rPr>
  </w:style>
  <w:style w:type="paragraph" w:styleId="Ttulo5">
    <w:name w:val="heading 5"/>
    <w:basedOn w:val="Normal"/>
    <w:next w:val="Sangranormal"/>
    <w:link w:val="Ttulo5Car"/>
    <w:uiPriority w:val="9"/>
    <w:qFormat/>
    <w:rsid w:val="00BE7579"/>
    <w:pPr>
      <w:spacing w:after="0" w:line="240" w:lineRule="auto"/>
      <w:ind w:left="708"/>
      <w:outlineLvl w:val="4"/>
    </w:pPr>
    <w:rPr>
      <w:rFonts w:ascii="Courier" w:eastAsia="Times New Roman" w:hAnsi="Courier"/>
      <w:b/>
      <w:sz w:val="20"/>
      <w:szCs w:val="20"/>
      <w:lang w:eastAsia="es-ES"/>
    </w:rPr>
  </w:style>
  <w:style w:type="paragraph" w:styleId="Ttulo6">
    <w:name w:val="heading 6"/>
    <w:basedOn w:val="Normal"/>
    <w:next w:val="Sangranormal"/>
    <w:link w:val="Ttulo6Car"/>
    <w:uiPriority w:val="9"/>
    <w:qFormat/>
    <w:rsid w:val="00BE7579"/>
    <w:pPr>
      <w:spacing w:after="0" w:line="240" w:lineRule="auto"/>
      <w:ind w:left="708"/>
      <w:outlineLvl w:val="5"/>
    </w:pPr>
    <w:rPr>
      <w:rFonts w:ascii="Courier" w:eastAsia="Times New Roman" w:hAnsi="Courier"/>
      <w:sz w:val="20"/>
      <w:szCs w:val="20"/>
      <w:u w:val="single"/>
      <w:lang w:eastAsia="es-ES"/>
    </w:rPr>
  </w:style>
  <w:style w:type="paragraph" w:styleId="Ttulo7">
    <w:name w:val="heading 7"/>
    <w:basedOn w:val="Normal"/>
    <w:next w:val="Sangranormal"/>
    <w:link w:val="Ttulo7Car"/>
    <w:qFormat/>
    <w:rsid w:val="00BE7579"/>
    <w:pPr>
      <w:spacing w:after="0" w:line="240" w:lineRule="auto"/>
      <w:ind w:left="708"/>
      <w:outlineLvl w:val="6"/>
    </w:pPr>
    <w:rPr>
      <w:rFonts w:ascii="Courier" w:eastAsia="Times New Roman" w:hAnsi="Courier"/>
      <w:i/>
      <w:sz w:val="20"/>
      <w:szCs w:val="20"/>
      <w:lang w:eastAsia="es-ES"/>
    </w:rPr>
  </w:style>
  <w:style w:type="paragraph" w:styleId="Ttulo8">
    <w:name w:val="heading 8"/>
    <w:basedOn w:val="Normal"/>
    <w:next w:val="Sangranormal"/>
    <w:link w:val="Ttulo8Car"/>
    <w:qFormat/>
    <w:rsid w:val="00BE7579"/>
    <w:pPr>
      <w:spacing w:after="0" w:line="240" w:lineRule="auto"/>
      <w:ind w:left="708"/>
      <w:outlineLvl w:val="7"/>
    </w:pPr>
    <w:rPr>
      <w:rFonts w:ascii="Courier" w:eastAsia="Times New Roman" w:hAnsi="Courier"/>
      <w:i/>
      <w:sz w:val="20"/>
      <w:szCs w:val="20"/>
      <w:lang w:eastAsia="es-ES"/>
    </w:rPr>
  </w:style>
  <w:style w:type="paragraph" w:styleId="Ttulo9">
    <w:name w:val="heading 9"/>
    <w:basedOn w:val="Normal"/>
    <w:next w:val="Sangranormal"/>
    <w:link w:val="Ttulo9Car"/>
    <w:qFormat/>
    <w:rsid w:val="00BE7579"/>
    <w:pPr>
      <w:spacing w:after="0" w:line="240" w:lineRule="auto"/>
      <w:ind w:left="708"/>
      <w:outlineLvl w:val="8"/>
    </w:pPr>
    <w:rPr>
      <w:rFonts w:ascii="Courier" w:eastAsia="Times New Roman" w:hAnsi="Courier"/>
      <w:i/>
      <w:sz w:val="20"/>
      <w:szCs w:val="20"/>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anotacion"/>
    <w:basedOn w:val="Normal"/>
    <w:link w:val="EncabezadoCar"/>
    <w:uiPriority w:val="99"/>
    <w:unhideWhenUsed/>
    <w:rsid w:val="00072BC8"/>
    <w:pPr>
      <w:tabs>
        <w:tab w:val="center" w:pos="4419"/>
        <w:tab w:val="right" w:pos="8838"/>
      </w:tabs>
      <w:spacing w:after="0" w:line="240" w:lineRule="auto"/>
    </w:pPr>
  </w:style>
  <w:style w:type="character" w:customStyle="1" w:styleId="EncabezadoCar">
    <w:name w:val="Encabezado Car"/>
    <w:aliases w:val="anotacion Car"/>
    <w:basedOn w:val="Fuentedeprrafopredeter"/>
    <w:link w:val="Encabezado"/>
    <w:uiPriority w:val="99"/>
    <w:rsid w:val="00072BC8"/>
  </w:style>
  <w:style w:type="paragraph" w:styleId="Piedepgina">
    <w:name w:val="footer"/>
    <w:aliases w:val="footer odd,footer odd1,footer odd2,footer odd3,footer odd4,footer odd5,footer"/>
    <w:basedOn w:val="Normal"/>
    <w:link w:val="PiedepginaCar"/>
    <w:uiPriority w:val="99"/>
    <w:unhideWhenUsed/>
    <w:rsid w:val="00072BC8"/>
    <w:pPr>
      <w:tabs>
        <w:tab w:val="center" w:pos="4419"/>
        <w:tab w:val="right" w:pos="8838"/>
      </w:tabs>
      <w:spacing w:after="0" w:line="240" w:lineRule="auto"/>
    </w:pPr>
  </w:style>
  <w:style w:type="character" w:customStyle="1" w:styleId="PiedepginaCar">
    <w:name w:val="Pie de página Car"/>
    <w:aliases w:val="footer odd Car,footer odd1 Car,footer odd2 Car,footer odd3 Car,footer odd4 Car,footer odd5 Car,footer Car"/>
    <w:basedOn w:val="Fuentedeprrafopredeter"/>
    <w:link w:val="Piedepgina"/>
    <w:uiPriority w:val="99"/>
    <w:rsid w:val="00072BC8"/>
  </w:style>
  <w:style w:type="paragraph" w:customStyle="1" w:styleId="estilo30">
    <w:name w:val="estilo30"/>
    <w:basedOn w:val="Normal"/>
    <w:rsid w:val="00761C83"/>
    <w:pPr>
      <w:spacing w:before="100" w:beforeAutospacing="1" w:after="100" w:afterAutospacing="1" w:line="240" w:lineRule="auto"/>
    </w:pPr>
    <w:rPr>
      <w:rFonts w:ascii="Times New Roman" w:eastAsia="Times New Roman" w:hAnsi="Times New Roman"/>
      <w:sz w:val="24"/>
      <w:szCs w:val="24"/>
      <w:lang w:eastAsia="es-MX"/>
    </w:rPr>
  </w:style>
  <w:style w:type="paragraph" w:styleId="NormalWeb">
    <w:name w:val="Normal (Web)"/>
    <w:basedOn w:val="Normal"/>
    <w:uiPriority w:val="99"/>
    <w:unhideWhenUsed/>
    <w:rsid w:val="00761C83"/>
    <w:pPr>
      <w:spacing w:before="100" w:beforeAutospacing="1" w:after="100" w:afterAutospacing="1" w:line="240" w:lineRule="auto"/>
    </w:pPr>
    <w:rPr>
      <w:rFonts w:ascii="Times New Roman" w:eastAsia="Times New Roman" w:hAnsi="Times New Roman"/>
      <w:sz w:val="24"/>
      <w:szCs w:val="24"/>
      <w:lang w:eastAsia="es-MX"/>
    </w:rPr>
  </w:style>
  <w:style w:type="paragraph" w:customStyle="1" w:styleId="Default">
    <w:name w:val="Default"/>
    <w:rsid w:val="00916A7E"/>
    <w:pPr>
      <w:autoSpaceDE w:val="0"/>
      <w:autoSpaceDN w:val="0"/>
      <w:adjustRightInd w:val="0"/>
    </w:pPr>
    <w:rPr>
      <w:rFonts w:ascii="Tahoma" w:hAnsi="Tahoma" w:cs="Tahoma"/>
      <w:color w:val="000000"/>
      <w:sz w:val="24"/>
      <w:szCs w:val="24"/>
    </w:rPr>
  </w:style>
  <w:style w:type="character" w:customStyle="1" w:styleId="Ttulo1Car">
    <w:name w:val="Título 1 Car"/>
    <w:basedOn w:val="Fuentedeprrafopredeter"/>
    <w:link w:val="Ttulo1"/>
    <w:uiPriority w:val="9"/>
    <w:rsid w:val="00BE7579"/>
    <w:rPr>
      <w:rFonts w:ascii="CG Palacio (WN)" w:eastAsia="Times New Roman" w:hAnsi="CG Palacio (WN)"/>
      <w:b/>
      <w:sz w:val="18"/>
      <w:lang w:eastAsia="es-ES"/>
    </w:rPr>
  </w:style>
  <w:style w:type="character" w:customStyle="1" w:styleId="Ttulo2Car">
    <w:name w:val="Título 2 Car"/>
    <w:basedOn w:val="Fuentedeprrafopredeter"/>
    <w:link w:val="Ttulo2"/>
    <w:uiPriority w:val="9"/>
    <w:rsid w:val="00BE7579"/>
    <w:rPr>
      <w:rFonts w:ascii="Arial" w:eastAsia="Times New Roman" w:hAnsi="Arial"/>
      <w:sz w:val="18"/>
      <w:lang w:eastAsia="es-ES"/>
    </w:rPr>
  </w:style>
  <w:style w:type="character" w:customStyle="1" w:styleId="Ttulo3Car">
    <w:name w:val="Título 3 Car"/>
    <w:basedOn w:val="Fuentedeprrafopredeter"/>
    <w:link w:val="Ttulo3"/>
    <w:uiPriority w:val="9"/>
    <w:rsid w:val="00BE7579"/>
    <w:rPr>
      <w:rFonts w:ascii="Arial" w:eastAsia="Times New Roman" w:hAnsi="Arial"/>
      <w:sz w:val="18"/>
      <w:lang w:eastAsia="es-ES"/>
    </w:rPr>
  </w:style>
  <w:style w:type="character" w:customStyle="1" w:styleId="Ttulo4Car">
    <w:name w:val="Título 4 Car"/>
    <w:basedOn w:val="Fuentedeprrafopredeter"/>
    <w:link w:val="Ttulo4"/>
    <w:uiPriority w:val="9"/>
    <w:rsid w:val="00BE7579"/>
    <w:rPr>
      <w:rFonts w:ascii="Courier" w:eastAsia="Times New Roman" w:hAnsi="Courier"/>
      <w:sz w:val="24"/>
      <w:u w:val="single"/>
      <w:lang w:eastAsia="es-ES"/>
    </w:rPr>
  </w:style>
  <w:style w:type="character" w:customStyle="1" w:styleId="Ttulo5Car">
    <w:name w:val="Título 5 Car"/>
    <w:basedOn w:val="Fuentedeprrafopredeter"/>
    <w:link w:val="Ttulo5"/>
    <w:uiPriority w:val="9"/>
    <w:rsid w:val="00BE7579"/>
    <w:rPr>
      <w:rFonts w:ascii="Courier" w:eastAsia="Times New Roman" w:hAnsi="Courier"/>
      <w:b/>
      <w:lang w:eastAsia="es-ES"/>
    </w:rPr>
  </w:style>
  <w:style w:type="character" w:customStyle="1" w:styleId="Ttulo6Car">
    <w:name w:val="Título 6 Car"/>
    <w:basedOn w:val="Fuentedeprrafopredeter"/>
    <w:link w:val="Ttulo6"/>
    <w:uiPriority w:val="9"/>
    <w:rsid w:val="00BE7579"/>
    <w:rPr>
      <w:rFonts w:ascii="Courier" w:eastAsia="Times New Roman" w:hAnsi="Courier"/>
      <w:u w:val="single"/>
      <w:lang w:eastAsia="es-ES"/>
    </w:rPr>
  </w:style>
  <w:style w:type="character" w:customStyle="1" w:styleId="Ttulo7Car">
    <w:name w:val="Título 7 Car"/>
    <w:basedOn w:val="Fuentedeprrafopredeter"/>
    <w:link w:val="Ttulo7"/>
    <w:rsid w:val="00BE7579"/>
    <w:rPr>
      <w:rFonts w:ascii="Courier" w:eastAsia="Times New Roman" w:hAnsi="Courier"/>
      <w:i/>
      <w:lang w:eastAsia="es-ES"/>
    </w:rPr>
  </w:style>
  <w:style w:type="character" w:customStyle="1" w:styleId="Ttulo8Car">
    <w:name w:val="Título 8 Car"/>
    <w:basedOn w:val="Fuentedeprrafopredeter"/>
    <w:link w:val="Ttulo8"/>
    <w:rsid w:val="00BE7579"/>
    <w:rPr>
      <w:rFonts w:ascii="Courier" w:eastAsia="Times New Roman" w:hAnsi="Courier"/>
      <w:i/>
      <w:lang w:eastAsia="es-ES"/>
    </w:rPr>
  </w:style>
  <w:style w:type="character" w:customStyle="1" w:styleId="Ttulo9Car">
    <w:name w:val="Título 9 Car"/>
    <w:basedOn w:val="Fuentedeprrafopredeter"/>
    <w:link w:val="Ttulo9"/>
    <w:rsid w:val="00BE7579"/>
    <w:rPr>
      <w:rFonts w:ascii="Courier" w:eastAsia="Times New Roman" w:hAnsi="Courier"/>
      <w:i/>
      <w:lang w:eastAsia="es-ES"/>
    </w:rPr>
  </w:style>
  <w:style w:type="paragraph" w:styleId="Sangranormal">
    <w:name w:val="Normal Indent"/>
    <w:basedOn w:val="Normal"/>
    <w:rsid w:val="00BE7579"/>
    <w:pPr>
      <w:spacing w:after="72" w:line="187" w:lineRule="atLeast"/>
      <w:jc w:val="both"/>
    </w:pPr>
    <w:rPr>
      <w:rFonts w:ascii="Arial" w:eastAsia="Times New Roman" w:hAnsi="Arial"/>
      <w:sz w:val="16"/>
      <w:szCs w:val="20"/>
      <w:lang w:eastAsia="es-ES"/>
    </w:rPr>
  </w:style>
  <w:style w:type="paragraph" w:styleId="Textonotapie">
    <w:name w:val="footnote text"/>
    <w:aliases w:val=" Char,Char,ALTS FOOTNOTE,Footnote Text Char1,Footnote Text Char Char1,Footnote Text Char4 Char Char,Footnote Text Char1 Char1 Char1 Char,Footnote Text Char Char1 Char1 Char Char,Footnote Text Char1 Char1 Char1 Char Char Char1,DNV-,DNV,fn"/>
    <w:basedOn w:val="Normal"/>
    <w:link w:val="TextonotapieCar"/>
    <w:uiPriority w:val="99"/>
    <w:qFormat/>
    <w:rsid w:val="00BE7579"/>
    <w:pPr>
      <w:spacing w:after="0" w:line="240" w:lineRule="auto"/>
    </w:pPr>
    <w:rPr>
      <w:rFonts w:ascii="Helv" w:eastAsia="Times New Roman" w:hAnsi="Helv"/>
      <w:sz w:val="20"/>
      <w:szCs w:val="20"/>
      <w:lang w:eastAsia="es-ES"/>
    </w:rPr>
  </w:style>
  <w:style w:type="character" w:customStyle="1" w:styleId="TextonotapieCar">
    <w:name w:val="Texto nota pie Car"/>
    <w:aliases w:val=" Char Car,Char Car,ALTS FOOTNOTE Car,Footnote Text Char1 Car,Footnote Text Char Char1 Car,Footnote Text Char4 Char Char Car,Footnote Text Char1 Char1 Char1 Char Car,Footnote Text Char Char1 Char1 Char Char Car,DNV- Car,DNV Car,fn Car"/>
    <w:basedOn w:val="Fuentedeprrafopredeter"/>
    <w:link w:val="Textonotapie"/>
    <w:uiPriority w:val="99"/>
    <w:rsid w:val="00BE7579"/>
    <w:rPr>
      <w:rFonts w:ascii="Helv" w:eastAsia="Times New Roman" w:hAnsi="Helv"/>
      <w:lang w:eastAsia="es-ES"/>
    </w:rPr>
  </w:style>
  <w:style w:type="paragraph" w:customStyle="1" w:styleId="ROMANOS">
    <w:name w:val="ROMANOS"/>
    <w:basedOn w:val="Normal"/>
    <w:rsid w:val="00BE7579"/>
    <w:pPr>
      <w:spacing w:after="101" w:line="216" w:lineRule="atLeast"/>
      <w:ind w:left="810" w:hanging="540"/>
      <w:jc w:val="both"/>
    </w:pPr>
    <w:rPr>
      <w:rFonts w:ascii="Arial" w:eastAsia="Times New Roman" w:hAnsi="Arial"/>
      <w:sz w:val="18"/>
      <w:szCs w:val="20"/>
      <w:lang w:eastAsia="es-ES"/>
    </w:rPr>
  </w:style>
  <w:style w:type="paragraph" w:customStyle="1" w:styleId="INCISO">
    <w:name w:val="INCISO"/>
    <w:basedOn w:val="Normal"/>
    <w:rsid w:val="00BE7579"/>
    <w:pPr>
      <w:spacing w:after="101" w:line="216" w:lineRule="atLeast"/>
      <w:ind w:left="1260" w:hanging="432"/>
      <w:jc w:val="both"/>
    </w:pPr>
    <w:rPr>
      <w:rFonts w:ascii="Arial" w:eastAsia="Times New Roman" w:hAnsi="Arial"/>
      <w:sz w:val="18"/>
      <w:szCs w:val="20"/>
      <w:lang w:eastAsia="es-ES"/>
    </w:rPr>
  </w:style>
  <w:style w:type="paragraph" w:customStyle="1" w:styleId="CERRAR">
    <w:name w:val="CERRAR"/>
    <w:basedOn w:val="Normal"/>
    <w:rsid w:val="00BE7579"/>
    <w:pPr>
      <w:spacing w:after="29" w:line="187" w:lineRule="atLeast"/>
      <w:ind w:firstLine="288"/>
      <w:jc w:val="both"/>
    </w:pPr>
    <w:rPr>
      <w:rFonts w:ascii="Arial" w:eastAsia="Times New Roman" w:hAnsi="Arial"/>
      <w:sz w:val="18"/>
      <w:szCs w:val="20"/>
      <w:lang w:eastAsia="es-ES"/>
    </w:rPr>
  </w:style>
  <w:style w:type="paragraph" w:customStyle="1" w:styleId="ABRIR">
    <w:name w:val="ABRIR"/>
    <w:basedOn w:val="Normal"/>
    <w:rsid w:val="00BE7579"/>
    <w:pPr>
      <w:spacing w:after="120" w:line="240" w:lineRule="atLeast"/>
      <w:ind w:firstLine="288"/>
      <w:jc w:val="both"/>
    </w:pPr>
    <w:rPr>
      <w:rFonts w:ascii="Arial" w:eastAsia="Times New Roman" w:hAnsi="Arial"/>
      <w:sz w:val="18"/>
      <w:szCs w:val="20"/>
      <w:lang w:eastAsia="es-ES"/>
    </w:rPr>
  </w:style>
  <w:style w:type="paragraph" w:customStyle="1" w:styleId="ANOTACION">
    <w:name w:val="ANOTACION"/>
    <w:basedOn w:val="Normal"/>
    <w:link w:val="ANOTACIONCar"/>
    <w:rsid w:val="00BE7579"/>
    <w:pPr>
      <w:spacing w:before="101" w:after="101" w:line="216" w:lineRule="atLeast"/>
      <w:jc w:val="center"/>
    </w:pPr>
    <w:rPr>
      <w:rFonts w:ascii="CG Palacio (WN)" w:eastAsia="Times New Roman" w:hAnsi="CG Palacio (WN)"/>
      <w:b/>
      <w:sz w:val="18"/>
      <w:szCs w:val="20"/>
      <w:lang w:val="x-none" w:eastAsia="es-ES"/>
    </w:rPr>
  </w:style>
  <w:style w:type="paragraph" w:customStyle="1" w:styleId="texto">
    <w:name w:val="texto"/>
    <w:basedOn w:val="Normal"/>
    <w:rsid w:val="00BE7579"/>
    <w:pPr>
      <w:spacing w:after="101" w:line="216" w:lineRule="atLeast"/>
      <w:ind w:firstLine="288"/>
      <w:jc w:val="both"/>
    </w:pPr>
    <w:rPr>
      <w:rFonts w:ascii="Arial" w:eastAsia="Times New Roman" w:hAnsi="Arial"/>
      <w:sz w:val="18"/>
      <w:szCs w:val="20"/>
      <w:lang w:eastAsia="es-ES"/>
    </w:rPr>
  </w:style>
  <w:style w:type="paragraph" w:customStyle="1" w:styleId="Fechas">
    <w:name w:val="Fechas"/>
    <w:basedOn w:val="Normal"/>
    <w:rsid w:val="00BE7579"/>
    <w:pPr>
      <w:pBdr>
        <w:bottom w:val="double" w:sz="6" w:space="1" w:color="auto"/>
        <w:between w:val="double" w:sz="6" w:space="1" w:color="auto"/>
      </w:pBdr>
      <w:tabs>
        <w:tab w:val="center" w:pos="4464"/>
        <w:tab w:val="right" w:pos="8496"/>
      </w:tabs>
      <w:spacing w:after="0" w:line="216" w:lineRule="atLeast"/>
      <w:ind w:left="288" w:right="288"/>
      <w:jc w:val="both"/>
    </w:pPr>
    <w:rPr>
      <w:rFonts w:ascii="CG Palacio (WN)" w:eastAsia="Times New Roman" w:hAnsi="CG Palacio (WN)"/>
      <w:sz w:val="18"/>
      <w:szCs w:val="20"/>
      <w:lang w:eastAsia="es-ES"/>
    </w:rPr>
  </w:style>
  <w:style w:type="paragraph" w:customStyle="1" w:styleId="4x3">
    <w:name w:val="4x3"/>
    <w:basedOn w:val="texto"/>
    <w:rsid w:val="00BE7579"/>
    <w:pPr>
      <w:tabs>
        <w:tab w:val="left" w:pos="810"/>
        <w:tab w:val="left" w:pos="2430"/>
        <w:tab w:val="right" w:pos="4860"/>
        <w:tab w:val="left" w:pos="6390"/>
      </w:tabs>
    </w:pPr>
  </w:style>
  <w:style w:type="paragraph" w:customStyle="1" w:styleId="CABEZA">
    <w:name w:val="CABEZA"/>
    <w:basedOn w:val="Ttulo1"/>
    <w:rsid w:val="00BE7579"/>
    <w:pPr>
      <w:pBdr>
        <w:bottom w:val="none" w:sz="0" w:space="0" w:color="auto"/>
        <w:between w:val="none" w:sz="0" w:space="0" w:color="auto"/>
      </w:pBdr>
      <w:jc w:val="center"/>
    </w:pPr>
    <w:rPr>
      <w:sz w:val="28"/>
    </w:rPr>
  </w:style>
  <w:style w:type="paragraph" w:customStyle="1" w:styleId="registro">
    <w:name w:val="registro"/>
    <w:basedOn w:val="texto"/>
    <w:rsid w:val="00BE7579"/>
    <w:pPr>
      <w:jc w:val="right"/>
    </w:pPr>
    <w:rPr>
      <w:b/>
    </w:rPr>
  </w:style>
  <w:style w:type="paragraph" w:customStyle="1" w:styleId="tab">
    <w:name w:val="tab"/>
    <w:basedOn w:val="Normal"/>
    <w:rsid w:val="00BE7579"/>
    <w:pPr>
      <w:keepNext/>
      <w:keepLines/>
      <w:tabs>
        <w:tab w:val="right" w:leader="dot" w:pos="7470"/>
      </w:tabs>
      <w:spacing w:after="101" w:line="216" w:lineRule="atLeast"/>
      <w:ind w:right="-162" w:firstLine="720"/>
      <w:jc w:val="both"/>
    </w:pPr>
    <w:rPr>
      <w:rFonts w:ascii="Arial" w:eastAsia="Times New Roman" w:hAnsi="Arial"/>
      <w:b/>
      <w:szCs w:val="20"/>
      <w:lang w:eastAsia="es-ES"/>
    </w:rPr>
  </w:style>
  <w:style w:type="paragraph" w:customStyle="1" w:styleId="cetneg">
    <w:name w:val="cetneg"/>
    <w:basedOn w:val="texto"/>
    <w:rsid w:val="00BE7579"/>
    <w:pPr>
      <w:ind w:firstLine="0"/>
      <w:jc w:val="center"/>
    </w:pPr>
    <w:rPr>
      <w:b/>
    </w:rPr>
  </w:style>
  <w:style w:type="paragraph" w:customStyle="1" w:styleId="FIRMA">
    <w:name w:val="FIRMA"/>
    <w:basedOn w:val="texto"/>
    <w:rsid w:val="00BE7579"/>
    <w:pPr>
      <w:tabs>
        <w:tab w:val="right" w:leader="dot" w:pos="8640"/>
      </w:tabs>
      <w:ind w:left="4320" w:firstLine="0"/>
    </w:pPr>
  </w:style>
  <w:style w:type="paragraph" w:customStyle="1" w:styleId="FIRMA2">
    <w:name w:val="FIRMA2"/>
    <w:basedOn w:val="texto"/>
    <w:rsid w:val="00BE7579"/>
    <w:pPr>
      <w:tabs>
        <w:tab w:val="center" w:pos="6480"/>
      </w:tabs>
    </w:pPr>
  </w:style>
  <w:style w:type="paragraph" w:customStyle="1" w:styleId="NOMBRE">
    <w:name w:val="NOMBRE"/>
    <w:basedOn w:val="texto"/>
    <w:rsid w:val="00BE7579"/>
    <w:pPr>
      <w:tabs>
        <w:tab w:val="right" w:leader="underscore" w:pos="8640"/>
      </w:tabs>
    </w:pPr>
  </w:style>
  <w:style w:type="paragraph" w:customStyle="1" w:styleId="GRANPTOS">
    <w:name w:val="GRANPTOS"/>
    <w:basedOn w:val="NOMBRE"/>
    <w:rsid w:val="00BE7579"/>
    <w:pPr>
      <w:tabs>
        <w:tab w:val="right" w:leader="dot" w:pos="8640"/>
      </w:tabs>
    </w:pPr>
  </w:style>
  <w:style w:type="paragraph" w:customStyle="1" w:styleId="tabla1">
    <w:name w:val="tabla 1"/>
    <w:basedOn w:val="texto"/>
    <w:rsid w:val="00BE7579"/>
    <w:rPr>
      <w:rFonts w:ascii="Helv" w:hAnsi="Helv"/>
    </w:rPr>
  </w:style>
  <w:style w:type="paragraph" w:customStyle="1" w:styleId="SRA">
    <w:name w:val="SRA"/>
    <w:basedOn w:val="ROMANOS"/>
    <w:rsid w:val="00BE7579"/>
    <w:pPr>
      <w:ind w:left="1440" w:hanging="1170"/>
    </w:pPr>
    <w:rPr>
      <w:rFonts w:ascii="Helv" w:hAnsi="Helv"/>
    </w:rPr>
  </w:style>
  <w:style w:type="paragraph" w:customStyle="1" w:styleId="OmniPage261">
    <w:name w:val="OmniPage #261"/>
    <w:basedOn w:val="Normal"/>
    <w:rsid w:val="00BE7579"/>
    <w:pPr>
      <w:tabs>
        <w:tab w:val="left" w:pos="1372"/>
        <w:tab w:val="left" w:leader="dot" w:pos="3803"/>
        <w:tab w:val="left" w:leader="dot" w:pos="4495"/>
        <w:tab w:val="left" w:leader="dot" w:pos="8627"/>
        <w:tab w:val="left" w:leader="dot" w:pos="9755"/>
        <w:tab w:val="right" w:pos="10496"/>
      </w:tabs>
      <w:spacing w:after="0" w:line="240" w:lineRule="auto"/>
      <w:ind w:left="1826" w:right="100"/>
    </w:pPr>
    <w:rPr>
      <w:rFonts w:ascii="Arial" w:eastAsia="Times New Roman" w:hAnsi="Arial"/>
      <w:noProof/>
      <w:sz w:val="20"/>
      <w:szCs w:val="20"/>
      <w:lang w:eastAsia="es-ES"/>
    </w:rPr>
  </w:style>
  <w:style w:type="paragraph" w:styleId="Lista4">
    <w:name w:val="List 4"/>
    <w:basedOn w:val="Normal"/>
    <w:rsid w:val="00BE7579"/>
    <w:pPr>
      <w:spacing w:after="0" w:line="240" w:lineRule="auto"/>
      <w:ind w:left="566" w:hanging="283"/>
    </w:pPr>
    <w:rPr>
      <w:rFonts w:ascii="Times New Roman" w:eastAsia="Times New Roman" w:hAnsi="Times New Roman"/>
      <w:sz w:val="20"/>
      <w:szCs w:val="20"/>
      <w:lang w:eastAsia="es-ES"/>
    </w:rPr>
  </w:style>
  <w:style w:type="paragraph" w:styleId="Lista5">
    <w:name w:val="List 5"/>
    <w:basedOn w:val="Normal"/>
    <w:rsid w:val="00BE7579"/>
    <w:pPr>
      <w:spacing w:after="0" w:line="240" w:lineRule="auto"/>
      <w:ind w:left="849" w:hanging="283"/>
    </w:pPr>
    <w:rPr>
      <w:rFonts w:ascii="Times New Roman" w:eastAsia="Times New Roman" w:hAnsi="Times New Roman"/>
      <w:sz w:val="20"/>
      <w:szCs w:val="20"/>
      <w:lang w:eastAsia="es-ES"/>
    </w:rPr>
  </w:style>
  <w:style w:type="paragraph" w:styleId="Continuarlista">
    <w:name w:val="List Continue"/>
    <w:basedOn w:val="Normal"/>
    <w:rsid w:val="00BE7579"/>
    <w:pPr>
      <w:spacing w:after="120" w:line="240" w:lineRule="auto"/>
      <w:ind w:left="566"/>
    </w:pPr>
    <w:rPr>
      <w:rFonts w:ascii="Times New Roman" w:eastAsia="Times New Roman" w:hAnsi="Times New Roman"/>
      <w:sz w:val="20"/>
      <w:szCs w:val="20"/>
      <w:lang w:eastAsia="es-ES"/>
    </w:rPr>
  </w:style>
  <w:style w:type="paragraph" w:styleId="Listaconnmeros2">
    <w:name w:val="List Number 2"/>
    <w:basedOn w:val="Normal"/>
    <w:rsid w:val="00BE7579"/>
    <w:pPr>
      <w:spacing w:after="120" w:line="240" w:lineRule="auto"/>
      <w:ind w:left="849"/>
    </w:pPr>
    <w:rPr>
      <w:rFonts w:ascii="Times New Roman" w:eastAsia="Times New Roman" w:hAnsi="Times New Roman"/>
      <w:sz w:val="20"/>
      <w:szCs w:val="20"/>
      <w:lang w:eastAsia="es-ES"/>
    </w:rPr>
  </w:style>
  <w:style w:type="paragraph" w:styleId="Textoindependiente">
    <w:name w:val="Body Text"/>
    <w:basedOn w:val="Normal"/>
    <w:link w:val="TextoindependienteCar"/>
    <w:rsid w:val="00BE7579"/>
    <w:pPr>
      <w:spacing w:after="120" w:line="240" w:lineRule="auto"/>
    </w:pPr>
    <w:rPr>
      <w:rFonts w:ascii="Times New Roman" w:eastAsia="Times New Roman" w:hAnsi="Times New Roman"/>
      <w:sz w:val="20"/>
      <w:szCs w:val="20"/>
      <w:lang w:eastAsia="es-ES"/>
    </w:rPr>
  </w:style>
  <w:style w:type="character" w:customStyle="1" w:styleId="TextoindependienteCar">
    <w:name w:val="Texto independiente Car"/>
    <w:basedOn w:val="Fuentedeprrafopredeter"/>
    <w:link w:val="Textoindependiente"/>
    <w:rsid w:val="00BE7579"/>
    <w:rPr>
      <w:rFonts w:ascii="Times New Roman" w:eastAsia="Times New Roman" w:hAnsi="Times New Roman"/>
      <w:lang w:eastAsia="es-ES"/>
    </w:rPr>
  </w:style>
  <w:style w:type="paragraph" w:customStyle="1" w:styleId="Textoindependiente21">
    <w:name w:val="Texto independiente 21"/>
    <w:basedOn w:val="Normal"/>
    <w:rsid w:val="00BE7579"/>
    <w:pPr>
      <w:spacing w:after="120" w:line="240" w:lineRule="auto"/>
      <w:ind w:left="283"/>
    </w:pPr>
    <w:rPr>
      <w:rFonts w:ascii="Times New Roman" w:eastAsia="Times New Roman" w:hAnsi="Times New Roman"/>
      <w:sz w:val="20"/>
      <w:szCs w:val="20"/>
      <w:lang w:eastAsia="es-ES"/>
    </w:rPr>
  </w:style>
  <w:style w:type="paragraph" w:styleId="Textosinformato">
    <w:name w:val="Plain Text"/>
    <w:basedOn w:val="Normal"/>
    <w:link w:val="TextosinformatoCar"/>
    <w:rsid w:val="00BE7579"/>
    <w:pPr>
      <w:spacing w:after="0" w:line="240" w:lineRule="auto"/>
    </w:pPr>
    <w:rPr>
      <w:rFonts w:ascii="Courier New" w:eastAsia="Times New Roman" w:hAnsi="Courier New" w:cs="Courier New"/>
      <w:sz w:val="20"/>
      <w:szCs w:val="20"/>
      <w:lang w:val="es-ES" w:eastAsia="es-ES"/>
    </w:rPr>
  </w:style>
  <w:style w:type="character" w:customStyle="1" w:styleId="TextosinformatoCar">
    <w:name w:val="Texto sin formato Car"/>
    <w:basedOn w:val="Fuentedeprrafopredeter"/>
    <w:link w:val="Textosinformato"/>
    <w:rsid w:val="00BE7579"/>
    <w:rPr>
      <w:rFonts w:ascii="Courier New" w:eastAsia="Times New Roman" w:hAnsi="Courier New" w:cs="Courier New"/>
      <w:lang w:val="es-ES" w:eastAsia="es-ES"/>
    </w:rPr>
  </w:style>
  <w:style w:type="character" w:styleId="Nmerodepgina">
    <w:name w:val="page number"/>
    <w:basedOn w:val="Fuentedeprrafopredeter"/>
    <w:rsid w:val="00BE7579"/>
  </w:style>
  <w:style w:type="paragraph" w:customStyle="1" w:styleId="Texto0">
    <w:name w:val="Texto"/>
    <w:basedOn w:val="ROMANOS"/>
    <w:rsid w:val="00BE7579"/>
    <w:pPr>
      <w:spacing w:line="216" w:lineRule="exact"/>
      <w:ind w:left="0" w:firstLine="288"/>
    </w:pPr>
    <w:rPr>
      <w:rFonts w:cs="Arial"/>
      <w:lang w:val="es-ES" w:eastAsia="es-MX"/>
    </w:rPr>
  </w:style>
  <w:style w:type="paragraph" w:customStyle="1" w:styleId="Anotacion0">
    <w:name w:val="Anotacion"/>
    <w:basedOn w:val="Normal"/>
    <w:rsid w:val="00BE7579"/>
    <w:pPr>
      <w:spacing w:before="101" w:after="101" w:line="240" w:lineRule="auto"/>
      <w:jc w:val="center"/>
    </w:pPr>
    <w:rPr>
      <w:rFonts w:ascii="Times New Roman" w:eastAsia="Times New Roman" w:hAnsi="Times New Roman"/>
      <w:b/>
      <w:sz w:val="18"/>
      <w:szCs w:val="20"/>
      <w:lang w:val="es-ES" w:eastAsia="es-MX"/>
    </w:rPr>
  </w:style>
  <w:style w:type="paragraph" w:customStyle="1" w:styleId="TextoCar">
    <w:name w:val="Texto Car"/>
    <w:basedOn w:val="Normal"/>
    <w:rsid w:val="00BE7579"/>
    <w:pPr>
      <w:spacing w:after="101" w:line="216" w:lineRule="exact"/>
      <w:ind w:firstLine="288"/>
      <w:jc w:val="both"/>
    </w:pPr>
    <w:rPr>
      <w:rFonts w:ascii="Arial" w:eastAsia="Times New Roman" w:hAnsi="Arial" w:cs="Arial"/>
      <w:sz w:val="18"/>
      <w:szCs w:val="18"/>
      <w:lang w:eastAsia="es-MX"/>
    </w:rPr>
  </w:style>
  <w:style w:type="character" w:styleId="Textoennegrita">
    <w:name w:val="Strong"/>
    <w:qFormat/>
    <w:rsid w:val="00BE7579"/>
    <w:rPr>
      <w:b/>
      <w:bCs/>
    </w:rPr>
  </w:style>
  <w:style w:type="table" w:styleId="Tablaconcuadrcula">
    <w:name w:val="Table Grid"/>
    <w:basedOn w:val="Tablanormal"/>
    <w:uiPriority w:val="59"/>
    <w:rsid w:val="00BE7579"/>
    <w:rPr>
      <w:rFonts w:ascii="Courier" w:eastAsia="Times New Roman" w:hAnsi="Courie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NOTACIONCar">
    <w:name w:val="ANOTACION Car"/>
    <w:link w:val="ANOTACION"/>
    <w:locked/>
    <w:rsid w:val="00BE7579"/>
    <w:rPr>
      <w:rFonts w:ascii="CG Palacio (WN)" w:eastAsia="Times New Roman" w:hAnsi="CG Palacio (WN)"/>
      <w:b/>
      <w:sz w:val="18"/>
      <w:lang w:val="x-none" w:eastAsia="es-ES"/>
    </w:rPr>
  </w:style>
  <w:style w:type="character" w:styleId="Refdecomentario">
    <w:name w:val="annotation reference"/>
    <w:uiPriority w:val="99"/>
    <w:rsid w:val="00BE7579"/>
    <w:rPr>
      <w:sz w:val="16"/>
      <w:szCs w:val="16"/>
    </w:rPr>
  </w:style>
  <w:style w:type="paragraph" w:styleId="Textocomentario">
    <w:name w:val="annotation text"/>
    <w:basedOn w:val="Normal"/>
    <w:link w:val="TextocomentarioCar"/>
    <w:uiPriority w:val="99"/>
    <w:rsid w:val="00BE7579"/>
    <w:pPr>
      <w:spacing w:after="0" w:line="240" w:lineRule="auto"/>
    </w:pPr>
    <w:rPr>
      <w:rFonts w:ascii="Helv" w:eastAsia="Times New Roman" w:hAnsi="Helv"/>
      <w:sz w:val="20"/>
      <w:szCs w:val="20"/>
      <w:lang w:eastAsia="es-ES"/>
    </w:rPr>
  </w:style>
  <w:style w:type="character" w:customStyle="1" w:styleId="TextocomentarioCar">
    <w:name w:val="Texto comentario Car"/>
    <w:basedOn w:val="Fuentedeprrafopredeter"/>
    <w:link w:val="Textocomentario"/>
    <w:uiPriority w:val="99"/>
    <w:rsid w:val="00BE7579"/>
    <w:rPr>
      <w:rFonts w:ascii="Helv" w:eastAsia="Times New Roman" w:hAnsi="Helv"/>
      <w:lang w:eastAsia="es-ES"/>
    </w:rPr>
  </w:style>
  <w:style w:type="paragraph" w:styleId="Asuntodelcomentario">
    <w:name w:val="annotation subject"/>
    <w:basedOn w:val="Textocomentario"/>
    <w:next w:val="Textocomentario"/>
    <w:link w:val="AsuntodelcomentarioCar"/>
    <w:uiPriority w:val="99"/>
    <w:rsid w:val="00BE7579"/>
    <w:rPr>
      <w:b/>
      <w:bCs/>
    </w:rPr>
  </w:style>
  <w:style w:type="character" w:customStyle="1" w:styleId="AsuntodelcomentarioCar">
    <w:name w:val="Asunto del comentario Car"/>
    <w:basedOn w:val="TextocomentarioCar"/>
    <w:link w:val="Asuntodelcomentario"/>
    <w:uiPriority w:val="99"/>
    <w:rsid w:val="00BE7579"/>
    <w:rPr>
      <w:rFonts w:ascii="Helv" w:eastAsia="Times New Roman" w:hAnsi="Helv"/>
      <w:b/>
      <w:bCs/>
      <w:lang w:eastAsia="es-ES"/>
    </w:rPr>
  </w:style>
  <w:style w:type="paragraph" w:styleId="Textodeglobo">
    <w:name w:val="Balloon Text"/>
    <w:basedOn w:val="Normal"/>
    <w:link w:val="TextodegloboCar"/>
    <w:uiPriority w:val="99"/>
    <w:rsid w:val="00BE7579"/>
    <w:pPr>
      <w:spacing w:after="0" w:line="240" w:lineRule="auto"/>
    </w:pPr>
    <w:rPr>
      <w:rFonts w:ascii="Tahoma" w:eastAsia="Times New Roman" w:hAnsi="Tahoma" w:cs="Tahoma"/>
      <w:sz w:val="16"/>
      <w:szCs w:val="16"/>
      <w:lang w:eastAsia="es-ES"/>
    </w:rPr>
  </w:style>
  <w:style w:type="character" w:customStyle="1" w:styleId="TextodegloboCar">
    <w:name w:val="Texto de globo Car"/>
    <w:basedOn w:val="Fuentedeprrafopredeter"/>
    <w:link w:val="Textodeglobo"/>
    <w:uiPriority w:val="99"/>
    <w:rsid w:val="00BE7579"/>
    <w:rPr>
      <w:rFonts w:ascii="Tahoma" w:eastAsia="Times New Roman" w:hAnsi="Tahoma" w:cs="Tahoma"/>
      <w:sz w:val="16"/>
      <w:szCs w:val="16"/>
      <w:lang w:eastAsia="es-ES"/>
    </w:rPr>
  </w:style>
  <w:style w:type="paragraph" w:styleId="Prrafodelista">
    <w:name w:val="List Paragraph"/>
    <w:aliases w:val="Cuadros,Lista general,Bullet List,FooterText,numbered,List Paragraph1,Paragraphe de liste1,Bulletr List Paragraph,列出段落,列出段落1,Listas,lp1,Lista vistosa - Énfasis 11,CNBV Parrafo1"/>
    <w:basedOn w:val="Normal"/>
    <w:link w:val="PrrafodelistaCar"/>
    <w:uiPriority w:val="34"/>
    <w:qFormat/>
    <w:rsid w:val="00BE7579"/>
    <w:pPr>
      <w:spacing w:after="0" w:line="240" w:lineRule="auto"/>
      <w:ind w:left="708"/>
    </w:pPr>
    <w:rPr>
      <w:rFonts w:ascii="Helv" w:eastAsia="Times New Roman" w:hAnsi="Helv"/>
      <w:sz w:val="24"/>
      <w:szCs w:val="20"/>
      <w:lang w:eastAsia="es-ES"/>
    </w:rPr>
  </w:style>
  <w:style w:type="numbering" w:customStyle="1" w:styleId="Sinlista1">
    <w:name w:val="Sin lista1"/>
    <w:next w:val="Sinlista"/>
    <w:uiPriority w:val="99"/>
    <w:semiHidden/>
    <w:unhideWhenUsed/>
    <w:rsid w:val="0093430A"/>
  </w:style>
  <w:style w:type="character" w:styleId="Hipervnculo">
    <w:name w:val="Hyperlink"/>
    <w:basedOn w:val="Fuentedeprrafopredeter"/>
    <w:uiPriority w:val="99"/>
    <w:unhideWhenUsed/>
    <w:rsid w:val="0093430A"/>
    <w:rPr>
      <w:strike w:val="0"/>
      <w:dstrike w:val="0"/>
      <w:color w:val="2F2F2F"/>
      <w:u w:val="none"/>
      <w:effect w:val="none"/>
    </w:rPr>
  </w:style>
  <w:style w:type="character" w:styleId="Hipervnculovisitado">
    <w:name w:val="FollowedHyperlink"/>
    <w:basedOn w:val="Fuentedeprrafopredeter"/>
    <w:uiPriority w:val="99"/>
    <w:semiHidden/>
    <w:unhideWhenUsed/>
    <w:rsid w:val="0093430A"/>
    <w:rPr>
      <w:strike w:val="0"/>
      <w:dstrike w:val="0"/>
      <w:color w:val="2F2F2F"/>
      <w:u w:val="none"/>
      <w:effect w:val="none"/>
    </w:rPr>
  </w:style>
  <w:style w:type="paragraph" w:customStyle="1" w:styleId="enlaces">
    <w:name w:val="enlaces"/>
    <w:basedOn w:val="Normal"/>
    <w:rsid w:val="0093430A"/>
    <w:pPr>
      <w:spacing w:after="120" w:line="312" w:lineRule="atLeast"/>
      <w:ind w:left="120"/>
      <w:jc w:val="both"/>
    </w:pPr>
    <w:rPr>
      <w:rFonts w:ascii="Times New Roman" w:eastAsia="Times New Roman" w:hAnsi="Times New Roman"/>
      <w:color w:val="2F2F2F"/>
      <w:sz w:val="24"/>
      <w:szCs w:val="24"/>
      <w:lang w:val="es-ES" w:eastAsia="es-ES"/>
    </w:rPr>
  </w:style>
  <w:style w:type="paragraph" w:customStyle="1" w:styleId="topfooter">
    <w:name w:val="topfooter"/>
    <w:basedOn w:val="Normal"/>
    <w:rsid w:val="0093430A"/>
    <w:pPr>
      <w:spacing w:after="120" w:line="240" w:lineRule="auto"/>
      <w:ind w:left="120"/>
    </w:pPr>
    <w:rPr>
      <w:rFonts w:ascii="Times New Roman" w:eastAsia="Times New Roman" w:hAnsi="Times New Roman"/>
      <w:color w:val="2F2F2F"/>
      <w:sz w:val="24"/>
      <w:szCs w:val="24"/>
      <w:lang w:val="es-ES" w:eastAsia="es-ES"/>
    </w:rPr>
  </w:style>
  <w:style w:type="paragraph" w:customStyle="1" w:styleId="piea">
    <w:name w:val="pie_a"/>
    <w:basedOn w:val="Normal"/>
    <w:rsid w:val="0093430A"/>
    <w:pPr>
      <w:spacing w:after="120" w:line="240" w:lineRule="auto"/>
      <w:ind w:left="120"/>
    </w:pPr>
    <w:rPr>
      <w:rFonts w:ascii="Times New Roman" w:eastAsia="Times New Roman" w:hAnsi="Times New Roman"/>
      <w:color w:val="2F2F2F"/>
      <w:sz w:val="24"/>
      <w:szCs w:val="24"/>
      <w:lang w:val="es-ES" w:eastAsia="es-ES"/>
    </w:rPr>
  </w:style>
  <w:style w:type="paragraph" w:customStyle="1" w:styleId="margenderecho">
    <w:name w:val="margen_derecho"/>
    <w:basedOn w:val="Normal"/>
    <w:rsid w:val="0093430A"/>
    <w:pPr>
      <w:spacing w:after="120" w:line="240" w:lineRule="auto"/>
      <w:ind w:left="120" w:right="240"/>
    </w:pPr>
    <w:rPr>
      <w:rFonts w:ascii="Times New Roman" w:eastAsia="Times New Roman" w:hAnsi="Times New Roman"/>
      <w:color w:val="2F2F2F"/>
      <w:sz w:val="24"/>
      <w:szCs w:val="24"/>
      <w:lang w:val="es-ES" w:eastAsia="es-ES"/>
    </w:rPr>
  </w:style>
  <w:style w:type="paragraph" w:customStyle="1" w:styleId="centrado">
    <w:name w:val="centrado"/>
    <w:basedOn w:val="Normal"/>
    <w:rsid w:val="0093430A"/>
    <w:pPr>
      <w:spacing w:after="120" w:line="240" w:lineRule="auto"/>
      <w:ind w:left="120"/>
      <w:jc w:val="center"/>
    </w:pPr>
    <w:rPr>
      <w:rFonts w:ascii="Times New Roman" w:eastAsia="Times New Roman" w:hAnsi="Times New Roman"/>
      <w:color w:val="2F2F2F"/>
      <w:sz w:val="24"/>
      <w:szCs w:val="24"/>
      <w:lang w:val="es-ES" w:eastAsia="es-ES"/>
    </w:rPr>
  </w:style>
  <w:style w:type="paragraph" w:customStyle="1" w:styleId="renglon">
    <w:name w:val="renglon"/>
    <w:basedOn w:val="Normal"/>
    <w:rsid w:val="0093430A"/>
    <w:pPr>
      <w:spacing w:after="240" w:line="240" w:lineRule="auto"/>
      <w:ind w:left="120"/>
    </w:pPr>
    <w:rPr>
      <w:rFonts w:ascii="Times New Roman" w:eastAsia="Times New Roman" w:hAnsi="Times New Roman"/>
      <w:color w:val="2F2F2F"/>
      <w:sz w:val="24"/>
      <w:szCs w:val="24"/>
      <w:lang w:val="es-ES" w:eastAsia="es-ES"/>
    </w:rPr>
  </w:style>
  <w:style w:type="paragraph" w:customStyle="1" w:styleId="cuadrolibre">
    <w:name w:val="cuadro_libre"/>
    <w:basedOn w:val="Normal"/>
    <w:rsid w:val="0093430A"/>
    <w:pPr>
      <w:spacing w:after="120" w:line="240" w:lineRule="auto"/>
      <w:ind w:left="120"/>
    </w:pPr>
    <w:rPr>
      <w:rFonts w:ascii="Times New Roman" w:eastAsia="Times New Roman" w:hAnsi="Times New Roman"/>
      <w:color w:val="2F2F2F"/>
      <w:sz w:val="24"/>
      <w:szCs w:val="24"/>
      <w:lang w:val="es-ES" w:eastAsia="es-ES"/>
    </w:rPr>
  </w:style>
  <w:style w:type="paragraph" w:customStyle="1" w:styleId="fijo">
    <w:name w:val="fijo"/>
    <w:basedOn w:val="Normal"/>
    <w:rsid w:val="0093430A"/>
    <w:pPr>
      <w:spacing w:after="120" w:line="240" w:lineRule="auto"/>
      <w:ind w:left="120"/>
    </w:pPr>
    <w:rPr>
      <w:rFonts w:ascii="Times New Roman" w:eastAsia="Times New Roman" w:hAnsi="Times New Roman"/>
      <w:color w:val="2F2F2F"/>
      <w:sz w:val="24"/>
      <w:szCs w:val="24"/>
      <w:lang w:val="es-ES" w:eastAsia="es-ES"/>
    </w:rPr>
  </w:style>
  <w:style w:type="paragraph" w:customStyle="1" w:styleId="a">
    <w:name w:val="a"/>
    <w:basedOn w:val="Normal"/>
    <w:rsid w:val="0093430A"/>
    <w:pPr>
      <w:spacing w:after="120" w:line="240" w:lineRule="auto"/>
      <w:ind w:left="120"/>
    </w:pPr>
    <w:rPr>
      <w:rFonts w:ascii="Times New Roman" w:eastAsia="Times New Roman" w:hAnsi="Times New Roman"/>
      <w:color w:val="2F2F2F"/>
      <w:sz w:val="24"/>
      <w:szCs w:val="24"/>
      <w:lang w:val="es-ES" w:eastAsia="es-ES"/>
    </w:rPr>
  </w:style>
  <w:style w:type="paragraph" w:customStyle="1" w:styleId="b">
    <w:name w:val="b"/>
    <w:basedOn w:val="Normal"/>
    <w:rsid w:val="0093430A"/>
    <w:pPr>
      <w:spacing w:after="120" w:line="240" w:lineRule="auto"/>
      <w:ind w:left="120"/>
    </w:pPr>
    <w:rPr>
      <w:rFonts w:ascii="Times New Roman" w:eastAsia="Times New Roman" w:hAnsi="Times New Roman"/>
      <w:color w:val="2F2F2F"/>
      <w:sz w:val="24"/>
      <w:szCs w:val="24"/>
      <w:lang w:val="es-ES" w:eastAsia="es-ES"/>
    </w:rPr>
  </w:style>
  <w:style w:type="paragraph" w:customStyle="1" w:styleId="c">
    <w:name w:val="c"/>
    <w:basedOn w:val="Normal"/>
    <w:rsid w:val="0093430A"/>
    <w:pPr>
      <w:spacing w:after="120" w:line="240" w:lineRule="auto"/>
      <w:ind w:left="120"/>
    </w:pPr>
    <w:rPr>
      <w:rFonts w:ascii="Times New Roman" w:eastAsia="Times New Roman" w:hAnsi="Times New Roman"/>
      <w:color w:val="2F2F2F"/>
      <w:sz w:val="24"/>
      <w:szCs w:val="24"/>
      <w:lang w:val="es-ES" w:eastAsia="es-ES"/>
    </w:rPr>
  </w:style>
  <w:style w:type="paragraph" w:customStyle="1" w:styleId="d">
    <w:name w:val="d"/>
    <w:basedOn w:val="Normal"/>
    <w:rsid w:val="0093430A"/>
    <w:pPr>
      <w:spacing w:after="120" w:line="240" w:lineRule="auto"/>
      <w:ind w:left="120"/>
    </w:pPr>
    <w:rPr>
      <w:rFonts w:ascii="Times New Roman" w:eastAsia="Times New Roman" w:hAnsi="Times New Roman"/>
      <w:color w:val="2F2F2F"/>
      <w:sz w:val="24"/>
      <w:szCs w:val="24"/>
      <w:lang w:val="es-ES" w:eastAsia="es-ES"/>
    </w:rPr>
  </w:style>
  <w:style w:type="paragraph" w:customStyle="1" w:styleId="e">
    <w:name w:val="e"/>
    <w:basedOn w:val="Normal"/>
    <w:rsid w:val="0093430A"/>
    <w:pPr>
      <w:spacing w:after="120" w:line="240" w:lineRule="auto"/>
      <w:ind w:left="120"/>
    </w:pPr>
    <w:rPr>
      <w:rFonts w:ascii="Times New Roman" w:eastAsia="Times New Roman" w:hAnsi="Times New Roman"/>
      <w:color w:val="2F2F2F"/>
      <w:sz w:val="24"/>
      <w:szCs w:val="24"/>
      <w:lang w:val="es-ES" w:eastAsia="es-ES"/>
    </w:rPr>
  </w:style>
  <w:style w:type="paragraph" w:customStyle="1" w:styleId="f">
    <w:name w:val="f"/>
    <w:basedOn w:val="Normal"/>
    <w:rsid w:val="0093430A"/>
    <w:pPr>
      <w:spacing w:after="120" w:line="240" w:lineRule="auto"/>
      <w:ind w:left="120"/>
    </w:pPr>
    <w:rPr>
      <w:rFonts w:ascii="Times New Roman" w:eastAsia="Times New Roman" w:hAnsi="Times New Roman"/>
      <w:color w:val="2F2F2F"/>
      <w:sz w:val="24"/>
      <w:szCs w:val="24"/>
      <w:lang w:val="es-ES" w:eastAsia="es-ES"/>
    </w:rPr>
  </w:style>
  <w:style w:type="paragraph" w:customStyle="1" w:styleId="g">
    <w:name w:val="g"/>
    <w:basedOn w:val="Normal"/>
    <w:rsid w:val="0093430A"/>
    <w:pPr>
      <w:spacing w:after="120" w:line="240" w:lineRule="auto"/>
      <w:ind w:left="120"/>
    </w:pPr>
    <w:rPr>
      <w:rFonts w:ascii="Times New Roman" w:eastAsia="Times New Roman" w:hAnsi="Times New Roman"/>
      <w:color w:val="2F2F2F"/>
      <w:sz w:val="24"/>
      <w:szCs w:val="24"/>
      <w:lang w:val="es-ES" w:eastAsia="es-ES"/>
    </w:rPr>
  </w:style>
  <w:style w:type="paragraph" w:customStyle="1" w:styleId="h">
    <w:name w:val="h"/>
    <w:basedOn w:val="Normal"/>
    <w:rsid w:val="0093430A"/>
    <w:pPr>
      <w:spacing w:after="120" w:line="240" w:lineRule="auto"/>
      <w:ind w:left="120"/>
    </w:pPr>
    <w:rPr>
      <w:rFonts w:ascii="Times New Roman" w:eastAsia="Times New Roman" w:hAnsi="Times New Roman"/>
      <w:color w:val="2F2F2F"/>
      <w:sz w:val="24"/>
      <w:szCs w:val="24"/>
      <w:lang w:val="es-ES" w:eastAsia="es-ES"/>
    </w:rPr>
  </w:style>
  <w:style w:type="paragraph" w:customStyle="1" w:styleId="i">
    <w:name w:val="i"/>
    <w:basedOn w:val="Normal"/>
    <w:rsid w:val="0093430A"/>
    <w:pPr>
      <w:spacing w:after="120" w:line="240" w:lineRule="auto"/>
      <w:ind w:left="120"/>
    </w:pPr>
    <w:rPr>
      <w:rFonts w:ascii="Times New Roman" w:eastAsia="Times New Roman" w:hAnsi="Times New Roman"/>
      <w:color w:val="2F2F2F"/>
      <w:sz w:val="24"/>
      <w:szCs w:val="24"/>
      <w:lang w:val="es-ES" w:eastAsia="es-ES"/>
    </w:rPr>
  </w:style>
  <w:style w:type="paragraph" w:customStyle="1" w:styleId="j">
    <w:name w:val="j"/>
    <w:basedOn w:val="Normal"/>
    <w:rsid w:val="0093430A"/>
    <w:pPr>
      <w:spacing w:after="120" w:line="240" w:lineRule="auto"/>
      <w:ind w:left="120"/>
    </w:pPr>
    <w:rPr>
      <w:rFonts w:ascii="Times New Roman" w:eastAsia="Times New Roman" w:hAnsi="Times New Roman"/>
      <w:color w:val="2F2F2F"/>
      <w:sz w:val="24"/>
      <w:szCs w:val="24"/>
      <w:lang w:val="es-ES" w:eastAsia="es-ES"/>
    </w:rPr>
  </w:style>
  <w:style w:type="paragraph" w:customStyle="1" w:styleId="k">
    <w:name w:val="k"/>
    <w:basedOn w:val="Normal"/>
    <w:rsid w:val="0093430A"/>
    <w:pPr>
      <w:spacing w:after="120" w:line="240" w:lineRule="auto"/>
      <w:ind w:left="120"/>
    </w:pPr>
    <w:rPr>
      <w:rFonts w:ascii="Times New Roman" w:eastAsia="Times New Roman" w:hAnsi="Times New Roman"/>
      <w:color w:val="2F2F2F"/>
      <w:sz w:val="24"/>
      <w:szCs w:val="24"/>
      <w:lang w:val="es-ES" w:eastAsia="es-ES"/>
    </w:rPr>
  </w:style>
  <w:style w:type="paragraph" w:customStyle="1" w:styleId="l">
    <w:name w:val="l"/>
    <w:basedOn w:val="Normal"/>
    <w:rsid w:val="0093430A"/>
    <w:pPr>
      <w:spacing w:after="120" w:line="240" w:lineRule="auto"/>
      <w:ind w:left="120"/>
    </w:pPr>
    <w:rPr>
      <w:rFonts w:ascii="Times New Roman" w:eastAsia="Times New Roman" w:hAnsi="Times New Roman"/>
      <w:color w:val="2F2F2F"/>
      <w:sz w:val="24"/>
      <w:szCs w:val="24"/>
      <w:lang w:val="es-ES" w:eastAsia="es-ES"/>
    </w:rPr>
  </w:style>
  <w:style w:type="paragraph" w:customStyle="1" w:styleId="m">
    <w:name w:val="m"/>
    <w:basedOn w:val="Normal"/>
    <w:rsid w:val="0093430A"/>
    <w:pPr>
      <w:spacing w:after="120" w:line="240" w:lineRule="auto"/>
      <w:ind w:left="120"/>
    </w:pPr>
    <w:rPr>
      <w:rFonts w:ascii="Times New Roman" w:eastAsia="Times New Roman" w:hAnsi="Times New Roman"/>
      <w:color w:val="2F2F2F"/>
      <w:sz w:val="24"/>
      <w:szCs w:val="24"/>
      <w:lang w:val="es-ES" w:eastAsia="es-ES"/>
    </w:rPr>
  </w:style>
  <w:style w:type="paragraph" w:customStyle="1" w:styleId="n">
    <w:name w:val="n"/>
    <w:basedOn w:val="Normal"/>
    <w:rsid w:val="0093430A"/>
    <w:pPr>
      <w:spacing w:after="120" w:line="240" w:lineRule="auto"/>
      <w:ind w:left="120"/>
    </w:pPr>
    <w:rPr>
      <w:rFonts w:ascii="Times New Roman" w:eastAsia="Times New Roman" w:hAnsi="Times New Roman"/>
      <w:color w:val="2F2F2F"/>
      <w:sz w:val="24"/>
      <w:szCs w:val="24"/>
      <w:lang w:val="es-ES" w:eastAsia="es-ES"/>
    </w:rPr>
  </w:style>
  <w:style w:type="paragraph" w:customStyle="1" w:styleId="o">
    <w:name w:val="o"/>
    <w:basedOn w:val="Normal"/>
    <w:rsid w:val="0093430A"/>
    <w:pPr>
      <w:spacing w:after="120" w:line="240" w:lineRule="auto"/>
      <w:ind w:left="120"/>
    </w:pPr>
    <w:rPr>
      <w:rFonts w:ascii="Times New Roman" w:eastAsia="Times New Roman" w:hAnsi="Times New Roman"/>
      <w:color w:val="2F2F2F"/>
      <w:sz w:val="24"/>
      <w:szCs w:val="24"/>
      <w:lang w:val="es-ES" w:eastAsia="es-ES"/>
    </w:rPr>
  </w:style>
  <w:style w:type="paragraph" w:customStyle="1" w:styleId="p">
    <w:name w:val="p"/>
    <w:basedOn w:val="Normal"/>
    <w:rsid w:val="0093430A"/>
    <w:pPr>
      <w:spacing w:after="120" w:line="240" w:lineRule="auto"/>
      <w:ind w:left="120"/>
    </w:pPr>
    <w:rPr>
      <w:rFonts w:ascii="Times New Roman" w:eastAsia="Times New Roman" w:hAnsi="Times New Roman"/>
      <w:color w:val="2F2F2F"/>
      <w:sz w:val="24"/>
      <w:szCs w:val="24"/>
      <w:lang w:val="es-ES" w:eastAsia="es-ES"/>
    </w:rPr>
  </w:style>
  <w:style w:type="paragraph" w:customStyle="1" w:styleId="fondo1">
    <w:name w:val="fondo_1"/>
    <w:basedOn w:val="Normal"/>
    <w:rsid w:val="0093430A"/>
    <w:pPr>
      <w:shd w:val="clear" w:color="auto" w:fill="D8D9DE"/>
      <w:spacing w:after="120" w:line="240" w:lineRule="auto"/>
      <w:ind w:left="120"/>
    </w:pPr>
    <w:rPr>
      <w:rFonts w:ascii="Times New Roman" w:eastAsia="Times New Roman" w:hAnsi="Times New Roman"/>
      <w:color w:val="2F2F2F"/>
      <w:sz w:val="24"/>
      <w:szCs w:val="24"/>
      <w:lang w:val="es-ES" w:eastAsia="es-ES"/>
    </w:rPr>
  </w:style>
  <w:style w:type="paragraph" w:customStyle="1" w:styleId="fondo6">
    <w:name w:val="fondo_6"/>
    <w:basedOn w:val="Normal"/>
    <w:rsid w:val="0093430A"/>
    <w:pPr>
      <w:shd w:val="clear" w:color="auto" w:fill="CDCBCD"/>
      <w:spacing w:after="120" w:line="240" w:lineRule="auto"/>
      <w:ind w:left="120"/>
    </w:pPr>
    <w:rPr>
      <w:rFonts w:ascii="Times New Roman" w:eastAsia="Times New Roman" w:hAnsi="Times New Roman"/>
      <w:color w:val="2F2F2F"/>
      <w:sz w:val="24"/>
      <w:szCs w:val="24"/>
      <w:lang w:val="es-ES" w:eastAsia="es-ES"/>
    </w:rPr>
  </w:style>
  <w:style w:type="paragraph" w:customStyle="1" w:styleId="fondo7">
    <w:name w:val="fondo_7"/>
    <w:basedOn w:val="Normal"/>
    <w:rsid w:val="0093430A"/>
    <w:pPr>
      <w:shd w:val="clear" w:color="auto" w:fill="FFFFFF"/>
      <w:spacing w:after="120" w:line="240" w:lineRule="auto"/>
      <w:ind w:left="120"/>
    </w:pPr>
    <w:rPr>
      <w:rFonts w:ascii="Times New Roman" w:eastAsia="Times New Roman" w:hAnsi="Times New Roman"/>
      <w:color w:val="2F2F2F"/>
      <w:sz w:val="24"/>
      <w:szCs w:val="24"/>
      <w:lang w:val="es-ES" w:eastAsia="es-ES"/>
    </w:rPr>
  </w:style>
  <w:style w:type="paragraph" w:customStyle="1" w:styleId="fondo2">
    <w:name w:val="fondo_2"/>
    <w:basedOn w:val="Normal"/>
    <w:rsid w:val="0093430A"/>
    <w:pPr>
      <w:shd w:val="clear" w:color="auto" w:fill="DBD9DC"/>
      <w:spacing w:after="120" w:line="240" w:lineRule="auto"/>
      <w:ind w:left="120"/>
    </w:pPr>
    <w:rPr>
      <w:rFonts w:ascii="Times New Roman" w:eastAsia="Times New Roman" w:hAnsi="Times New Roman"/>
      <w:color w:val="2F2F2F"/>
      <w:sz w:val="24"/>
      <w:szCs w:val="24"/>
      <w:lang w:val="es-ES" w:eastAsia="es-ES"/>
    </w:rPr>
  </w:style>
  <w:style w:type="paragraph" w:customStyle="1" w:styleId="fondo3">
    <w:name w:val="fondo_3"/>
    <w:basedOn w:val="Normal"/>
    <w:rsid w:val="0093430A"/>
    <w:pPr>
      <w:shd w:val="clear" w:color="auto" w:fill="C1C0C4"/>
      <w:spacing w:after="120" w:line="240" w:lineRule="auto"/>
      <w:ind w:left="120"/>
    </w:pPr>
    <w:rPr>
      <w:rFonts w:ascii="Times New Roman" w:eastAsia="Times New Roman" w:hAnsi="Times New Roman"/>
      <w:color w:val="2F2F2F"/>
      <w:sz w:val="24"/>
      <w:szCs w:val="24"/>
      <w:lang w:val="es-ES" w:eastAsia="es-ES"/>
    </w:rPr>
  </w:style>
  <w:style w:type="paragraph" w:customStyle="1" w:styleId="fondo4">
    <w:name w:val="fondo_4"/>
    <w:basedOn w:val="Normal"/>
    <w:rsid w:val="0093430A"/>
    <w:pPr>
      <w:shd w:val="clear" w:color="auto" w:fill="A1A1A5"/>
      <w:spacing w:after="120" w:line="240" w:lineRule="auto"/>
      <w:ind w:left="120"/>
    </w:pPr>
    <w:rPr>
      <w:rFonts w:ascii="Times New Roman" w:eastAsia="Times New Roman" w:hAnsi="Times New Roman"/>
      <w:color w:val="2F2F2F"/>
      <w:sz w:val="24"/>
      <w:szCs w:val="24"/>
      <w:lang w:val="es-ES" w:eastAsia="es-ES"/>
    </w:rPr>
  </w:style>
  <w:style w:type="paragraph" w:customStyle="1" w:styleId="fondo5">
    <w:name w:val="fondo_5"/>
    <w:basedOn w:val="Normal"/>
    <w:rsid w:val="0093430A"/>
    <w:pPr>
      <w:shd w:val="clear" w:color="auto" w:fill="545354"/>
      <w:spacing w:after="120" w:line="240" w:lineRule="auto"/>
      <w:ind w:left="120"/>
    </w:pPr>
    <w:rPr>
      <w:rFonts w:ascii="Times New Roman" w:eastAsia="Times New Roman" w:hAnsi="Times New Roman"/>
      <w:color w:val="2F2F2F"/>
      <w:sz w:val="24"/>
      <w:szCs w:val="24"/>
      <w:lang w:val="es-ES" w:eastAsia="es-ES"/>
    </w:rPr>
  </w:style>
  <w:style w:type="paragraph" w:customStyle="1" w:styleId="fondo8">
    <w:name w:val="fondo_8"/>
    <w:basedOn w:val="Normal"/>
    <w:rsid w:val="0093430A"/>
    <w:pPr>
      <w:shd w:val="clear" w:color="auto" w:fill="F8F8F8"/>
      <w:spacing w:after="120" w:line="240" w:lineRule="auto"/>
      <w:ind w:left="120"/>
    </w:pPr>
    <w:rPr>
      <w:rFonts w:ascii="Times New Roman" w:eastAsia="Times New Roman" w:hAnsi="Times New Roman"/>
      <w:color w:val="2F2F2F"/>
      <w:sz w:val="24"/>
      <w:szCs w:val="24"/>
      <w:lang w:val="es-ES" w:eastAsia="es-ES"/>
    </w:rPr>
  </w:style>
  <w:style w:type="paragraph" w:customStyle="1" w:styleId="h4">
    <w:name w:val="h4"/>
    <w:basedOn w:val="Normal"/>
    <w:rsid w:val="0093430A"/>
    <w:pPr>
      <w:spacing w:after="120" w:line="240" w:lineRule="auto"/>
      <w:ind w:left="120"/>
    </w:pPr>
    <w:rPr>
      <w:rFonts w:ascii="Times New Roman" w:eastAsia="Times New Roman" w:hAnsi="Times New Roman"/>
      <w:color w:val="2F2F2F"/>
      <w:sz w:val="24"/>
      <w:szCs w:val="24"/>
      <w:lang w:val="es-ES" w:eastAsia="es-ES"/>
    </w:rPr>
  </w:style>
  <w:style w:type="paragraph" w:customStyle="1" w:styleId="h6">
    <w:name w:val="h6"/>
    <w:basedOn w:val="Normal"/>
    <w:rsid w:val="0093430A"/>
    <w:pPr>
      <w:spacing w:after="120" w:line="240" w:lineRule="auto"/>
      <w:ind w:left="120"/>
    </w:pPr>
    <w:rPr>
      <w:rFonts w:ascii="Times New Roman" w:eastAsia="Times New Roman" w:hAnsi="Times New Roman"/>
      <w:color w:val="2F2F2F"/>
      <w:sz w:val="24"/>
      <w:szCs w:val="24"/>
      <w:lang w:val="es-ES" w:eastAsia="es-ES"/>
    </w:rPr>
  </w:style>
  <w:style w:type="paragraph" w:customStyle="1" w:styleId="h8">
    <w:name w:val="h8"/>
    <w:basedOn w:val="Normal"/>
    <w:rsid w:val="0093430A"/>
    <w:pPr>
      <w:spacing w:after="120" w:line="240" w:lineRule="auto"/>
      <w:ind w:left="120"/>
    </w:pPr>
    <w:rPr>
      <w:rFonts w:ascii="Times New Roman" w:eastAsia="Times New Roman" w:hAnsi="Times New Roman"/>
      <w:color w:val="2F2F2F"/>
      <w:sz w:val="24"/>
      <w:szCs w:val="24"/>
      <w:lang w:val="es-ES" w:eastAsia="es-ES"/>
    </w:rPr>
  </w:style>
  <w:style w:type="paragraph" w:customStyle="1" w:styleId="h10">
    <w:name w:val="h10"/>
    <w:basedOn w:val="Normal"/>
    <w:rsid w:val="0093430A"/>
    <w:pPr>
      <w:spacing w:after="120" w:line="240" w:lineRule="auto"/>
      <w:ind w:left="120"/>
    </w:pPr>
    <w:rPr>
      <w:rFonts w:ascii="Times New Roman" w:eastAsia="Times New Roman" w:hAnsi="Times New Roman"/>
      <w:color w:val="2F2F2F"/>
      <w:sz w:val="24"/>
      <w:szCs w:val="24"/>
      <w:lang w:val="es-ES" w:eastAsia="es-ES"/>
    </w:rPr>
  </w:style>
  <w:style w:type="paragraph" w:customStyle="1" w:styleId="h12">
    <w:name w:val="h12"/>
    <w:basedOn w:val="Normal"/>
    <w:rsid w:val="0093430A"/>
    <w:pPr>
      <w:spacing w:after="120" w:line="240" w:lineRule="auto"/>
      <w:ind w:left="120"/>
    </w:pPr>
    <w:rPr>
      <w:rFonts w:ascii="Times New Roman" w:eastAsia="Times New Roman" w:hAnsi="Times New Roman"/>
      <w:color w:val="2F2F2F"/>
      <w:sz w:val="24"/>
      <w:szCs w:val="24"/>
      <w:lang w:val="es-ES" w:eastAsia="es-ES"/>
    </w:rPr>
  </w:style>
  <w:style w:type="paragraph" w:customStyle="1" w:styleId="h14">
    <w:name w:val="h14"/>
    <w:basedOn w:val="Normal"/>
    <w:rsid w:val="0093430A"/>
    <w:pPr>
      <w:spacing w:after="120" w:line="240" w:lineRule="auto"/>
      <w:ind w:left="120"/>
    </w:pPr>
    <w:rPr>
      <w:rFonts w:ascii="Times New Roman" w:eastAsia="Times New Roman" w:hAnsi="Times New Roman"/>
      <w:color w:val="2F2F2F"/>
      <w:sz w:val="24"/>
      <w:szCs w:val="24"/>
      <w:lang w:val="es-ES" w:eastAsia="es-ES"/>
    </w:rPr>
  </w:style>
  <w:style w:type="paragraph" w:customStyle="1" w:styleId="h16">
    <w:name w:val="h16"/>
    <w:basedOn w:val="Normal"/>
    <w:rsid w:val="0093430A"/>
    <w:pPr>
      <w:spacing w:after="120" w:line="240" w:lineRule="auto"/>
      <w:ind w:left="120"/>
    </w:pPr>
    <w:rPr>
      <w:rFonts w:ascii="Times New Roman" w:eastAsia="Times New Roman" w:hAnsi="Times New Roman"/>
      <w:color w:val="2F2F2F"/>
      <w:sz w:val="24"/>
      <w:szCs w:val="24"/>
      <w:lang w:val="es-ES" w:eastAsia="es-ES"/>
    </w:rPr>
  </w:style>
  <w:style w:type="paragraph" w:customStyle="1" w:styleId="h18">
    <w:name w:val="h18"/>
    <w:basedOn w:val="Normal"/>
    <w:rsid w:val="0093430A"/>
    <w:pPr>
      <w:spacing w:after="120" w:line="240" w:lineRule="auto"/>
      <w:ind w:left="120"/>
    </w:pPr>
    <w:rPr>
      <w:rFonts w:ascii="Times New Roman" w:eastAsia="Times New Roman" w:hAnsi="Times New Roman"/>
      <w:color w:val="2F2F2F"/>
      <w:sz w:val="24"/>
      <w:szCs w:val="24"/>
      <w:lang w:val="es-ES" w:eastAsia="es-ES"/>
    </w:rPr>
  </w:style>
  <w:style w:type="paragraph" w:customStyle="1" w:styleId="h20">
    <w:name w:val="h20"/>
    <w:basedOn w:val="Normal"/>
    <w:rsid w:val="0093430A"/>
    <w:pPr>
      <w:spacing w:after="120" w:line="240" w:lineRule="auto"/>
      <w:ind w:left="120"/>
    </w:pPr>
    <w:rPr>
      <w:rFonts w:ascii="Times New Roman" w:eastAsia="Times New Roman" w:hAnsi="Times New Roman"/>
      <w:color w:val="2F2F2F"/>
      <w:sz w:val="24"/>
      <w:szCs w:val="24"/>
      <w:lang w:val="es-ES" w:eastAsia="es-ES"/>
    </w:rPr>
  </w:style>
  <w:style w:type="paragraph" w:customStyle="1" w:styleId="h22">
    <w:name w:val="h22"/>
    <w:basedOn w:val="Normal"/>
    <w:rsid w:val="0093430A"/>
    <w:pPr>
      <w:spacing w:after="120" w:line="240" w:lineRule="auto"/>
      <w:ind w:left="120"/>
    </w:pPr>
    <w:rPr>
      <w:rFonts w:ascii="Times New Roman" w:eastAsia="Times New Roman" w:hAnsi="Times New Roman"/>
      <w:color w:val="2F2F2F"/>
      <w:sz w:val="24"/>
      <w:szCs w:val="24"/>
      <w:lang w:val="es-ES" w:eastAsia="es-ES"/>
    </w:rPr>
  </w:style>
  <w:style w:type="paragraph" w:customStyle="1" w:styleId="h24">
    <w:name w:val="h24"/>
    <w:basedOn w:val="Normal"/>
    <w:rsid w:val="0093430A"/>
    <w:pPr>
      <w:spacing w:after="120" w:line="240" w:lineRule="auto"/>
      <w:ind w:left="120"/>
    </w:pPr>
    <w:rPr>
      <w:rFonts w:ascii="Times New Roman" w:eastAsia="Times New Roman" w:hAnsi="Times New Roman"/>
      <w:color w:val="2F2F2F"/>
      <w:sz w:val="24"/>
      <w:szCs w:val="24"/>
      <w:lang w:val="es-ES" w:eastAsia="es-ES"/>
    </w:rPr>
  </w:style>
  <w:style w:type="paragraph" w:customStyle="1" w:styleId="h26">
    <w:name w:val="h26"/>
    <w:basedOn w:val="Normal"/>
    <w:rsid w:val="0093430A"/>
    <w:pPr>
      <w:spacing w:after="120" w:line="240" w:lineRule="auto"/>
      <w:ind w:left="120"/>
    </w:pPr>
    <w:rPr>
      <w:rFonts w:ascii="Times New Roman" w:eastAsia="Times New Roman" w:hAnsi="Times New Roman"/>
      <w:color w:val="2F2F2F"/>
      <w:sz w:val="24"/>
      <w:szCs w:val="24"/>
      <w:lang w:val="es-ES" w:eastAsia="es-ES"/>
    </w:rPr>
  </w:style>
  <w:style w:type="paragraph" w:customStyle="1" w:styleId="h28">
    <w:name w:val="h28"/>
    <w:basedOn w:val="Normal"/>
    <w:rsid w:val="0093430A"/>
    <w:pPr>
      <w:spacing w:after="120" w:line="240" w:lineRule="auto"/>
      <w:ind w:left="120"/>
    </w:pPr>
    <w:rPr>
      <w:rFonts w:ascii="Times New Roman" w:eastAsia="Times New Roman" w:hAnsi="Times New Roman"/>
      <w:color w:val="2F2F2F"/>
      <w:sz w:val="24"/>
      <w:szCs w:val="24"/>
      <w:lang w:val="es-ES" w:eastAsia="es-ES"/>
    </w:rPr>
  </w:style>
  <w:style w:type="paragraph" w:customStyle="1" w:styleId="h30">
    <w:name w:val="h30"/>
    <w:basedOn w:val="Normal"/>
    <w:rsid w:val="0093430A"/>
    <w:pPr>
      <w:spacing w:after="120" w:line="240" w:lineRule="auto"/>
      <w:ind w:left="120"/>
    </w:pPr>
    <w:rPr>
      <w:rFonts w:ascii="Times New Roman" w:eastAsia="Times New Roman" w:hAnsi="Times New Roman"/>
      <w:color w:val="2F2F2F"/>
      <w:sz w:val="24"/>
      <w:szCs w:val="24"/>
      <w:lang w:val="es-ES" w:eastAsia="es-ES"/>
    </w:rPr>
  </w:style>
  <w:style w:type="paragraph" w:customStyle="1" w:styleId="h32">
    <w:name w:val="h32"/>
    <w:basedOn w:val="Normal"/>
    <w:rsid w:val="0093430A"/>
    <w:pPr>
      <w:spacing w:after="120" w:line="240" w:lineRule="auto"/>
      <w:ind w:left="120"/>
    </w:pPr>
    <w:rPr>
      <w:rFonts w:ascii="Times New Roman" w:eastAsia="Times New Roman" w:hAnsi="Times New Roman"/>
      <w:color w:val="2F2F2F"/>
      <w:sz w:val="24"/>
      <w:szCs w:val="24"/>
      <w:lang w:val="es-ES" w:eastAsia="es-ES"/>
    </w:rPr>
  </w:style>
  <w:style w:type="paragraph" w:customStyle="1" w:styleId="h34">
    <w:name w:val="h34"/>
    <w:basedOn w:val="Normal"/>
    <w:rsid w:val="0093430A"/>
    <w:pPr>
      <w:spacing w:after="120" w:line="240" w:lineRule="auto"/>
      <w:ind w:left="120"/>
    </w:pPr>
    <w:rPr>
      <w:rFonts w:ascii="Times New Roman" w:eastAsia="Times New Roman" w:hAnsi="Times New Roman"/>
      <w:color w:val="2F2F2F"/>
      <w:sz w:val="24"/>
      <w:szCs w:val="24"/>
      <w:lang w:val="es-ES" w:eastAsia="es-ES"/>
    </w:rPr>
  </w:style>
  <w:style w:type="paragraph" w:customStyle="1" w:styleId="h36">
    <w:name w:val="h36"/>
    <w:basedOn w:val="Normal"/>
    <w:rsid w:val="0093430A"/>
    <w:pPr>
      <w:spacing w:after="120" w:line="240" w:lineRule="auto"/>
      <w:ind w:left="120"/>
    </w:pPr>
    <w:rPr>
      <w:rFonts w:ascii="Times New Roman" w:eastAsia="Times New Roman" w:hAnsi="Times New Roman"/>
      <w:color w:val="2F2F2F"/>
      <w:sz w:val="24"/>
      <w:szCs w:val="24"/>
      <w:lang w:val="es-ES" w:eastAsia="es-ES"/>
    </w:rPr>
  </w:style>
  <w:style w:type="paragraph" w:customStyle="1" w:styleId="h38">
    <w:name w:val="h38"/>
    <w:basedOn w:val="Normal"/>
    <w:rsid w:val="0093430A"/>
    <w:pPr>
      <w:spacing w:after="120" w:line="240" w:lineRule="auto"/>
      <w:ind w:left="120"/>
    </w:pPr>
    <w:rPr>
      <w:rFonts w:ascii="Times New Roman" w:eastAsia="Times New Roman" w:hAnsi="Times New Roman"/>
      <w:color w:val="2F2F2F"/>
      <w:sz w:val="24"/>
      <w:szCs w:val="24"/>
      <w:lang w:val="es-ES" w:eastAsia="es-ES"/>
    </w:rPr>
  </w:style>
  <w:style w:type="paragraph" w:customStyle="1" w:styleId="h40">
    <w:name w:val="h40"/>
    <w:basedOn w:val="Normal"/>
    <w:rsid w:val="0093430A"/>
    <w:pPr>
      <w:spacing w:after="120" w:line="240" w:lineRule="auto"/>
      <w:ind w:left="120"/>
    </w:pPr>
    <w:rPr>
      <w:rFonts w:ascii="Times New Roman" w:eastAsia="Times New Roman" w:hAnsi="Times New Roman"/>
      <w:color w:val="2F2F2F"/>
      <w:sz w:val="24"/>
      <w:szCs w:val="24"/>
      <w:lang w:val="es-ES" w:eastAsia="es-ES"/>
    </w:rPr>
  </w:style>
  <w:style w:type="paragraph" w:customStyle="1" w:styleId="caja">
    <w:name w:val="caja"/>
    <w:basedOn w:val="Normal"/>
    <w:rsid w:val="0093430A"/>
    <w:pPr>
      <w:pBdr>
        <w:top w:val="single" w:sz="6" w:space="0" w:color="B7B8B9"/>
        <w:left w:val="single" w:sz="6" w:space="0" w:color="B7B8B9"/>
        <w:bottom w:val="single" w:sz="6" w:space="6" w:color="B7B8B9"/>
        <w:right w:val="single" w:sz="6" w:space="0" w:color="B7B8B9"/>
      </w:pBdr>
      <w:shd w:val="clear" w:color="auto" w:fill="F4F5F9"/>
      <w:spacing w:after="240" w:line="240" w:lineRule="auto"/>
      <w:ind w:left="120"/>
    </w:pPr>
    <w:rPr>
      <w:rFonts w:ascii="Times New Roman" w:eastAsia="Times New Roman" w:hAnsi="Times New Roman"/>
      <w:color w:val="2F2F2F"/>
      <w:sz w:val="24"/>
      <w:szCs w:val="24"/>
      <w:lang w:val="es-ES" w:eastAsia="es-ES"/>
    </w:rPr>
  </w:style>
  <w:style w:type="paragraph" w:customStyle="1" w:styleId="cajavideo">
    <w:name w:val="caja_video"/>
    <w:basedOn w:val="Normal"/>
    <w:rsid w:val="0093430A"/>
    <w:pPr>
      <w:spacing w:after="240" w:line="240" w:lineRule="auto"/>
      <w:ind w:left="120"/>
    </w:pPr>
    <w:rPr>
      <w:rFonts w:ascii="Times New Roman" w:eastAsia="Times New Roman" w:hAnsi="Times New Roman"/>
      <w:color w:val="2F2F2F"/>
      <w:sz w:val="24"/>
      <w:szCs w:val="24"/>
      <w:lang w:val="es-ES" w:eastAsia="es-ES"/>
    </w:rPr>
  </w:style>
  <w:style w:type="paragraph" w:customStyle="1" w:styleId="cajamultimedia">
    <w:name w:val="caja_multimedia"/>
    <w:basedOn w:val="Normal"/>
    <w:rsid w:val="0093430A"/>
    <w:pPr>
      <w:pBdr>
        <w:top w:val="single" w:sz="6" w:space="0" w:color="B7B8B9"/>
        <w:left w:val="single" w:sz="6" w:space="0" w:color="B7B8B9"/>
        <w:bottom w:val="single" w:sz="6" w:space="12" w:color="B7B8B9"/>
        <w:right w:val="single" w:sz="6" w:space="0" w:color="B7B8B9"/>
      </w:pBdr>
      <w:shd w:val="clear" w:color="auto" w:fill="F4F5F9"/>
      <w:spacing w:after="240" w:line="240" w:lineRule="auto"/>
      <w:ind w:left="120"/>
    </w:pPr>
    <w:rPr>
      <w:rFonts w:ascii="Times New Roman" w:eastAsia="Times New Roman" w:hAnsi="Times New Roman"/>
      <w:color w:val="2F2F2F"/>
      <w:sz w:val="24"/>
      <w:szCs w:val="24"/>
      <w:lang w:val="es-ES" w:eastAsia="es-ES"/>
    </w:rPr>
  </w:style>
  <w:style w:type="paragraph" w:customStyle="1" w:styleId="listamenuvertical">
    <w:name w:val="lista_menu_vertical"/>
    <w:basedOn w:val="Normal"/>
    <w:rsid w:val="0093430A"/>
    <w:pPr>
      <w:spacing w:before="120" w:after="120" w:line="240" w:lineRule="auto"/>
      <w:ind w:left="120"/>
    </w:pPr>
    <w:rPr>
      <w:rFonts w:ascii="Times New Roman" w:eastAsia="Times New Roman" w:hAnsi="Times New Roman"/>
      <w:color w:val="2F2F2F"/>
      <w:sz w:val="19"/>
      <w:szCs w:val="19"/>
      <w:lang w:val="es-ES" w:eastAsia="es-ES"/>
    </w:rPr>
  </w:style>
  <w:style w:type="paragraph" w:customStyle="1" w:styleId="listatipob">
    <w:name w:val="lista_tipo_b"/>
    <w:basedOn w:val="Normal"/>
    <w:rsid w:val="0093430A"/>
    <w:pPr>
      <w:spacing w:after="120" w:line="240" w:lineRule="auto"/>
      <w:ind w:left="120"/>
    </w:pPr>
    <w:rPr>
      <w:rFonts w:ascii="Times New Roman" w:eastAsia="Times New Roman" w:hAnsi="Times New Roman"/>
      <w:color w:val="2F2F2F"/>
      <w:sz w:val="24"/>
      <w:szCs w:val="24"/>
      <w:lang w:val="es-ES" w:eastAsia="es-ES"/>
    </w:rPr>
  </w:style>
  <w:style w:type="paragraph" w:customStyle="1" w:styleId="listatipoc">
    <w:name w:val="lista_tipo_c"/>
    <w:basedOn w:val="Normal"/>
    <w:rsid w:val="0093430A"/>
    <w:pPr>
      <w:spacing w:after="120" w:line="240" w:lineRule="auto"/>
      <w:ind w:left="120"/>
    </w:pPr>
    <w:rPr>
      <w:rFonts w:ascii="Times New Roman" w:eastAsia="Times New Roman" w:hAnsi="Times New Roman"/>
      <w:color w:val="2F2F2F"/>
      <w:sz w:val="24"/>
      <w:szCs w:val="24"/>
      <w:lang w:val="es-ES" w:eastAsia="es-ES"/>
    </w:rPr>
  </w:style>
  <w:style w:type="paragraph" w:customStyle="1" w:styleId="listatipod">
    <w:name w:val="lista_tipo_d"/>
    <w:basedOn w:val="Normal"/>
    <w:rsid w:val="0093430A"/>
    <w:pPr>
      <w:spacing w:after="120" w:line="240" w:lineRule="auto"/>
      <w:ind w:left="120"/>
    </w:pPr>
    <w:rPr>
      <w:rFonts w:ascii="Times New Roman" w:eastAsia="Times New Roman" w:hAnsi="Times New Roman"/>
      <w:color w:val="2F2F2F"/>
      <w:sz w:val="24"/>
      <w:szCs w:val="24"/>
      <w:lang w:val="es-ES" w:eastAsia="es-ES"/>
    </w:rPr>
  </w:style>
  <w:style w:type="paragraph" w:customStyle="1" w:styleId="listaconiconosa">
    <w:name w:val="lista_con_iconos_a"/>
    <w:basedOn w:val="Normal"/>
    <w:rsid w:val="0093430A"/>
    <w:pPr>
      <w:spacing w:after="120" w:line="240" w:lineRule="auto"/>
      <w:ind w:left="120"/>
    </w:pPr>
    <w:rPr>
      <w:rFonts w:ascii="Times New Roman" w:eastAsia="Times New Roman" w:hAnsi="Times New Roman"/>
      <w:color w:val="2F2F2F"/>
      <w:sz w:val="24"/>
      <w:szCs w:val="24"/>
      <w:lang w:val="es-ES" w:eastAsia="es-ES"/>
    </w:rPr>
  </w:style>
  <w:style w:type="paragraph" w:customStyle="1" w:styleId="listamultimediaa">
    <w:name w:val="lista_multimedia_a"/>
    <w:basedOn w:val="Normal"/>
    <w:rsid w:val="0093430A"/>
    <w:pPr>
      <w:spacing w:after="120" w:line="240" w:lineRule="auto"/>
      <w:ind w:left="120"/>
    </w:pPr>
    <w:rPr>
      <w:rFonts w:ascii="Times New Roman" w:eastAsia="Times New Roman" w:hAnsi="Times New Roman"/>
      <w:color w:val="2F2F2F"/>
      <w:sz w:val="24"/>
      <w:szCs w:val="24"/>
      <w:lang w:val="es-ES" w:eastAsia="es-ES"/>
    </w:rPr>
  </w:style>
  <w:style w:type="paragraph" w:customStyle="1" w:styleId="listamultimediab">
    <w:name w:val="lista_multimedia_b"/>
    <w:basedOn w:val="Normal"/>
    <w:rsid w:val="0093430A"/>
    <w:pPr>
      <w:spacing w:after="120" w:line="240" w:lineRule="auto"/>
      <w:ind w:left="120"/>
    </w:pPr>
    <w:rPr>
      <w:rFonts w:ascii="Times New Roman" w:eastAsia="Times New Roman" w:hAnsi="Times New Roman"/>
      <w:color w:val="2F2F2F"/>
      <w:sz w:val="24"/>
      <w:szCs w:val="24"/>
      <w:lang w:val="es-ES" w:eastAsia="es-ES"/>
    </w:rPr>
  </w:style>
  <w:style w:type="paragraph" w:customStyle="1" w:styleId="listanotasa">
    <w:name w:val="lista_notas_a"/>
    <w:basedOn w:val="Normal"/>
    <w:rsid w:val="0093430A"/>
    <w:pPr>
      <w:pBdr>
        <w:bottom w:val="single" w:sz="6" w:space="6" w:color="808080"/>
      </w:pBdr>
      <w:spacing w:after="120" w:line="240" w:lineRule="auto"/>
      <w:ind w:left="120"/>
    </w:pPr>
    <w:rPr>
      <w:rFonts w:ascii="Times New Roman" w:eastAsia="Times New Roman" w:hAnsi="Times New Roman"/>
      <w:color w:val="2F2F2F"/>
      <w:sz w:val="24"/>
      <w:szCs w:val="24"/>
      <w:lang w:val="es-ES" w:eastAsia="es-ES"/>
    </w:rPr>
  </w:style>
  <w:style w:type="paragraph" w:customStyle="1" w:styleId="listanotasb">
    <w:name w:val="lista_notas_b"/>
    <w:basedOn w:val="Normal"/>
    <w:rsid w:val="0093430A"/>
    <w:pPr>
      <w:spacing w:after="120" w:line="240" w:lineRule="auto"/>
      <w:ind w:left="120"/>
    </w:pPr>
    <w:rPr>
      <w:rFonts w:ascii="Times New Roman" w:eastAsia="Times New Roman" w:hAnsi="Times New Roman"/>
      <w:color w:val="2F2F2F"/>
      <w:sz w:val="24"/>
      <w:szCs w:val="24"/>
      <w:lang w:val="es-ES" w:eastAsia="es-ES"/>
    </w:rPr>
  </w:style>
  <w:style w:type="paragraph" w:customStyle="1" w:styleId="listanotasc">
    <w:name w:val="lista_notas_c"/>
    <w:basedOn w:val="Normal"/>
    <w:rsid w:val="0093430A"/>
    <w:pPr>
      <w:pBdr>
        <w:bottom w:val="single" w:sz="6" w:space="6" w:color="808080"/>
      </w:pBdr>
      <w:spacing w:after="120" w:line="240" w:lineRule="auto"/>
      <w:ind w:left="120"/>
    </w:pPr>
    <w:rPr>
      <w:rFonts w:ascii="Times New Roman" w:eastAsia="Times New Roman" w:hAnsi="Times New Roman"/>
      <w:color w:val="2F2F2F"/>
      <w:sz w:val="24"/>
      <w:szCs w:val="24"/>
      <w:lang w:val="es-ES" w:eastAsia="es-ES"/>
    </w:rPr>
  </w:style>
  <w:style w:type="paragraph" w:customStyle="1" w:styleId="tablaa">
    <w:name w:val="tabla_a"/>
    <w:basedOn w:val="Normal"/>
    <w:rsid w:val="0093430A"/>
    <w:pPr>
      <w:shd w:val="clear" w:color="auto" w:fill="FFFFFF"/>
      <w:spacing w:before="240" w:after="240" w:line="240" w:lineRule="auto"/>
      <w:ind w:left="240" w:right="240"/>
    </w:pPr>
    <w:rPr>
      <w:rFonts w:ascii="Times New Roman" w:eastAsia="Times New Roman" w:hAnsi="Times New Roman"/>
      <w:color w:val="2F2F2F"/>
      <w:sz w:val="24"/>
      <w:szCs w:val="24"/>
      <w:lang w:val="es-ES" w:eastAsia="es-ES"/>
    </w:rPr>
  </w:style>
  <w:style w:type="paragraph" w:customStyle="1" w:styleId="tablab">
    <w:name w:val="tabla_b"/>
    <w:basedOn w:val="Normal"/>
    <w:rsid w:val="0093430A"/>
    <w:pPr>
      <w:spacing w:before="240" w:after="240" w:line="240" w:lineRule="auto"/>
      <w:ind w:left="240" w:right="240"/>
    </w:pPr>
    <w:rPr>
      <w:rFonts w:ascii="Times New Roman" w:eastAsia="Times New Roman" w:hAnsi="Times New Roman"/>
      <w:color w:val="2F2F2F"/>
      <w:sz w:val="24"/>
      <w:szCs w:val="24"/>
      <w:lang w:val="es-ES" w:eastAsia="es-ES"/>
    </w:rPr>
  </w:style>
  <w:style w:type="paragraph" w:customStyle="1" w:styleId="tablac">
    <w:name w:val="tabla_c"/>
    <w:basedOn w:val="Normal"/>
    <w:rsid w:val="0093430A"/>
    <w:pPr>
      <w:spacing w:after="120" w:line="240" w:lineRule="auto"/>
      <w:ind w:left="120"/>
    </w:pPr>
    <w:rPr>
      <w:rFonts w:ascii="Times New Roman" w:eastAsia="Times New Roman" w:hAnsi="Times New Roman"/>
      <w:color w:val="2F2F2F"/>
      <w:sz w:val="24"/>
      <w:szCs w:val="24"/>
      <w:lang w:val="es-ES" w:eastAsia="es-ES"/>
    </w:rPr>
  </w:style>
  <w:style w:type="paragraph" w:customStyle="1" w:styleId="tabvisiblea">
    <w:name w:val="tab_visible_a"/>
    <w:basedOn w:val="Normal"/>
    <w:rsid w:val="0093430A"/>
    <w:pPr>
      <w:spacing w:after="120" w:line="240" w:lineRule="auto"/>
      <w:ind w:left="120"/>
    </w:pPr>
    <w:rPr>
      <w:rFonts w:ascii="Times New Roman" w:eastAsia="Times New Roman" w:hAnsi="Times New Roman"/>
      <w:color w:val="2F2F2F"/>
      <w:sz w:val="24"/>
      <w:szCs w:val="24"/>
      <w:lang w:val="es-ES" w:eastAsia="es-ES"/>
    </w:rPr>
  </w:style>
  <w:style w:type="paragraph" w:customStyle="1" w:styleId="taba">
    <w:name w:val="tab_a"/>
    <w:basedOn w:val="Normal"/>
    <w:rsid w:val="0093430A"/>
    <w:pPr>
      <w:spacing w:after="120" w:line="240" w:lineRule="auto"/>
      <w:ind w:left="120"/>
    </w:pPr>
    <w:rPr>
      <w:rFonts w:ascii="Times New Roman" w:eastAsia="Times New Roman" w:hAnsi="Times New Roman"/>
      <w:color w:val="2F2F2F"/>
      <w:sz w:val="24"/>
      <w:szCs w:val="24"/>
      <w:lang w:val="es-ES" w:eastAsia="es-ES"/>
    </w:rPr>
  </w:style>
  <w:style w:type="paragraph" w:customStyle="1" w:styleId="tabrecuadroa">
    <w:name w:val="tab_recuadro_a"/>
    <w:basedOn w:val="Normal"/>
    <w:rsid w:val="0093430A"/>
    <w:pPr>
      <w:pBdr>
        <w:top w:val="single" w:sz="12" w:space="12" w:color="737373"/>
        <w:left w:val="single" w:sz="12" w:space="12" w:color="737373"/>
        <w:bottom w:val="single" w:sz="12" w:space="12" w:color="737373"/>
        <w:right w:val="single" w:sz="12" w:space="12" w:color="737373"/>
      </w:pBdr>
      <w:spacing w:after="0" w:line="240" w:lineRule="auto"/>
    </w:pPr>
    <w:rPr>
      <w:rFonts w:ascii="Times New Roman" w:eastAsia="Times New Roman" w:hAnsi="Times New Roman"/>
      <w:color w:val="2F2F2F"/>
      <w:sz w:val="24"/>
      <w:szCs w:val="24"/>
      <w:lang w:val="es-ES" w:eastAsia="es-ES"/>
    </w:rPr>
  </w:style>
  <w:style w:type="paragraph" w:customStyle="1" w:styleId="carrusel2">
    <w:name w:val="carrusel_2"/>
    <w:basedOn w:val="Normal"/>
    <w:rsid w:val="0093430A"/>
    <w:pPr>
      <w:spacing w:after="120" w:line="240" w:lineRule="auto"/>
      <w:ind w:left="120"/>
    </w:pPr>
    <w:rPr>
      <w:rFonts w:ascii="Times New Roman" w:eastAsia="Times New Roman" w:hAnsi="Times New Roman"/>
      <w:color w:val="2F2F2F"/>
      <w:sz w:val="24"/>
      <w:szCs w:val="24"/>
      <w:lang w:val="es-ES" w:eastAsia="es-ES"/>
    </w:rPr>
  </w:style>
  <w:style w:type="paragraph" w:customStyle="1" w:styleId="contenedorc2">
    <w:name w:val="contenedor_c2"/>
    <w:basedOn w:val="Normal"/>
    <w:rsid w:val="0093430A"/>
    <w:pPr>
      <w:spacing w:after="120" w:line="240" w:lineRule="auto"/>
      <w:ind w:left="120"/>
    </w:pPr>
    <w:rPr>
      <w:rFonts w:ascii="Times New Roman" w:eastAsia="Times New Roman" w:hAnsi="Times New Roman"/>
      <w:b/>
      <w:bCs/>
      <w:color w:val="2F2F2F"/>
      <w:sz w:val="24"/>
      <w:szCs w:val="24"/>
      <w:lang w:val="es-ES" w:eastAsia="es-ES"/>
    </w:rPr>
  </w:style>
  <w:style w:type="paragraph" w:customStyle="1" w:styleId="imagencontenedorc2">
    <w:name w:val="imagen_contenedor_c2"/>
    <w:basedOn w:val="Normal"/>
    <w:rsid w:val="0093430A"/>
    <w:pPr>
      <w:spacing w:after="120" w:line="240" w:lineRule="auto"/>
      <w:ind w:left="120"/>
    </w:pPr>
    <w:rPr>
      <w:rFonts w:ascii="Times New Roman" w:eastAsia="Times New Roman" w:hAnsi="Times New Roman"/>
      <w:color w:val="2F2F2F"/>
      <w:sz w:val="24"/>
      <w:szCs w:val="24"/>
      <w:lang w:val="es-ES" w:eastAsia="es-ES"/>
    </w:rPr>
  </w:style>
  <w:style w:type="paragraph" w:customStyle="1" w:styleId="textocontenedorc2">
    <w:name w:val="texto_contenedor_c2"/>
    <w:basedOn w:val="Normal"/>
    <w:rsid w:val="0093430A"/>
    <w:pPr>
      <w:spacing w:after="120" w:line="240" w:lineRule="auto"/>
      <w:ind w:left="120"/>
    </w:pPr>
    <w:rPr>
      <w:rFonts w:ascii="Times New Roman" w:eastAsia="Times New Roman" w:hAnsi="Times New Roman"/>
      <w:color w:val="2F2F2F"/>
      <w:sz w:val="24"/>
      <w:szCs w:val="24"/>
      <w:lang w:val="es-ES" w:eastAsia="es-ES"/>
    </w:rPr>
  </w:style>
  <w:style w:type="paragraph" w:customStyle="1" w:styleId="fondocontenedor">
    <w:name w:val="fondo_contenedor"/>
    <w:basedOn w:val="Normal"/>
    <w:rsid w:val="0093430A"/>
    <w:pPr>
      <w:shd w:val="clear" w:color="auto" w:fill="000000"/>
      <w:spacing w:after="120" w:line="240" w:lineRule="auto"/>
      <w:ind w:left="120"/>
    </w:pPr>
    <w:rPr>
      <w:rFonts w:ascii="Times New Roman" w:eastAsia="Times New Roman" w:hAnsi="Times New Roman"/>
      <w:color w:val="2F2F2F"/>
      <w:sz w:val="24"/>
      <w:szCs w:val="24"/>
      <w:lang w:val="es-ES" w:eastAsia="es-ES"/>
    </w:rPr>
  </w:style>
  <w:style w:type="paragraph" w:customStyle="1" w:styleId="contenedort1">
    <w:name w:val="contenedor_t1"/>
    <w:basedOn w:val="Normal"/>
    <w:rsid w:val="0093430A"/>
    <w:pPr>
      <w:spacing w:after="120" w:line="240" w:lineRule="auto"/>
      <w:ind w:left="120"/>
    </w:pPr>
    <w:rPr>
      <w:rFonts w:ascii="Times New Roman" w:eastAsia="Times New Roman" w:hAnsi="Times New Roman"/>
      <w:color w:val="FFFFFF"/>
      <w:sz w:val="24"/>
      <w:szCs w:val="24"/>
      <w:lang w:val="es-ES" w:eastAsia="es-ES"/>
    </w:rPr>
  </w:style>
  <w:style w:type="paragraph" w:customStyle="1" w:styleId="linearosa">
    <w:name w:val="linea_rosa"/>
    <w:basedOn w:val="Normal"/>
    <w:rsid w:val="0093430A"/>
    <w:pPr>
      <w:pBdr>
        <w:top w:val="single" w:sz="18" w:space="0" w:color="D90A90"/>
      </w:pBdr>
      <w:spacing w:after="120" w:line="240" w:lineRule="auto"/>
      <w:ind w:left="120"/>
    </w:pPr>
    <w:rPr>
      <w:rFonts w:ascii="Times New Roman" w:eastAsia="Times New Roman" w:hAnsi="Times New Roman"/>
      <w:color w:val="2F2F2F"/>
      <w:sz w:val="24"/>
      <w:szCs w:val="24"/>
      <w:lang w:val="es-ES" w:eastAsia="es-ES"/>
    </w:rPr>
  </w:style>
  <w:style w:type="paragraph" w:customStyle="1" w:styleId="flecharosa">
    <w:name w:val="flecha_rosa"/>
    <w:basedOn w:val="Normal"/>
    <w:rsid w:val="0093430A"/>
    <w:pPr>
      <w:spacing w:after="120" w:line="240" w:lineRule="auto"/>
      <w:ind w:left="120" w:right="45"/>
    </w:pPr>
    <w:rPr>
      <w:rFonts w:ascii="Times New Roman" w:eastAsia="Times New Roman" w:hAnsi="Times New Roman"/>
      <w:color w:val="2F2F2F"/>
      <w:sz w:val="24"/>
      <w:szCs w:val="24"/>
      <w:lang w:val="es-ES" w:eastAsia="es-ES"/>
    </w:rPr>
  </w:style>
  <w:style w:type="paragraph" w:customStyle="1" w:styleId="titulocontenedor">
    <w:name w:val="titulo_contenedor"/>
    <w:basedOn w:val="Normal"/>
    <w:rsid w:val="0093430A"/>
    <w:pPr>
      <w:spacing w:after="120" w:line="264" w:lineRule="atLeast"/>
      <w:ind w:left="120"/>
    </w:pPr>
    <w:rPr>
      <w:rFonts w:ascii="Times New Roman" w:eastAsia="Times New Roman" w:hAnsi="Times New Roman"/>
      <w:color w:val="2F2F2F"/>
      <w:sz w:val="19"/>
      <w:szCs w:val="19"/>
      <w:lang w:val="es-ES" w:eastAsia="es-ES"/>
    </w:rPr>
  </w:style>
  <w:style w:type="paragraph" w:customStyle="1" w:styleId="textocontenedor2">
    <w:name w:val="texto_contenedor_2"/>
    <w:basedOn w:val="Normal"/>
    <w:rsid w:val="0093430A"/>
    <w:pPr>
      <w:spacing w:before="120" w:after="120" w:line="264" w:lineRule="atLeast"/>
      <w:ind w:left="120"/>
    </w:pPr>
    <w:rPr>
      <w:rFonts w:ascii="Times New Roman" w:eastAsia="Times New Roman" w:hAnsi="Times New Roman"/>
      <w:color w:val="2F2F2F"/>
      <w:sz w:val="17"/>
      <w:szCs w:val="17"/>
      <w:lang w:val="es-ES" w:eastAsia="es-ES"/>
    </w:rPr>
  </w:style>
  <w:style w:type="paragraph" w:customStyle="1" w:styleId="icono1">
    <w:name w:val="icono_1"/>
    <w:basedOn w:val="Normal"/>
    <w:rsid w:val="0093430A"/>
    <w:pPr>
      <w:spacing w:after="120" w:line="240" w:lineRule="auto"/>
      <w:ind w:left="120" w:right="120"/>
    </w:pPr>
    <w:rPr>
      <w:rFonts w:ascii="Times New Roman" w:eastAsia="Times New Roman" w:hAnsi="Times New Roman"/>
      <w:color w:val="2F2F2F"/>
      <w:sz w:val="24"/>
      <w:szCs w:val="24"/>
      <w:lang w:val="es-ES" w:eastAsia="es-ES"/>
    </w:rPr>
  </w:style>
  <w:style w:type="paragraph" w:customStyle="1" w:styleId="icono2">
    <w:name w:val="icono_2"/>
    <w:basedOn w:val="Normal"/>
    <w:rsid w:val="0093430A"/>
    <w:pPr>
      <w:spacing w:after="120" w:line="240" w:lineRule="auto"/>
      <w:ind w:left="120" w:right="120"/>
    </w:pPr>
    <w:rPr>
      <w:rFonts w:ascii="Times New Roman" w:eastAsia="Times New Roman" w:hAnsi="Times New Roman"/>
      <w:color w:val="2F2F2F"/>
      <w:sz w:val="24"/>
      <w:szCs w:val="24"/>
      <w:lang w:val="es-ES" w:eastAsia="es-ES"/>
    </w:rPr>
  </w:style>
  <w:style w:type="paragraph" w:customStyle="1" w:styleId="icono3">
    <w:name w:val="icono_3"/>
    <w:basedOn w:val="Normal"/>
    <w:rsid w:val="0093430A"/>
    <w:pPr>
      <w:spacing w:after="120" w:line="240" w:lineRule="auto"/>
      <w:ind w:left="120" w:right="120"/>
    </w:pPr>
    <w:rPr>
      <w:rFonts w:ascii="Times New Roman" w:eastAsia="Times New Roman" w:hAnsi="Times New Roman"/>
      <w:color w:val="2F2F2F"/>
      <w:sz w:val="24"/>
      <w:szCs w:val="24"/>
      <w:lang w:val="es-ES" w:eastAsia="es-ES"/>
    </w:rPr>
  </w:style>
  <w:style w:type="paragraph" w:customStyle="1" w:styleId="icono4">
    <w:name w:val="icono_4"/>
    <w:basedOn w:val="Normal"/>
    <w:rsid w:val="0093430A"/>
    <w:pPr>
      <w:spacing w:after="120" w:line="240" w:lineRule="auto"/>
      <w:ind w:left="120" w:right="120"/>
    </w:pPr>
    <w:rPr>
      <w:rFonts w:ascii="Times New Roman" w:eastAsia="Times New Roman" w:hAnsi="Times New Roman"/>
      <w:color w:val="2F2F2F"/>
      <w:sz w:val="24"/>
      <w:szCs w:val="24"/>
      <w:lang w:val="es-ES" w:eastAsia="es-ES"/>
    </w:rPr>
  </w:style>
  <w:style w:type="paragraph" w:customStyle="1" w:styleId="icono5">
    <w:name w:val="icono_5"/>
    <w:basedOn w:val="Normal"/>
    <w:rsid w:val="0093430A"/>
    <w:pPr>
      <w:spacing w:after="120" w:line="240" w:lineRule="auto"/>
      <w:ind w:left="120" w:right="120"/>
    </w:pPr>
    <w:rPr>
      <w:rFonts w:ascii="Times New Roman" w:eastAsia="Times New Roman" w:hAnsi="Times New Roman"/>
      <w:color w:val="2F2F2F"/>
      <w:sz w:val="24"/>
      <w:szCs w:val="24"/>
      <w:lang w:val="es-ES" w:eastAsia="es-ES"/>
    </w:rPr>
  </w:style>
  <w:style w:type="paragraph" w:customStyle="1" w:styleId="icono6">
    <w:name w:val="icono_6"/>
    <w:basedOn w:val="Normal"/>
    <w:rsid w:val="0093430A"/>
    <w:pPr>
      <w:spacing w:after="120" w:line="240" w:lineRule="auto"/>
      <w:ind w:left="120" w:right="120"/>
    </w:pPr>
    <w:rPr>
      <w:rFonts w:ascii="Times New Roman" w:eastAsia="Times New Roman" w:hAnsi="Times New Roman"/>
      <w:color w:val="2F2F2F"/>
      <w:sz w:val="24"/>
      <w:szCs w:val="24"/>
      <w:lang w:val="es-ES" w:eastAsia="es-ES"/>
    </w:rPr>
  </w:style>
  <w:style w:type="paragraph" w:customStyle="1" w:styleId="icono7">
    <w:name w:val="icono_7"/>
    <w:basedOn w:val="Normal"/>
    <w:rsid w:val="0093430A"/>
    <w:pPr>
      <w:spacing w:after="120" w:line="240" w:lineRule="auto"/>
      <w:ind w:left="120" w:right="120"/>
    </w:pPr>
    <w:rPr>
      <w:rFonts w:ascii="Times New Roman" w:eastAsia="Times New Roman" w:hAnsi="Times New Roman"/>
      <w:color w:val="2F2F2F"/>
      <w:sz w:val="24"/>
      <w:szCs w:val="24"/>
      <w:lang w:val="es-ES" w:eastAsia="es-ES"/>
    </w:rPr>
  </w:style>
  <w:style w:type="paragraph" w:customStyle="1" w:styleId="icono8">
    <w:name w:val="icono_8"/>
    <w:basedOn w:val="Normal"/>
    <w:rsid w:val="0093430A"/>
    <w:pPr>
      <w:spacing w:after="120" w:line="240" w:lineRule="auto"/>
      <w:ind w:left="120" w:right="120"/>
    </w:pPr>
    <w:rPr>
      <w:rFonts w:ascii="Times New Roman" w:eastAsia="Times New Roman" w:hAnsi="Times New Roman"/>
      <w:color w:val="2F2F2F"/>
      <w:sz w:val="24"/>
      <w:szCs w:val="24"/>
      <w:lang w:val="es-ES" w:eastAsia="es-ES"/>
    </w:rPr>
  </w:style>
  <w:style w:type="paragraph" w:customStyle="1" w:styleId="iconoavi">
    <w:name w:val="icono_avi"/>
    <w:basedOn w:val="Normal"/>
    <w:rsid w:val="0093430A"/>
    <w:pPr>
      <w:spacing w:after="120" w:line="240" w:lineRule="auto"/>
      <w:ind w:left="120" w:right="120"/>
    </w:pPr>
    <w:rPr>
      <w:rFonts w:ascii="Times New Roman" w:eastAsia="Times New Roman" w:hAnsi="Times New Roman"/>
      <w:color w:val="2F2F2F"/>
      <w:sz w:val="24"/>
      <w:szCs w:val="24"/>
      <w:lang w:val="es-ES" w:eastAsia="es-ES"/>
    </w:rPr>
  </w:style>
  <w:style w:type="paragraph" w:customStyle="1" w:styleId="iconobmp">
    <w:name w:val="icono_bmp"/>
    <w:basedOn w:val="Normal"/>
    <w:rsid w:val="0093430A"/>
    <w:pPr>
      <w:spacing w:after="120" w:line="240" w:lineRule="auto"/>
      <w:ind w:left="120" w:right="120"/>
    </w:pPr>
    <w:rPr>
      <w:rFonts w:ascii="Times New Roman" w:eastAsia="Times New Roman" w:hAnsi="Times New Roman"/>
      <w:color w:val="2F2F2F"/>
      <w:sz w:val="24"/>
      <w:szCs w:val="24"/>
      <w:lang w:val="es-ES" w:eastAsia="es-ES"/>
    </w:rPr>
  </w:style>
  <w:style w:type="paragraph" w:customStyle="1" w:styleId="iconodoc">
    <w:name w:val="icono_doc"/>
    <w:basedOn w:val="Normal"/>
    <w:rsid w:val="0093430A"/>
    <w:pPr>
      <w:spacing w:after="120" w:line="240" w:lineRule="auto"/>
      <w:ind w:left="120" w:right="120"/>
    </w:pPr>
    <w:rPr>
      <w:rFonts w:ascii="Times New Roman" w:eastAsia="Times New Roman" w:hAnsi="Times New Roman"/>
      <w:color w:val="2F2F2F"/>
      <w:sz w:val="24"/>
      <w:szCs w:val="24"/>
      <w:lang w:val="es-ES" w:eastAsia="es-ES"/>
    </w:rPr>
  </w:style>
  <w:style w:type="paragraph" w:customStyle="1" w:styleId="iconofla">
    <w:name w:val="icono_fla"/>
    <w:basedOn w:val="Normal"/>
    <w:rsid w:val="0093430A"/>
    <w:pPr>
      <w:spacing w:after="120" w:line="240" w:lineRule="auto"/>
      <w:ind w:left="120" w:right="120"/>
    </w:pPr>
    <w:rPr>
      <w:rFonts w:ascii="Times New Roman" w:eastAsia="Times New Roman" w:hAnsi="Times New Roman"/>
      <w:color w:val="2F2F2F"/>
      <w:sz w:val="24"/>
      <w:szCs w:val="24"/>
      <w:lang w:val="es-ES" w:eastAsia="es-ES"/>
    </w:rPr>
  </w:style>
  <w:style w:type="paragraph" w:customStyle="1" w:styleId="iconogif">
    <w:name w:val="icono_gif"/>
    <w:basedOn w:val="Normal"/>
    <w:rsid w:val="0093430A"/>
    <w:pPr>
      <w:spacing w:after="120" w:line="240" w:lineRule="auto"/>
      <w:ind w:left="120" w:right="120"/>
    </w:pPr>
    <w:rPr>
      <w:rFonts w:ascii="Times New Roman" w:eastAsia="Times New Roman" w:hAnsi="Times New Roman"/>
      <w:color w:val="2F2F2F"/>
      <w:sz w:val="24"/>
      <w:szCs w:val="24"/>
      <w:lang w:val="es-ES" w:eastAsia="es-ES"/>
    </w:rPr>
  </w:style>
  <w:style w:type="paragraph" w:customStyle="1" w:styleId="iconohtm">
    <w:name w:val="icono_htm"/>
    <w:basedOn w:val="Normal"/>
    <w:rsid w:val="0093430A"/>
    <w:pPr>
      <w:spacing w:after="120" w:line="240" w:lineRule="auto"/>
      <w:ind w:left="120" w:right="120"/>
    </w:pPr>
    <w:rPr>
      <w:rFonts w:ascii="Times New Roman" w:eastAsia="Times New Roman" w:hAnsi="Times New Roman"/>
      <w:color w:val="2F2F2F"/>
      <w:sz w:val="24"/>
      <w:szCs w:val="24"/>
      <w:lang w:val="es-ES" w:eastAsia="es-ES"/>
    </w:rPr>
  </w:style>
  <w:style w:type="paragraph" w:customStyle="1" w:styleId="iconoimg">
    <w:name w:val="icono_img"/>
    <w:basedOn w:val="Normal"/>
    <w:rsid w:val="0093430A"/>
    <w:pPr>
      <w:spacing w:after="120" w:line="240" w:lineRule="auto"/>
      <w:ind w:left="120" w:right="120"/>
    </w:pPr>
    <w:rPr>
      <w:rFonts w:ascii="Times New Roman" w:eastAsia="Times New Roman" w:hAnsi="Times New Roman"/>
      <w:color w:val="2F2F2F"/>
      <w:sz w:val="24"/>
      <w:szCs w:val="24"/>
      <w:lang w:val="es-ES" w:eastAsia="es-ES"/>
    </w:rPr>
  </w:style>
  <w:style w:type="paragraph" w:customStyle="1" w:styleId="iconoiso">
    <w:name w:val="icono_iso"/>
    <w:basedOn w:val="Normal"/>
    <w:rsid w:val="0093430A"/>
    <w:pPr>
      <w:spacing w:after="120" w:line="240" w:lineRule="auto"/>
      <w:ind w:left="120" w:right="120"/>
    </w:pPr>
    <w:rPr>
      <w:rFonts w:ascii="Times New Roman" w:eastAsia="Times New Roman" w:hAnsi="Times New Roman"/>
      <w:color w:val="2F2F2F"/>
      <w:sz w:val="24"/>
      <w:szCs w:val="24"/>
      <w:lang w:val="es-ES" w:eastAsia="es-ES"/>
    </w:rPr>
  </w:style>
  <w:style w:type="paragraph" w:customStyle="1" w:styleId="iconojar">
    <w:name w:val="icono_jar"/>
    <w:basedOn w:val="Normal"/>
    <w:rsid w:val="0093430A"/>
    <w:pPr>
      <w:spacing w:after="120" w:line="240" w:lineRule="auto"/>
      <w:ind w:left="120" w:right="120"/>
    </w:pPr>
    <w:rPr>
      <w:rFonts w:ascii="Times New Roman" w:eastAsia="Times New Roman" w:hAnsi="Times New Roman"/>
      <w:color w:val="2F2F2F"/>
      <w:sz w:val="24"/>
      <w:szCs w:val="24"/>
      <w:lang w:val="es-ES" w:eastAsia="es-ES"/>
    </w:rPr>
  </w:style>
  <w:style w:type="paragraph" w:customStyle="1" w:styleId="iconojpg">
    <w:name w:val="icono_jpg"/>
    <w:basedOn w:val="Normal"/>
    <w:rsid w:val="0093430A"/>
    <w:pPr>
      <w:spacing w:after="120" w:line="240" w:lineRule="auto"/>
      <w:ind w:left="120" w:right="120"/>
    </w:pPr>
    <w:rPr>
      <w:rFonts w:ascii="Times New Roman" w:eastAsia="Times New Roman" w:hAnsi="Times New Roman"/>
      <w:color w:val="2F2F2F"/>
      <w:sz w:val="24"/>
      <w:szCs w:val="24"/>
      <w:lang w:val="es-ES" w:eastAsia="es-ES"/>
    </w:rPr>
  </w:style>
  <w:style w:type="paragraph" w:customStyle="1" w:styleId="iconomov">
    <w:name w:val="icono_mov"/>
    <w:basedOn w:val="Normal"/>
    <w:rsid w:val="0093430A"/>
    <w:pPr>
      <w:spacing w:after="120" w:line="240" w:lineRule="auto"/>
      <w:ind w:left="120" w:right="120"/>
    </w:pPr>
    <w:rPr>
      <w:rFonts w:ascii="Times New Roman" w:eastAsia="Times New Roman" w:hAnsi="Times New Roman"/>
      <w:color w:val="2F2F2F"/>
      <w:sz w:val="24"/>
      <w:szCs w:val="24"/>
      <w:lang w:val="es-ES" w:eastAsia="es-ES"/>
    </w:rPr>
  </w:style>
  <w:style w:type="paragraph" w:customStyle="1" w:styleId="iconomp3">
    <w:name w:val="icono_mp3"/>
    <w:basedOn w:val="Normal"/>
    <w:rsid w:val="0093430A"/>
    <w:pPr>
      <w:spacing w:after="120" w:line="240" w:lineRule="auto"/>
      <w:ind w:left="120" w:right="120"/>
    </w:pPr>
    <w:rPr>
      <w:rFonts w:ascii="Times New Roman" w:eastAsia="Times New Roman" w:hAnsi="Times New Roman"/>
      <w:color w:val="2F2F2F"/>
      <w:sz w:val="24"/>
      <w:szCs w:val="24"/>
      <w:lang w:val="es-ES" w:eastAsia="es-ES"/>
    </w:rPr>
  </w:style>
  <w:style w:type="paragraph" w:customStyle="1" w:styleId="iconopdf">
    <w:name w:val="icono_pdf"/>
    <w:basedOn w:val="Normal"/>
    <w:rsid w:val="0093430A"/>
    <w:pPr>
      <w:spacing w:after="120" w:line="240" w:lineRule="auto"/>
      <w:ind w:left="120" w:right="120"/>
    </w:pPr>
    <w:rPr>
      <w:rFonts w:ascii="Times New Roman" w:eastAsia="Times New Roman" w:hAnsi="Times New Roman"/>
      <w:color w:val="2F2F2F"/>
      <w:sz w:val="24"/>
      <w:szCs w:val="24"/>
      <w:lang w:val="es-ES" w:eastAsia="es-ES"/>
    </w:rPr>
  </w:style>
  <w:style w:type="paragraph" w:customStyle="1" w:styleId="iconopng">
    <w:name w:val="icono_png"/>
    <w:basedOn w:val="Normal"/>
    <w:rsid w:val="0093430A"/>
    <w:pPr>
      <w:spacing w:after="120" w:line="240" w:lineRule="auto"/>
      <w:ind w:left="120" w:right="120"/>
    </w:pPr>
    <w:rPr>
      <w:rFonts w:ascii="Times New Roman" w:eastAsia="Times New Roman" w:hAnsi="Times New Roman"/>
      <w:color w:val="2F2F2F"/>
      <w:sz w:val="24"/>
      <w:szCs w:val="24"/>
      <w:lang w:val="es-ES" w:eastAsia="es-ES"/>
    </w:rPr>
  </w:style>
  <w:style w:type="paragraph" w:customStyle="1" w:styleId="iconoppt">
    <w:name w:val="icono_ppt"/>
    <w:basedOn w:val="Normal"/>
    <w:rsid w:val="0093430A"/>
    <w:pPr>
      <w:spacing w:after="120" w:line="240" w:lineRule="auto"/>
      <w:ind w:left="120" w:right="120"/>
    </w:pPr>
    <w:rPr>
      <w:rFonts w:ascii="Times New Roman" w:eastAsia="Times New Roman" w:hAnsi="Times New Roman"/>
      <w:color w:val="2F2F2F"/>
      <w:sz w:val="24"/>
      <w:szCs w:val="24"/>
      <w:lang w:val="es-ES" w:eastAsia="es-ES"/>
    </w:rPr>
  </w:style>
  <w:style w:type="paragraph" w:customStyle="1" w:styleId="iconorar">
    <w:name w:val="icono_rar"/>
    <w:basedOn w:val="Normal"/>
    <w:rsid w:val="0093430A"/>
    <w:pPr>
      <w:spacing w:after="120" w:line="240" w:lineRule="auto"/>
      <w:ind w:left="120" w:right="120"/>
    </w:pPr>
    <w:rPr>
      <w:rFonts w:ascii="Times New Roman" w:eastAsia="Times New Roman" w:hAnsi="Times New Roman"/>
      <w:color w:val="2F2F2F"/>
      <w:sz w:val="24"/>
      <w:szCs w:val="24"/>
      <w:lang w:val="es-ES" w:eastAsia="es-ES"/>
    </w:rPr>
  </w:style>
  <w:style w:type="paragraph" w:customStyle="1" w:styleId="iconortf">
    <w:name w:val="icono_rtf"/>
    <w:basedOn w:val="Normal"/>
    <w:rsid w:val="0093430A"/>
    <w:pPr>
      <w:spacing w:after="120" w:line="240" w:lineRule="auto"/>
      <w:ind w:left="120" w:right="120"/>
    </w:pPr>
    <w:rPr>
      <w:rFonts w:ascii="Times New Roman" w:eastAsia="Times New Roman" w:hAnsi="Times New Roman"/>
      <w:color w:val="2F2F2F"/>
      <w:sz w:val="24"/>
      <w:szCs w:val="24"/>
      <w:lang w:val="es-ES" w:eastAsia="es-ES"/>
    </w:rPr>
  </w:style>
  <w:style w:type="paragraph" w:customStyle="1" w:styleId="iconotar">
    <w:name w:val="icono_tar"/>
    <w:basedOn w:val="Normal"/>
    <w:rsid w:val="0093430A"/>
    <w:pPr>
      <w:spacing w:after="120" w:line="240" w:lineRule="auto"/>
      <w:ind w:left="120" w:right="120"/>
    </w:pPr>
    <w:rPr>
      <w:rFonts w:ascii="Times New Roman" w:eastAsia="Times New Roman" w:hAnsi="Times New Roman"/>
      <w:color w:val="2F2F2F"/>
      <w:sz w:val="24"/>
      <w:szCs w:val="24"/>
      <w:lang w:val="es-ES" w:eastAsia="es-ES"/>
    </w:rPr>
  </w:style>
  <w:style w:type="paragraph" w:customStyle="1" w:styleId="iconotif">
    <w:name w:val="icono_tif"/>
    <w:basedOn w:val="Normal"/>
    <w:rsid w:val="0093430A"/>
    <w:pPr>
      <w:spacing w:after="120" w:line="240" w:lineRule="auto"/>
      <w:ind w:left="120" w:right="120"/>
    </w:pPr>
    <w:rPr>
      <w:rFonts w:ascii="Times New Roman" w:eastAsia="Times New Roman" w:hAnsi="Times New Roman"/>
      <w:color w:val="2F2F2F"/>
      <w:sz w:val="24"/>
      <w:szCs w:val="24"/>
      <w:lang w:val="es-ES" w:eastAsia="es-ES"/>
    </w:rPr>
  </w:style>
  <w:style w:type="paragraph" w:customStyle="1" w:styleId="iconotxt">
    <w:name w:val="icono_txt"/>
    <w:basedOn w:val="Normal"/>
    <w:rsid w:val="0093430A"/>
    <w:pPr>
      <w:spacing w:after="120" w:line="240" w:lineRule="auto"/>
      <w:ind w:left="120" w:right="120"/>
    </w:pPr>
    <w:rPr>
      <w:rFonts w:ascii="Times New Roman" w:eastAsia="Times New Roman" w:hAnsi="Times New Roman"/>
      <w:color w:val="2F2F2F"/>
      <w:sz w:val="24"/>
      <w:szCs w:val="24"/>
      <w:lang w:val="es-ES" w:eastAsia="es-ES"/>
    </w:rPr>
  </w:style>
  <w:style w:type="paragraph" w:customStyle="1" w:styleId="iconowav">
    <w:name w:val="icono_wav"/>
    <w:basedOn w:val="Normal"/>
    <w:rsid w:val="0093430A"/>
    <w:pPr>
      <w:spacing w:after="120" w:line="240" w:lineRule="auto"/>
      <w:ind w:left="120" w:right="120"/>
    </w:pPr>
    <w:rPr>
      <w:rFonts w:ascii="Times New Roman" w:eastAsia="Times New Roman" w:hAnsi="Times New Roman"/>
      <w:color w:val="2F2F2F"/>
      <w:sz w:val="24"/>
      <w:szCs w:val="24"/>
      <w:lang w:val="es-ES" w:eastAsia="es-ES"/>
    </w:rPr>
  </w:style>
  <w:style w:type="paragraph" w:customStyle="1" w:styleId="iconowma">
    <w:name w:val="icono_wma"/>
    <w:basedOn w:val="Normal"/>
    <w:rsid w:val="0093430A"/>
    <w:pPr>
      <w:spacing w:after="120" w:line="240" w:lineRule="auto"/>
      <w:ind w:left="120" w:right="120"/>
    </w:pPr>
    <w:rPr>
      <w:rFonts w:ascii="Times New Roman" w:eastAsia="Times New Roman" w:hAnsi="Times New Roman"/>
      <w:color w:val="2F2F2F"/>
      <w:sz w:val="24"/>
      <w:szCs w:val="24"/>
      <w:lang w:val="es-ES" w:eastAsia="es-ES"/>
    </w:rPr>
  </w:style>
  <w:style w:type="paragraph" w:customStyle="1" w:styleId="iconowmv">
    <w:name w:val="icono_wmv"/>
    <w:basedOn w:val="Normal"/>
    <w:rsid w:val="0093430A"/>
    <w:pPr>
      <w:spacing w:after="120" w:line="240" w:lineRule="auto"/>
      <w:ind w:left="120" w:right="120"/>
    </w:pPr>
    <w:rPr>
      <w:rFonts w:ascii="Times New Roman" w:eastAsia="Times New Roman" w:hAnsi="Times New Roman"/>
      <w:color w:val="2F2F2F"/>
      <w:sz w:val="24"/>
      <w:szCs w:val="24"/>
      <w:lang w:val="es-ES" w:eastAsia="es-ES"/>
    </w:rPr>
  </w:style>
  <w:style w:type="paragraph" w:customStyle="1" w:styleId="iconoxls">
    <w:name w:val="icono_xls"/>
    <w:basedOn w:val="Normal"/>
    <w:rsid w:val="0093430A"/>
    <w:pPr>
      <w:spacing w:after="120" w:line="240" w:lineRule="auto"/>
      <w:ind w:left="120" w:right="120"/>
    </w:pPr>
    <w:rPr>
      <w:rFonts w:ascii="Times New Roman" w:eastAsia="Times New Roman" w:hAnsi="Times New Roman"/>
      <w:color w:val="2F2F2F"/>
      <w:sz w:val="24"/>
      <w:szCs w:val="24"/>
      <w:lang w:val="es-ES" w:eastAsia="es-ES"/>
    </w:rPr>
  </w:style>
  <w:style w:type="paragraph" w:customStyle="1" w:styleId="iconoxml">
    <w:name w:val="icono_xml"/>
    <w:basedOn w:val="Normal"/>
    <w:rsid w:val="0093430A"/>
    <w:pPr>
      <w:spacing w:after="120" w:line="240" w:lineRule="auto"/>
      <w:ind w:left="120" w:right="120"/>
    </w:pPr>
    <w:rPr>
      <w:rFonts w:ascii="Times New Roman" w:eastAsia="Times New Roman" w:hAnsi="Times New Roman"/>
      <w:color w:val="2F2F2F"/>
      <w:sz w:val="24"/>
      <w:szCs w:val="24"/>
      <w:lang w:val="es-ES" w:eastAsia="es-ES"/>
    </w:rPr>
  </w:style>
  <w:style w:type="paragraph" w:customStyle="1" w:styleId="iconozip">
    <w:name w:val="icono_zip"/>
    <w:basedOn w:val="Normal"/>
    <w:rsid w:val="0093430A"/>
    <w:pPr>
      <w:spacing w:after="120" w:line="240" w:lineRule="auto"/>
      <w:ind w:left="120" w:right="120"/>
    </w:pPr>
    <w:rPr>
      <w:rFonts w:ascii="Times New Roman" w:eastAsia="Times New Roman" w:hAnsi="Times New Roman"/>
      <w:color w:val="2F2F2F"/>
      <w:sz w:val="24"/>
      <w:szCs w:val="24"/>
      <w:lang w:val="es-ES" w:eastAsia="es-ES"/>
    </w:rPr>
  </w:style>
  <w:style w:type="paragraph" w:customStyle="1" w:styleId="audio1">
    <w:name w:val="audio_1"/>
    <w:basedOn w:val="Normal"/>
    <w:rsid w:val="0093430A"/>
    <w:pPr>
      <w:spacing w:after="120" w:line="240" w:lineRule="auto"/>
      <w:ind w:left="120" w:right="120"/>
    </w:pPr>
    <w:rPr>
      <w:rFonts w:ascii="Times New Roman" w:eastAsia="Times New Roman" w:hAnsi="Times New Roman"/>
      <w:color w:val="2F2F2F"/>
      <w:sz w:val="24"/>
      <w:szCs w:val="24"/>
      <w:lang w:val="es-ES" w:eastAsia="es-ES"/>
    </w:rPr>
  </w:style>
  <w:style w:type="paragraph" w:customStyle="1" w:styleId="video1">
    <w:name w:val="video_1"/>
    <w:basedOn w:val="Normal"/>
    <w:rsid w:val="0093430A"/>
    <w:pPr>
      <w:spacing w:after="120" w:line="240" w:lineRule="auto"/>
      <w:ind w:left="120" w:right="120"/>
    </w:pPr>
    <w:rPr>
      <w:rFonts w:ascii="Times New Roman" w:eastAsia="Times New Roman" w:hAnsi="Times New Roman"/>
      <w:color w:val="2F2F2F"/>
      <w:sz w:val="24"/>
      <w:szCs w:val="24"/>
      <w:lang w:val="es-ES" w:eastAsia="es-ES"/>
    </w:rPr>
  </w:style>
  <w:style w:type="paragraph" w:customStyle="1" w:styleId="foto1">
    <w:name w:val="foto_1"/>
    <w:basedOn w:val="Normal"/>
    <w:rsid w:val="0093430A"/>
    <w:pPr>
      <w:spacing w:after="120" w:line="240" w:lineRule="auto"/>
      <w:ind w:left="120" w:right="120"/>
    </w:pPr>
    <w:rPr>
      <w:rFonts w:ascii="Times New Roman" w:eastAsia="Times New Roman" w:hAnsi="Times New Roman"/>
      <w:color w:val="2F2F2F"/>
      <w:sz w:val="24"/>
      <w:szCs w:val="24"/>
      <w:lang w:val="es-ES" w:eastAsia="es-ES"/>
    </w:rPr>
  </w:style>
  <w:style w:type="paragraph" w:customStyle="1" w:styleId="info1">
    <w:name w:val="info_1"/>
    <w:basedOn w:val="Normal"/>
    <w:rsid w:val="0093430A"/>
    <w:pPr>
      <w:spacing w:after="120" w:line="240" w:lineRule="auto"/>
      <w:ind w:left="120" w:right="120"/>
    </w:pPr>
    <w:rPr>
      <w:rFonts w:ascii="Times New Roman" w:eastAsia="Times New Roman" w:hAnsi="Times New Roman"/>
      <w:color w:val="2F2F2F"/>
      <w:sz w:val="24"/>
      <w:szCs w:val="24"/>
      <w:lang w:val="es-ES" w:eastAsia="es-ES"/>
    </w:rPr>
  </w:style>
  <w:style w:type="paragraph" w:customStyle="1" w:styleId="rel1">
    <w:name w:val="rel_1"/>
    <w:basedOn w:val="Normal"/>
    <w:rsid w:val="0093430A"/>
    <w:pPr>
      <w:spacing w:after="120" w:line="240" w:lineRule="auto"/>
      <w:ind w:left="120" w:right="120"/>
    </w:pPr>
    <w:rPr>
      <w:rFonts w:ascii="Times New Roman" w:eastAsia="Times New Roman" w:hAnsi="Times New Roman"/>
      <w:color w:val="2F2F2F"/>
      <w:sz w:val="24"/>
      <w:szCs w:val="24"/>
      <w:lang w:val="es-ES" w:eastAsia="es-ES"/>
    </w:rPr>
  </w:style>
  <w:style w:type="paragraph" w:customStyle="1" w:styleId="audio2">
    <w:name w:val="audio_2"/>
    <w:basedOn w:val="Normal"/>
    <w:rsid w:val="0093430A"/>
    <w:pPr>
      <w:spacing w:after="120" w:line="240" w:lineRule="auto"/>
      <w:ind w:left="120" w:right="120"/>
    </w:pPr>
    <w:rPr>
      <w:rFonts w:ascii="Times New Roman" w:eastAsia="Times New Roman" w:hAnsi="Times New Roman"/>
      <w:color w:val="2F2F2F"/>
      <w:sz w:val="24"/>
      <w:szCs w:val="24"/>
      <w:lang w:val="es-ES" w:eastAsia="es-ES"/>
    </w:rPr>
  </w:style>
  <w:style w:type="paragraph" w:customStyle="1" w:styleId="video2">
    <w:name w:val="video_2"/>
    <w:basedOn w:val="Normal"/>
    <w:rsid w:val="0093430A"/>
    <w:pPr>
      <w:spacing w:after="120" w:line="240" w:lineRule="auto"/>
      <w:ind w:left="120" w:right="120"/>
    </w:pPr>
    <w:rPr>
      <w:rFonts w:ascii="Times New Roman" w:eastAsia="Times New Roman" w:hAnsi="Times New Roman"/>
      <w:color w:val="2F2F2F"/>
      <w:sz w:val="24"/>
      <w:szCs w:val="24"/>
      <w:lang w:val="es-ES" w:eastAsia="es-ES"/>
    </w:rPr>
  </w:style>
  <w:style w:type="paragraph" w:customStyle="1" w:styleId="foto2">
    <w:name w:val="foto_2"/>
    <w:basedOn w:val="Normal"/>
    <w:rsid w:val="0093430A"/>
    <w:pPr>
      <w:spacing w:after="120" w:line="240" w:lineRule="auto"/>
      <w:ind w:left="120" w:right="120"/>
    </w:pPr>
    <w:rPr>
      <w:rFonts w:ascii="Times New Roman" w:eastAsia="Times New Roman" w:hAnsi="Times New Roman"/>
      <w:color w:val="2F2F2F"/>
      <w:sz w:val="24"/>
      <w:szCs w:val="24"/>
      <w:lang w:val="es-ES" w:eastAsia="es-ES"/>
    </w:rPr>
  </w:style>
  <w:style w:type="paragraph" w:customStyle="1" w:styleId="info2">
    <w:name w:val="info_2"/>
    <w:basedOn w:val="Normal"/>
    <w:rsid w:val="0093430A"/>
    <w:pPr>
      <w:spacing w:after="120" w:line="240" w:lineRule="auto"/>
      <w:ind w:left="120" w:right="120"/>
    </w:pPr>
    <w:rPr>
      <w:rFonts w:ascii="Times New Roman" w:eastAsia="Times New Roman" w:hAnsi="Times New Roman"/>
      <w:color w:val="2F2F2F"/>
      <w:sz w:val="24"/>
      <w:szCs w:val="24"/>
      <w:lang w:val="es-ES" w:eastAsia="es-ES"/>
    </w:rPr>
  </w:style>
  <w:style w:type="paragraph" w:customStyle="1" w:styleId="recuadro">
    <w:name w:val="recuadro"/>
    <w:basedOn w:val="Normal"/>
    <w:rsid w:val="0093430A"/>
    <w:pPr>
      <w:spacing w:before="240" w:after="240" w:line="240" w:lineRule="auto"/>
      <w:ind w:left="240" w:right="240"/>
    </w:pPr>
    <w:rPr>
      <w:rFonts w:ascii="Times New Roman" w:eastAsia="Times New Roman" w:hAnsi="Times New Roman"/>
      <w:color w:val="2F2F2F"/>
      <w:sz w:val="24"/>
      <w:szCs w:val="24"/>
      <w:lang w:val="es-ES" w:eastAsia="es-ES"/>
    </w:rPr>
  </w:style>
  <w:style w:type="paragraph" w:customStyle="1" w:styleId="recuadro2">
    <w:name w:val="recuadro2"/>
    <w:basedOn w:val="Normal"/>
    <w:rsid w:val="0093430A"/>
    <w:pPr>
      <w:pBdr>
        <w:top w:val="single" w:sz="6" w:space="12" w:color="808080"/>
        <w:left w:val="single" w:sz="6" w:space="12" w:color="808080"/>
        <w:bottom w:val="single" w:sz="6" w:space="12" w:color="808080"/>
        <w:right w:val="single" w:sz="6" w:space="12" w:color="808080"/>
      </w:pBdr>
      <w:shd w:val="clear" w:color="auto" w:fill="F9F7FA"/>
      <w:spacing w:before="240" w:after="240" w:line="240" w:lineRule="auto"/>
      <w:ind w:left="240" w:right="240"/>
    </w:pPr>
    <w:rPr>
      <w:rFonts w:ascii="Courier" w:eastAsia="Times New Roman" w:hAnsi="Courier"/>
      <w:color w:val="2F2F2F"/>
      <w:sz w:val="18"/>
      <w:szCs w:val="18"/>
      <w:lang w:val="es-ES" w:eastAsia="es-ES"/>
    </w:rPr>
  </w:style>
  <w:style w:type="paragraph" w:customStyle="1" w:styleId="recuadro3">
    <w:name w:val="recuadro3"/>
    <w:basedOn w:val="Normal"/>
    <w:rsid w:val="0093430A"/>
    <w:pPr>
      <w:pBdr>
        <w:top w:val="single" w:sz="12" w:space="12" w:color="737373"/>
        <w:left w:val="single" w:sz="12" w:space="12" w:color="737373"/>
        <w:bottom w:val="single" w:sz="12" w:space="12" w:color="737373"/>
        <w:right w:val="single" w:sz="12" w:space="12" w:color="737373"/>
      </w:pBdr>
      <w:shd w:val="clear" w:color="auto" w:fill="F4F5F9"/>
      <w:spacing w:after="120" w:line="240" w:lineRule="auto"/>
      <w:ind w:left="120"/>
    </w:pPr>
    <w:rPr>
      <w:rFonts w:ascii="Times New Roman" w:eastAsia="Times New Roman" w:hAnsi="Times New Roman"/>
      <w:color w:val="2F2F2F"/>
      <w:sz w:val="17"/>
      <w:szCs w:val="17"/>
      <w:lang w:val="es-ES" w:eastAsia="es-ES"/>
    </w:rPr>
  </w:style>
  <w:style w:type="paragraph" w:customStyle="1" w:styleId="recuadro4">
    <w:name w:val="recuadro4"/>
    <w:basedOn w:val="Normal"/>
    <w:rsid w:val="0093430A"/>
    <w:pPr>
      <w:spacing w:after="120" w:line="240" w:lineRule="auto"/>
      <w:ind w:left="120"/>
    </w:pPr>
    <w:rPr>
      <w:rFonts w:ascii="Times New Roman" w:eastAsia="Times New Roman" w:hAnsi="Times New Roman"/>
      <w:color w:val="2F2F2F"/>
      <w:sz w:val="17"/>
      <w:szCs w:val="17"/>
      <w:lang w:val="es-ES" w:eastAsia="es-ES"/>
    </w:rPr>
  </w:style>
  <w:style w:type="paragraph" w:customStyle="1" w:styleId="recuadro5">
    <w:name w:val="recuadro5"/>
    <w:basedOn w:val="Normal"/>
    <w:rsid w:val="0093430A"/>
    <w:pPr>
      <w:pBdr>
        <w:top w:val="single" w:sz="6" w:space="12" w:color="808080"/>
        <w:left w:val="single" w:sz="6" w:space="12" w:color="808080"/>
        <w:bottom w:val="single" w:sz="6" w:space="12" w:color="808080"/>
        <w:right w:val="single" w:sz="6" w:space="12" w:color="808080"/>
      </w:pBdr>
      <w:spacing w:before="240" w:after="240" w:line="240" w:lineRule="auto"/>
      <w:ind w:left="240" w:right="240"/>
    </w:pPr>
    <w:rPr>
      <w:rFonts w:ascii="Times New Roman" w:eastAsia="Times New Roman" w:hAnsi="Times New Roman"/>
      <w:color w:val="2F2F2F"/>
      <w:sz w:val="24"/>
      <w:szCs w:val="24"/>
      <w:lang w:val="es-ES" w:eastAsia="es-ES"/>
    </w:rPr>
  </w:style>
  <w:style w:type="paragraph" w:customStyle="1" w:styleId="tituloseccion">
    <w:name w:val="titulo_seccion"/>
    <w:basedOn w:val="Normal"/>
    <w:rsid w:val="0093430A"/>
    <w:pPr>
      <w:pBdr>
        <w:left w:val="single" w:sz="12" w:space="4" w:color="E4E3E3"/>
      </w:pBdr>
      <w:spacing w:after="120" w:line="240" w:lineRule="auto"/>
      <w:ind w:left="120"/>
    </w:pPr>
    <w:rPr>
      <w:rFonts w:ascii="Times New Roman" w:eastAsia="Times New Roman" w:hAnsi="Times New Roman"/>
      <w:b/>
      <w:bCs/>
      <w:caps/>
      <w:color w:val="800000"/>
      <w:lang w:val="es-ES" w:eastAsia="es-ES"/>
    </w:rPr>
  </w:style>
  <w:style w:type="paragraph" w:customStyle="1" w:styleId="tituloseccionb">
    <w:name w:val="titulo_seccion_b"/>
    <w:basedOn w:val="Normal"/>
    <w:rsid w:val="0093430A"/>
    <w:pPr>
      <w:spacing w:after="120" w:line="240" w:lineRule="auto"/>
      <w:ind w:left="120"/>
    </w:pPr>
    <w:rPr>
      <w:rFonts w:ascii="Times New Roman" w:eastAsia="Times New Roman" w:hAnsi="Times New Roman"/>
      <w:b/>
      <w:bCs/>
      <w:color w:val="808080"/>
      <w:sz w:val="17"/>
      <w:szCs w:val="17"/>
      <w:lang w:val="es-ES" w:eastAsia="es-ES"/>
    </w:rPr>
  </w:style>
  <w:style w:type="paragraph" w:customStyle="1" w:styleId="rutadenavegacion">
    <w:name w:val="ruta_de_navegacion"/>
    <w:basedOn w:val="Normal"/>
    <w:rsid w:val="0093430A"/>
    <w:pPr>
      <w:spacing w:after="240" w:line="240" w:lineRule="auto"/>
      <w:ind w:left="120"/>
    </w:pPr>
    <w:rPr>
      <w:rFonts w:ascii="Times New Roman" w:eastAsia="Times New Roman" w:hAnsi="Times New Roman"/>
      <w:caps/>
      <w:color w:val="D92B12"/>
      <w:sz w:val="17"/>
      <w:szCs w:val="17"/>
      <w:lang w:val="es-ES" w:eastAsia="es-ES"/>
    </w:rPr>
  </w:style>
  <w:style w:type="paragraph" w:customStyle="1" w:styleId="herramientasdelusuario">
    <w:name w:val="herramientas_del_usuario"/>
    <w:basedOn w:val="Normal"/>
    <w:rsid w:val="0093430A"/>
    <w:pPr>
      <w:spacing w:after="120" w:line="240" w:lineRule="auto"/>
      <w:ind w:left="120"/>
    </w:pPr>
    <w:rPr>
      <w:rFonts w:ascii="Times New Roman" w:eastAsia="Times New Roman" w:hAnsi="Times New Roman"/>
      <w:color w:val="2F2F2F"/>
      <w:sz w:val="17"/>
      <w:szCs w:val="17"/>
      <w:lang w:val="es-ES" w:eastAsia="es-ES"/>
    </w:rPr>
  </w:style>
  <w:style w:type="paragraph" w:customStyle="1" w:styleId="textoherramientas">
    <w:name w:val="texto_herramientas"/>
    <w:basedOn w:val="Normal"/>
    <w:rsid w:val="0093430A"/>
    <w:pPr>
      <w:spacing w:after="120" w:line="240" w:lineRule="auto"/>
      <w:ind w:left="120"/>
      <w:textAlignment w:val="top"/>
    </w:pPr>
    <w:rPr>
      <w:rFonts w:ascii="Times New Roman" w:eastAsia="Times New Roman" w:hAnsi="Times New Roman"/>
      <w:color w:val="2F2F2F"/>
      <w:sz w:val="24"/>
      <w:szCs w:val="24"/>
      <w:lang w:val="es-ES" w:eastAsia="es-ES"/>
    </w:rPr>
  </w:style>
  <w:style w:type="paragraph" w:customStyle="1" w:styleId="titulonota">
    <w:name w:val="titulo_nota"/>
    <w:basedOn w:val="Normal"/>
    <w:rsid w:val="0093430A"/>
    <w:pPr>
      <w:spacing w:after="120" w:line="240" w:lineRule="atLeast"/>
      <w:ind w:left="120"/>
    </w:pPr>
    <w:rPr>
      <w:rFonts w:ascii="Times New Roman" w:eastAsia="Times New Roman" w:hAnsi="Times New Roman"/>
      <w:b/>
      <w:bCs/>
      <w:caps/>
      <w:color w:val="929292"/>
      <w:sz w:val="29"/>
      <w:szCs w:val="29"/>
      <w:lang w:val="es-ES" w:eastAsia="es-ES"/>
    </w:rPr>
  </w:style>
  <w:style w:type="paragraph" w:customStyle="1" w:styleId="textonota">
    <w:name w:val="texto_nota"/>
    <w:basedOn w:val="Normal"/>
    <w:rsid w:val="0093430A"/>
    <w:pPr>
      <w:spacing w:after="120" w:line="240" w:lineRule="auto"/>
      <w:ind w:left="120"/>
    </w:pPr>
    <w:rPr>
      <w:rFonts w:ascii="Times New Roman" w:eastAsia="Times New Roman" w:hAnsi="Times New Roman"/>
      <w:color w:val="2F2F2F"/>
      <w:lang w:val="es-ES" w:eastAsia="es-ES"/>
    </w:rPr>
  </w:style>
  <w:style w:type="paragraph" w:customStyle="1" w:styleId="autornota">
    <w:name w:val="autor_nota"/>
    <w:basedOn w:val="Normal"/>
    <w:rsid w:val="0093430A"/>
    <w:pPr>
      <w:spacing w:after="120" w:line="240" w:lineRule="auto"/>
      <w:ind w:left="120"/>
      <w:jc w:val="right"/>
    </w:pPr>
    <w:rPr>
      <w:rFonts w:ascii="Times New Roman" w:eastAsia="Times New Roman" w:hAnsi="Times New Roman"/>
      <w:color w:val="BA5112"/>
      <w:sz w:val="14"/>
      <w:szCs w:val="14"/>
      <w:lang w:val="es-ES" w:eastAsia="es-ES"/>
    </w:rPr>
  </w:style>
  <w:style w:type="paragraph" w:customStyle="1" w:styleId="notachica">
    <w:name w:val="nota_chica"/>
    <w:basedOn w:val="Normal"/>
    <w:rsid w:val="0093430A"/>
    <w:pPr>
      <w:spacing w:after="120" w:line="240" w:lineRule="auto"/>
      <w:ind w:left="120"/>
    </w:pPr>
    <w:rPr>
      <w:rFonts w:ascii="Times New Roman" w:eastAsia="Times New Roman" w:hAnsi="Times New Roman"/>
      <w:color w:val="2F2F2F"/>
      <w:sz w:val="19"/>
      <w:szCs w:val="19"/>
      <w:lang w:val="es-ES" w:eastAsia="es-ES"/>
    </w:rPr>
  </w:style>
  <w:style w:type="paragraph" w:customStyle="1" w:styleId="notamedia">
    <w:name w:val="nota_media"/>
    <w:basedOn w:val="Normal"/>
    <w:rsid w:val="0093430A"/>
    <w:pPr>
      <w:spacing w:after="120" w:line="240" w:lineRule="auto"/>
      <w:ind w:left="120"/>
    </w:pPr>
    <w:rPr>
      <w:rFonts w:ascii="Times New Roman" w:eastAsia="Times New Roman" w:hAnsi="Times New Roman"/>
      <w:color w:val="2F2F2F"/>
      <w:sz w:val="24"/>
      <w:szCs w:val="24"/>
      <w:lang w:val="es-ES" w:eastAsia="es-ES"/>
    </w:rPr>
  </w:style>
  <w:style w:type="paragraph" w:customStyle="1" w:styleId="notagrande">
    <w:name w:val="nota_grande"/>
    <w:basedOn w:val="Normal"/>
    <w:rsid w:val="0093430A"/>
    <w:pPr>
      <w:spacing w:after="120" w:line="240" w:lineRule="auto"/>
      <w:ind w:left="120"/>
    </w:pPr>
    <w:rPr>
      <w:rFonts w:ascii="Times New Roman" w:eastAsia="Times New Roman" w:hAnsi="Times New Roman"/>
      <w:color w:val="2F2F2F"/>
      <w:sz w:val="31"/>
      <w:szCs w:val="31"/>
      <w:lang w:val="es-ES" w:eastAsia="es-ES"/>
    </w:rPr>
  </w:style>
  <w:style w:type="paragraph" w:customStyle="1" w:styleId="notaespecial">
    <w:name w:val="nota_especial"/>
    <w:basedOn w:val="Normal"/>
    <w:rsid w:val="0093430A"/>
    <w:pPr>
      <w:spacing w:after="120" w:line="240" w:lineRule="auto"/>
      <w:ind w:left="120"/>
    </w:pPr>
    <w:rPr>
      <w:rFonts w:ascii="Times New Roman" w:eastAsia="Times New Roman" w:hAnsi="Times New Roman"/>
      <w:b/>
      <w:bCs/>
      <w:color w:val="744D2F"/>
      <w:lang w:val="es-ES" w:eastAsia="es-ES"/>
    </w:rPr>
  </w:style>
  <w:style w:type="paragraph" w:customStyle="1" w:styleId="fechanota">
    <w:name w:val="fecha_nota"/>
    <w:basedOn w:val="Normal"/>
    <w:rsid w:val="0093430A"/>
    <w:pPr>
      <w:spacing w:after="120" w:line="240" w:lineRule="auto"/>
      <w:ind w:left="120"/>
    </w:pPr>
    <w:rPr>
      <w:rFonts w:ascii="Times New Roman" w:eastAsia="Times New Roman" w:hAnsi="Times New Roman"/>
      <w:b/>
      <w:bCs/>
      <w:color w:val="434D2A"/>
      <w:sz w:val="17"/>
      <w:szCs w:val="17"/>
      <w:lang w:val="es-ES" w:eastAsia="es-ES"/>
    </w:rPr>
  </w:style>
  <w:style w:type="paragraph" w:customStyle="1" w:styleId="renglonban">
    <w:name w:val="renglon_ban"/>
    <w:basedOn w:val="Normal"/>
    <w:rsid w:val="0093430A"/>
    <w:pPr>
      <w:spacing w:after="240" w:line="240" w:lineRule="auto"/>
      <w:ind w:left="120"/>
    </w:pPr>
    <w:rPr>
      <w:rFonts w:ascii="Times New Roman" w:eastAsia="Times New Roman" w:hAnsi="Times New Roman"/>
      <w:color w:val="2F2F2F"/>
      <w:sz w:val="24"/>
      <w:szCs w:val="24"/>
      <w:lang w:val="es-ES" w:eastAsia="es-ES"/>
    </w:rPr>
  </w:style>
  <w:style w:type="paragraph" w:customStyle="1" w:styleId="ban1">
    <w:name w:val="ban_1"/>
    <w:basedOn w:val="Normal"/>
    <w:rsid w:val="0093430A"/>
    <w:pPr>
      <w:spacing w:after="120" w:line="240" w:lineRule="auto"/>
      <w:ind w:left="120"/>
    </w:pPr>
    <w:rPr>
      <w:rFonts w:ascii="Times New Roman" w:eastAsia="Times New Roman" w:hAnsi="Times New Roman"/>
      <w:color w:val="2F2F2F"/>
      <w:sz w:val="24"/>
      <w:szCs w:val="24"/>
      <w:lang w:val="es-ES" w:eastAsia="es-ES"/>
    </w:rPr>
  </w:style>
  <w:style w:type="paragraph" w:customStyle="1" w:styleId="ban2">
    <w:name w:val="ban_2"/>
    <w:basedOn w:val="Normal"/>
    <w:rsid w:val="0093430A"/>
    <w:pPr>
      <w:spacing w:after="120" w:line="240" w:lineRule="auto"/>
      <w:ind w:left="120"/>
    </w:pPr>
    <w:rPr>
      <w:rFonts w:ascii="Times New Roman" w:eastAsia="Times New Roman" w:hAnsi="Times New Roman"/>
      <w:color w:val="2F2F2F"/>
      <w:sz w:val="24"/>
      <w:szCs w:val="24"/>
      <w:lang w:val="es-ES" w:eastAsia="es-ES"/>
    </w:rPr>
  </w:style>
  <w:style w:type="paragraph" w:customStyle="1" w:styleId="estrellas">
    <w:name w:val="estrellas"/>
    <w:basedOn w:val="Normal"/>
    <w:rsid w:val="0093430A"/>
    <w:pPr>
      <w:spacing w:after="15" w:line="240" w:lineRule="auto"/>
    </w:pPr>
    <w:rPr>
      <w:rFonts w:ascii="Times New Roman" w:eastAsia="Times New Roman" w:hAnsi="Times New Roman"/>
      <w:color w:val="2F2F2F"/>
      <w:sz w:val="24"/>
      <w:szCs w:val="24"/>
      <w:lang w:val="es-ES" w:eastAsia="es-ES"/>
    </w:rPr>
  </w:style>
  <w:style w:type="paragraph" w:customStyle="1" w:styleId="cuadronotasinicio">
    <w:name w:val="cuadro_notas_inicio"/>
    <w:basedOn w:val="Normal"/>
    <w:rsid w:val="0093430A"/>
    <w:pPr>
      <w:spacing w:after="120" w:line="240" w:lineRule="auto"/>
      <w:ind w:left="120"/>
    </w:pPr>
    <w:rPr>
      <w:rFonts w:ascii="Times New Roman" w:eastAsia="Times New Roman" w:hAnsi="Times New Roman"/>
      <w:color w:val="2F2F2F"/>
      <w:sz w:val="24"/>
      <w:szCs w:val="24"/>
      <w:lang w:val="es-ES" w:eastAsia="es-ES"/>
    </w:rPr>
  </w:style>
  <w:style w:type="paragraph" w:customStyle="1" w:styleId="notaprima">
    <w:name w:val="nota_prima"/>
    <w:basedOn w:val="Normal"/>
    <w:rsid w:val="0093430A"/>
    <w:pPr>
      <w:spacing w:before="120" w:after="120" w:line="240" w:lineRule="auto"/>
      <w:ind w:left="120"/>
    </w:pPr>
    <w:rPr>
      <w:rFonts w:ascii="Times New Roman" w:eastAsia="Times New Roman" w:hAnsi="Times New Roman"/>
      <w:color w:val="2F2F2F"/>
      <w:sz w:val="19"/>
      <w:szCs w:val="19"/>
      <w:lang w:val="es-ES" w:eastAsia="es-ES"/>
    </w:rPr>
  </w:style>
  <w:style w:type="paragraph" w:customStyle="1" w:styleId="bordeazul">
    <w:name w:val="borde_azul"/>
    <w:basedOn w:val="Normal"/>
    <w:rsid w:val="0093430A"/>
    <w:pPr>
      <w:pBdr>
        <w:top w:val="single" w:sz="6" w:space="0" w:color="289ED4"/>
        <w:left w:val="single" w:sz="6" w:space="0" w:color="289ED4"/>
        <w:bottom w:val="single" w:sz="6" w:space="0" w:color="289ED4"/>
        <w:right w:val="single" w:sz="6" w:space="0" w:color="289ED4"/>
      </w:pBdr>
      <w:spacing w:after="120" w:line="240" w:lineRule="auto"/>
      <w:ind w:left="120"/>
    </w:pPr>
    <w:rPr>
      <w:rFonts w:ascii="Times New Roman" w:eastAsia="Times New Roman" w:hAnsi="Times New Roman"/>
      <w:color w:val="2F2F2F"/>
      <w:sz w:val="24"/>
      <w:szCs w:val="24"/>
      <w:lang w:val="es-ES" w:eastAsia="es-ES"/>
    </w:rPr>
  </w:style>
  <w:style w:type="paragraph" w:customStyle="1" w:styleId="bordegris">
    <w:name w:val="borde_gris"/>
    <w:basedOn w:val="Normal"/>
    <w:rsid w:val="0093430A"/>
    <w:pPr>
      <w:pBdr>
        <w:top w:val="single" w:sz="6" w:space="0" w:color="737576"/>
        <w:left w:val="single" w:sz="6" w:space="0" w:color="737576"/>
        <w:bottom w:val="single" w:sz="6" w:space="0" w:color="737576"/>
        <w:right w:val="single" w:sz="6" w:space="0" w:color="737576"/>
      </w:pBdr>
      <w:spacing w:after="120" w:line="240" w:lineRule="auto"/>
      <w:ind w:left="120"/>
    </w:pPr>
    <w:rPr>
      <w:rFonts w:ascii="Times New Roman" w:eastAsia="Times New Roman" w:hAnsi="Times New Roman"/>
      <w:color w:val="2F2F2F"/>
      <w:sz w:val="24"/>
      <w:szCs w:val="24"/>
      <w:lang w:val="es-ES" w:eastAsia="es-ES"/>
    </w:rPr>
  </w:style>
  <w:style w:type="paragraph" w:customStyle="1" w:styleId="tituloseccion2">
    <w:name w:val="titulo_seccion2"/>
    <w:basedOn w:val="Normal"/>
    <w:rsid w:val="0093430A"/>
    <w:pPr>
      <w:pBdr>
        <w:left w:val="single" w:sz="12" w:space="4" w:color="E4E3E3"/>
      </w:pBdr>
      <w:spacing w:before="48" w:after="120" w:line="240" w:lineRule="auto"/>
      <w:ind w:left="120"/>
    </w:pPr>
    <w:rPr>
      <w:rFonts w:ascii="Times New Roman" w:eastAsia="Times New Roman" w:hAnsi="Times New Roman"/>
      <w:b/>
      <w:bCs/>
      <w:caps/>
      <w:color w:val="1C5DA4"/>
      <w:lang w:val="es-ES" w:eastAsia="es-ES"/>
    </w:rPr>
  </w:style>
  <w:style w:type="paragraph" w:customStyle="1" w:styleId="v4frame">
    <w:name w:val="v4_frame"/>
    <w:basedOn w:val="Normal"/>
    <w:rsid w:val="0093430A"/>
    <w:pPr>
      <w:spacing w:after="120" w:line="240" w:lineRule="auto"/>
      <w:ind w:left="120"/>
    </w:pPr>
    <w:rPr>
      <w:rFonts w:ascii="Times New Roman" w:eastAsia="Times New Roman" w:hAnsi="Times New Roman"/>
      <w:color w:val="2F2F2F"/>
      <w:sz w:val="24"/>
      <w:szCs w:val="24"/>
      <w:lang w:val="es-ES" w:eastAsia="es-ES"/>
    </w:rPr>
  </w:style>
  <w:style w:type="paragraph" w:customStyle="1" w:styleId="v4notas">
    <w:name w:val="v4_notas"/>
    <w:basedOn w:val="Normal"/>
    <w:rsid w:val="0093430A"/>
    <w:pPr>
      <w:spacing w:after="120" w:line="240" w:lineRule="auto"/>
      <w:ind w:left="120"/>
    </w:pPr>
    <w:rPr>
      <w:rFonts w:ascii="Times New Roman" w:eastAsia="Times New Roman" w:hAnsi="Times New Roman"/>
      <w:color w:val="2F2F2F"/>
      <w:sz w:val="24"/>
      <w:szCs w:val="24"/>
      <w:lang w:val="es-ES" w:eastAsia="es-ES"/>
    </w:rPr>
  </w:style>
  <w:style w:type="paragraph" w:customStyle="1" w:styleId="videosc">
    <w:name w:val="videos_c"/>
    <w:basedOn w:val="Normal"/>
    <w:rsid w:val="0093430A"/>
    <w:pPr>
      <w:spacing w:after="120" w:line="240" w:lineRule="auto"/>
      <w:ind w:left="120"/>
    </w:pPr>
    <w:rPr>
      <w:rFonts w:ascii="Times New Roman" w:eastAsia="Times New Roman" w:hAnsi="Times New Roman"/>
      <w:color w:val="2F2F2F"/>
      <w:sz w:val="16"/>
      <w:szCs w:val="16"/>
      <w:lang w:val="es-ES" w:eastAsia="es-ES"/>
    </w:rPr>
  </w:style>
  <w:style w:type="paragraph" w:customStyle="1" w:styleId="spantitulobloque">
    <w:name w:val="span_titulobloque"/>
    <w:basedOn w:val="Normal"/>
    <w:rsid w:val="0093430A"/>
    <w:pPr>
      <w:spacing w:after="120" w:line="240" w:lineRule="auto"/>
      <w:ind w:left="120"/>
    </w:pPr>
    <w:rPr>
      <w:rFonts w:ascii="Times New Roman" w:eastAsia="Times New Roman" w:hAnsi="Times New Roman"/>
      <w:color w:val="1CC263"/>
      <w:sz w:val="17"/>
      <w:szCs w:val="17"/>
      <w:lang w:val="es-ES" w:eastAsia="es-ES"/>
    </w:rPr>
  </w:style>
  <w:style w:type="paragraph" w:customStyle="1" w:styleId="titulobloque4">
    <w:name w:val="titulobloque4"/>
    <w:basedOn w:val="Normal"/>
    <w:rsid w:val="0093430A"/>
    <w:pPr>
      <w:spacing w:after="120" w:line="240" w:lineRule="auto"/>
      <w:ind w:left="120"/>
    </w:pPr>
    <w:rPr>
      <w:rFonts w:ascii="Times New Roman" w:eastAsia="Times New Roman" w:hAnsi="Times New Roman"/>
      <w:b/>
      <w:bCs/>
      <w:caps/>
      <w:color w:val="127D40"/>
      <w:sz w:val="19"/>
      <w:szCs w:val="19"/>
      <w:lang w:val="es-ES" w:eastAsia="es-ES"/>
    </w:rPr>
  </w:style>
  <w:style w:type="paragraph" w:customStyle="1" w:styleId="titulobloque5">
    <w:name w:val="titulobloque5"/>
    <w:basedOn w:val="Normal"/>
    <w:rsid w:val="0093430A"/>
    <w:pPr>
      <w:spacing w:after="120" w:line="240" w:lineRule="auto"/>
      <w:ind w:left="120"/>
    </w:pPr>
    <w:rPr>
      <w:rFonts w:ascii="Times New Roman" w:eastAsia="Times New Roman" w:hAnsi="Times New Roman"/>
      <w:b/>
      <w:bCs/>
      <w:color w:val="2F2F2F"/>
      <w:sz w:val="19"/>
      <w:szCs w:val="19"/>
      <w:lang w:val="es-ES" w:eastAsia="es-ES"/>
    </w:rPr>
  </w:style>
  <w:style w:type="paragraph" w:customStyle="1" w:styleId="subtitleazul">
    <w:name w:val="subtitle_azul"/>
    <w:basedOn w:val="Normal"/>
    <w:rsid w:val="0093430A"/>
    <w:pPr>
      <w:spacing w:after="120" w:line="240" w:lineRule="auto"/>
      <w:ind w:left="120"/>
    </w:pPr>
    <w:rPr>
      <w:rFonts w:ascii="Times New Roman" w:eastAsia="Times New Roman" w:hAnsi="Times New Roman"/>
      <w:b/>
      <w:bCs/>
      <w:caps/>
      <w:color w:val="127D40"/>
      <w:sz w:val="24"/>
      <w:szCs w:val="24"/>
      <w:lang w:val="es-ES" w:eastAsia="es-ES"/>
    </w:rPr>
  </w:style>
  <w:style w:type="paragraph" w:customStyle="1" w:styleId="txtblanco">
    <w:name w:val="txt_blanco"/>
    <w:basedOn w:val="Normal"/>
    <w:rsid w:val="0093430A"/>
    <w:pPr>
      <w:spacing w:after="120" w:line="240" w:lineRule="auto"/>
      <w:ind w:left="120"/>
    </w:pPr>
    <w:rPr>
      <w:rFonts w:ascii="Times New Roman" w:eastAsia="Times New Roman" w:hAnsi="Times New Roman"/>
      <w:b/>
      <w:bCs/>
      <w:caps/>
      <w:color w:val="FFFFFF"/>
      <w:lang w:val="es-ES" w:eastAsia="es-ES"/>
    </w:rPr>
  </w:style>
  <w:style w:type="paragraph" w:customStyle="1" w:styleId="txtblanco2">
    <w:name w:val="txt_blanco2"/>
    <w:basedOn w:val="Normal"/>
    <w:rsid w:val="0093430A"/>
    <w:pPr>
      <w:spacing w:after="120" w:line="240" w:lineRule="auto"/>
      <w:ind w:left="120"/>
    </w:pPr>
    <w:rPr>
      <w:rFonts w:ascii="Times New Roman" w:eastAsia="Times New Roman" w:hAnsi="Times New Roman"/>
      <w:b/>
      <w:bCs/>
      <w:caps/>
      <w:color w:val="FFFFFF"/>
      <w:lang w:val="es-ES" w:eastAsia="es-ES"/>
    </w:rPr>
  </w:style>
  <w:style w:type="paragraph" w:customStyle="1" w:styleId="txtblanco99">
    <w:name w:val="txt_blanco99"/>
    <w:basedOn w:val="Normal"/>
    <w:rsid w:val="0093430A"/>
    <w:pPr>
      <w:spacing w:after="120" w:line="240" w:lineRule="auto"/>
      <w:ind w:left="120"/>
    </w:pPr>
    <w:rPr>
      <w:rFonts w:ascii="Times New Roman" w:eastAsia="Times New Roman" w:hAnsi="Times New Roman"/>
      <w:b/>
      <w:bCs/>
      <w:caps/>
      <w:color w:val="010101"/>
      <w:lang w:val="es-ES" w:eastAsia="es-ES"/>
    </w:rPr>
  </w:style>
  <w:style w:type="paragraph" w:customStyle="1" w:styleId="tabbedpanelscontentgroup">
    <w:name w:val="tabbedpanelscontentgroup"/>
    <w:basedOn w:val="Normal"/>
    <w:rsid w:val="0093430A"/>
    <w:pPr>
      <w:spacing w:after="120" w:line="240" w:lineRule="auto"/>
      <w:ind w:left="120"/>
    </w:pPr>
    <w:rPr>
      <w:rFonts w:ascii="Times New Roman" w:eastAsia="Times New Roman" w:hAnsi="Times New Roman"/>
      <w:color w:val="2F2F2F"/>
      <w:sz w:val="24"/>
      <w:szCs w:val="24"/>
      <w:lang w:val="es-ES" w:eastAsia="es-ES"/>
    </w:rPr>
  </w:style>
  <w:style w:type="paragraph" w:customStyle="1" w:styleId="txtazul">
    <w:name w:val="txt_azul"/>
    <w:basedOn w:val="Normal"/>
    <w:rsid w:val="0093430A"/>
    <w:pPr>
      <w:spacing w:after="120" w:line="240" w:lineRule="auto"/>
      <w:ind w:left="120"/>
    </w:pPr>
    <w:rPr>
      <w:rFonts w:ascii="Times New Roman" w:eastAsia="Times New Roman" w:hAnsi="Times New Roman"/>
      <w:color w:val="2F2F2F"/>
      <w:lang w:val="es-ES" w:eastAsia="es-ES"/>
    </w:rPr>
  </w:style>
  <w:style w:type="paragraph" w:customStyle="1" w:styleId="txt">
    <w:name w:val="txt"/>
    <w:basedOn w:val="Normal"/>
    <w:rsid w:val="0093430A"/>
    <w:pPr>
      <w:spacing w:after="120" w:line="240" w:lineRule="auto"/>
      <w:ind w:left="120"/>
    </w:pPr>
    <w:rPr>
      <w:rFonts w:ascii="Times New Roman" w:eastAsia="Times New Roman" w:hAnsi="Times New Roman"/>
      <w:color w:val="2F2F2F"/>
      <w:lang w:val="es-ES" w:eastAsia="es-ES"/>
    </w:rPr>
  </w:style>
  <w:style w:type="paragraph" w:customStyle="1" w:styleId="breadcrum">
    <w:name w:val="breadcrum"/>
    <w:basedOn w:val="Normal"/>
    <w:rsid w:val="0093430A"/>
    <w:pPr>
      <w:spacing w:after="120" w:line="240" w:lineRule="auto"/>
      <w:ind w:left="120"/>
    </w:pPr>
    <w:rPr>
      <w:rFonts w:ascii="Times New Roman" w:eastAsia="Times New Roman" w:hAnsi="Times New Roman"/>
      <w:color w:val="2F2F2F"/>
      <w:sz w:val="24"/>
      <w:szCs w:val="24"/>
      <w:lang w:val="es-ES" w:eastAsia="es-ES"/>
    </w:rPr>
  </w:style>
  <w:style w:type="paragraph" w:customStyle="1" w:styleId="tabcontainer">
    <w:name w:val="tab_container"/>
    <w:basedOn w:val="Normal"/>
    <w:rsid w:val="0093430A"/>
    <w:pPr>
      <w:pBdr>
        <w:left w:val="single" w:sz="6" w:space="0" w:color="CCCCCC"/>
        <w:bottom w:val="single" w:sz="6" w:space="0" w:color="CCCCCC"/>
        <w:right w:val="single" w:sz="6" w:space="0" w:color="CCCCCC"/>
      </w:pBdr>
      <w:shd w:val="clear" w:color="auto" w:fill="FFFFFF"/>
      <w:spacing w:after="120" w:line="240" w:lineRule="auto"/>
      <w:ind w:left="120"/>
    </w:pPr>
    <w:rPr>
      <w:rFonts w:ascii="Times New Roman" w:eastAsia="Times New Roman" w:hAnsi="Times New Roman"/>
      <w:color w:val="2F2F2F"/>
      <w:sz w:val="24"/>
      <w:szCs w:val="24"/>
      <w:lang w:val="es-ES" w:eastAsia="es-ES"/>
    </w:rPr>
  </w:style>
  <w:style w:type="paragraph" w:customStyle="1" w:styleId="tabcontent">
    <w:name w:val="tab_content"/>
    <w:basedOn w:val="Normal"/>
    <w:rsid w:val="0093430A"/>
    <w:pPr>
      <w:spacing w:after="120" w:line="240" w:lineRule="auto"/>
      <w:ind w:left="120"/>
    </w:pPr>
    <w:rPr>
      <w:rFonts w:ascii="Times New Roman" w:eastAsia="Times New Roman" w:hAnsi="Times New Roman"/>
      <w:color w:val="2F2F2F"/>
      <w:sz w:val="29"/>
      <w:szCs w:val="29"/>
      <w:lang w:val="es-ES" w:eastAsia="es-ES"/>
    </w:rPr>
  </w:style>
  <w:style w:type="paragraph" w:customStyle="1" w:styleId="Normal1">
    <w:name w:val="Normal1"/>
    <w:basedOn w:val="Normal"/>
    <w:rsid w:val="0093430A"/>
    <w:pPr>
      <w:spacing w:line="240" w:lineRule="auto"/>
    </w:pPr>
    <w:rPr>
      <w:rFonts w:ascii="Arial" w:eastAsia="Times New Roman" w:hAnsi="Arial" w:cs="Arial"/>
      <w:color w:val="2F2F2F"/>
      <w:lang w:val="es-ES" w:eastAsia="es-ES"/>
    </w:rPr>
  </w:style>
  <w:style w:type="paragraph" w:customStyle="1" w:styleId="titulo2">
    <w:name w:val="titulo_2"/>
    <w:basedOn w:val="Normal"/>
    <w:rsid w:val="0093430A"/>
    <w:pPr>
      <w:pBdr>
        <w:top w:val="single" w:sz="6" w:space="0" w:color="000000"/>
      </w:pBdr>
      <w:spacing w:after="101" w:line="240" w:lineRule="auto"/>
      <w:jc w:val="both"/>
    </w:pPr>
    <w:rPr>
      <w:rFonts w:ascii="Times New Roman" w:eastAsia="Times New Roman" w:hAnsi="Times New Roman"/>
      <w:color w:val="2F2F2F"/>
      <w:sz w:val="18"/>
      <w:szCs w:val="18"/>
      <w:lang w:val="es-ES" w:eastAsia="es-ES"/>
    </w:rPr>
  </w:style>
  <w:style w:type="paragraph" w:customStyle="1" w:styleId="titulo1">
    <w:name w:val="titulo_1"/>
    <w:basedOn w:val="Normal"/>
    <w:rsid w:val="0093430A"/>
    <w:pPr>
      <w:pBdr>
        <w:bottom w:val="single" w:sz="12" w:space="0" w:color="000000"/>
      </w:pBdr>
      <w:spacing w:before="120" w:after="0" w:line="240" w:lineRule="auto"/>
      <w:jc w:val="both"/>
    </w:pPr>
    <w:rPr>
      <w:rFonts w:ascii="Times New Roman" w:eastAsia="Times New Roman" w:hAnsi="Times New Roman"/>
      <w:b/>
      <w:bCs/>
      <w:color w:val="2F2F2F"/>
      <w:sz w:val="18"/>
      <w:szCs w:val="18"/>
      <w:lang w:val="es-ES" w:eastAsia="es-ES"/>
    </w:rPr>
  </w:style>
  <w:style w:type="paragraph" w:customStyle="1" w:styleId="romanos0">
    <w:name w:val="romanos"/>
    <w:basedOn w:val="Normal"/>
    <w:rsid w:val="0093430A"/>
    <w:pPr>
      <w:spacing w:after="101" w:line="240" w:lineRule="auto"/>
      <w:ind w:left="720" w:hanging="432"/>
      <w:jc w:val="both"/>
    </w:pPr>
    <w:rPr>
      <w:rFonts w:ascii="Times New Roman" w:eastAsia="Times New Roman" w:hAnsi="Times New Roman"/>
      <w:color w:val="2F2F2F"/>
      <w:sz w:val="18"/>
      <w:szCs w:val="18"/>
      <w:lang w:val="es-ES" w:eastAsia="es-ES"/>
    </w:rPr>
  </w:style>
  <w:style w:type="paragraph" w:customStyle="1" w:styleId="resaltado">
    <w:name w:val="resaltado"/>
    <w:basedOn w:val="Normal"/>
    <w:rsid w:val="0093430A"/>
    <w:pPr>
      <w:spacing w:after="120" w:line="240" w:lineRule="auto"/>
      <w:ind w:left="120"/>
    </w:pPr>
    <w:rPr>
      <w:rFonts w:ascii="Times New Roman" w:eastAsia="Times New Roman" w:hAnsi="Times New Roman"/>
      <w:b/>
      <w:bCs/>
      <w:color w:val="2F2F2F"/>
      <w:sz w:val="24"/>
      <w:szCs w:val="24"/>
      <w:lang w:val="es-ES" w:eastAsia="es-ES"/>
    </w:rPr>
  </w:style>
  <w:style w:type="paragraph" w:customStyle="1" w:styleId="tabbedpanels">
    <w:name w:val="tabbedpanels"/>
    <w:basedOn w:val="Normal"/>
    <w:rsid w:val="0093430A"/>
    <w:pPr>
      <w:shd w:val="clear" w:color="auto" w:fill="FFFFFF"/>
      <w:spacing w:after="120" w:line="240" w:lineRule="auto"/>
      <w:ind w:left="120"/>
    </w:pPr>
    <w:rPr>
      <w:rFonts w:ascii="Times New Roman" w:eastAsia="Times New Roman" w:hAnsi="Times New Roman"/>
      <w:color w:val="2F2F2F"/>
      <w:sz w:val="24"/>
      <w:szCs w:val="24"/>
      <w:lang w:val="es-ES" w:eastAsia="es-ES"/>
    </w:rPr>
  </w:style>
  <w:style w:type="paragraph" w:customStyle="1" w:styleId="tabbedpanelstabgroup">
    <w:name w:val="tabbedpanelstabgroup"/>
    <w:basedOn w:val="Normal"/>
    <w:rsid w:val="0093430A"/>
    <w:pPr>
      <w:shd w:val="clear" w:color="auto" w:fill="FFFFFF"/>
      <w:spacing w:after="120" w:line="240" w:lineRule="auto"/>
    </w:pPr>
    <w:rPr>
      <w:rFonts w:ascii="Times New Roman" w:eastAsia="Times New Roman" w:hAnsi="Times New Roman"/>
      <w:color w:val="2F2F2F"/>
      <w:sz w:val="24"/>
      <w:szCs w:val="24"/>
      <w:lang w:val="es-ES" w:eastAsia="es-ES"/>
    </w:rPr>
  </w:style>
  <w:style w:type="paragraph" w:customStyle="1" w:styleId="tabbedpanelstab">
    <w:name w:val="tabbedpanelstab"/>
    <w:basedOn w:val="Normal"/>
    <w:rsid w:val="0093430A"/>
    <w:pPr>
      <w:pBdr>
        <w:bottom w:val="single" w:sz="6" w:space="0" w:color="FFFFFF"/>
      </w:pBdr>
      <w:spacing w:after="120" w:line="240" w:lineRule="atLeast"/>
      <w:ind w:left="120"/>
    </w:pPr>
    <w:rPr>
      <w:rFonts w:ascii="Times New Roman" w:eastAsia="Times New Roman" w:hAnsi="Times New Roman"/>
      <w:color w:val="2F2F2F"/>
      <w:sz w:val="24"/>
      <w:szCs w:val="24"/>
      <w:lang w:val="es-ES" w:eastAsia="es-ES"/>
    </w:rPr>
  </w:style>
  <w:style w:type="paragraph" w:customStyle="1" w:styleId="tabbedpanelstabhover">
    <w:name w:val="tabbedpanelstabhover"/>
    <w:basedOn w:val="Normal"/>
    <w:rsid w:val="0093430A"/>
    <w:pPr>
      <w:shd w:val="clear" w:color="auto" w:fill="F1F0F0"/>
      <w:spacing w:after="120" w:line="240" w:lineRule="auto"/>
      <w:ind w:left="120"/>
    </w:pPr>
    <w:rPr>
      <w:rFonts w:ascii="Times New Roman" w:eastAsia="Times New Roman" w:hAnsi="Times New Roman"/>
      <w:color w:val="2F2F2F"/>
      <w:sz w:val="24"/>
      <w:szCs w:val="24"/>
      <w:lang w:val="es-ES" w:eastAsia="es-ES"/>
    </w:rPr>
  </w:style>
  <w:style w:type="paragraph" w:customStyle="1" w:styleId="slidedof2">
    <w:name w:val="slide_dof2"/>
    <w:basedOn w:val="Normal"/>
    <w:rsid w:val="0093430A"/>
    <w:pPr>
      <w:spacing w:after="120" w:line="240" w:lineRule="auto"/>
      <w:ind w:left="120"/>
    </w:pPr>
    <w:rPr>
      <w:rFonts w:ascii="Times New Roman" w:eastAsia="Times New Roman" w:hAnsi="Times New Roman"/>
      <w:color w:val="2F2F2F"/>
      <w:sz w:val="24"/>
      <w:szCs w:val="24"/>
      <w:lang w:val="es-ES" w:eastAsia="es-ES"/>
    </w:rPr>
  </w:style>
  <w:style w:type="paragraph" w:customStyle="1" w:styleId="descsec">
    <w:name w:val="desc_sec"/>
    <w:basedOn w:val="Normal"/>
    <w:rsid w:val="0093430A"/>
    <w:pPr>
      <w:spacing w:after="120" w:line="194" w:lineRule="atLeast"/>
      <w:ind w:left="120"/>
    </w:pPr>
    <w:rPr>
      <w:rFonts w:ascii="Times New Roman" w:eastAsia="Times New Roman" w:hAnsi="Times New Roman"/>
      <w:color w:val="2F2F2F"/>
      <w:sz w:val="20"/>
      <w:szCs w:val="20"/>
      <w:lang w:val="es-ES" w:eastAsia="es-ES"/>
    </w:rPr>
  </w:style>
  <w:style w:type="paragraph" w:customStyle="1" w:styleId="tabs">
    <w:name w:val="tabs"/>
    <w:basedOn w:val="Normal"/>
    <w:rsid w:val="0093430A"/>
    <w:pPr>
      <w:pBdr>
        <w:left w:val="single" w:sz="6" w:space="0" w:color="999999"/>
        <w:bottom w:val="single" w:sz="6" w:space="0" w:color="999999"/>
      </w:pBdr>
      <w:spacing w:after="0" w:line="240" w:lineRule="auto"/>
    </w:pPr>
    <w:rPr>
      <w:rFonts w:ascii="Times New Roman" w:eastAsia="Times New Roman" w:hAnsi="Times New Roman"/>
      <w:color w:val="2F2F2F"/>
      <w:sz w:val="24"/>
      <w:szCs w:val="24"/>
      <w:lang w:val="es-ES" w:eastAsia="es-ES"/>
    </w:rPr>
  </w:style>
  <w:style w:type="paragraph" w:customStyle="1" w:styleId="tabcontent2">
    <w:name w:val="tab_content2"/>
    <w:basedOn w:val="Normal"/>
    <w:rsid w:val="0093430A"/>
    <w:pPr>
      <w:spacing w:before="300" w:after="120" w:line="240" w:lineRule="auto"/>
      <w:ind w:left="120"/>
    </w:pPr>
    <w:rPr>
      <w:rFonts w:ascii="Times New Roman" w:eastAsia="Times New Roman" w:hAnsi="Times New Roman"/>
      <w:color w:val="2F2F2F"/>
      <w:sz w:val="29"/>
      <w:szCs w:val="29"/>
      <w:lang w:val="es-ES" w:eastAsia="es-ES"/>
    </w:rPr>
  </w:style>
  <w:style w:type="paragraph" w:customStyle="1" w:styleId="style1">
    <w:name w:val="style1"/>
    <w:basedOn w:val="Normal"/>
    <w:rsid w:val="0093430A"/>
    <w:pPr>
      <w:spacing w:after="120" w:line="240" w:lineRule="auto"/>
      <w:ind w:left="120"/>
    </w:pPr>
    <w:rPr>
      <w:rFonts w:ascii="Times New Roman" w:eastAsia="Times New Roman" w:hAnsi="Times New Roman"/>
      <w:color w:val="FF0000"/>
      <w:sz w:val="14"/>
      <w:szCs w:val="14"/>
      <w:lang w:val="es-ES" w:eastAsia="es-ES"/>
    </w:rPr>
  </w:style>
  <w:style w:type="paragraph" w:customStyle="1" w:styleId="espvertinputs">
    <w:name w:val="esp_vert_inputs"/>
    <w:basedOn w:val="Normal"/>
    <w:rsid w:val="0093430A"/>
    <w:pPr>
      <w:spacing w:before="60" w:after="60" w:line="240" w:lineRule="auto"/>
      <w:ind w:left="150"/>
    </w:pPr>
    <w:rPr>
      <w:rFonts w:ascii="Times New Roman" w:eastAsia="Times New Roman" w:hAnsi="Times New Roman"/>
      <w:color w:val="2F2F2F"/>
      <w:sz w:val="24"/>
      <w:szCs w:val="24"/>
      <w:lang w:val="es-ES" w:eastAsia="es-ES"/>
    </w:rPr>
  </w:style>
  <w:style w:type="paragraph" w:customStyle="1" w:styleId="tablefaqs">
    <w:name w:val="table_faqs"/>
    <w:basedOn w:val="Normal"/>
    <w:rsid w:val="0093430A"/>
    <w:pPr>
      <w:spacing w:before="150" w:after="120" w:line="240" w:lineRule="auto"/>
      <w:ind w:left="120"/>
    </w:pPr>
    <w:rPr>
      <w:rFonts w:ascii="Times New Roman" w:eastAsia="Times New Roman" w:hAnsi="Times New Roman"/>
      <w:color w:val="2F2F2F"/>
      <w:sz w:val="24"/>
      <w:szCs w:val="24"/>
      <w:lang w:val="es-ES" w:eastAsia="es-ES"/>
    </w:rPr>
  </w:style>
  <w:style w:type="paragraph" w:customStyle="1" w:styleId="txtnegro">
    <w:name w:val="txt_negro"/>
    <w:basedOn w:val="Normal"/>
    <w:rsid w:val="0093430A"/>
    <w:pPr>
      <w:spacing w:after="120" w:line="240" w:lineRule="auto"/>
      <w:ind w:left="120"/>
    </w:pPr>
    <w:rPr>
      <w:rFonts w:ascii="Times New Roman" w:eastAsia="Times New Roman" w:hAnsi="Times New Roman"/>
      <w:color w:val="2F2F2F"/>
      <w:lang w:val="es-ES" w:eastAsia="es-ES"/>
    </w:rPr>
  </w:style>
  <w:style w:type="paragraph" w:customStyle="1" w:styleId="enlaces2">
    <w:name w:val="enlaces2"/>
    <w:basedOn w:val="Normal"/>
    <w:rsid w:val="0093430A"/>
    <w:pPr>
      <w:spacing w:after="120" w:line="312" w:lineRule="atLeast"/>
      <w:ind w:left="120"/>
      <w:jc w:val="both"/>
    </w:pPr>
    <w:rPr>
      <w:rFonts w:ascii="Times New Roman" w:eastAsia="Times New Roman" w:hAnsi="Times New Roman"/>
      <w:color w:val="2F2F2F"/>
      <w:sz w:val="24"/>
      <w:szCs w:val="24"/>
      <w:lang w:val="es-ES" w:eastAsia="es-ES"/>
    </w:rPr>
  </w:style>
  <w:style w:type="paragraph" w:customStyle="1" w:styleId="ayudapad">
    <w:name w:val="ayuda_pad"/>
    <w:basedOn w:val="Normal"/>
    <w:rsid w:val="0093430A"/>
    <w:pPr>
      <w:spacing w:after="120" w:line="240" w:lineRule="auto"/>
      <w:ind w:left="120"/>
    </w:pPr>
    <w:rPr>
      <w:rFonts w:ascii="Times New Roman" w:eastAsia="Times New Roman" w:hAnsi="Times New Roman"/>
      <w:color w:val="2F2F2F"/>
      <w:sz w:val="24"/>
      <w:szCs w:val="24"/>
      <w:lang w:val="es-ES" w:eastAsia="es-ES"/>
    </w:rPr>
  </w:style>
  <w:style w:type="paragraph" w:customStyle="1" w:styleId="historiapad">
    <w:name w:val="historia_pad"/>
    <w:basedOn w:val="Normal"/>
    <w:rsid w:val="0093430A"/>
    <w:pPr>
      <w:spacing w:after="120" w:line="240" w:lineRule="auto"/>
      <w:ind w:left="120"/>
    </w:pPr>
    <w:rPr>
      <w:rFonts w:ascii="Times New Roman" w:eastAsia="Times New Roman" w:hAnsi="Times New Roman"/>
      <w:color w:val="2F2F2F"/>
      <w:sz w:val="24"/>
      <w:szCs w:val="24"/>
      <w:lang w:val="es-ES" w:eastAsia="es-ES"/>
    </w:rPr>
  </w:style>
  <w:style w:type="paragraph" w:customStyle="1" w:styleId="chatboton">
    <w:name w:val="chat_boton"/>
    <w:basedOn w:val="Normal"/>
    <w:rsid w:val="0093430A"/>
    <w:pPr>
      <w:spacing w:after="150" w:line="240" w:lineRule="auto"/>
      <w:ind w:left="120"/>
    </w:pPr>
    <w:rPr>
      <w:rFonts w:ascii="Times New Roman" w:eastAsia="Times New Roman" w:hAnsi="Times New Roman"/>
      <w:color w:val="2F2F2F"/>
      <w:sz w:val="24"/>
      <w:szCs w:val="24"/>
      <w:lang w:val="es-ES" w:eastAsia="es-ES"/>
    </w:rPr>
  </w:style>
  <w:style w:type="paragraph" w:customStyle="1" w:styleId="twitter">
    <w:name w:val="twitter"/>
    <w:basedOn w:val="Normal"/>
    <w:rsid w:val="0093430A"/>
    <w:pPr>
      <w:spacing w:after="120" w:line="240" w:lineRule="auto"/>
      <w:ind w:left="120" w:right="975"/>
    </w:pPr>
    <w:rPr>
      <w:rFonts w:ascii="Times New Roman" w:eastAsia="Times New Roman" w:hAnsi="Times New Roman"/>
      <w:color w:val="2F2F2F"/>
      <w:sz w:val="24"/>
      <w:szCs w:val="24"/>
      <w:lang w:val="es-ES" w:eastAsia="es-ES"/>
    </w:rPr>
  </w:style>
  <w:style w:type="paragraph" w:customStyle="1" w:styleId="logoutprincipal">
    <w:name w:val="logout_principal"/>
    <w:basedOn w:val="Normal"/>
    <w:rsid w:val="0093430A"/>
    <w:pPr>
      <w:spacing w:after="120" w:line="240" w:lineRule="auto"/>
      <w:ind w:left="120"/>
    </w:pPr>
    <w:rPr>
      <w:rFonts w:ascii="Times New Roman" w:eastAsia="Times New Roman" w:hAnsi="Times New Roman"/>
      <w:color w:val="2F2F2F"/>
      <w:sz w:val="18"/>
      <w:szCs w:val="18"/>
      <w:lang w:val="es-ES" w:eastAsia="es-ES"/>
    </w:rPr>
  </w:style>
  <w:style w:type="paragraph" w:customStyle="1" w:styleId="datepickercontainer">
    <w:name w:val="datepickercontainer"/>
    <w:basedOn w:val="Normal"/>
    <w:rsid w:val="0093430A"/>
    <w:pPr>
      <w:shd w:val="clear" w:color="auto" w:fill="F7F3F7"/>
      <w:spacing w:after="120" w:line="240" w:lineRule="auto"/>
      <w:ind w:left="120"/>
    </w:pPr>
    <w:rPr>
      <w:rFonts w:ascii="Times New Roman" w:eastAsia="Times New Roman" w:hAnsi="Times New Roman"/>
      <w:color w:val="2F2F2F"/>
      <w:sz w:val="24"/>
      <w:szCs w:val="24"/>
      <w:lang w:val="es-ES" w:eastAsia="es-ES"/>
    </w:rPr>
  </w:style>
  <w:style w:type="paragraph" w:customStyle="1" w:styleId="datepickerbordert">
    <w:name w:val="datepickerbordert"/>
    <w:basedOn w:val="Normal"/>
    <w:rsid w:val="0093430A"/>
    <w:pPr>
      <w:spacing w:after="120" w:line="240" w:lineRule="auto"/>
      <w:ind w:left="120"/>
    </w:pPr>
    <w:rPr>
      <w:rFonts w:ascii="Times New Roman" w:eastAsia="Times New Roman" w:hAnsi="Times New Roman"/>
      <w:color w:val="2F2F2F"/>
      <w:sz w:val="24"/>
      <w:szCs w:val="24"/>
      <w:lang w:val="es-ES" w:eastAsia="es-ES"/>
    </w:rPr>
  </w:style>
  <w:style w:type="paragraph" w:customStyle="1" w:styleId="datepickerborderb">
    <w:name w:val="datepickerborderb"/>
    <w:basedOn w:val="Normal"/>
    <w:rsid w:val="0093430A"/>
    <w:pPr>
      <w:spacing w:after="120" w:line="240" w:lineRule="auto"/>
      <w:ind w:left="120"/>
    </w:pPr>
    <w:rPr>
      <w:rFonts w:ascii="Times New Roman" w:eastAsia="Times New Roman" w:hAnsi="Times New Roman"/>
      <w:color w:val="2F2F2F"/>
      <w:sz w:val="24"/>
      <w:szCs w:val="24"/>
      <w:lang w:val="es-ES" w:eastAsia="es-ES"/>
    </w:rPr>
  </w:style>
  <w:style w:type="paragraph" w:customStyle="1" w:styleId="datepickerborderl">
    <w:name w:val="datepickerborderl"/>
    <w:basedOn w:val="Normal"/>
    <w:rsid w:val="0093430A"/>
    <w:pPr>
      <w:spacing w:after="120" w:line="240" w:lineRule="auto"/>
      <w:ind w:left="120"/>
    </w:pPr>
    <w:rPr>
      <w:rFonts w:ascii="Times New Roman" w:eastAsia="Times New Roman" w:hAnsi="Times New Roman"/>
      <w:color w:val="2F2F2F"/>
      <w:sz w:val="24"/>
      <w:szCs w:val="24"/>
      <w:lang w:val="es-ES" w:eastAsia="es-ES"/>
    </w:rPr>
  </w:style>
  <w:style w:type="paragraph" w:customStyle="1" w:styleId="datepickerborderr">
    <w:name w:val="datepickerborderr"/>
    <w:basedOn w:val="Normal"/>
    <w:rsid w:val="0093430A"/>
    <w:pPr>
      <w:spacing w:after="120" w:line="240" w:lineRule="auto"/>
      <w:ind w:left="120"/>
    </w:pPr>
    <w:rPr>
      <w:rFonts w:ascii="Times New Roman" w:eastAsia="Times New Roman" w:hAnsi="Times New Roman"/>
      <w:color w:val="2F2F2F"/>
      <w:sz w:val="24"/>
      <w:szCs w:val="24"/>
      <w:lang w:val="es-ES" w:eastAsia="es-ES"/>
    </w:rPr>
  </w:style>
  <w:style w:type="paragraph" w:customStyle="1" w:styleId="datepickerbordertl">
    <w:name w:val="datepickerbordertl"/>
    <w:basedOn w:val="Normal"/>
    <w:rsid w:val="0093430A"/>
    <w:pPr>
      <w:spacing w:after="120" w:line="240" w:lineRule="auto"/>
      <w:ind w:left="120"/>
    </w:pPr>
    <w:rPr>
      <w:rFonts w:ascii="Times New Roman" w:eastAsia="Times New Roman" w:hAnsi="Times New Roman"/>
      <w:color w:val="2F2F2F"/>
      <w:sz w:val="24"/>
      <w:szCs w:val="24"/>
      <w:lang w:val="es-ES" w:eastAsia="es-ES"/>
    </w:rPr>
  </w:style>
  <w:style w:type="paragraph" w:customStyle="1" w:styleId="datepickerbordertr">
    <w:name w:val="datepickerbordertr"/>
    <w:basedOn w:val="Normal"/>
    <w:rsid w:val="0093430A"/>
    <w:pPr>
      <w:spacing w:after="120" w:line="240" w:lineRule="auto"/>
      <w:ind w:left="120"/>
    </w:pPr>
    <w:rPr>
      <w:rFonts w:ascii="Times New Roman" w:eastAsia="Times New Roman" w:hAnsi="Times New Roman"/>
      <w:color w:val="2F2F2F"/>
      <w:sz w:val="24"/>
      <w:szCs w:val="24"/>
      <w:lang w:val="es-ES" w:eastAsia="es-ES"/>
    </w:rPr>
  </w:style>
  <w:style w:type="paragraph" w:customStyle="1" w:styleId="datepickerborderbl">
    <w:name w:val="datepickerborderbl"/>
    <w:basedOn w:val="Normal"/>
    <w:rsid w:val="0093430A"/>
    <w:pPr>
      <w:spacing w:after="120" w:line="240" w:lineRule="auto"/>
      <w:ind w:left="120"/>
    </w:pPr>
    <w:rPr>
      <w:rFonts w:ascii="Times New Roman" w:eastAsia="Times New Roman" w:hAnsi="Times New Roman"/>
      <w:color w:val="2F2F2F"/>
      <w:sz w:val="24"/>
      <w:szCs w:val="24"/>
      <w:lang w:val="es-ES" w:eastAsia="es-ES"/>
    </w:rPr>
  </w:style>
  <w:style w:type="paragraph" w:customStyle="1" w:styleId="datepickerborderbr">
    <w:name w:val="datepickerborderbr"/>
    <w:basedOn w:val="Normal"/>
    <w:rsid w:val="0093430A"/>
    <w:pPr>
      <w:spacing w:after="120" w:line="240" w:lineRule="auto"/>
      <w:ind w:left="120"/>
    </w:pPr>
    <w:rPr>
      <w:rFonts w:ascii="Times New Roman" w:eastAsia="Times New Roman" w:hAnsi="Times New Roman"/>
      <w:color w:val="2F2F2F"/>
      <w:sz w:val="24"/>
      <w:szCs w:val="24"/>
      <w:lang w:val="es-ES" w:eastAsia="es-ES"/>
    </w:rPr>
  </w:style>
  <w:style w:type="paragraph" w:customStyle="1" w:styleId="datepickerhidden">
    <w:name w:val="datepickerhidden"/>
    <w:basedOn w:val="Normal"/>
    <w:rsid w:val="0093430A"/>
    <w:pPr>
      <w:spacing w:after="120" w:line="240" w:lineRule="auto"/>
      <w:ind w:left="120"/>
    </w:pPr>
    <w:rPr>
      <w:rFonts w:ascii="Times New Roman" w:eastAsia="Times New Roman" w:hAnsi="Times New Roman"/>
      <w:vanish/>
      <w:color w:val="2F2F2F"/>
      <w:sz w:val="24"/>
      <w:szCs w:val="24"/>
      <w:lang w:val="es-ES" w:eastAsia="es-ES"/>
    </w:rPr>
  </w:style>
  <w:style w:type="paragraph" w:customStyle="1" w:styleId="megamenu">
    <w:name w:val="megamenu"/>
    <w:basedOn w:val="Normal"/>
    <w:rsid w:val="0093430A"/>
    <w:pPr>
      <w:pBdr>
        <w:top w:val="single" w:sz="12" w:space="8" w:color="555555"/>
        <w:left w:val="single" w:sz="6" w:space="8" w:color="555555"/>
        <w:bottom w:val="single" w:sz="12" w:space="8" w:color="555555"/>
        <w:right w:val="single" w:sz="6" w:space="8" w:color="555555"/>
      </w:pBdr>
      <w:shd w:val="clear" w:color="auto" w:fill="FFFFFF"/>
      <w:spacing w:after="120" w:line="240" w:lineRule="auto"/>
      <w:ind w:left="120"/>
    </w:pPr>
    <w:rPr>
      <w:rFonts w:ascii="Arial" w:eastAsia="Times New Roman" w:hAnsi="Arial" w:cs="Arial"/>
      <w:vanish/>
      <w:color w:val="2F2F2F"/>
      <w:sz w:val="18"/>
      <w:szCs w:val="18"/>
      <w:lang w:val="es-ES" w:eastAsia="es-ES"/>
    </w:rPr>
  </w:style>
  <w:style w:type="paragraph" w:customStyle="1" w:styleId="menuprincipal">
    <w:name w:val="menu_principal"/>
    <w:basedOn w:val="Normal"/>
    <w:rsid w:val="0093430A"/>
    <w:pPr>
      <w:spacing w:after="120" w:line="240" w:lineRule="auto"/>
      <w:ind w:left="120"/>
    </w:pPr>
    <w:rPr>
      <w:rFonts w:ascii="Times New Roman" w:eastAsia="Times New Roman" w:hAnsi="Times New Roman"/>
      <w:color w:val="2F2F2F"/>
      <w:sz w:val="24"/>
      <w:szCs w:val="24"/>
      <w:lang w:val="es-ES" w:eastAsia="es-ES"/>
    </w:rPr>
  </w:style>
  <w:style w:type="paragraph" w:customStyle="1" w:styleId="fondo10">
    <w:name w:val="fondo1"/>
    <w:basedOn w:val="Normal"/>
    <w:rsid w:val="0093430A"/>
    <w:pPr>
      <w:spacing w:after="120" w:line="240" w:lineRule="auto"/>
      <w:ind w:left="120"/>
    </w:pPr>
    <w:rPr>
      <w:rFonts w:ascii="Times New Roman" w:eastAsia="Times New Roman" w:hAnsi="Times New Roman"/>
      <w:color w:val="2F2F2F"/>
      <w:sz w:val="24"/>
      <w:szCs w:val="24"/>
      <w:lang w:val="es-ES" w:eastAsia="es-ES"/>
    </w:rPr>
  </w:style>
  <w:style w:type="paragraph" w:customStyle="1" w:styleId="column">
    <w:name w:val="column"/>
    <w:basedOn w:val="Normal"/>
    <w:rsid w:val="0093430A"/>
    <w:pPr>
      <w:spacing w:after="120" w:line="240" w:lineRule="auto"/>
      <w:ind w:left="120"/>
    </w:pPr>
    <w:rPr>
      <w:rFonts w:ascii="Times New Roman" w:eastAsia="Times New Roman" w:hAnsi="Times New Roman"/>
      <w:color w:val="2F2F2F"/>
      <w:sz w:val="24"/>
      <w:szCs w:val="24"/>
      <w:lang w:val="es-ES" w:eastAsia="es-ES"/>
    </w:rPr>
  </w:style>
  <w:style w:type="paragraph" w:customStyle="1" w:styleId="titleazul">
    <w:name w:val="title_azul"/>
    <w:basedOn w:val="Normal"/>
    <w:rsid w:val="0093430A"/>
    <w:pPr>
      <w:spacing w:after="120" w:line="240" w:lineRule="auto"/>
      <w:ind w:left="120"/>
    </w:pPr>
    <w:rPr>
      <w:rFonts w:ascii="Times New Roman" w:eastAsia="Times New Roman" w:hAnsi="Times New Roman"/>
      <w:color w:val="2F2F2F"/>
      <w:sz w:val="24"/>
      <w:szCs w:val="24"/>
      <w:lang w:val="es-ES" w:eastAsia="es-ES"/>
    </w:rPr>
  </w:style>
  <w:style w:type="paragraph" w:customStyle="1" w:styleId="olvido">
    <w:name w:val="olvido"/>
    <w:basedOn w:val="Normal"/>
    <w:rsid w:val="0093430A"/>
    <w:pPr>
      <w:spacing w:after="120" w:line="240" w:lineRule="auto"/>
      <w:ind w:left="120"/>
    </w:pPr>
    <w:rPr>
      <w:rFonts w:ascii="Times New Roman" w:eastAsia="Times New Roman" w:hAnsi="Times New Roman"/>
      <w:color w:val="2F2F2F"/>
      <w:sz w:val="24"/>
      <w:szCs w:val="24"/>
      <w:lang w:val="es-ES" w:eastAsia="es-ES"/>
    </w:rPr>
  </w:style>
  <w:style w:type="paragraph" w:customStyle="1" w:styleId="Encabezado1">
    <w:name w:val="Encabezado1"/>
    <w:basedOn w:val="Normal"/>
    <w:rsid w:val="0093430A"/>
    <w:pPr>
      <w:spacing w:after="120" w:line="240" w:lineRule="auto"/>
      <w:ind w:left="120"/>
    </w:pPr>
    <w:rPr>
      <w:rFonts w:ascii="Times New Roman" w:eastAsia="Times New Roman" w:hAnsi="Times New Roman"/>
      <w:color w:val="2F2F2F"/>
      <w:sz w:val="24"/>
      <w:szCs w:val="24"/>
      <w:lang w:val="es-ES" w:eastAsia="es-ES"/>
    </w:rPr>
  </w:style>
  <w:style w:type="paragraph" w:customStyle="1" w:styleId="headercalendar">
    <w:name w:val="header_calendar"/>
    <w:basedOn w:val="Normal"/>
    <w:rsid w:val="0093430A"/>
    <w:pPr>
      <w:spacing w:after="120" w:line="240" w:lineRule="auto"/>
      <w:ind w:left="120"/>
    </w:pPr>
    <w:rPr>
      <w:rFonts w:ascii="Times New Roman" w:eastAsia="Times New Roman" w:hAnsi="Times New Roman"/>
      <w:color w:val="2F2F2F"/>
      <w:sz w:val="24"/>
      <w:szCs w:val="24"/>
      <w:lang w:val="es-ES" w:eastAsia="es-ES"/>
    </w:rPr>
  </w:style>
  <w:style w:type="paragraph" w:customStyle="1" w:styleId="combos">
    <w:name w:val="combos"/>
    <w:basedOn w:val="Normal"/>
    <w:rsid w:val="0093430A"/>
    <w:pPr>
      <w:spacing w:after="120" w:line="240" w:lineRule="auto"/>
      <w:ind w:left="120"/>
    </w:pPr>
    <w:rPr>
      <w:rFonts w:ascii="Times New Roman" w:eastAsia="Times New Roman" w:hAnsi="Times New Roman"/>
      <w:color w:val="2F2F2F"/>
      <w:sz w:val="24"/>
      <w:szCs w:val="24"/>
      <w:lang w:val="es-ES" w:eastAsia="es-ES"/>
    </w:rPr>
  </w:style>
  <w:style w:type="paragraph" w:customStyle="1" w:styleId="enlacesleido">
    <w:name w:val="enlaces_leido"/>
    <w:basedOn w:val="Normal"/>
    <w:rsid w:val="0093430A"/>
    <w:pPr>
      <w:spacing w:after="120" w:line="240" w:lineRule="auto"/>
      <w:ind w:left="120"/>
    </w:pPr>
    <w:rPr>
      <w:rFonts w:ascii="Times New Roman" w:eastAsia="Times New Roman" w:hAnsi="Times New Roman"/>
      <w:color w:val="2F2F2F"/>
      <w:sz w:val="24"/>
      <w:szCs w:val="24"/>
      <w:lang w:val="es-ES" w:eastAsia="es-ES"/>
    </w:rPr>
  </w:style>
  <w:style w:type="paragraph" w:customStyle="1" w:styleId="mstwbox">
    <w:name w:val="mstwbox"/>
    <w:basedOn w:val="Normal"/>
    <w:rsid w:val="0093430A"/>
    <w:pPr>
      <w:spacing w:after="120" w:line="240" w:lineRule="auto"/>
      <w:ind w:left="120"/>
    </w:pPr>
    <w:rPr>
      <w:rFonts w:ascii="Times New Roman" w:eastAsia="Times New Roman" w:hAnsi="Times New Roman"/>
      <w:color w:val="2F2F2F"/>
      <w:sz w:val="24"/>
      <w:szCs w:val="24"/>
      <w:lang w:val="es-ES" w:eastAsia="es-ES"/>
    </w:rPr>
  </w:style>
  <w:style w:type="paragraph" w:customStyle="1" w:styleId="mstwbuttonlink">
    <w:name w:val="mstwbuttonlink"/>
    <w:basedOn w:val="Normal"/>
    <w:rsid w:val="0093430A"/>
    <w:pPr>
      <w:spacing w:after="120" w:line="240" w:lineRule="auto"/>
      <w:ind w:left="120"/>
    </w:pPr>
    <w:rPr>
      <w:rFonts w:ascii="Times New Roman" w:eastAsia="Times New Roman" w:hAnsi="Times New Roman"/>
      <w:color w:val="2F2F2F"/>
      <w:sz w:val="24"/>
      <w:szCs w:val="24"/>
      <w:lang w:val="es-ES" w:eastAsia="es-ES"/>
    </w:rPr>
  </w:style>
  <w:style w:type="paragraph" w:customStyle="1" w:styleId="calnav">
    <w:name w:val="cal_nav"/>
    <w:basedOn w:val="Normal"/>
    <w:rsid w:val="0093430A"/>
    <w:pPr>
      <w:spacing w:after="120" w:line="240" w:lineRule="auto"/>
      <w:ind w:left="120"/>
    </w:pPr>
    <w:rPr>
      <w:rFonts w:ascii="Times New Roman" w:eastAsia="Times New Roman" w:hAnsi="Times New Roman"/>
      <w:color w:val="2F2F2F"/>
      <w:sz w:val="24"/>
      <w:szCs w:val="24"/>
      <w:lang w:val="es-ES" w:eastAsia="es-ES"/>
    </w:rPr>
  </w:style>
  <w:style w:type="paragraph" w:customStyle="1" w:styleId="tabactuala">
    <w:name w:val="tab_actual_a"/>
    <w:basedOn w:val="Normal"/>
    <w:rsid w:val="0093430A"/>
    <w:pPr>
      <w:shd w:val="clear" w:color="auto" w:fill="737373"/>
      <w:spacing w:after="120" w:line="240" w:lineRule="auto"/>
      <w:ind w:left="120"/>
    </w:pPr>
    <w:rPr>
      <w:rFonts w:ascii="Times New Roman" w:eastAsia="Times New Roman" w:hAnsi="Times New Roman"/>
      <w:color w:val="2F2F2F"/>
      <w:sz w:val="24"/>
      <w:szCs w:val="24"/>
      <w:lang w:val="es-ES" w:eastAsia="es-ES"/>
    </w:rPr>
  </w:style>
  <w:style w:type="character" w:customStyle="1" w:styleId="txtazul1">
    <w:name w:val="txt_azul1"/>
    <w:basedOn w:val="Fuentedeprrafopredeter"/>
    <w:rsid w:val="0093430A"/>
    <w:rPr>
      <w:sz w:val="22"/>
      <w:szCs w:val="22"/>
    </w:rPr>
  </w:style>
  <w:style w:type="paragraph" w:customStyle="1" w:styleId="olvido1">
    <w:name w:val="olvido1"/>
    <w:basedOn w:val="Normal"/>
    <w:rsid w:val="0093430A"/>
    <w:pPr>
      <w:spacing w:after="120" w:line="240" w:lineRule="auto"/>
      <w:ind w:left="120"/>
    </w:pPr>
    <w:rPr>
      <w:rFonts w:ascii="Times New Roman" w:eastAsia="Times New Roman" w:hAnsi="Times New Roman"/>
      <w:color w:val="2F2F2F"/>
      <w:sz w:val="15"/>
      <w:szCs w:val="15"/>
      <w:lang w:val="es-ES" w:eastAsia="es-ES"/>
    </w:rPr>
  </w:style>
  <w:style w:type="paragraph" w:customStyle="1" w:styleId="topfooter1">
    <w:name w:val="topfooter1"/>
    <w:basedOn w:val="Normal"/>
    <w:rsid w:val="0093430A"/>
    <w:pPr>
      <w:spacing w:after="0" w:line="225" w:lineRule="atLeast"/>
    </w:pPr>
    <w:rPr>
      <w:rFonts w:ascii="Times New Roman" w:eastAsia="Times New Roman" w:hAnsi="Times New Roman"/>
      <w:color w:val="AAAAAA"/>
      <w:sz w:val="19"/>
      <w:szCs w:val="19"/>
      <w:lang w:val="es-ES" w:eastAsia="es-ES"/>
    </w:rPr>
  </w:style>
  <w:style w:type="paragraph" w:customStyle="1" w:styleId="piea1">
    <w:name w:val="pie_a1"/>
    <w:basedOn w:val="Normal"/>
    <w:rsid w:val="0093430A"/>
    <w:pPr>
      <w:spacing w:after="0" w:line="240" w:lineRule="auto"/>
    </w:pPr>
    <w:rPr>
      <w:rFonts w:ascii="Times New Roman" w:eastAsia="Times New Roman" w:hAnsi="Times New Roman"/>
      <w:color w:val="808080"/>
      <w:sz w:val="19"/>
      <w:szCs w:val="19"/>
      <w:lang w:val="es-ES" w:eastAsia="es-ES"/>
    </w:rPr>
  </w:style>
  <w:style w:type="paragraph" w:customStyle="1" w:styleId="fondo11">
    <w:name w:val="fondo11"/>
    <w:basedOn w:val="Normal"/>
    <w:rsid w:val="0093430A"/>
    <w:pPr>
      <w:shd w:val="clear" w:color="auto" w:fill="E8EDFF"/>
      <w:spacing w:after="120" w:line="240" w:lineRule="auto"/>
      <w:ind w:left="120"/>
    </w:pPr>
    <w:rPr>
      <w:rFonts w:ascii="Times New Roman" w:eastAsia="Times New Roman" w:hAnsi="Times New Roman"/>
      <w:color w:val="2F2F2F"/>
      <w:sz w:val="24"/>
      <w:szCs w:val="24"/>
      <w:lang w:val="es-ES" w:eastAsia="es-ES"/>
    </w:rPr>
  </w:style>
  <w:style w:type="paragraph" w:customStyle="1" w:styleId="calnav1">
    <w:name w:val="cal_nav1"/>
    <w:basedOn w:val="Normal"/>
    <w:rsid w:val="0093430A"/>
    <w:pPr>
      <w:spacing w:after="120" w:line="240" w:lineRule="auto"/>
      <w:ind w:left="120"/>
    </w:pPr>
    <w:rPr>
      <w:rFonts w:ascii="Times New Roman" w:eastAsia="Times New Roman" w:hAnsi="Times New Roman"/>
      <w:color w:val="2F2F2F"/>
      <w:sz w:val="24"/>
      <w:szCs w:val="24"/>
      <w:lang w:val="es-ES" w:eastAsia="es-ES"/>
    </w:rPr>
  </w:style>
  <w:style w:type="paragraph" w:customStyle="1" w:styleId="header1">
    <w:name w:val="header1"/>
    <w:basedOn w:val="Normal"/>
    <w:rsid w:val="0093430A"/>
    <w:pPr>
      <w:spacing w:after="120" w:line="240" w:lineRule="auto"/>
      <w:ind w:left="120"/>
      <w:jc w:val="center"/>
    </w:pPr>
    <w:rPr>
      <w:rFonts w:ascii="Verdana" w:eastAsia="Times New Roman" w:hAnsi="Verdana"/>
      <w:b/>
      <w:bCs/>
      <w:color w:val="222222"/>
      <w:sz w:val="15"/>
      <w:szCs w:val="15"/>
      <w:lang w:val="es-ES" w:eastAsia="es-ES"/>
    </w:rPr>
  </w:style>
  <w:style w:type="paragraph" w:customStyle="1" w:styleId="headercalendar1">
    <w:name w:val="header_calendar1"/>
    <w:basedOn w:val="Normal"/>
    <w:rsid w:val="0093430A"/>
    <w:pPr>
      <w:spacing w:after="120" w:line="240" w:lineRule="auto"/>
      <w:ind w:left="120"/>
      <w:jc w:val="center"/>
    </w:pPr>
    <w:rPr>
      <w:rFonts w:ascii="Verdana" w:eastAsia="Times New Roman" w:hAnsi="Verdana"/>
      <w:b/>
      <w:bCs/>
      <w:color w:val="222222"/>
      <w:sz w:val="15"/>
      <w:szCs w:val="15"/>
      <w:lang w:val="es-ES" w:eastAsia="es-ES"/>
    </w:rPr>
  </w:style>
  <w:style w:type="paragraph" w:customStyle="1" w:styleId="combos1">
    <w:name w:val="combos1"/>
    <w:basedOn w:val="Normal"/>
    <w:rsid w:val="0093430A"/>
    <w:pPr>
      <w:shd w:val="clear" w:color="auto" w:fill="7D8184"/>
      <w:spacing w:after="120" w:line="240" w:lineRule="auto"/>
      <w:ind w:left="120"/>
      <w:jc w:val="center"/>
    </w:pPr>
    <w:rPr>
      <w:rFonts w:ascii="Verdana" w:eastAsia="Times New Roman" w:hAnsi="Verdana"/>
      <w:b/>
      <w:bCs/>
      <w:color w:val="FFFFFF"/>
      <w:sz w:val="15"/>
      <w:szCs w:val="15"/>
      <w:lang w:val="es-ES" w:eastAsia="es-ES"/>
    </w:rPr>
  </w:style>
  <w:style w:type="paragraph" w:customStyle="1" w:styleId="tabcontent1">
    <w:name w:val="tab_content1"/>
    <w:basedOn w:val="Normal"/>
    <w:rsid w:val="0093430A"/>
    <w:pPr>
      <w:spacing w:after="120" w:line="240" w:lineRule="auto"/>
      <w:ind w:left="120"/>
    </w:pPr>
    <w:rPr>
      <w:rFonts w:ascii="Times New Roman" w:eastAsia="Times New Roman" w:hAnsi="Times New Roman"/>
      <w:color w:val="2F2F2F"/>
      <w:sz w:val="29"/>
      <w:szCs w:val="29"/>
      <w:lang w:val="es-ES" w:eastAsia="es-ES"/>
    </w:rPr>
  </w:style>
  <w:style w:type="paragraph" w:customStyle="1" w:styleId="tabcontent21">
    <w:name w:val="tab_content21"/>
    <w:basedOn w:val="Normal"/>
    <w:rsid w:val="0093430A"/>
    <w:pPr>
      <w:spacing w:before="300" w:after="120" w:line="240" w:lineRule="auto"/>
      <w:ind w:left="120"/>
    </w:pPr>
    <w:rPr>
      <w:rFonts w:ascii="Times New Roman" w:eastAsia="Times New Roman" w:hAnsi="Times New Roman"/>
      <w:color w:val="2F2F2F"/>
      <w:sz w:val="29"/>
      <w:szCs w:val="29"/>
      <w:lang w:val="es-ES" w:eastAsia="es-ES"/>
    </w:rPr>
  </w:style>
  <w:style w:type="paragraph" w:customStyle="1" w:styleId="enlacesleido1">
    <w:name w:val="enlaces_leido1"/>
    <w:basedOn w:val="Normal"/>
    <w:rsid w:val="0093430A"/>
    <w:pPr>
      <w:spacing w:after="120" w:line="240" w:lineRule="auto"/>
      <w:ind w:left="120"/>
    </w:pPr>
    <w:rPr>
      <w:rFonts w:ascii="Times New Roman" w:eastAsia="Times New Roman" w:hAnsi="Times New Roman"/>
      <w:color w:val="2F2F2F"/>
      <w:sz w:val="16"/>
      <w:szCs w:val="16"/>
      <w:lang w:val="es-ES" w:eastAsia="es-ES"/>
    </w:rPr>
  </w:style>
  <w:style w:type="paragraph" w:customStyle="1" w:styleId="enlacesleido2">
    <w:name w:val="enlaces_leido2"/>
    <w:basedOn w:val="Normal"/>
    <w:rsid w:val="0093430A"/>
    <w:pPr>
      <w:spacing w:after="120" w:line="240" w:lineRule="auto"/>
      <w:ind w:left="120"/>
    </w:pPr>
    <w:rPr>
      <w:rFonts w:ascii="Times New Roman" w:eastAsia="Times New Roman" w:hAnsi="Times New Roman"/>
      <w:color w:val="2F2F2F"/>
      <w:sz w:val="19"/>
      <w:szCs w:val="19"/>
      <w:lang w:val="es-ES" w:eastAsia="es-ES"/>
    </w:rPr>
  </w:style>
  <w:style w:type="paragraph" w:customStyle="1" w:styleId="txtazul2">
    <w:name w:val="txt_azul2"/>
    <w:basedOn w:val="Normal"/>
    <w:rsid w:val="0093430A"/>
    <w:pPr>
      <w:spacing w:after="120" w:line="240" w:lineRule="auto"/>
      <w:ind w:left="120"/>
    </w:pPr>
    <w:rPr>
      <w:rFonts w:ascii="Times New Roman" w:eastAsia="Times New Roman" w:hAnsi="Times New Roman"/>
      <w:color w:val="2F2F2F"/>
      <w:sz w:val="20"/>
      <w:szCs w:val="20"/>
      <w:lang w:val="es-ES" w:eastAsia="es-ES"/>
    </w:rPr>
  </w:style>
  <w:style w:type="paragraph" w:customStyle="1" w:styleId="titleazul1">
    <w:name w:val="title_azul1"/>
    <w:basedOn w:val="Normal"/>
    <w:rsid w:val="0093430A"/>
    <w:pPr>
      <w:spacing w:after="120" w:line="240" w:lineRule="auto"/>
      <w:ind w:left="120"/>
    </w:pPr>
    <w:rPr>
      <w:rFonts w:ascii="Times New Roman" w:eastAsia="Times New Roman" w:hAnsi="Times New Roman"/>
      <w:color w:val="2F2F2F"/>
      <w:sz w:val="23"/>
      <w:szCs w:val="23"/>
      <w:lang w:val="es-ES" w:eastAsia="es-ES"/>
    </w:rPr>
  </w:style>
  <w:style w:type="character" w:customStyle="1" w:styleId="txtazul3">
    <w:name w:val="txt_azul3"/>
    <w:basedOn w:val="Fuentedeprrafopredeter"/>
    <w:rsid w:val="0093430A"/>
    <w:rPr>
      <w:sz w:val="20"/>
      <w:szCs w:val="20"/>
    </w:rPr>
  </w:style>
  <w:style w:type="paragraph" w:customStyle="1" w:styleId="column1">
    <w:name w:val="column1"/>
    <w:basedOn w:val="Normal"/>
    <w:rsid w:val="0093430A"/>
    <w:pPr>
      <w:spacing w:after="120" w:line="240" w:lineRule="auto"/>
      <w:ind w:left="120" w:right="75"/>
    </w:pPr>
    <w:rPr>
      <w:rFonts w:ascii="Times New Roman" w:eastAsia="Times New Roman" w:hAnsi="Times New Roman"/>
      <w:color w:val="2F2F2F"/>
      <w:sz w:val="24"/>
      <w:szCs w:val="24"/>
      <w:lang w:val="es-ES" w:eastAsia="es-ES"/>
    </w:rPr>
  </w:style>
  <w:style w:type="paragraph" w:customStyle="1" w:styleId="mstwbox1">
    <w:name w:val="mstwbox1"/>
    <w:basedOn w:val="Normal"/>
    <w:rsid w:val="0093430A"/>
    <w:pPr>
      <w:spacing w:after="120" w:line="240" w:lineRule="auto"/>
      <w:ind w:left="120"/>
    </w:pPr>
    <w:rPr>
      <w:rFonts w:ascii="Times New Roman" w:eastAsia="Times New Roman" w:hAnsi="Times New Roman"/>
      <w:color w:val="2F2F2F"/>
      <w:sz w:val="24"/>
      <w:szCs w:val="24"/>
      <w:lang w:val="es-ES" w:eastAsia="es-ES"/>
    </w:rPr>
  </w:style>
  <w:style w:type="paragraph" w:customStyle="1" w:styleId="mstwbuttonlink1">
    <w:name w:val="mstwbuttonlink1"/>
    <w:basedOn w:val="Normal"/>
    <w:rsid w:val="0093430A"/>
    <w:pPr>
      <w:pBdr>
        <w:top w:val="single" w:sz="6" w:space="0" w:color="auto"/>
        <w:left w:val="single" w:sz="6" w:space="0" w:color="auto"/>
        <w:bottom w:val="single" w:sz="6" w:space="0" w:color="auto"/>
        <w:right w:val="single" w:sz="6" w:space="0" w:color="auto"/>
      </w:pBdr>
      <w:spacing w:after="120" w:line="240" w:lineRule="auto"/>
      <w:ind w:left="15" w:right="15"/>
      <w:jc w:val="center"/>
    </w:pPr>
    <w:rPr>
      <w:rFonts w:ascii="Times New Roman" w:eastAsia="Times New Roman" w:hAnsi="Times New Roman"/>
      <w:color w:val="2F2F2F"/>
      <w:sz w:val="24"/>
      <w:szCs w:val="24"/>
      <w:lang w:val="es-ES" w:eastAsia="es-ES"/>
    </w:rPr>
  </w:style>
  <w:style w:type="paragraph" w:styleId="Textoindependiente2">
    <w:name w:val="Body Text 2"/>
    <w:basedOn w:val="Normal"/>
    <w:link w:val="Textoindependiente2Car"/>
    <w:rsid w:val="0093430A"/>
    <w:pPr>
      <w:spacing w:after="0" w:line="240" w:lineRule="auto"/>
      <w:ind w:right="283"/>
      <w:jc w:val="both"/>
    </w:pPr>
    <w:rPr>
      <w:rFonts w:ascii="Arial" w:eastAsia="Times New Roman" w:hAnsi="Arial"/>
      <w:szCs w:val="20"/>
      <w:lang w:val="es-ES" w:eastAsia="es-ES"/>
    </w:rPr>
  </w:style>
  <w:style w:type="character" w:customStyle="1" w:styleId="Textoindependiente2Car">
    <w:name w:val="Texto independiente 2 Car"/>
    <w:basedOn w:val="Fuentedeprrafopredeter"/>
    <w:link w:val="Textoindependiente2"/>
    <w:rsid w:val="0093430A"/>
    <w:rPr>
      <w:rFonts w:ascii="Arial" w:eastAsia="Times New Roman" w:hAnsi="Arial"/>
      <w:sz w:val="22"/>
      <w:lang w:val="es-ES" w:eastAsia="es-ES"/>
    </w:rPr>
  </w:style>
  <w:style w:type="paragraph" w:customStyle="1" w:styleId="Textosinformato1">
    <w:name w:val="Texto sin formato1"/>
    <w:basedOn w:val="Normal"/>
    <w:rsid w:val="0093430A"/>
    <w:pPr>
      <w:overflowPunct w:val="0"/>
      <w:autoSpaceDE w:val="0"/>
      <w:autoSpaceDN w:val="0"/>
      <w:adjustRightInd w:val="0"/>
      <w:spacing w:after="0" w:line="240" w:lineRule="auto"/>
      <w:textAlignment w:val="baseline"/>
    </w:pPr>
    <w:rPr>
      <w:rFonts w:ascii="Courier New" w:eastAsia="Times New Roman" w:hAnsi="Courier New"/>
      <w:sz w:val="20"/>
      <w:szCs w:val="20"/>
      <w:lang w:eastAsia="es-ES"/>
    </w:rPr>
  </w:style>
  <w:style w:type="character" w:styleId="Textodelmarcadordeposicin">
    <w:name w:val="Placeholder Text"/>
    <w:uiPriority w:val="99"/>
    <w:semiHidden/>
    <w:rsid w:val="0093430A"/>
    <w:rPr>
      <w:color w:val="808080"/>
    </w:rPr>
  </w:style>
  <w:style w:type="paragraph" w:customStyle="1" w:styleId="Prrafodelista1">
    <w:name w:val="Párrafo de lista1"/>
    <w:basedOn w:val="Normal"/>
    <w:uiPriority w:val="99"/>
    <w:rsid w:val="0093430A"/>
    <w:pPr>
      <w:spacing w:before="120" w:after="0" w:line="240" w:lineRule="auto"/>
      <w:ind w:left="720"/>
      <w:jc w:val="both"/>
    </w:pPr>
    <w:rPr>
      <w:rFonts w:ascii="Verdana" w:eastAsia="Times New Roman" w:hAnsi="Verdana"/>
      <w:sz w:val="20"/>
      <w:szCs w:val="20"/>
      <w:lang w:val="en-US" w:eastAsia="es-ES"/>
    </w:rPr>
  </w:style>
  <w:style w:type="paragraph" w:customStyle="1" w:styleId="e1">
    <w:name w:val="e1"/>
    <w:basedOn w:val="Normal"/>
    <w:rsid w:val="0093430A"/>
    <w:pPr>
      <w:spacing w:before="20" w:after="36" w:line="240" w:lineRule="auto"/>
      <w:ind w:left="567" w:hanging="567"/>
      <w:jc w:val="both"/>
    </w:pPr>
    <w:rPr>
      <w:rFonts w:ascii="Arial" w:eastAsia="Times New Roman" w:hAnsi="Arial"/>
      <w:sz w:val="24"/>
      <w:szCs w:val="20"/>
      <w:lang w:val="es-ES_tradnl" w:eastAsia="es-ES"/>
    </w:rPr>
  </w:style>
  <w:style w:type="paragraph" w:customStyle="1" w:styleId="xl36">
    <w:name w:val="xl36"/>
    <w:basedOn w:val="Normal"/>
    <w:rsid w:val="0093430A"/>
    <w:pPr>
      <w:spacing w:before="100" w:after="100" w:line="240" w:lineRule="auto"/>
      <w:ind w:left="567" w:hanging="567"/>
      <w:jc w:val="center"/>
    </w:pPr>
    <w:rPr>
      <w:rFonts w:ascii="Arial" w:eastAsia="Arial Unicode MS" w:hAnsi="Arial"/>
      <w:sz w:val="16"/>
      <w:szCs w:val="20"/>
      <w:lang w:val="es-ES" w:eastAsia="es-ES"/>
    </w:rPr>
  </w:style>
  <w:style w:type="paragraph" w:styleId="Revisin">
    <w:name w:val="Revision"/>
    <w:hidden/>
    <w:uiPriority w:val="99"/>
    <w:semiHidden/>
    <w:rsid w:val="0093430A"/>
    <w:rPr>
      <w:rFonts w:asciiTheme="minorHAnsi" w:eastAsiaTheme="minorHAnsi" w:hAnsiTheme="minorHAnsi" w:cstheme="minorBidi"/>
      <w:sz w:val="22"/>
      <w:szCs w:val="22"/>
      <w:lang w:val="es-ES" w:eastAsia="en-US"/>
    </w:rPr>
  </w:style>
  <w:style w:type="paragraph" w:customStyle="1" w:styleId="yiv4146545237msonormal">
    <w:name w:val="yiv4146545237msonormal"/>
    <w:basedOn w:val="Normal"/>
    <w:rsid w:val="00E91CAE"/>
    <w:pPr>
      <w:spacing w:before="100" w:beforeAutospacing="1" w:after="100" w:afterAutospacing="1" w:line="240" w:lineRule="auto"/>
    </w:pPr>
    <w:rPr>
      <w:rFonts w:ascii="Times New Roman" w:eastAsia="Times New Roman" w:hAnsi="Times New Roman"/>
      <w:sz w:val="24"/>
      <w:szCs w:val="24"/>
      <w:lang w:val="es-ES" w:eastAsia="es-ES"/>
    </w:rPr>
  </w:style>
  <w:style w:type="character" w:customStyle="1" w:styleId="apple-converted-space">
    <w:name w:val="apple-converted-space"/>
    <w:basedOn w:val="Fuentedeprrafopredeter"/>
    <w:rsid w:val="00CE375E"/>
  </w:style>
  <w:style w:type="character" w:styleId="Refdenotaalpie">
    <w:name w:val="footnote reference"/>
    <w:aliases w:val="Footnote symbol,Appel note de bas de p,Footnote Reference/,Style 12,(NECG) Footnote Reference,Style 124,fr,Style 13,FR,Style 17,Style 3,Appel note de bas de p + 11 pt,Italic,Footnote,Appel note de bas de p1,Appel note de bas de p2"/>
    <w:uiPriority w:val="99"/>
    <w:unhideWhenUsed/>
    <w:qFormat/>
    <w:rsid w:val="00F04B1B"/>
    <w:rPr>
      <w:vertAlign w:val="superscript"/>
    </w:rPr>
  </w:style>
  <w:style w:type="table" w:styleId="Tablanormal4">
    <w:name w:val="Plain Table 4"/>
    <w:basedOn w:val="Tablanormal"/>
    <w:uiPriority w:val="44"/>
    <w:rsid w:val="000C22B7"/>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PrrafodelistaCar">
    <w:name w:val="Párrafo de lista Car"/>
    <w:aliases w:val="Cuadros Car,Lista general Car,Bullet List Car,FooterText Car,numbered Car,List Paragraph1 Car,Paragraphe de liste1 Car,Bulletr List Paragraph Car,列出段落 Car,列出段落1 Car,Listas Car,lp1 Car,Lista vistosa - Énfasis 11 Car,CNBV Parrafo1 Car"/>
    <w:basedOn w:val="Fuentedeprrafopredeter"/>
    <w:link w:val="Prrafodelista"/>
    <w:uiPriority w:val="34"/>
    <w:rsid w:val="00874B92"/>
    <w:rPr>
      <w:rFonts w:ascii="Helv" w:eastAsia="Times New Roman" w:hAnsi="Helv"/>
      <w:sz w:val="24"/>
      <w:lang w:eastAsia="es-ES"/>
    </w:rPr>
  </w:style>
  <w:style w:type="paragraph" w:styleId="Sinespaciado">
    <w:name w:val="No Spacing"/>
    <w:link w:val="SinespaciadoCar"/>
    <w:uiPriority w:val="1"/>
    <w:qFormat/>
    <w:rsid w:val="00A26A86"/>
    <w:rPr>
      <w:rFonts w:ascii="ITC Avant Garde" w:eastAsiaTheme="minorEastAsia" w:hAnsi="ITC Avant Garde" w:cstheme="minorBidi"/>
      <w:sz w:val="22"/>
      <w:szCs w:val="22"/>
    </w:rPr>
  </w:style>
  <w:style w:type="character" w:customStyle="1" w:styleId="SinespaciadoCar">
    <w:name w:val="Sin espaciado Car"/>
    <w:basedOn w:val="Fuentedeprrafopredeter"/>
    <w:link w:val="Sinespaciado"/>
    <w:uiPriority w:val="1"/>
    <w:rsid w:val="00A26A86"/>
    <w:rPr>
      <w:rFonts w:ascii="ITC Avant Garde" w:eastAsiaTheme="minorEastAsia" w:hAnsi="ITC Avant Garde" w:cstheme="minorBidi"/>
      <w:sz w:val="22"/>
      <w:szCs w:val="22"/>
    </w:rPr>
  </w:style>
  <w:style w:type="table" w:styleId="Tabladecuadrcula4-nfasis3">
    <w:name w:val="Grid Table 4 Accent 3"/>
    <w:basedOn w:val="Tablanormal"/>
    <w:uiPriority w:val="49"/>
    <w:rsid w:val="00A26A86"/>
    <w:rPr>
      <w:rFonts w:asciiTheme="minorHAnsi" w:eastAsiaTheme="minorEastAsia" w:hAnsiTheme="minorHAnsi" w:cstheme="minorBidi"/>
      <w:sz w:val="24"/>
      <w:szCs w:val="24"/>
      <w:lang w:val="es-ES_tradnl" w:eastAsia="es-E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paragraph" w:styleId="TDC3">
    <w:name w:val="toc 3"/>
    <w:basedOn w:val="TDC2"/>
    <w:next w:val="Normal"/>
    <w:autoRedefine/>
    <w:uiPriority w:val="39"/>
    <w:unhideWhenUsed/>
    <w:rsid w:val="005D6C25"/>
    <w:pPr>
      <w:spacing w:after="0"/>
      <w:ind w:left="0"/>
      <w:jc w:val="center"/>
    </w:pPr>
    <w:rPr>
      <w:rFonts w:ascii="Times New Roman" w:hAnsi="Times New Roman"/>
      <w:noProof/>
      <w:sz w:val="20"/>
      <w:lang w:val="es-ES"/>
    </w:rPr>
  </w:style>
  <w:style w:type="paragraph" w:styleId="TDC2">
    <w:name w:val="toc 2"/>
    <w:basedOn w:val="Normal"/>
    <w:next w:val="Normal"/>
    <w:autoRedefine/>
    <w:uiPriority w:val="39"/>
    <w:semiHidden/>
    <w:unhideWhenUsed/>
    <w:rsid w:val="005D6C25"/>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95675">
      <w:bodyDiv w:val="1"/>
      <w:marLeft w:val="0"/>
      <w:marRight w:val="0"/>
      <w:marTop w:val="0"/>
      <w:marBottom w:val="0"/>
      <w:divBdr>
        <w:top w:val="none" w:sz="0" w:space="0" w:color="auto"/>
        <w:left w:val="none" w:sz="0" w:space="0" w:color="auto"/>
        <w:bottom w:val="none" w:sz="0" w:space="0" w:color="auto"/>
        <w:right w:val="none" w:sz="0" w:space="0" w:color="auto"/>
      </w:divBdr>
    </w:div>
    <w:div w:id="195773991">
      <w:bodyDiv w:val="1"/>
      <w:marLeft w:val="0"/>
      <w:marRight w:val="0"/>
      <w:marTop w:val="0"/>
      <w:marBottom w:val="0"/>
      <w:divBdr>
        <w:top w:val="none" w:sz="0" w:space="0" w:color="auto"/>
        <w:left w:val="none" w:sz="0" w:space="0" w:color="auto"/>
        <w:bottom w:val="none" w:sz="0" w:space="0" w:color="auto"/>
        <w:right w:val="none" w:sz="0" w:space="0" w:color="auto"/>
      </w:divBdr>
    </w:div>
    <w:div w:id="339042449">
      <w:bodyDiv w:val="1"/>
      <w:marLeft w:val="0"/>
      <w:marRight w:val="0"/>
      <w:marTop w:val="0"/>
      <w:marBottom w:val="0"/>
      <w:divBdr>
        <w:top w:val="none" w:sz="0" w:space="0" w:color="auto"/>
        <w:left w:val="none" w:sz="0" w:space="0" w:color="auto"/>
        <w:bottom w:val="none" w:sz="0" w:space="0" w:color="auto"/>
        <w:right w:val="none" w:sz="0" w:space="0" w:color="auto"/>
      </w:divBdr>
    </w:div>
    <w:div w:id="704208860">
      <w:bodyDiv w:val="1"/>
      <w:marLeft w:val="0"/>
      <w:marRight w:val="0"/>
      <w:marTop w:val="0"/>
      <w:marBottom w:val="0"/>
      <w:divBdr>
        <w:top w:val="none" w:sz="0" w:space="0" w:color="auto"/>
        <w:left w:val="none" w:sz="0" w:space="0" w:color="auto"/>
        <w:bottom w:val="none" w:sz="0" w:space="0" w:color="auto"/>
        <w:right w:val="none" w:sz="0" w:space="0" w:color="auto"/>
      </w:divBdr>
    </w:div>
    <w:div w:id="773553515">
      <w:bodyDiv w:val="1"/>
      <w:marLeft w:val="0"/>
      <w:marRight w:val="0"/>
      <w:marTop w:val="0"/>
      <w:marBottom w:val="0"/>
      <w:divBdr>
        <w:top w:val="none" w:sz="0" w:space="0" w:color="auto"/>
        <w:left w:val="none" w:sz="0" w:space="0" w:color="auto"/>
        <w:bottom w:val="none" w:sz="0" w:space="0" w:color="auto"/>
        <w:right w:val="none" w:sz="0" w:space="0" w:color="auto"/>
      </w:divBdr>
    </w:div>
    <w:div w:id="8208551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4.emf"/><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2.xml"/><Relationship Id="rId23" Type="http://schemas.microsoft.com/office/2016/09/relationships/commentsIds" Target="commentsIds.xml"/><Relationship Id="rId10" Type="http://schemas.openxmlformats.org/officeDocument/2006/relationships/endnotes" Target="endnote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1AC2C065CC618A4ABCED8889D3F4D0B8" ma:contentTypeVersion="0" ma:contentTypeDescription="Crear nuevo documento." ma:contentTypeScope="" ma:versionID="c3507e0ca3124203d480b164479d48eb">
  <xsd:schema xmlns:xsd="http://www.w3.org/2001/XMLSchema" xmlns:xs="http://www.w3.org/2001/XMLSchema" xmlns:p="http://schemas.microsoft.com/office/2006/metadata/properties" targetNamespace="http://schemas.microsoft.com/office/2006/metadata/properties" ma:root="true" ma:fieldsID="dad187ede1053dd323176c0832b9836d">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Asunto_"/>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DCA0E1-0EC8-4CC3-9E16-484DDA944AC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F3464058-F098-4685-BA2B-DAC8A0CD93DC}">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2113556D-6780-43F4-9381-B12C2DABD028}">
  <ds:schemaRefs>
    <ds:schemaRef ds:uri="http://schemas.microsoft.com/sharepoint/v3/contenttype/forms"/>
  </ds:schemaRefs>
</ds:datastoreItem>
</file>

<file path=customXml/itemProps4.xml><?xml version="1.0" encoding="utf-8"?>
<ds:datastoreItem xmlns:ds="http://schemas.openxmlformats.org/officeDocument/2006/customXml" ds:itemID="{A4EC9224-EE6A-4D58-9A67-9C18C1BA3C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25</Pages>
  <Words>7616</Words>
  <Characters>41889</Characters>
  <Application>Microsoft Office Word</Application>
  <DocSecurity>0</DocSecurity>
  <Lines>349</Lines>
  <Paragraphs>98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49407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2018-11-23T00:18:00Z</dcterms:created>
  <dcterms:modified xsi:type="dcterms:W3CDTF">2018-11-23T00:18:00Z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0x0101001AC2C065CC618A4ABCED8889D3F4D0B8</vt:lpwstr>
  </property>
</Properties>
</file>