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D5AEE" w14:textId="77777777" w:rsidR="00113DF3" w:rsidRDefault="007C4BEB" w:rsidP="00AC1B9C">
      <w:pPr>
        <w:pStyle w:val="Ttulo1"/>
        <w:keepNext w:val="0"/>
        <w:keepLines w:val="0"/>
        <w:spacing w:before="0" w:after="240"/>
        <w:jc w:val="both"/>
        <w:rPr>
          <w:rFonts w:ascii="ITC Avant Garde" w:hAnsi="ITC Avant Garde"/>
          <w:b/>
          <w:color w:val="auto"/>
          <w:sz w:val="22"/>
          <w:szCs w:val="22"/>
        </w:rPr>
      </w:pPr>
      <w:r w:rsidRPr="00EB29B0">
        <w:rPr>
          <w:rFonts w:ascii="ITC Avant Garde" w:hAnsi="ITC Avant Garde"/>
          <w:b/>
          <w:color w:val="auto"/>
          <w:sz w:val="22"/>
          <w:szCs w:val="22"/>
        </w:rPr>
        <w:t xml:space="preserve">ACUERDO MEDIANTE EL CUAL EL PLENO DEL INSTITUTO FEDERAL DE TELECOMUNICACIONES </w:t>
      </w:r>
      <w:r w:rsidR="00060DAB" w:rsidRPr="00EB29B0">
        <w:rPr>
          <w:rFonts w:ascii="ITC Avant Garde" w:hAnsi="ITC Avant Garde"/>
          <w:b/>
          <w:color w:val="auto"/>
          <w:sz w:val="22"/>
          <w:szCs w:val="22"/>
        </w:rPr>
        <w:t xml:space="preserve">DETERMINA </w:t>
      </w:r>
      <w:r w:rsidRPr="00EB29B0">
        <w:rPr>
          <w:rFonts w:ascii="ITC Avant Garde" w:hAnsi="ITC Avant Garde"/>
          <w:b/>
          <w:color w:val="auto"/>
          <w:sz w:val="22"/>
          <w:szCs w:val="22"/>
        </w:rPr>
        <w:t>SOMETE</w:t>
      </w:r>
      <w:r w:rsidR="00060DAB" w:rsidRPr="00EB29B0">
        <w:rPr>
          <w:rFonts w:ascii="ITC Avant Garde" w:hAnsi="ITC Avant Garde"/>
          <w:b/>
          <w:color w:val="auto"/>
          <w:sz w:val="22"/>
          <w:szCs w:val="22"/>
        </w:rPr>
        <w:t>R</w:t>
      </w:r>
      <w:r w:rsidRPr="00EB29B0">
        <w:rPr>
          <w:rFonts w:ascii="ITC Avant Garde" w:hAnsi="ITC Avant Garde"/>
          <w:b/>
          <w:color w:val="auto"/>
          <w:sz w:val="22"/>
          <w:szCs w:val="22"/>
        </w:rPr>
        <w:t xml:space="preserve"> A CONSULTA PÚBLICA </w:t>
      </w:r>
      <w:r w:rsidR="00E93140" w:rsidRPr="00E93140">
        <w:rPr>
          <w:rFonts w:ascii="ITC Avant Garde" w:hAnsi="ITC Avant Garde"/>
          <w:b/>
          <w:color w:val="auto"/>
          <w:sz w:val="22"/>
          <w:szCs w:val="22"/>
        </w:rPr>
        <w:t>LAS PROPUESTAS DE OFERTAS DE REFERENCIA DE DESAGREGACIÓN EFECTIVA DE LA RED LOCAL</w:t>
      </w:r>
      <w:r w:rsidRPr="00EB29B0">
        <w:rPr>
          <w:rFonts w:ascii="ITC Avant Garde" w:hAnsi="ITC Avant Garde"/>
          <w:b/>
          <w:color w:val="auto"/>
          <w:sz w:val="22"/>
          <w:szCs w:val="22"/>
        </w:rPr>
        <w:t xml:space="preserve"> PRES</w:t>
      </w:r>
      <w:r w:rsidR="00A60D81">
        <w:rPr>
          <w:rFonts w:ascii="ITC Avant Garde" w:hAnsi="ITC Avant Garde"/>
          <w:b/>
          <w:color w:val="auto"/>
          <w:sz w:val="22"/>
          <w:szCs w:val="22"/>
        </w:rPr>
        <w:t>EN</w:t>
      </w:r>
      <w:r w:rsidRPr="00EB29B0">
        <w:rPr>
          <w:rFonts w:ascii="ITC Avant Garde" w:hAnsi="ITC Avant Garde"/>
          <w:b/>
          <w:color w:val="auto"/>
          <w:sz w:val="22"/>
          <w:szCs w:val="22"/>
        </w:rPr>
        <w:t>TAD</w:t>
      </w:r>
      <w:r w:rsidR="00E93140">
        <w:rPr>
          <w:rFonts w:ascii="ITC Avant Garde" w:hAnsi="ITC Avant Garde"/>
          <w:b/>
          <w:color w:val="auto"/>
          <w:sz w:val="22"/>
          <w:szCs w:val="22"/>
        </w:rPr>
        <w:t>A</w:t>
      </w:r>
      <w:r w:rsidRPr="00EB29B0">
        <w:rPr>
          <w:rFonts w:ascii="ITC Avant Garde" w:hAnsi="ITC Avant Garde"/>
          <w:b/>
          <w:color w:val="auto"/>
          <w:sz w:val="22"/>
          <w:szCs w:val="22"/>
        </w:rPr>
        <w:t>S POR EL AGENTE ECONÓMICO PREPONDERANTE EN EL SECTOR DE LAS T</w:t>
      </w:r>
      <w:r w:rsidR="00E93140">
        <w:rPr>
          <w:rFonts w:ascii="ITC Avant Garde" w:hAnsi="ITC Avant Garde"/>
          <w:b/>
          <w:color w:val="auto"/>
          <w:sz w:val="22"/>
          <w:szCs w:val="22"/>
        </w:rPr>
        <w:t>ELECOMUNICACIONES</w:t>
      </w:r>
    </w:p>
    <w:p w14:paraId="68C82519" w14:textId="77777777" w:rsidR="00113DF3" w:rsidRDefault="003E0E84" w:rsidP="00A41ADB">
      <w:pPr>
        <w:pStyle w:val="Ttulo2"/>
        <w:spacing w:after="240"/>
        <w:ind w:firstLine="0"/>
        <w:jc w:val="center"/>
        <w:rPr>
          <w:rFonts w:ascii="ITC Avant Garde" w:hAnsi="ITC Avant Garde" w:cs="Arial"/>
          <w:b w:val="0"/>
          <w:smallCaps/>
          <w:sz w:val="22"/>
          <w:szCs w:val="22"/>
        </w:rPr>
      </w:pPr>
      <w:r w:rsidRPr="00113DF3">
        <w:rPr>
          <w:rFonts w:ascii="ITC Avant Garde" w:hAnsi="ITC Avant Garde" w:cs="Arial"/>
          <w:smallCaps/>
          <w:sz w:val="22"/>
          <w:szCs w:val="22"/>
        </w:rPr>
        <w:t>ANTECEDENTES</w:t>
      </w:r>
    </w:p>
    <w:p w14:paraId="0AB62EFA" w14:textId="77777777" w:rsidR="00113DF3" w:rsidRPr="00A41ADB" w:rsidRDefault="007C4BEB" w:rsidP="00AF20CB">
      <w:pPr>
        <w:pStyle w:val="Prrafodelista"/>
        <w:numPr>
          <w:ilvl w:val="0"/>
          <w:numId w:val="2"/>
        </w:numPr>
        <w:ind w:left="1077"/>
        <w:contextualSpacing w:val="0"/>
        <w:jc w:val="both"/>
        <w:rPr>
          <w:rFonts w:ascii="ITC Avant Garde" w:hAnsi="ITC Avant Garde" w:cs="Arial"/>
          <w:sz w:val="22"/>
          <w:szCs w:val="22"/>
          <w:lang w:eastAsia="es-ES"/>
        </w:rPr>
      </w:pPr>
      <w:r w:rsidRPr="00A41ADB">
        <w:rPr>
          <w:rFonts w:ascii="ITC Avant Garde" w:hAnsi="ITC Avant Garde" w:cs="Arial"/>
          <w:sz w:val="22"/>
          <w:szCs w:val="22"/>
          <w:lang w:eastAsia="es-ES"/>
        </w:rPr>
        <w:t>El 11 de junio de 2013, se publicó en el Diario Oficial de la Federación (</w:t>
      </w:r>
      <w:r w:rsidR="0097205C" w:rsidRPr="00A41ADB">
        <w:rPr>
          <w:rFonts w:ascii="ITC Avant Garde" w:hAnsi="ITC Avant Garde" w:cs="Arial"/>
          <w:sz w:val="22"/>
          <w:szCs w:val="22"/>
          <w:lang w:eastAsia="es-ES"/>
        </w:rPr>
        <w:t>en lo sucesivo, el “</w:t>
      </w:r>
      <w:r w:rsidRPr="00A41ADB">
        <w:rPr>
          <w:rFonts w:ascii="ITC Avant Garde" w:hAnsi="ITC Avant Garde" w:cs="Arial"/>
          <w:sz w:val="22"/>
          <w:szCs w:val="22"/>
          <w:lang w:eastAsia="es-ES"/>
        </w:rPr>
        <w:t>DOF</w:t>
      </w:r>
      <w:r w:rsidR="0097205C" w:rsidRPr="00A41ADB">
        <w:rPr>
          <w:rFonts w:ascii="ITC Avant Garde" w:hAnsi="ITC Avant Garde" w:cs="Arial"/>
          <w:sz w:val="22"/>
          <w:szCs w:val="22"/>
          <w:lang w:eastAsia="es-ES"/>
        </w:rPr>
        <w:t>”</w:t>
      </w:r>
      <w:r w:rsidRPr="00A41ADB">
        <w:rPr>
          <w:rFonts w:ascii="ITC Avant Garde" w:hAnsi="ITC Avant Garde" w:cs="Arial"/>
          <w:sz w:val="22"/>
          <w:szCs w:val="22"/>
          <w:lang w:eastAsia="es-ES"/>
        </w:rPr>
        <w:t>), el “DECRETO por el que se reforman y adicionan diversas disposiciones de los artículos 6o., 7o., 27, 28, 73, 78, 94 y 105 de la Constitución Política de los Estados Unidos Mexicanos, en materia de telecomunicaciones” (</w:t>
      </w:r>
      <w:r w:rsidR="0097205C" w:rsidRPr="00A41ADB">
        <w:rPr>
          <w:rFonts w:ascii="ITC Avant Garde" w:hAnsi="ITC Avant Garde" w:cs="Arial"/>
          <w:sz w:val="22"/>
          <w:szCs w:val="22"/>
          <w:lang w:eastAsia="es-ES"/>
        </w:rPr>
        <w:t>en lo sucesivo, el “</w:t>
      </w:r>
      <w:r w:rsidRPr="00A41ADB">
        <w:rPr>
          <w:rFonts w:ascii="ITC Avant Garde" w:hAnsi="ITC Avant Garde" w:cs="Arial"/>
          <w:sz w:val="22"/>
          <w:szCs w:val="22"/>
          <w:lang w:eastAsia="es-ES"/>
        </w:rPr>
        <w:t>Decreto</w:t>
      </w:r>
      <w:r w:rsidR="0097205C" w:rsidRPr="00A41ADB">
        <w:rPr>
          <w:rFonts w:ascii="ITC Avant Garde" w:hAnsi="ITC Avant Garde" w:cs="Arial"/>
          <w:sz w:val="22"/>
          <w:szCs w:val="22"/>
          <w:lang w:eastAsia="es-ES"/>
        </w:rPr>
        <w:t>”</w:t>
      </w:r>
      <w:r w:rsidRPr="00A41ADB">
        <w:rPr>
          <w:rFonts w:ascii="ITC Avant Garde" w:hAnsi="ITC Avant Garde" w:cs="Arial"/>
          <w:sz w:val="22"/>
          <w:szCs w:val="22"/>
          <w:lang w:eastAsia="es-ES"/>
        </w:rPr>
        <w:t>), mediante el cual se creó al Instituto Federal de Telecomunicaciones (</w:t>
      </w:r>
      <w:r w:rsidR="0097205C" w:rsidRPr="00A41ADB">
        <w:rPr>
          <w:rFonts w:ascii="ITC Avant Garde" w:hAnsi="ITC Avant Garde" w:cs="Arial"/>
          <w:sz w:val="22"/>
          <w:szCs w:val="22"/>
          <w:lang w:eastAsia="es-ES"/>
        </w:rPr>
        <w:t>en lo sucesivo, el “</w:t>
      </w:r>
      <w:r w:rsidRPr="00A41ADB">
        <w:rPr>
          <w:rFonts w:ascii="ITC Avant Garde" w:hAnsi="ITC Avant Garde" w:cs="Arial"/>
          <w:sz w:val="22"/>
          <w:szCs w:val="22"/>
          <w:lang w:eastAsia="es-ES"/>
        </w:rPr>
        <w:t>Instituto</w:t>
      </w:r>
      <w:r w:rsidR="0097205C" w:rsidRPr="00A41ADB">
        <w:rPr>
          <w:rFonts w:ascii="ITC Avant Garde" w:hAnsi="ITC Avant Garde" w:cs="Arial"/>
          <w:sz w:val="22"/>
          <w:szCs w:val="22"/>
          <w:lang w:eastAsia="es-ES"/>
        </w:rPr>
        <w:t>”</w:t>
      </w:r>
      <w:r w:rsidRPr="00A41ADB">
        <w:rPr>
          <w:rFonts w:ascii="ITC Avant Garde" w:hAnsi="ITC Avant Garde" w:cs="Arial"/>
          <w:sz w:val="22"/>
          <w:szCs w:val="22"/>
          <w:lang w:eastAsia="es-ES"/>
        </w:rPr>
        <w:t>), como un órgano autónomo con personalidad jurídica y patrimonio propio, cuyo objeto es el desarrollo eficiente de la radiodifusión y las telecomunicaciones conforme a lo dispuesto en la propia Constitución Política de los Estados Unidos Mexicanos (</w:t>
      </w:r>
      <w:r w:rsidR="0097205C" w:rsidRPr="00A41ADB">
        <w:rPr>
          <w:rFonts w:ascii="ITC Avant Garde" w:hAnsi="ITC Avant Garde" w:cs="Arial"/>
          <w:sz w:val="22"/>
          <w:szCs w:val="22"/>
          <w:lang w:eastAsia="es-ES"/>
        </w:rPr>
        <w:t>en lo sucesivo, la “</w:t>
      </w:r>
      <w:r w:rsidRPr="00A41ADB">
        <w:rPr>
          <w:rFonts w:ascii="ITC Avant Garde" w:hAnsi="ITC Avant Garde" w:cs="Arial"/>
          <w:sz w:val="22"/>
          <w:szCs w:val="22"/>
          <w:lang w:eastAsia="es-ES"/>
        </w:rPr>
        <w:t>Constitución</w:t>
      </w:r>
      <w:r w:rsidR="0097205C" w:rsidRPr="00A41ADB">
        <w:rPr>
          <w:rFonts w:ascii="ITC Avant Garde" w:hAnsi="ITC Avant Garde" w:cs="Arial"/>
          <w:sz w:val="22"/>
          <w:szCs w:val="22"/>
          <w:lang w:eastAsia="es-ES"/>
        </w:rPr>
        <w:t>”</w:t>
      </w:r>
      <w:r w:rsidRPr="00A41ADB">
        <w:rPr>
          <w:rFonts w:ascii="ITC Avant Garde" w:hAnsi="ITC Avant Garde" w:cs="Arial"/>
          <w:sz w:val="22"/>
          <w:szCs w:val="22"/>
          <w:lang w:eastAsia="es-ES"/>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2C4AF5BA" w14:textId="77777777" w:rsidR="00113DF3" w:rsidRPr="00A41ADB" w:rsidRDefault="007C4BEB" w:rsidP="00A41ADB">
      <w:pPr>
        <w:pStyle w:val="Prrafodelista"/>
        <w:numPr>
          <w:ilvl w:val="0"/>
          <w:numId w:val="2"/>
        </w:numPr>
        <w:spacing w:after="240"/>
        <w:jc w:val="both"/>
        <w:rPr>
          <w:rFonts w:ascii="ITC Avant Garde" w:hAnsi="ITC Avant Garde" w:cs="Arial"/>
          <w:sz w:val="22"/>
          <w:szCs w:val="22"/>
          <w:lang w:eastAsia="es-ES"/>
        </w:rPr>
      </w:pPr>
      <w:r w:rsidRPr="00A41ADB">
        <w:rPr>
          <w:rFonts w:ascii="ITC Avant Garde" w:hAnsi="ITC Avant Garde" w:cs="Arial"/>
          <w:sz w:val="22"/>
          <w:szCs w:val="22"/>
          <w:lang w:eastAsia="es-ES"/>
        </w:rPr>
        <w:t>El 6 de marzo de 2014, el Pleno del Instituto en su V Sesión Extraordinaria, aprobó mediante Acuerdo P/IFT/EXT/060314/76 la "</w:t>
      </w:r>
      <w:r w:rsidR="00126152" w:rsidRPr="00A41ADB">
        <w:rPr>
          <w:rFonts w:ascii="ITC Avant Garde" w:hAnsi="ITC Avant Garde" w:cs="Arial"/>
          <w:sz w:val="22"/>
          <w:szCs w:val="22"/>
          <w:lang w:eastAsia="es-ES"/>
        </w:rPr>
        <w:t xml:space="preserve">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 </w:t>
      </w:r>
      <w:r w:rsidRPr="00A41ADB">
        <w:rPr>
          <w:rFonts w:ascii="ITC Avant Garde" w:hAnsi="ITC Avant Garde" w:cs="Arial"/>
          <w:sz w:val="22"/>
          <w:szCs w:val="22"/>
          <w:lang w:eastAsia="es-ES"/>
        </w:rPr>
        <w:t>(</w:t>
      </w:r>
      <w:r w:rsidR="0097205C" w:rsidRPr="00A41ADB">
        <w:rPr>
          <w:rFonts w:ascii="ITC Avant Garde" w:hAnsi="ITC Avant Garde" w:cs="Arial"/>
          <w:sz w:val="22"/>
          <w:szCs w:val="22"/>
          <w:lang w:eastAsia="es-ES"/>
        </w:rPr>
        <w:t>en lo sucesivo, la “</w:t>
      </w:r>
      <w:r w:rsidRPr="00A41ADB">
        <w:rPr>
          <w:rFonts w:ascii="ITC Avant Garde" w:hAnsi="ITC Avant Garde" w:cs="Arial"/>
          <w:sz w:val="22"/>
          <w:szCs w:val="22"/>
          <w:lang w:eastAsia="es-ES"/>
        </w:rPr>
        <w:t>Resolución AEP</w:t>
      </w:r>
      <w:r w:rsidR="0097205C" w:rsidRPr="00A41ADB">
        <w:rPr>
          <w:rFonts w:ascii="ITC Avant Garde" w:hAnsi="ITC Avant Garde" w:cs="Arial"/>
          <w:sz w:val="22"/>
          <w:szCs w:val="22"/>
          <w:lang w:eastAsia="es-ES"/>
        </w:rPr>
        <w:t>”</w:t>
      </w:r>
      <w:r w:rsidRPr="00A41ADB">
        <w:rPr>
          <w:rFonts w:ascii="ITC Avant Garde" w:hAnsi="ITC Avant Garde" w:cs="Arial"/>
          <w:sz w:val="22"/>
          <w:szCs w:val="22"/>
          <w:lang w:eastAsia="es-ES"/>
        </w:rPr>
        <w:t>).</w:t>
      </w:r>
    </w:p>
    <w:p w14:paraId="6BD16E8F" w14:textId="77777777" w:rsidR="00113DF3" w:rsidRDefault="007C4BEB" w:rsidP="00AC1B9C">
      <w:pPr>
        <w:widowControl w:val="0"/>
        <w:spacing w:after="240"/>
        <w:ind w:left="1080"/>
        <w:contextualSpacing/>
        <w:jc w:val="both"/>
        <w:rPr>
          <w:rFonts w:ascii="ITC Avant Garde" w:eastAsia="Times New Roman" w:hAnsi="ITC Avant Garde"/>
        </w:rPr>
      </w:pPr>
      <w:r w:rsidRPr="00EB29B0">
        <w:rPr>
          <w:rFonts w:ascii="ITC Avant Garde" w:eastAsia="Times New Roman" w:hAnsi="ITC Avant Garde"/>
        </w:rPr>
        <w:t xml:space="preserve">En la Resolución AEP el Pleno del Instituto emitió el Anexo </w:t>
      </w:r>
      <w:r w:rsidR="00126152">
        <w:rPr>
          <w:rFonts w:ascii="ITC Avant Garde" w:eastAsia="Times New Roman" w:hAnsi="ITC Avant Garde"/>
        </w:rPr>
        <w:t>3</w:t>
      </w:r>
      <w:r w:rsidRPr="00EB29B0">
        <w:rPr>
          <w:rFonts w:ascii="ITC Avant Garde" w:eastAsia="Times New Roman" w:hAnsi="ITC Avant Garde"/>
        </w:rPr>
        <w:t xml:space="preserve"> denominado </w:t>
      </w:r>
      <w:r w:rsidR="00C644E3" w:rsidRPr="00EB29B0">
        <w:rPr>
          <w:rFonts w:ascii="ITC Avant Garde" w:eastAsia="Times New Roman" w:hAnsi="ITC Avant Garde"/>
          <w:i/>
        </w:rPr>
        <w:t>“</w:t>
      </w:r>
      <w:r w:rsidR="00126152" w:rsidRPr="00126152">
        <w:rPr>
          <w:rFonts w:ascii="ITC Avant Garde" w:eastAsia="Times New Roman" w:hAnsi="ITC Avant Garde"/>
          <w:i/>
        </w:rPr>
        <w:t xml:space="preserve">MEDIDAS QUE PERMITEN LA DESAGREGACIÓN EFECTIVA DE LA RED LOCAL DEL AGENTE ECONÓMICO PREPONDERANTE EN TELECOMUNICACIONES DE MANERA QUE OTROS CONCESIONARIOS DE TELECOMUNICACIONES PUEDAN ACCEDER, ENTRE OTROS, A LOS MEDIOS FÍSICOS, TÉCNICOS Y LÓGICOS DE </w:t>
      </w:r>
      <w:r w:rsidR="00126152" w:rsidRPr="00126152">
        <w:rPr>
          <w:rFonts w:ascii="ITC Avant Garde" w:eastAsia="Times New Roman" w:hAnsi="ITC Avant Garde"/>
          <w:i/>
        </w:rPr>
        <w:lastRenderedPageBreak/>
        <w:t>CONEXIÓN ENTRE CUALQUIER PUNTO TERMINAL DE LA RED PÚBLICA DE TELECOMUNICACIONES Y EL PUNTO DE ACCESO A LA RED LOCAL PERTENECIENTE A DICHO AGENTE.</w:t>
      </w:r>
      <w:r w:rsidRPr="00EB29B0">
        <w:rPr>
          <w:rFonts w:ascii="ITC Avant Garde" w:eastAsia="Times New Roman" w:hAnsi="ITC Avant Garde"/>
        </w:rPr>
        <w:t>” (</w:t>
      </w:r>
      <w:r w:rsidR="000B58C5" w:rsidRPr="00EB29B0">
        <w:rPr>
          <w:rFonts w:ascii="ITC Avant Garde" w:eastAsia="Times New Roman" w:hAnsi="ITC Avant Garde"/>
        </w:rPr>
        <w:t xml:space="preserve">en lo sucesivo, “Anexo </w:t>
      </w:r>
      <w:r w:rsidR="00126152">
        <w:rPr>
          <w:rFonts w:ascii="ITC Avant Garde" w:eastAsia="Times New Roman" w:hAnsi="ITC Avant Garde"/>
        </w:rPr>
        <w:t>3</w:t>
      </w:r>
      <w:r w:rsidR="000B58C5" w:rsidRPr="00EB29B0">
        <w:rPr>
          <w:rFonts w:ascii="ITC Avant Garde" w:eastAsia="Times New Roman" w:hAnsi="ITC Avant Garde"/>
        </w:rPr>
        <w:t>”</w:t>
      </w:r>
      <w:r w:rsidRPr="00EB29B0">
        <w:rPr>
          <w:rFonts w:ascii="ITC Avant Garde" w:eastAsia="Times New Roman" w:hAnsi="ITC Avant Garde"/>
        </w:rPr>
        <w:t>).</w:t>
      </w:r>
    </w:p>
    <w:p w14:paraId="6627309C" w14:textId="77777777" w:rsidR="00113DF3" w:rsidRPr="00A41ADB" w:rsidRDefault="007C4BEB" w:rsidP="00AF20CB">
      <w:pPr>
        <w:pStyle w:val="Prrafodelista"/>
        <w:numPr>
          <w:ilvl w:val="0"/>
          <w:numId w:val="2"/>
        </w:numPr>
        <w:spacing w:after="240"/>
        <w:ind w:left="1077"/>
        <w:contextualSpacing w:val="0"/>
        <w:jc w:val="both"/>
        <w:rPr>
          <w:rFonts w:ascii="ITC Avant Garde" w:hAnsi="ITC Avant Garde" w:cs="Arial"/>
          <w:sz w:val="22"/>
          <w:szCs w:val="22"/>
          <w:lang w:eastAsia="es-ES"/>
        </w:rPr>
      </w:pPr>
      <w:r w:rsidRPr="00A41ADB">
        <w:rPr>
          <w:rFonts w:ascii="ITC Avant Garde" w:hAnsi="ITC Avant Garde" w:cs="Arial"/>
          <w:sz w:val="22"/>
          <w:szCs w:val="22"/>
          <w:lang w:eastAsia="es-ES"/>
        </w:rPr>
        <w:t>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w:t>
      </w:r>
      <w:r w:rsidR="000B58C5" w:rsidRPr="00A41ADB">
        <w:rPr>
          <w:rFonts w:ascii="ITC Avant Garde" w:hAnsi="ITC Avant Garde" w:cs="Arial"/>
          <w:sz w:val="22"/>
          <w:szCs w:val="22"/>
          <w:lang w:eastAsia="es-ES"/>
        </w:rPr>
        <w:t>en lo sucesivo, el “</w:t>
      </w:r>
      <w:r w:rsidRPr="00A41ADB">
        <w:rPr>
          <w:rFonts w:ascii="ITC Avant Garde" w:hAnsi="ITC Avant Garde" w:cs="Arial"/>
          <w:sz w:val="22"/>
          <w:szCs w:val="22"/>
          <w:lang w:eastAsia="es-ES"/>
        </w:rPr>
        <w:t>Decreto de Ley</w:t>
      </w:r>
      <w:r w:rsidR="000B58C5" w:rsidRPr="00A41ADB">
        <w:rPr>
          <w:rFonts w:ascii="ITC Avant Garde" w:hAnsi="ITC Avant Garde" w:cs="Arial"/>
          <w:sz w:val="22"/>
          <w:szCs w:val="22"/>
          <w:lang w:eastAsia="es-ES"/>
        </w:rPr>
        <w:t>”</w:t>
      </w:r>
      <w:r w:rsidRPr="00A41ADB">
        <w:rPr>
          <w:rFonts w:ascii="ITC Avant Garde" w:hAnsi="ITC Avant Garde" w:cs="Arial"/>
          <w:sz w:val="22"/>
          <w:szCs w:val="22"/>
          <w:lang w:eastAsia="es-ES"/>
        </w:rPr>
        <w:t>), entrando en vigor la Ley Federal de Telecomunicaciones y Radiodifusión (</w:t>
      </w:r>
      <w:r w:rsidR="000B58C5" w:rsidRPr="00A41ADB">
        <w:rPr>
          <w:rFonts w:ascii="ITC Avant Garde" w:hAnsi="ITC Avant Garde" w:cs="Arial"/>
          <w:sz w:val="22"/>
          <w:szCs w:val="22"/>
          <w:lang w:eastAsia="es-ES"/>
        </w:rPr>
        <w:t>en lo sucesivo, “LFTR”</w:t>
      </w:r>
      <w:r w:rsidRPr="00A41ADB">
        <w:rPr>
          <w:rFonts w:ascii="ITC Avant Garde" w:hAnsi="ITC Avant Garde" w:cs="Arial"/>
          <w:sz w:val="22"/>
          <w:szCs w:val="22"/>
          <w:lang w:eastAsia="es-ES"/>
        </w:rPr>
        <w:t>) el 13 de agosto del 2014</w:t>
      </w:r>
      <w:r w:rsidR="0083122A" w:rsidRPr="00A41ADB">
        <w:rPr>
          <w:rFonts w:ascii="ITC Avant Garde" w:hAnsi="ITC Avant Garde" w:cs="Arial"/>
          <w:sz w:val="22"/>
          <w:szCs w:val="22"/>
          <w:lang w:eastAsia="es-ES"/>
        </w:rPr>
        <w:t xml:space="preserve">, cuya última reforma fue publicada en el DOF el </w:t>
      </w:r>
      <w:r w:rsidR="00126152" w:rsidRPr="00A41ADB">
        <w:rPr>
          <w:rFonts w:ascii="ITC Avant Garde" w:hAnsi="ITC Avant Garde" w:cs="Arial"/>
          <w:sz w:val="22"/>
          <w:szCs w:val="22"/>
          <w:lang w:eastAsia="es-ES"/>
        </w:rPr>
        <w:t>15</w:t>
      </w:r>
      <w:r w:rsidR="0083122A" w:rsidRPr="00A41ADB">
        <w:rPr>
          <w:rFonts w:ascii="ITC Avant Garde" w:hAnsi="ITC Avant Garde" w:cs="Arial"/>
          <w:sz w:val="22"/>
          <w:szCs w:val="22"/>
          <w:lang w:eastAsia="es-ES"/>
        </w:rPr>
        <w:t xml:space="preserve"> de </w:t>
      </w:r>
      <w:r w:rsidR="00126152" w:rsidRPr="00A41ADB">
        <w:rPr>
          <w:rFonts w:ascii="ITC Avant Garde" w:hAnsi="ITC Avant Garde" w:cs="Arial"/>
          <w:sz w:val="22"/>
          <w:szCs w:val="22"/>
          <w:lang w:eastAsia="es-ES"/>
        </w:rPr>
        <w:t>junio</w:t>
      </w:r>
      <w:r w:rsidR="0083122A" w:rsidRPr="00A41ADB">
        <w:rPr>
          <w:rFonts w:ascii="ITC Avant Garde" w:hAnsi="ITC Avant Garde" w:cs="Arial"/>
          <w:sz w:val="22"/>
          <w:szCs w:val="22"/>
          <w:lang w:eastAsia="es-ES"/>
        </w:rPr>
        <w:t xml:space="preserve"> de 201</w:t>
      </w:r>
      <w:r w:rsidR="00126152" w:rsidRPr="00A41ADB">
        <w:rPr>
          <w:rFonts w:ascii="ITC Avant Garde" w:hAnsi="ITC Avant Garde" w:cs="Arial"/>
          <w:sz w:val="22"/>
          <w:szCs w:val="22"/>
          <w:lang w:eastAsia="es-ES"/>
        </w:rPr>
        <w:t>8</w:t>
      </w:r>
      <w:r w:rsidR="0083122A" w:rsidRPr="00A41ADB">
        <w:rPr>
          <w:rFonts w:ascii="ITC Avant Garde" w:hAnsi="ITC Avant Garde" w:cs="Arial"/>
          <w:sz w:val="22"/>
          <w:szCs w:val="22"/>
          <w:lang w:eastAsia="es-ES"/>
        </w:rPr>
        <w:t>.</w:t>
      </w:r>
    </w:p>
    <w:p w14:paraId="4CB542C5" w14:textId="77777777" w:rsidR="00113DF3" w:rsidRDefault="0095084C" w:rsidP="00AF20CB">
      <w:pPr>
        <w:pStyle w:val="Prrafodelista"/>
        <w:numPr>
          <w:ilvl w:val="0"/>
          <w:numId w:val="2"/>
        </w:numPr>
        <w:spacing w:after="240"/>
        <w:ind w:left="1077"/>
        <w:contextualSpacing w:val="0"/>
        <w:jc w:val="both"/>
        <w:rPr>
          <w:rFonts w:ascii="ITC Avant Garde" w:hAnsi="ITC Avant Garde" w:cs="Arial"/>
          <w:sz w:val="22"/>
          <w:szCs w:val="22"/>
          <w:lang w:eastAsia="es-ES"/>
        </w:rPr>
      </w:pPr>
      <w:r w:rsidRPr="00EB29B0">
        <w:rPr>
          <w:rFonts w:ascii="ITC Avant Garde" w:hAnsi="ITC Avant Garde" w:cs="Arial"/>
          <w:sz w:val="22"/>
          <w:szCs w:val="22"/>
          <w:lang w:eastAsia="es-ES"/>
        </w:rPr>
        <w:t>El 4 de septiembre de 2014 se publicó en el DOF el “</w:t>
      </w:r>
      <w:r w:rsidRPr="00A41ADB">
        <w:rPr>
          <w:rFonts w:ascii="ITC Avant Garde" w:hAnsi="ITC Avant Garde" w:cs="Arial"/>
          <w:sz w:val="22"/>
          <w:szCs w:val="22"/>
          <w:lang w:eastAsia="es-ES"/>
        </w:rPr>
        <w:t>ESTATUTO Orgánico del Instituto Federal de Telecomunicaciones”</w:t>
      </w:r>
      <w:r w:rsidRPr="00EB29B0">
        <w:rPr>
          <w:rFonts w:ascii="ITC Avant Garde" w:hAnsi="ITC Avant Garde" w:cs="Arial"/>
          <w:sz w:val="22"/>
          <w:szCs w:val="22"/>
          <w:lang w:eastAsia="es-ES"/>
        </w:rPr>
        <w:t xml:space="preserve">, mismo que entró en vigor el 26 de septiembre de 2014, </w:t>
      </w:r>
      <w:r w:rsidR="00BB01CA" w:rsidRPr="00126152">
        <w:rPr>
          <w:rFonts w:ascii="ITC Avant Garde" w:hAnsi="ITC Avant Garde" w:cs="Arial"/>
          <w:sz w:val="22"/>
          <w:szCs w:val="22"/>
          <w:lang w:eastAsia="es-ES"/>
        </w:rPr>
        <w:t>cuya última modificación fue publicada en el DOF 20 de julio de 2017.</w:t>
      </w:r>
    </w:p>
    <w:p w14:paraId="0B80B528" w14:textId="77777777" w:rsidR="00113DF3" w:rsidRPr="00A41ADB" w:rsidRDefault="00766C39" w:rsidP="00AF20CB">
      <w:pPr>
        <w:pStyle w:val="Prrafodelista"/>
        <w:numPr>
          <w:ilvl w:val="0"/>
          <w:numId w:val="2"/>
        </w:numPr>
        <w:spacing w:after="240"/>
        <w:ind w:left="1077"/>
        <w:contextualSpacing w:val="0"/>
        <w:jc w:val="both"/>
        <w:rPr>
          <w:rFonts w:ascii="ITC Avant Garde" w:hAnsi="ITC Avant Garde" w:cs="Arial"/>
          <w:sz w:val="22"/>
          <w:szCs w:val="22"/>
          <w:lang w:eastAsia="es-ES"/>
        </w:rPr>
      </w:pPr>
      <w:r w:rsidRPr="00A41ADB">
        <w:rPr>
          <w:rFonts w:ascii="ITC Avant Garde" w:hAnsi="ITC Avant Garde" w:cs="Arial"/>
          <w:sz w:val="22"/>
          <w:szCs w:val="22"/>
          <w:lang w:eastAsia="es-ES"/>
        </w:rPr>
        <w:t xml:space="preserve">El 27 de febrero de 2017 el Pleno del Instituto, en su IV Sesión Extraordinaria aprobó </w:t>
      </w:r>
      <w:r w:rsidR="000B58C5" w:rsidRPr="00A41ADB">
        <w:rPr>
          <w:rFonts w:ascii="ITC Avant Garde" w:hAnsi="ITC Avant Garde" w:cs="Arial"/>
          <w:sz w:val="22"/>
          <w:szCs w:val="22"/>
          <w:lang w:eastAsia="es-ES"/>
        </w:rPr>
        <w:t xml:space="preserve">mediante Acuerdo P/IFT/EXT/270217/119 </w:t>
      </w:r>
      <w:r w:rsidRPr="00A41ADB">
        <w:rPr>
          <w:rFonts w:ascii="ITC Avant Garde" w:hAnsi="ITC Avant Garde" w:cs="Arial"/>
          <w:sz w:val="22"/>
          <w:szCs w:val="22"/>
          <w:lang w:eastAsia="es-ES"/>
        </w:rPr>
        <w:t>la “</w:t>
      </w:r>
      <w:r w:rsidR="00126152" w:rsidRPr="00A41ADB">
        <w:rPr>
          <w:rFonts w:ascii="ITC Avant Garde" w:hAnsi="ITC Avant Garde" w:cs="Arial"/>
          <w:sz w:val="22"/>
          <w:szCs w:val="22"/>
          <w:lang w:eastAsia="es-ES"/>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w:t>
      </w:r>
      <w:r w:rsidR="00653302" w:rsidRPr="00A41ADB">
        <w:rPr>
          <w:rFonts w:ascii="ITC Avant Garde" w:hAnsi="ITC Avant Garde" w:cs="Arial"/>
          <w:sz w:val="22"/>
          <w:szCs w:val="22"/>
          <w:lang w:eastAsia="es-ES"/>
        </w:rPr>
        <w:t>6</w:t>
      </w:r>
      <w:r w:rsidR="00126152" w:rsidRPr="00A41ADB">
        <w:rPr>
          <w:rFonts w:ascii="ITC Avant Garde" w:hAnsi="ITC Avant Garde" w:cs="Arial"/>
          <w:sz w:val="22"/>
          <w:szCs w:val="22"/>
          <w:lang w:eastAsia="es-ES"/>
        </w:rPr>
        <w:t xml:space="preserve">” (en lo sucesivo, </w:t>
      </w:r>
      <w:r w:rsidRPr="00A41ADB">
        <w:rPr>
          <w:rFonts w:ascii="ITC Avant Garde" w:hAnsi="ITC Avant Garde" w:cs="Arial"/>
          <w:sz w:val="22"/>
          <w:szCs w:val="22"/>
          <w:lang w:eastAsia="es-ES"/>
        </w:rPr>
        <w:t>“Re</w:t>
      </w:r>
      <w:r w:rsidR="00DE6247" w:rsidRPr="00A41ADB">
        <w:rPr>
          <w:rFonts w:ascii="ITC Avant Garde" w:hAnsi="ITC Avant Garde" w:cs="Arial"/>
          <w:sz w:val="22"/>
          <w:szCs w:val="22"/>
          <w:lang w:eastAsia="es-ES"/>
        </w:rPr>
        <w:t>solución</w:t>
      </w:r>
      <w:r w:rsidRPr="00A41ADB">
        <w:rPr>
          <w:rFonts w:ascii="ITC Avant Garde" w:hAnsi="ITC Avant Garde" w:cs="Arial"/>
          <w:sz w:val="22"/>
          <w:szCs w:val="22"/>
          <w:lang w:eastAsia="es-ES"/>
        </w:rPr>
        <w:t xml:space="preserve"> </w:t>
      </w:r>
      <w:r w:rsidR="00A33196" w:rsidRPr="00A41ADB">
        <w:rPr>
          <w:rFonts w:ascii="ITC Avant Garde" w:hAnsi="ITC Avant Garde" w:cs="Arial"/>
          <w:sz w:val="22"/>
          <w:szCs w:val="22"/>
          <w:lang w:eastAsia="es-ES"/>
        </w:rPr>
        <w:t>Bienal</w:t>
      </w:r>
      <w:r w:rsidRPr="00A41ADB">
        <w:rPr>
          <w:rFonts w:ascii="ITC Avant Garde" w:hAnsi="ITC Avant Garde" w:cs="Arial"/>
          <w:sz w:val="22"/>
          <w:szCs w:val="22"/>
          <w:lang w:eastAsia="es-ES"/>
        </w:rPr>
        <w:t>”).</w:t>
      </w:r>
    </w:p>
    <w:p w14:paraId="52DB63E7" w14:textId="77777777" w:rsidR="00113DF3" w:rsidRPr="00A41ADB" w:rsidRDefault="008471A1" w:rsidP="00A41ADB">
      <w:pPr>
        <w:pStyle w:val="Prrafodelista"/>
        <w:numPr>
          <w:ilvl w:val="0"/>
          <w:numId w:val="2"/>
        </w:numPr>
        <w:spacing w:after="240"/>
        <w:jc w:val="both"/>
        <w:rPr>
          <w:rFonts w:ascii="ITC Avant Garde" w:hAnsi="ITC Avant Garde" w:cs="Arial"/>
          <w:sz w:val="22"/>
          <w:szCs w:val="22"/>
          <w:lang w:eastAsia="es-ES"/>
        </w:rPr>
      </w:pPr>
      <w:r w:rsidRPr="00A41ADB">
        <w:rPr>
          <w:rFonts w:ascii="ITC Avant Garde" w:hAnsi="ITC Avant Garde" w:cs="Arial"/>
          <w:sz w:val="22"/>
          <w:szCs w:val="22"/>
          <w:lang w:eastAsia="es-ES"/>
        </w:rPr>
        <w:t>En la Resolución Bienal, e</w:t>
      </w:r>
      <w:r w:rsidR="000B58C5" w:rsidRPr="00A41ADB">
        <w:rPr>
          <w:rFonts w:ascii="ITC Avant Garde" w:hAnsi="ITC Avant Garde" w:cs="Arial"/>
          <w:sz w:val="22"/>
          <w:szCs w:val="22"/>
          <w:lang w:eastAsia="es-ES"/>
        </w:rPr>
        <w:t xml:space="preserve">l Pleno del Instituto emitió el Anexo </w:t>
      </w:r>
      <w:r w:rsidR="00126152" w:rsidRPr="00A41ADB">
        <w:rPr>
          <w:rFonts w:ascii="ITC Avant Garde" w:hAnsi="ITC Avant Garde" w:cs="Arial"/>
          <w:sz w:val="22"/>
          <w:szCs w:val="22"/>
          <w:lang w:eastAsia="es-ES"/>
        </w:rPr>
        <w:t>3</w:t>
      </w:r>
      <w:r w:rsidR="000B58C5" w:rsidRPr="00A41ADB">
        <w:rPr>
          <w:rFonts w:ascii="ITC Avant Garde" w:hAnsi="ITC Avant Garde" w:cs="Arial"/>
          <w:sz w:val="22"/>
          <w:szCs w:val="22"/>
          <w:lang w:eastAsia="es-ES"/>
        </w:rPr>
        <w:t xml:space="preserve"> en el que </w:t>
      </w:r>
      <w:r w:rsidR="00126152" w:rsidRPr="00A41ADB">
        <w:rPr>
          <w:rFonts w:ascii="ITC Avant Garde" w:hAnsi="ITC Avant Garde" w:cs="Arial"/>
          <w:sz w:val="22"/>
          <w:szCs w:val="22"/>
          <w:lang w:eastAsia="es-ES"/>
        </w:rPr>
        <w:t xml:space="preserve">se modifican las Medidas Segunda, Tercera, primer párrafo, incisos 4), 14), 15) y último párrafo, Cuarta, Quinta, Undécima, Decimosexta, Decimoctava, Vigésima, Vigésima Quinta, Vigésima Sexta, Vigésima Séptima, primer párrafo, Vigésima Novena, Trigésima, Trigésima Primera, Trigésima Tercera, Trigésima Cuarta, Trigésima Sexta, segundo párrafo, Trigésima Novena y Cuadragésima Primera; se Adicionan las Medidas Tercera, incisos 1.1), 2.1), 3.1), 4.1), 5.1), 6.1), 7.1), 7.2), 7.3),14.1) y 15.1) y Cuadragésima Sexta a Quincuagésima Primera, y se suprimen las Medidas Tercera, incisos 6), 7) y 17), todas ellas del Anexo 3 </w:t>
      </w:r>
      <w:r w:rsidR="000B58C5" w:rsidRPr="00A41ADB">
        <w:rPr>
          <w:rFonts w:ascii="ITC Avant Garde" w:hAnsi="ITC Avant Garde" w:cs="Arial"/>
          <w:sz w:val="22"/>
          <w:szCs w:val="22"/>
          <w:lang w:eastAsia="es-ES"/>
        </w:rPr>
        <w:t>de la Resolución AEP.</w:t>
      </w:r>
    </w:p>
    <w:p w14:paraId="5FA9A36B" w14:textId="63B28669" w:rsidR="00190B27" w:rsidRPr="00EB29B0" w:rsidRDefault="000B58C5" w:rsidP="00AC1B9C">
      <w:pPr>
        <w:widowControl w:val="0"/>
        <w:spacing w:after="240"/>
        <w:ind w:left="1080"/>
        <w:contextualSpacing/>
        <w:jc w:val="both"/>
        <w:rPr>
          <w:rFonts w:ascii="ITC Avant Garde" w:eastAsia="Times New Roman" w:hAnsi="ITC Avant Garde"/>
        </w:rPr>
      </w:pPr>
      <w:r w:rsidRPr="00EB29B0">
        <w:rPr>
          <w:rFonts w:ascii="ITC Avant Garde" w:eastAsia="Times New Roman" w:hAnsi="ITC Avant Garde"/>
        </w:rPr>
        <w:t>Para efectos de</w:t>
      </w:r>
      <w:r w:rsidR="005753EC" w:rsidRPr="00EB29B0">
        <w:rPr>
          <w:rFonts w:ascii="ITC Avant Garde" w:eastAsia="Times New Roman" w:hAnsi="ITC Avant Garde"/>
        </w:rPr>
        <w:t>l</w:t>
      </w:r>
      <w:r w:rsidRPr="00EB29B0">
        <w:rPr>
          <w:rFonts w:ascii="ITC Avant Garde" w:eastAsia="Times New Roman" w:hAnsi="ITC Avant Garde"/>
        </w:rPr>
        <w:t xml:space="preserve"> presente </w:t>
      </w:r>
      <w:r w:rsidR="005753EC" w:rsidRPr="00EB29B0">
        <w:rPr>
          <w:rFonts w:ascii="ITC Avant Garde" w:eastAsia="Times New Roman" w:hAnsi="ITC Avant Garde"/>
        </w:rPr>
        <w:t>Acuerdo</w:t>
      </w:r>
      <w:r w:rsidRPr="00EB29B0">
        <w:rPr>
          <w:rFonts w:ascii="ITC Avant Garde" w:eastAsia="Times New Roman" w:hAnsi="ITC Avant Garde"/>
        </w:rPr>
        <w:t xml:space="preserve"> se le denominará de manera integral “Medidas </w:t>
      </w:r>
      <w:r w:rsidR="00126152">
        <w:rPr>
          <w:rFonts w:ascii="ITC Avant Garde" w:eastAsia="Times New Roman" w:hAnsi="ITC Avant Garde"/>
        </w:rPr>
        <w:t>de Desagregación</w:t>
      </w:r>
      <w:r w:rsidRPr="00EB29B0">
        <w:rPr>
          <w:rFonts w:ascii="ITC Avant Garde" w:eastAsia="Times New Roman" w:hAnsi="ITC Avant Garde"/>
        </w:rPr>
        <w:t xml:space="preserve">” a las emitidas como parte del Anexo </w:t>
      </w:r>
      <w:r w:rsidR="00126152">
        <w:rPr>
          <w:rFonts w:ascii="ITC Avant Garde" w:eastAsia="Times New Roman" w:hAnsi="ITC Avant Garde"/>
        </w:rPr>
        <w:t>3</w:t>
      </w:r>
      <w:r w:rsidRPr="00EB29B0">
        <w:rPr>
          <w:rFonts w:ascii="ITC Avant Garde" w:eastAsia="Times New Roman" w:hAnsi="ITC Avant Garde"/>
        </w:rPr>
        <w:t xml:space="preserve"> de la Resolución AEP, así como a las modificaciones realizadas como parte del Anexo </w:t>
      </w:r>
      <w:r w:rsidR="00126152">
        <w:rPr>
          <w:rFonts w:ascii="ITC Avant Garde" w:eastAsia="Times New Roman" w:hAnsi="ITC Avant Garde"/>
        </w:rPr>
        <w:t>3</w:t>
      </w:r>
      <w:r w:rsidRPr="00EB29B0">
        <w:rPr>
          <w:rFonts w:ascii="ITC Avant Garde" w:eastAsia="Times New Roman" w:hAnsi="ITC Avant Garde"/>
        </w:rPr>
        <w:t xml:space="preserve"> de la Resolución Bienal.</w:t>
      </w:r>
    </w:p>
    <w:p w14:paraId="6B5E2F27" w14:textId="77777777" w:rsidR="00113DF3" w:rsidRDefault="005753EC" w:rsidP="00AF20CB">
      <w:pPr>
        <w:widowControl w:val="0"/>
        <w:numPr>
          <w:ilvl w:val="0"/>
          <w:numId w:val="2"/>
        </w:numPr>
        <w:spacing w:after="240"/>
        <w:ind w:left="1077"/>
        <w:jc w:val="both"/>
        <w:rPr>
          <w:rFonts w:ascii="ITC Avant Garde" w:eastAsia="Times New Roman" w:hAnsi="ITC Avant Garde"/>
        </w:rPr>
      </w:pPr>
      <w:r w:rsidRPr="00126152">
        <w:rPr>
          <w:rFonts w:ascii="ITC Avant Garde" w:eastAsia="Times New Roman" w:hAnsi="ITC Avant Garde"/>
        </w:rPr>
        <w:lastRenderedPageBreak/>
        <w:t xml:space="preserve">Mediante escrito presentado </w:t>
      </w:r>
      <w:r w:rsidR="0099187B" w:rsidRPr="00126152">
        <w:rPr>
          <w:rFonts w:ascii="ITC Avant Garde" w:eastAsia="Times New Roman" w:hAnsi="ITC Avant Garde"/>
        </w:rPr>
        <w:t>ante la</w:t>
      </w:r>
      <w:r w:rsidRPr="00126152">
        <w:rPr>
          <w:rFonts w:ascii="ITC Avant Garde" w:eastAsia="Times New Roman" w:hAnsi="ITC Avant Garde"/>
        </w:rPr>
        <w:t xml:space="preserve"> Oficialía de Partes del Instituto el </w:t>
      </w:r>
      <w:r w:rsidR="00126152" w:rsidRPr="00126152">
        <w:rPr>
          <w:rFonts w:ascii="ITC Avant Garde" w:eastAsia="Times New Roman" w:hAnsi="ITC Avant Garde"/>
        </w:rPr>
        <w:t>2</w:t>
      </w:r>
      <w:r w:rsidR="00E7109E">
        <w:rPr>
          <w:rFonts w:ascii="ITC Avant Garde" w:eastAsia="Times New Roman" w:hAnsi="ITC Avant Garde"/>
        </w:rPr>
        <w:t>9</w:t>
      </w:r>
      <w:r w:rsidR="00126152" w:rsidRPr="00126152">
        <w:rPr>
          <w:rFonts w:ascii="ITC Avant Garde" w:eastAsia="Times New Roman" w:hAnsi="ITC Avant Garde"/>
        </w:rPr>
        <w:t xml:space="preserve"> de </w:t>
      </w:r>
      <w:r w:rsidR="005651BD">
        <w:rPr>
          <w:rFonts w:ascii="ITC Avant Garde" w:eastAsia="Times New Roman" w:hAnsi="ITC Avant Garde"/>
        </w:rPr>
        <w:t>ju</w:t>
      </w:r>
      <w:r w:rsidR="00E7109E">
        <w:rPr>
          <w:rFonts w:ascii="ITC Avant Garde" w:eastAsia="Times New Roman" w:hAnsi="ITC Avant Garde"/>
        </w:rPr>
        <w:t>n</w:t>
      </w:r>
      <w:r w:rsidR="005651BD">
        <w:rPr>
          <w:rFonts w:ascii="ITC Avant Garde" w:eastAsia="Times New Roman" w:hAnsi="ITC Avant Garde"/>
        </w:rPr>
        <w:t>io</w:t>
      </w:r>
      <w:r w:rsidR="00126152" w:rsidRPr="00126152">
        <w:rPr>
          <w:rFonts w:ascii="ITC Avant Garde" w:eastAsia="Times New Roman" w:hAnsi="ITC Avant Garde"/>
        </w:rPr>
        <w:t xml:space="preserve"> de 2018</w:t>
      </w:r>
      <w:r w:rsidRPr="00126152">
        <w:rPr>
          <w:rFonts w:ascii="ITC Avant Garde" w:eastAsia="Times New Roman" w:hAnsi="ITC Avant Garde"/>
        </w:rPr>
        <w:t xml:space="preserve">, </w:t>
      </w:r>
      <w:r w:rsidR="00126152" w:rsidRPr="00126152">
        <w:rPr>
          <w:rFonts w:ascii="ITC Avant Garde" w:eastAsia="Times New Roman" w:hAnsi="ITC Avant Garde"/>
        </w:rPr>
        <w:t xml:space="preserve">Teléfonos de México, S.A.B. de C.V. </w:t>
      </w:r>
      <w:r w:rsidRPr="00126152">
        <w:rPr>
          <w:rFonts w:ascii="ITC Avant Garde" w:eastAsia="Times New Roman" w:hAnsi="ITC Avant Garde"/>
        </w:rPr>
        <w:t xml:space="preserve">como parte del Agente Económico Preponderante </w:t>
      </w:r>
      <w:r w:rsidR="005651BD">
        <w:rPr>
          <w:rFonts w:ascii="ITC Avant Garde" w:eastAsia="Times New Roman" w:hAnsi="ITC Avant Garde"/>
        </w:rPr>
        <w:t xml:space="preserve">en el sector de telecomunicaciones </w:t>
      </w:r>
      <w:r w:rsidRPr="00126152">
        <w:rPr>
          <w:rFonts w:ascii="ITC Avant Garde" w:eastAsia="Times New Roman" w:hAnsi="ITC Avant Garde"/>
        </w:rPr>
        <w:t xml:space="preserve">(en lo sucesivo, “AEP”), </w:t>
      </w:r>
      <w:r w:rsidR="00126152" w:rsidRPr="00126152">
        <w:rPr>
          <w:rFonts w:ascii="ITC Avant Garde" w:eastAsia="Times New Roman" w:hAnsi="ITC Avant Garde"/>
        </w:rPr>
        <w:t>en cumplimiento a la Medida QUINTA de las Medidas de Desagregación, presentó para su aprobación la propuesta de Oferta de Referencia de Desagregación Efectiva de la Red Local</w:t>
      </w:r>
      <w:r w:rsidR="0095084C" w:rsidRPr="00126152">
        <w:rPr>
          <w:rFonts w:ascii="ITC Avant Garde" w:eastAsia="Times New Roman" w:hAnsi="ITC Avant Garde"/>
        </w:rPr>
        <w:t>, respecto del periodo comprendido del 1 de enero al 31 de diciembre de 201</w:t>
      </w:r>
      <w:r w:rsidR="005651BD">
        <w:rPr>
          <w:rFonts w:ascii="ITC Avant Garde" w:eastAsia="Times New Roman" w:hAnsi="ITC Avant Garde"/>
        </w:rPr>
        <w:t>9</w:t>
      </w:r>
      <w:r w:rsidR="0095084C" w:rsidRPr="00126152">
        <w:rPr>
          <w:rFonts w:ascii="ITC Avant Garde" w:eastAsia="Times New Roman" w:hAnsi="ITC Avant Garde"/>
        </w:rPr>
        <w:t>.</w:t>
      </w:r>
      <w:bookmarkStart w:id="0" w:name="_GoBack"/>
      <w:bookmarkEnd w:id="0"/>
    </w:p>
    <w:p w14:paraId="22D796C7" w14:textId="77777777" w:rsidR="00113DF3" w:rsidRDefault="005651BD" w:rsidP="00AC1B9C">
      <w:pPr>
        <w:widowControl w:val="0"/>
        <w:numPr>
          <w:ilvl w:val="0"/>
          <w:numId w:val="2"/>
        </w:numPr>
        <w:spacing w:after="240"/>
        <w:contextualSpacing/>
        <w:jc w:val="both"/>
        <w:rPr>
          <w:rFonts w:ascii="ITC Avant Garde" w:eastAsia="Times New Roman" w:hAnsi="ITC Avant Garde"/>
        </w:rPr>
      </w:pPr>
      <w:r w:rsidRPr="00F76AB4">
        <w:rPr>
          <w:rFonts w:ascii="ITC Avant Garde" w:eastAsia="Times New Roman" w:hAnsi="ITC Avant Garde"/>
        </w:rPr>
        <w:t xml:space="preserve">Mediante escrito presentado </w:t>
      </w:r>
      <w:r>
        <w:rPr>
          <w:rFonts w:ascii="ITC Avant Garde" w:eastAsia="Times New Roman" w:hAnsi="ITC Avant Garde"/>
        </w:rPr>
        <w:t>ante</w:t>
      </w:r>
      <w:r w:rsidRPr="00F76AB4">
        <w:rPr>
          <w:rFonts w:ascii="ITC Avant Garde" w:eastAsia="Times New Roman" w:hAnsi="ITC Avant Garde"/>
        </w:rPr>
        <w:t xml:space="preserve"> </w:t>
      </w:r>
      <w:r>
        <w:rPr>
          <w:rFonts w:ascii="ITC Avant Garde" w:eastAsia="Times New Roman" w:hAnsi="ITC Avant Garde"/>
        </w:rPr>
        <w:t xml:space="preserve">la </w:t>
      </w:r>
      <w:r w:rsidRPr="00F76AB4">
        <w:rPr>
          <w:rFonts w:ascii="ITC Avant Garde" w:eastAsia="Times New Roman" w:hAnsi="ITC Avant Garde"/>
        </w:rPr>
        <w:t xml:space="preserve">Oficialía de Partes del Instituto el </w:t>
      </w:r>
      <w:r>
        <w:rPr>
          <w:rFonts w:ascii="ITC Avant Garde" w:eastAsia="Times New Roman" w:hAnsi="ITC Avant Garde"/>
        </w:rPr>
        <w:t>2</w:t>
      </w:r>
      <w:r w:rsidR="00E7109E">
        <w:rPr>
          <w:rFonts w:ascii="ITC Avant Garde" w:eastAsia="Times New Roman" w:hAnsi="ITC Avant Garde"/>
        </w:rPr>
        <w:t>9</w:t>
      </w:r>
      <w:r w:rsidRPr="00F76AB4">
        <w:rPr>
          <w:rFonts w:ascii="ITC Avant Garde" w:eastAsia="Times New Roman" w:hAnsi="ITC Avant Garde"/>
        </w:rPr>
        <w:t xml:space="preserve"> de </w:t>
      </w:r>
      <w:r>
        <w:rPr>
          <w:rFonts w:ascii="ITC Avant Garde" w:eastAsia="Times New Roman" w:hAnsi="ITC Avant Garde"/>
        </w:rPr>
        <w:t>ju</w:t>
      </w:r>
      <w:r w:rsidR="00E7109E">
        <w:rPr>
          <w:rFonts w:ascii="ITC Avant Garde" w:eastAsia="Times New Roman" w:hAnsi="ITC Avant Garde"/>
        </w:rPr>
        <w:t>n</w:t>
      </w:r>
      <w:r>
        <w:rPr>
          <w:rFonts w:ascii="ITC Avant Garde" w:eastAsia="Times New Roman" w:hAnsi="ITC Avant Garde"/>
        </w:rPr>
        <w:t>io</w:t>
      </w:r>
      <w:r w:rsidRPr="00F76AB4">
        <w:rPr>
          <w:rFonts w:ascii="ITC Avant Garde" w:eastAsia="Times New Roman" w:hAnsi="ITC Avant Garde"/>
        </w:rPr>
        <w:t xml:space="preserve"> de 201</w:t>
      </w:r>
      <w:r>
        <w:rPr>
          <w:rFonts w:ascii="ITC Avant Garde" w:eastAsia="Times New Roman" w:hAnsi="ITC Avant Garde"/>
        </w:rPr>
        <w:t>8</w:t>
      </w:r>
      <w:r w:rsidRPr="00F76AB4">
        <w:rPr>
          <w:rFonts w:ascii="ITC Avant Garde" w:eastAsia="Times New Roman" w:hAnsi="ITC Avant Garde"/>
        </w:rPr>
        <w:t xml:space="preserve">, </w:t>
      </w:r>
      <w:r>
        <w:rPr>
          <w:rFonts w:ascii="ITC Avant Garde" w:eastAsia="Times New Roman" w:hAnsi="ITC Avant Garde"/>
        </w:rPr>
        <w:t xml:space="preserve">Teléfonos del Noroeste, S.A. de C.V. </w:t>
      </w:r>
      <w:r w:rsidRPr="00F76AB4">
        <w:rPr>
          <w:rFonts w:ascii="ITC Avant Garde" w:eastAsia="Times New Roman" w:hAnsi="ITC Avant Garde"/>
        </w:rPr>
        <w:t xml:space="preserve">como parte del AEP en </w:t>
      </w:r>
      <w:r>
        <w:rPr>
          <w:rFonts w:ascii="ITC Avant Garde" w:eastAsia="Times New Roman" w:hAnsi="ITC Avant Garde"/>
        </w:rPr>
        <w:t xml:space="preserve">el sector de </w:t>
      </w:r>
      <w:r w:rsidRPr="00F76AB4">
        <w:rPr>
          <w:rFonts w:ascii="ITC Avant Garde" w:eastAsia="Times New Roman" w:hAnsi="ITC Avant Garde"/>
        </w:rPr>
        <w:t>telecomunicaciones, en cumplimiento a la Medida QUINTA de las Medidas de Desagregación, presentó para su aprobación la propuesta de Oferta de Referencia de Desagregación Efectiva de la Red Local</w:t>
      </w:r>
      <w:r w:rsidRPr="00126152">
        <w:rPr>
          <w:rFonts w:ascii="ITC Avant Garde" w:eastAsia="Times New Roman" w:hAnsi="ITC Avant Garde"/>
        </w:rPr>
        <w:t>, respecto del periodo comprendido del 1 de enero al 31 de diciembre de 201</w:t>
      </w:r>
      <w:r>
        <w:rPr>
          <w:rFonts w:ascii="ITC Avant Garde" w:eastAsia="Times New Roman" w:hAnsi="ITC Avant Garde"/>
        </w:rPr>
        <w:t>9</w:t>
      </w:r>
      <w:r w:rsidRPr="00126152">
        <w:rPr>
          <w:rFonts w:ascii="ITC Avant Garde" w:eastAsia="Times New Roman" w:hAnsi="ITC Avant Garde"/>
        </w:rPr>
        <w:t>.</w:t>
      </w:r>
    </w:p>
    <w:p w14:paraId="397A0170" w14:textId="77777777" w:rsidR="00113DF3" w:rsidRDefault="007C4BEB" w:rsidP="00AC1B9C">
      <w:pPr>
        <w:pStyle w:val="Ttulo2"/>
        <w:spacing w:after="240"/>
        <w:ind w:firstLine="0"/>
        <w:jc w:val="center"/>
        <w:rPr>
          <w:rFonts w:ascii="ITC Avant Garde" w:hAnsi="ITC Avant Garde" w:cs="Arial"/>
          <w:smallCaps/>
          <w:sz w:val="22"/>
          <w:szCs w:val="22"/>
        </w:rPr>
      </w:pPr>
      <w:r w:rsidRPr="00113DF3">
        <w:rPr>
          <w:rFonts w:ascii="ITC Avant Garde" w:hAnsi="ITC Avant Garde" w:cs="Arial"/>
          <w:smallCaps/>
          <w:sz w:val="22"/>
          <w:szCs w:val="22"/>
        </w:rPr>
        <w:t>CONSIDERANDO</w:t>
      </w:r>
    </w:p>
    <w:p w14:paraId="49C13A85" w14:textId="77777777" w:rsidR="00113DF3" w:rsidRDefault="007C4BEB" w:rsidP="00AC1B9C">
      <w:pPr>
        <w:spacing w:after="240"/>
        <w:jc w:val="both"/>
        <w:rPr>
          <w:rFonts w:ascii="ITC Avant Garde" w:hAnsi="ITC Avant Garde" w:cs="Arial"/>
          <w:bCs/>
        </w:rPr>
      </w:pPr>
      <w:proofErr w:type="gramStart"/>
      <w:r w:rsidRPr="00EB29B0">
        <w:rPr>
          <w:rFonts w:ascii="ITC Avant Garde" w:hAnsi="ITC Avant Garde" w:cs="Arial"/>
          <w:b/>
          <w:bCs/>
        </w:rPr>
        <w:t>PRIMERO.-</w:t>
      </w:r>
      <w:proofErr w:type="gramEnd"/>
      <w:r w:rsidRPr="00EB29B0">
        <w:rPr>
          <w:rFonts w:ascii="ITC Avant Garde" w:hAnsi="ITC Avant Garde" w:cs="Arial"/>
          <w:b/>
          <w:bCs/>
        </w:rPr>
        <w:t xml:space="preserve"> Competencia del Instituto.</w:t>
      </w:r>
      <w:r w:rsidRPr="00EB29B0">
        <w:rPr>
          <w:rFonts w:ascii="ITC Avant Garde" w:hAnsi="ITC Avant Garde" w:cs="Arial"/>
          <w:bCs/>
        </w:rPr>
        <w:t xml:space="preserve"> De conformidad con el artículo 28, </w:t>
      </w:r>
      <w:proofErr w:type="gramStart"/>
      <w:r w:rsidRPr="00EB29B0">
        <w:rPr>
          <w:rFonts w:ascii="ITC Avant Garde" w:hAnsi="ITC Avant Garde" w:cs="Arial"/>
          <w:bCs/>
        </w:rPr>
        <w:t>párrafos décimo quinto</w:t>
      </w:r>
      <w:proofErr w:type="gramEnd"/>
      <w:r w:rsidRPr="00EB29B0">
        <w:rPr>
          <w:rFonts w:ascii="ITC Avant Garde" w:hAnsi="ITC Avant Garde" w:cs="Arial"/>
          <w:bCs/>
        </w:rPr>
        <w:t xml:space="preserve"> y décimo sexto de la Constitución, el Instituto tiene a su cargo la regulación, promoción y supervisión del uso, aprovechamiento y explotación del espectro radioeléctrico, las redes y la prestación de los servicios de radiodifusión y telecomunic</w:t>
      </w:r>
      <w:r w:rsidR="00EF790E" w:rsidRPr="00EB29B0">
        <w:rPr>
          <w:rFonts w:ascii="ITC Avant Garde" w:hAnsi="ITC Avant Garde" w:cs="Arial"/>
          <w:bCs/>
        </w:rPr>
        <w:t>aciones, así como del acceso a i</w:t>
      </w:r>
      <w:r w:rsidRPr="00EB29B0">
        <w:rPr>
          <w:rFonts w:ascii="ITC Avant Garde" w:hAnsi="ITC Avant Garde" w:cs="Arial"/>
          <w:bCs/>
        </w:rPr>
        <w:t xml:space="preserve">nfraestructura activa, pasiva y otros insumos esenciales. Asimismo, es autoridad en materia de competencia económica de los sectores de radiodifusión y telecomunicaciones, por lo que en éstos regulará de forma asimétrica a los participantes con el objeto de eliminar eficazmente las barreras a la competencia y la libre concurrencia; impondrá límites a la concentración nacional y regional de frecuencias, al </w:t>
      </w:r>
      <w:proofErr w:type="spellStart"/>
      <w:r w:rsidRPr="00EB29B0">
        <w:rPr>
          <w:rFonts w:ascii="ITC Avant Garde" w:hAnsi="ITC Avant Garde" w:cs="Arial"/>
          <w:bCs/>
        </w:rPr>
        <w:t>concesionamiento</w:t>
      </w:r>
      <w:proofErr w:type="spellEnd"/>
      <w:r w:rsidRPr="00EB29B0">
        <w:rPr>
          <w:rFonts w:ascii="ITC Avant Garde" w:hAnsi="ITC Avant Garde" w:cs="Arial"/>
          <w:bCs/>
        </w:rPr>
        <w:t xml:space="preserve">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7FC7B409" w14:textId="1895E6BA" w:rsidR="007C4BEB" w:rsidRPr="00EB29B0" w:rsidRDefault="008E3097" w:rsidP="00AC1B9C">
      <w:pPr>
        <w:spacing w:after="240"/>
        <w:jc w:val="both"/>
        <w:rPr>
          <w:rFonts w:ascii="ITC Avant Garde" w:hAnsi="ITC Avant Garde" w:cs="Arial"/>
          <w:bCs/>
        </w:rPr>
      </w:pPr>
      <w:r w:rsidRPr="00EB29B0">
        <w:rPr>
          <w:rFonts w:ascii="ITC Avant Garde" w:hAnsi="ITC Avant Garde" w:cs="Arial"/>
          <w:bCs/>
        </w:rPr>
        <w:t>En</w:t>
      </w:r>
      <w:r w:rsidR="007C4BEB" w:rsidRPr="00EB29B0">
        <w:rPr>
          <w:rFonts w:ascii="ITC Avant Garde" w:hAnsi="ITC Avant Garde" w:cs="Arial"/>
          <w:bCs/>
        </w:rPr>
        <w:t xml:space="preserve"> cumplimiento a lo establecido en el artículo Octavo transitorio, fracción III del Decreto y mediante la Resolución AEP, el Instituto determinó la existencia de</w:t>
      </w:r>
      <w:r w:rsidRPr="00EB29B0">
        <w:rPr>
          <w:rFonts w:ascii="ITC Avant Garde" w:hAnsi="ITC Avant Garde" w:cs="Arial"/>
          <w:bCs/>
        </w:rPr>
        <w:t xml:space="preserve">l Agente Económico </w:t>
      </w:r>
      <w:r w:rsidR="007C4BEB" w:rsidRPr="00EB29B0">
        <w:rPr>
          <w:rFonts w:ascii="ITC Avant Garde" w:hAnsi="ITC Avant Garde" w:cs="Arial"/>
          <w:bCs/>
        </w:rPr>
        <w:t xml:space="preserve">Preponderante en </w:t>
      </w:r>
      <w:r w:rsidRPr="00EB29B0">
        <w:rPr>
          <w:rFonts w:ascii="ITC Avant Garde" w:hAnsi="ITC Avant Garde" w:cs="Arial"/>
          <w:bCs/>
        </w:rPr>
        <w:t>el sector</w:t>
      </w:r>
      <w:r w:rsidR="007C4BEB" w:rsidRPr="00EB29B0">
        <w:rPr>
          <w:rFonts w:ascii="ITC Avant Garde" w:hAnsi="ITC Avant Garde" w:cs="Arial"/>
          <w:bCs/>
        </w:rPr>
        <w:t xml:space="preserve"> de telecomunicaciones, e impuso las medidas necesarias para evitar que se afecte la competencia y la libre concurrencia y, con ello, a los usuarios finales. Dichas medidas incluyen las Medidas </w:t>
      </w:r>
      <w:r w:rsidR="00A5647B">
        <w:rPr>
          <w:rFonts w:ascii="ITC Avant Garde" w:hAnsi="ITC Avant Garde" w:cs="Arial"/>
          <w:bCs/>
        </w:rPr>
        <w:t>de Desagregación</w:t>
      </w:r>
      <w:r w:rsidR="007C4BEB" w:rsidRPr="00EB29B0">
        <w:rPr>
          <w:rFonts w:ascii="ITC Avant Garde" w:hAnsi="ITC Avant Garde" w:cs="Arial"/>
          <w:bCs/>
        </w:rPr>
        <w:t>, mismas que están relacionadas con información, oferta y calidad de servicios, acuerdos en exclusiva, uso de equipos entre redes, regulación asimétrica en tarifas e infraestructuras de red, incluyendo la desagregación de sus elementos esenciales y, en su caso, la separación contable, funcional o estructural de dichos agentes.</w:t>
      </w:r>
    </w:p>
    <w:p w14:paraId="2D55FE1F" w14:textId="77777777" w:rsidR="00113DF3" w:rsidRDefault="00F9106B" w:rsidP="00AC1B9C">
      <w:pPr>
        <w:spacing w:after="240"/>
        <w:jc w:val="both"/>
        <w:rPr>
          <w:rFonts w:ascii="ITC Avant Garde" w:hAnsi="ITC Avant Garde" w:cs="Arial"/>
          <w:bCs/>
        </w:rPr>
      </w:pPr>
      <w:r w:rsidRPr="00EB29B0">
        <w:rPr>
          <w:rFonts w:ascii="ITC Avant Garde" w:hAnsi="ITC Avant Garde" w:cs="Arial"/>
          <w:bCs/>
        </w:rPr>
        <w:lastRenderedPageBreak/>
        <w:t xml:space="preserve">La Resolución AEP y sus </w:t>
      </w:r>
      <w:r w:rsidR="00BC30D1" w:rsidRPr="00EB29B0">
        <w:rPr>
          <w:rFonts w:ascii="ITC Avant Garde" w:hAnsi="ITC Avant Garde" w:cs="Arial"/>
          <w:bCs/>
        </w:rPr>
        <w:t xml:space="preserve">Anexos (las </w:t>
      </w:r>
      <w:r w:rsidR="00C22B66" w:rsidRPr="00EB29B0">
        <w:rPr>
          <w:rFonts w:ascii="ITC Avant Garde" w:hAnsi="ITC Avant Garde" w:cs="Arial"/>
          <w:bCs/>
        </w:rPr>
        <w:t>Medidas</w:t>
      </w:r>
      <w:r w:rsidR="00514A8F" w:rsidRPr="00EB29B0">
        <w:rPr>
          <w:rFonts w:ascii="ITC Avant Garde" w:hAnsi="ITC Avant Garde" w:cs="Arial"/>
          <w:bCs/>
        </w:rPr>
        <w:t xml:space="preserve"> </w:t>
      </w:r>
      <w:r w:rsidR="00A5647B">
        <w:rPr>
          <w:rFonts w:ascii="ITC Avant Garde" w:hAnsi="ITC Avant Garde" w:cs="Arial"/>
          <w:bCs/>
        </w:rPr>
        <w:t>de Desagregación</w:t>
      </w:r>
      <w:r w:rsidR="00085909">
        <w:rPr>
          <w:rFonts w:ascii="ITC Avant Garde" w:hAnsi="ITC Avant Garde" w:cs="Arial"/>
          <w:bCs/>
        </w:rPr>
        <w:t>)</w:t>
      </w:r>
      <w:r w:rsidR="00514A8F" w:rsidRPr="00EB29B0">
        <w:rPr>
          <w:rFonts w:ascii="ITC Avant Garde" w:hAnsi="ITC Avant Garde" w:cs="Arial"/>
          <w:bCs/>
        </w:rPr>
        <w:t xml:space="preserve"> fueron objeto de un proceso de Revisión </w:t>
      </w:r>
      <w:r w:rsidR="00A33196" w:rsidRPr="00EB29B0">
        <w:rPr>
          <w:rFonts w:ascii="ITC Avant Garde" w:hAnsi="ITC Avant Garde" w:cs="Arial"/>
          <w:bCs/>
        </w:rPr>
        <w:t>Bienal</w:t>
      </w:r>
      <w:r w:rsidR="00514A8F" w:rsidRPr="00EB29B0">
        <w:rPr>
          <w:rFonts w:ascii="ITC Avant Garde" w:hAnsi="ITC Avant Garde" w:cs="Arial"/>
          <w:bCs/>
        </w:rPr>
        <w:t xml:space="preserve"> </w:t>
      </w:r>
      <w:r w:rsidR="00BC30D1" w:rsidRPr="00EB29B0">
        <w:rPr>
          <w:rFonts w:ascii="ITC Avant Garde" w:hAnsi="ITC Avant Garde" w:cs="Arial"/>
          <w:bCs/>
        </w:rPr>
        <w:t xml:space="preserve">por parte del Pleno del Instituto, </w:t>
      </w:r>
      <w:r w:rsidR="00514A8F" w:rsidRPr="00EB29B0">
        <w:rPr>
          <w:rFonts w:ascii="ITC Avant Garde" w:hAnsi="ITC Avant Garde" w:cs="Arial"/>
          <w:bCs/>
        </w:rPr>
        <w:t>con el objeto de</w:t>
      </w:r>
      <w:r w:rsidR="00BC30D1" w:rsidRPr="00EB29B0">
        <w:rPr>
          <w:rFonts w:ascii="ITC Avant Garde" w:hAnsi="ITC Avant Garde" w:cs="Arial"/>
          <w:bCs/>
        </w:rPr>
        <w:t xml:space="preserve"> adecuarlos</w:t>
      </w:r>
      <w:r w:rsidR="00514A8F" w:rsidRPr="00EB29B0">
        <w:rPr>
          <w:rFonts w:ascii="ITC Avant Garde" w:hAnsi="ITC Avant Garde" w:cs="Arial"/>
          <w:bCs/>
        </w:rPr>
        <w:t xml:space="preserve"> al contexto actual del sector</w:t>
      </w:r>
      <w:r w:rsidR="00BC30D1" w:rsidRPr="00EB29B0">
        <w:rPr>
          <w:rFonts w:ascii="ITC Avant Garde" w:hAnsi="ITC Avant Garde" w:cs="Arial"/>
          <w:bCs/>
        </w:rPr>
        <w:t xml:space="preserve"> de telecomunicaciones nacional, tal y como se menciona en el antecedente V de</w:t>
      </w:r>
      <w:r w:rsidR="000247B2">
        <w:rPr>
          <w:rFonts w:ascii="ITC Avant Garde" w:hAnsi="ITC Avant Garde" w:cs="Arial"/>
          <w:bCs/>
        </w:rPr>
        <w:t>l presente Acuerdo</w:t>
      </w:r>
      <w:r w:rsidR="00BC30D1" w:rsidRPr="00EB29B0">
        <w:rPr>
          <w:rFonts w:ascii="ITC Avant Garde" w:hAnsi="ITC Avant Garde" w:cs="Arial"/>
          <w:bCs/>
        </w:rPr>
        <w:t>.</w:t>
      </w:r>
    </w:p>
    <w:p w14:paraId="206A26F5" w14:textId="77777777" w:rsidR="00113DF3" w:rsidRDefault="00D61FD4" w:rsidP="00AC1B9C">
      <w:pPr>
        <w:spacing w:after="240"/>
        <w:jc w:val="both"/>
        <w:rPr>
          <w:rFonts w:ascii="ITC Avant Garde" w:hAnsi="ITC Avant Garde" w:cs="Arial"/>
          <w:bCs/>
        </w:rPr>
      </w:pPr>
      <w:r w:rsidRPr="00EB29B0">
        <w:rPr>
          <w:rFonts w:ascii="ITC Avant Garde" w:hAnsi="ITC Avant Garde" w:cs="Arial"/>
          <w:bCs/>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7D5436EE" w14:textId="77777777" w:rsidR="00113DF3" w:rsidRDefault="00AB7EEE" w:rsidP="00AC1B9C">
      <w:pPr>
        <w:spacing w:after="240"/>
        <w:jc w:val="both"/>
        <w:rPr>
          <w:rFonts w:ascii="ITC Avant Garde" w:hAnsi="ITC Avant Garde" w:cs="Arial"/>
          <w:b/>
          <w:bCs/>
        </w:rPr>
      </w:pPr>
      <w:proofErr w:type="gramStart"/>
      <w:r w:rsidRPr="00EB29B0">
        <w:rPr>
          <w:rFonts w:ascii="ITC Avant Garde" w:hAnsi="ITC Avant Garde" w:cs="Arial"/>
          <w:b/>
          <w:bCs/>
        </w:rPr>
        <w:t>SEGUNDO</w:t>
      </w:r>
      <w:r w:rsidRPr="00EB29B0">
        <w:rPr>
          <w:rFonts w:ascii="ITC Avant Garde" w:hAnsi="ITC Avant Garde" w:cs="Arial"/>
          <w:bCs/>
        </w:rPr>
        <w:t>.-</w:t>
      </w:r>
      <w:proofErr w:type="gramEnd"/>
      <w:r w:rsidRPr="00EB29B0">
        <w:rPr>
          <w:rFonts w:ascii="ITC Avant Garde" w:hAnsi="ITC Avant Garde" w:cs="Arial"/>
          <w:bCs/>
        </w:rPr>
        <w:t xml:space="preserve"> </w:t>
      </w:r>
      <w:r w:rsidR="00C22B66" w:rsidRPr="00EB29B0">
        <w:rPr>
          <w:rFonts w:ascii="ITC Avant Garde" w:hAnsi="ITC Avant Garde" w:cs="Arial"/>
          <w:b/>
          <w:bCs/>
        </w:rPr>
        <w:t>Obligatoriedad del AEP de presentar sus Ofertas de Referencia</w:t>
      </w:r>
      <w:r w:rsidR="003A2A92" w:rsidRPr="00EB29B0">
        <w:rPr>
          <w:rFonts w:ascii="ITC Avant Garde" w:hAnsi="ITC Avant Garde" w:cs="Arial"/>
          <w:b/>
          <w:bCs/>
        </w:rPr>
        <w:t>.</w:t>
      </w:r>
      <w:r w:rsidR="00B263FA" w:rsidRPr="00EB29B0">
        <w:rPr>
          <w:rFonts w:ascii="ITC Avant Garde" w:hAnsi="ITC Avant Garde" w:cs="Arial"/>
          <w:b/>
          <w:bCs/>
        </w:rPr>
        <w:t xml:space="preserve"> </w:t>
      </w:r>
      <w:r w:rsidR="00E21600" w:rsidRPr="00EB29B0">
        <w:rPr>
          <w:rFonts w:ascii="ITC Avant Garde" w:hAnsi="ITC Avant Garde" w:cs="Arial"/>
          <w:bCs/>
        </w:rPr>
        <w:t>Uno de los objetivos de las atribuciones conferidas a este Instituto por el artículo Octavo Transitorio, fracción III del Decreto, radicó en la necesidad de supervisión del órgano regulador a efecto de que los servicios mayoristas se presten de manera justa y equitativa, evitando incurrir en prácticas anticompetitivas; de lo contrario no se podría garantizar la aplicación del principio de no discriminación.</w:t>
      </w:r>
    </w:p>
    <w:p w14:paraId="10EFE03C" w14:textId="77777777" w:rsidR="00113DF3" w:rsidRDefault="00A17827" w:rsidP="00AC1B9C">
      <w:pPr>
        <w:spacing w:after="240"/>
        <w:jc w:val="both"/>
        <w:rPr>
          <w:rFonts w:ascii="ITC Avant Garde" w:hAnsi="ITC Avant Garde" w:cs="Arial"/>
          <w:bCs/>
        </w:rPr>
      </w:pPr>
      <w:r w:rsidRPr="00EB29B0">
        <w:rPr>
          <w:rFonts w:ascii="ITC Avant Garde" w:hAnsi="ITC Avant Garde" w:cs="Arial"/>
          <w:bCs/>
        </w:rPr>
        <w:t>Es así que uno de los objetivos de la LFTR es regular el uso y aprovechamiento de las redes públicas de telecomunicaciones, así como la prestación de los servicios públicos de interés general de telecomunicaciones.</w:t>
      </w:r>
    </w:p>
    <w:p w14:paraId="328A72D9" w14:textId="77777777" w:rsidR="00113DF3" w:rsidRDefault="00A17827" w:rsidP="00AC1B9C">
      <w:pPr>
        <w:spacing w:after="240"/>
        <w:jc w:val="both"/>
        <w:rPr>
          <w:rFonts w:ascii="ITC Avant Garde" w:eastAsia="Times New Roman" w:hAnsi="ITC Avant Garde"/>
        </w:rPr>
      </w:pPr>
      <w:r w:rsidRPr="00EB29B0">
        <w:rPr>
          <w:rFonts w:ascii="ITC Avant Garde" w:eastAsia="Times New Roman" w:hAnsi="ITC Avant Garde"/>
          <w:szCs w:val="20"/>
        </w:rPr>
        <w:t xml:space="preserve">En este sentido, la Medida </w:t>
      </w:r>
      <w:r w:rsidR="00085909">
        <w:rPr>
          <w:rFonts w:ascii="ITC Avant Garde" w:eastAsia="Times New Roman" w:hAnsi="ITC Avant Garde"/>
        </w:rPr>
        <w:t>QUINTA</w:t>
      </w:r>
      <w:r w:rsidRPr="00EB29B0">
        <w:rPr>
          <w:rFonts w:ascii="ITC Avant Garde" w:eastAsia="Times New Roman" w:hAnsi="ITC Avant Garde"/>
        </w:rPr>
        <w:t xml:space="preserve"> de las Medidas </w:t>
      </w:r>
      <w:r w:rsidR="00085909">
        <w:rPr>
          <w:rFonts w:ascii="ITC Avant Garde" w:eastAsia="Times New Roman" w:hAnsi="ITC Avant Garde"/>
        </w:rPr>
        <w:t>de Desagregación</w:t>
      </w:r>
      <w:r w:rsidR="00226B14">
        <w:rPr>
          <w:rFonts w:ascii="ITC Avant Garde" w:eastAsia="Times New Roman" w:hAnsi="ITC Avant Garde"/>
        </w:rPr>
        <w:t xml:space="preserve"> establece el procedimiento de revisión y </w:t>
      </w:r>
      <w:r w:rsidR="00326988">
        <w:rPr>
          <w:rFonts w:ascii="ITC Avant Garde" w:eastAsia="Times New Roman" w:hAnsi="ITC Avant Garde"/>
        </w:rPr>
        <w:t>autorización</w:t>
      </w:r>
      <w:r w:rsidR="00226B14">
        <w:rPr>
          <w:rFonts w:ascii="ITC Avant Garde" w:eastAsia="Times New Roman" w:hAnsi="ITC Avant Garde"/>
        </w:rPr>
        <w:t xml:space="preserve"> de la </w:t>
      </w:r>
      <w:r w:rsidR="00226B14" w:rsidRPr="00F76AB4">
        <w:rPr>
          <w:rFonts w:ascii="ITC Avant Garde" w:eastAsia="Times New Roman" w:hAnsi="ITC Avant Garde"/>
        </w:rPr>
        <w:t>Oferta de Referencia de Desagregación Efectiva de la Red Local</w:t>
      </w:r>
      <w:r w:rsidR="00226B14">
        <w:rPr>
          <w:rFonts w:ascii="ITC Avant Garde" w:eastAsia="Times New Roman" w:hAnsi="ITC Avant Garde"/>
        </w:rPr>
        <w:t xml:space="preserve"> del AEP</w:t>
      </w:r>
      <w:r w:rsidR="00326988">
        <w:rPr>
          <w:rFonts w:ascii="ITC Avant Garde" w:eastAsia="Times New Roman" w:hAnsi="ITC Avant Garde"/>
        </w:rPr>
        <w:t xml:space="preserve">, de conformidad con lo señalado en el </w:t>
      </w:r>
      <w:r w:rsidR="00326988" w:rsidRPr="008A136C">
        <w:rPr>
          <w:rFonts w:ascii="ITC Avant Garde" w:eastAsia="Times New Roman" w:hAnsi="ITC Avant Garde"/>
        </w:rPr>
        <w:t xml:space="preserve">Artículo 269, fracción III, de la </w:t>
      </w:r>
      <w:r w:rsidR="00326988">
        <w:rPr>
          <w:rFonts w:ascii="ITC Avant Garde" w:eastAsia="Times New Roman" w:hAnsi="ITC Avant Garde"/>
        </w:rPr>
        <w:t>LFTR, que impone</w:t>
      </w:r>
      <w:r w:rsidR="00085909" w:rsidRPr="006F0A6C">
        <w:rPr>
          <w:rFonts w:ascii="ITC Avant Garde" w:eastAsia="Times New Roman" w:hAnsi="ITC Avant Garde"/>
        </w:rPr>
        <w:t xml:space="preserve"> al AEP la obligación de </w:t>
      </w:r>
      <w:r w:rsidR="008648FC">
        <w:rPr>
          <w:rFonts w:ascii="ITC Avant Garde" w:eastAsia="Times New Roman" w:hAnsi="ITC Avant Garde"/>
        </w:rPr>
        <w:t xml:space="preserve">someter a la aprobación del Instituto, </w:t>
      </w:r>
      <w:r w:rsidR="00BE2F00" w:rsidRPr="008A136C">
        <w:rPr>
          <w:rFonts w:ascii="ITC Avant Garde" w:eastAsia="Times New Roman" w:hAnsi="ITC Avant Garde"/>
        </w:rPr>
        <w:t xml:space="preserve">a más tardar el 30 de junio de </w:t>
      </w:r>
      <w:r w:rsidR="008648FC">
        <w:rPr>
          <w:rFonts w:ascii="ITC Avant Garde" w:eastAsia="Times New Roman" w:hAnsi="ITC Avant Garde"/>
        </w:rPr>
        <w:t xml:space="preserve">cada </w:t>
      </w:r>
      <w:r w:rsidR="00BE2F00" w:rsidRPr="008A136C">
        <w:rPr>
          <w:rFonts w:ascii="ITC Avant Garde" w:eastAsia="Times New Roman" w:hAnsi="ITC Avant Garde"/>
        </w:rPr>
        <w:t>año</w:t>
      </w:r>
      <w:r w:rsidR="008648FC">
        <w:rPr>
          <w:rFonts w:ascii="ITC Avant Garde" w:eastAsia="Times New Roman" w:hAnsi="ITC Avant Garde"/>
        </w:rPr>
        <w:t xml:space="preserve"> las ofertas públicas de referencia para la desagregación de la red pública de telecomunicaciones local</w:t>
      </w:r>
      <w:r w:rsidR="00BE2F00" w:rsidRPr="008A136C">
        <w:rPr>
          <w:rFonts w:ascii="ITC Avant Garde" w:eastAsia="Times New Roman" w:hAnsi="ITC Avant Garde"/>
        </w:rPr>
        <w:t>.</w:t>
      </w:r>
    </w:p>
    <w:p w14:paraId="27D832A7" w14:textId="77777777" w:rsidR="00113DF3" w:rsidRDefault="008648FC" w:rsidP="00AC1B9C">
      <w:pPr>
        <w:spacing w:after="240"/>
        <w:jc w:val="both"/>
        <w:rPr>
          <w:rFonts w:ascii="ITC Avant Garde" w:hAnsi="ITC Avant Garde"/>
        </w:rPr>
      </w:pPr>
      <w:r w:rsidRPr="00EB29B0">
        <w:rPr>
          <w:rFonts w:ascii="ITC Avant Garde" w:eastAsia="Times New Roman" w:hAnsi="ITC Avant Garde"/>
          <w:szCs w:val="20"/>
        </w:rPr>
        <w:t>E</w:t>
      </w:r>
      <w:r w:rsidRPr="00EB29B0">
        <w:rPr>
          <w:rFonts w:ascii="ITC Avant Garde" w:hAnsi="ITC Avant Garde"/>
        </w:rPr>
        <w:t>n</w:t>
      </w:r>
      <w:r w:rsidRPr="00EB29B0">
        <w:rPr>
          <w:rFonts w:ascii="ITC Avant Garde" w:eastAsia="Times New Roman" w:hAnsi="ITC Avant Garde"/>
          <w:szCs w:val="20"/>
        </w:rPr>
        <w:t xml:space="preserve"> la Resolución AEP el Instituto se pronunció en el sentido de que la utilidad de una </w:t>
      </w:r>
      <w:r>
        <w:rPr>
          <w:rFonts w:ascii="ITC Avant Garde" w:eastAsia="Times New Roman" w:hAnsi="ITC Avant Garde"/>
          <w:szCs w:val="20"/>
        </w:rPr>
        <w:t>o</w:t>
      </w:r>
      <w:r w:rsidRPr="00EB29B0">
        <w:rPr>
          <w:rFonts w:ascii="ITC Avant Garde" w:eastAsia="Times New Roman" w:hAnsi="ITC Avant Garde"/>
          <w:szCs w:val="20"/>
        </w:rPr>
        <w:t xml:space="preserve">ferta de </w:t>
      </w:r>
      <w:r>
        <w:rPr>
          <w:rFonts w:ascii="ITC Avant Garde" w:eastAsia="Times New Roman" w:hAnsi="ITC Avant Garde"/>
          <w:szCs w:val="20"/>
        </w:rPr>
        <w:t>r</w:t>
      </w:r>
      <w:r w:rsidRPr="00EB29B0">
        <w:rPr>
          <w:rFonts w:ascii="ITC Avant Garde" w:eastAsia="Times New Roman" w:hAnsi="ITC Avant Garde"/>
          <w:szCs w:val="20"/>
        </w:rPr>
        <w:t xml:space="preserve">eferencia es que en la misma se </w:t>
      </w:r>
      <w:r w:rsidRPr="00EB29B0">
        <w:rPr>
          <w:rFonts w:ascii="ITC Avant Garde" w:hAnsi="ITC Avant Garde"/>
        </w:rPr>
        <w:t xml:space="preserve">establecen los términos y condiciones para los servicios mayoristas que un operador puede aceptar del Agente Económico Preponderante, sin la necesidad de involucrarse en negociaciones adicionales, evitando de esta manera la generación de disputas en el sector y acortando los tiempos para la prestación de dichos servicios. De esta forma, el contar con </w:t>
      </w:r>
      <w:r>
        <w:rPr>
          <w:rFonts w:ascii="ITC Avant Garde" w:hAnsi="ITC Avant Garde"/>
        </w:rPr>
        <w:t>o</w:t>
      </w:r>
      <w:r w:rsidRPr="00EB29B0">
        <w:rPr>
          <w:rFonts w:ascii="ITC Avant Garde" w:hAnsi="ITC Avant Garde"/>
        </w:rPr>
        <w:t xml:space="preserve">fertas de </w:t>
      </w:r>
      <w:r>
        <w:rPr>
          <w:rFonts w:ascii="ITC Avant Garde" w:hAnsi="ITC Avant Garde"/>
        </w:rPr>
        <w:t>r</w:t>
      </w:r>
      <w:r w:rsidRPr="00EB29B0">
        <w:rPr>
          <w:rFonts w:ascii="ITC Avant Garde" w:hAnsi="ITC Avant Garde"/>
        </w:rPr>
        <w:t>eferencia previamente autorizadas por el órgano regulador:</w:t>
      </w:r>
    </w:p>
    <w:p w14:paraId="0C993423" w14:textId="0464BDF6" w:rsidR="008648FC" w:rsidRDefault="008648FC" w:rsidP="00AC1B9C">
      <w:pPr>
        <w:numPr>
          <w:ilvl w:val="0"/>
          <w:numId w:val="3"/>
        </w:numPr>
        <w:spacing w:after="240"/>
        <w:jc w:val="both"/>
        <w:rPr>
          <w:rFonts w:ascii="ITC Avant Garde" w:eastAsia="Times New Roman" w:hAnsi="ITC Avant Garde"/>
        </w:rPr>
      </w:pPr>
      <w:r w:rsidRPr="00EB29B0">
        <w:rPr>
          <w:rFonts w:ascii="ITC Avant Garde" w:eastAsia="Times New Roman" w:hAnsi="ITC Avant Garde"/>
        </w:rPr>
        <w:t>Facilita la prestación de servicios mayoristas a otros concesionarios o comercializadores.</w:t>
      </w:r>
    </w:p>
    <w:p w14:paraId="6C71DA76" w14:textId="77777777" w:rsidR="008648FC" w:rsidRDefault="008648FC" w:rsidP="00AC1B9C">
      <w:pPr>
        <w:numPr>
          <w:ilvl w:val="0"/>
          <w:numId w:val="3"/>
        </w:numPr>
        <w:spacing w:after="240"/>
        <w:jc w:val="both"/>
        <w:rPr>
          <w:rFonts w:ascii="ITC Avant Garde" w:eastAsia="Times New Roman" w:hAnsi="ITC Avant Garde"/>
        </w:rPr>
      </w:pPr>
      <w:r w:rsidRPr="00EB29B0">
        <w:rPr>
          <w:rFonts w:ascii="ITC Avant Garde" w:eastAsia="Times New Roman" w:hAnsi="ITC Avant Garde"/>
        </w:rPr>
        <w:t>Permite a éstos obtener condiciones básicas en la prestación de servicios mayoristas sin necesidad de par</w:t>
      </w:r>
      <w:r>
        <w:rPr>
          <w:rFonts w:ascii="ITC Avant Garde" w:eastAsia="Times New Roman" w:hAnsi="ITC Avant Garde"/>
        </w:rPr>
        <w:t>ticipar en largas negociaciones.</w:t>
      </w:r>
    </w:p>
    <w:p w14:paraId="470EB9F7" w14:textId="77777777" w:rsidR="00113DF3" w:rsidRDefault="008648FC" w:rsidP="00AC1B9C">
      <w:pPr>
        <w:numPr>
          <w:ilvl w:val="0"/>
          <w:numId w:val="3"/>
        </w:numPr>
        <w:spacing w:after="240"/>
        <w:jc w:val="both"/>
        <w:rPr>
          <w:rFonts w:ascii="ITC Avant Garde" w:eastAsia="Times New Roman" w:hAnsi="ITC Avant Garde"/>
        </w:rPr>
      </w:pPr>
      <w:r w:rsidRPr="00EB29B0">
        <w:rPr>
          <w:rFonts w:ascii="ITC Avant Garde" w:eastAsia="Times New Roman" w:hAnsi="ITC Avant Garde"/>
        </w:rPr>
        <w:lastRenderedPageBreak/>
        <w:t>Hace del conocimiento de los concesionarios solicitantes o comercializadores las condiciones jurídicas, económicas y técnicas para la prestación de los servicios mayoristas.</w:t>
      </w:r>
    </w:p>
    <w:p w14:paraId="11D0AC9F" w14:textId="77777777" w:rsidR="00113DF3" w:rsidRDefault="008648FC" w:rsidP="00AC1B9C">
      <w:pPr>
        <w:spacing w:after="240"/>
        <w:jc w:val="both"/>
        <w:rPr>
          <w:rFonts w:ascii="ITC Avant Garde" w:eastAsia="Times New Roman" w:hAnsi="ITC Avant Garde"/>
          <w:szCs w:val="20"/>
        </w:rPr>
      </w:pPr>
      <w:r w:rsidRPr="00EB29B0">
        <w:rPr>
          <w:rFonts w:ascii="ITC Avant Garde" w:hAnsi="ITC Avant Garde"/>
        </w:rPr>
        <w:t xml:space="preserve">La supervisión del órgano regulador tiene el propósito de que los servicios mayoristas se presten </w:t>
      </w:r>
      <w:r>
        <w:rPr>
          <w:rFonts w:ascii="ITC Avant Garde" w:hAnsi="ITC Avant Garde"/>
        </w:rPr>
        <w:t>en igualdad de condiciones</w:t>
      </w:r>
      <w:r w:rsidRPr="00EB29B0">
        <w:rPr>
          <w:rFonts w:ascii="ITC Avant Garde" w:hAnsi="ITC Avant Garde"/>
        </w:rPr>
        <w:t xml:space="preserve">, evitando incurrir en prácticas anticompetitivas en la </w:t>
      </w:r>
      <w:r w:rsidRPr="00EB29B0">
        <w:rPr>
          <w:rFonts w:ascii="ITC Avant Garde" w:hAnsi="ITC Avant Garde" w:cs="Arial"/>
          <w:bCs/>
        </w:rPr>
        <w:t>prestación de los mismos.</w:t>
      </w:r>
    </w:p>
    <w:p w14:paraId="44601F83" w14:textId="77777777" w:rsidR="00113DF3" w:rsidRDefault="007C69A8" w:rsidP="00AC1B9C">
      <w:pPr>
        <w:spacing w:after="240"/>
        <w:jc w:val="both"/>
        <w:rPr>
          <w:rFonts w:ascii="ITC Avant Garde" w:hAnsi="ITC Avant Garde" w:cs="Arial"/>
          <w:bCs/>
        </w:rPr>
      </w:pPr>
      <w:proofErr w:type="gramStart"/>
      <w:r w:rsidRPr="00EB29B0">
        <w:rPr>
          <w:rFonts w:ascii="ITC Avant Garde" w:hAnsi="ITC Avant Garde" w:cs="Arial"/>
          <w:b/>
          <w:bCs/>
        </w:rPr>
        <w:t>TERCERO</w:t>
      </w:r>
      <w:r w:rsidRPr="00EB29B0">
        <w:rPr>
          <w:rFonts w:ascii="ITC Avant Garde" w:hAnsi="ITC Avant Garde" w:cs="Arial"/>
          <w:bCs/>
        </w:rPr>
        <w:t>.-</w:t>
      </w:r>
      <w:proofErr w:type="gramEnd"/>
      <w:r w:rsidRPr="00EB29B0">
        <w:rPr>
          <w:rFonts w:ascii="ITC Avant Garde" w:hAnsi="ITC Avant Garde" w:cs="Arial"/>
          <w:bCs/>
        </w:rPr>
        <w:t xml:space="preserve"> </w:t>
      </w:r>
      <w:r w:rsidRPr="00EB29B0">
        <w:rPr>
          <w:rFonts w:ascii="ITC Avant Garde" w:hAnsi="ITC Avant Garde" w:cs="Arial"/>
          <w:b/>
          <w:bCs/>
        </w:rPr>
        <w:t xml:space="preserve">Consulta Pública de </w:t>
      </w:r>
      <w:r w:rsidR="00674014" w:rsidRPr="00EB29B0">
        <w:rPr>
          <w:rFonts w:ascii="ITC Avant Garde" w:hAnsi="ITC Avant Garde" w:cs="Arial"/>
          <w:b/>
          <w:bCs/>
        </w:rPr>
        <w:t>las Ofertas de Referencia</w:t>
      </w:r>
      <w:r w:rsidRPr="00EB29B0">
        <w:rPr>
          <w:rFonts w:ascii="ITC Avant Garde" w:eastAsia="Times New Roman" w:hAnsi="ITC Avant Garde"/>
          <w:b/>
          <w:szCs w:val="20"/>
        </w:rPr>
        <w:t>.</w:t>
      </w:r>
      <w:r w:rsidRPr="00EB29B0">
        <w:rPr>
          <w:rFonts w:ascii="ITC Avant Garde" w:eastAsia="Times New Roman" w:hAnsi="ITC Avant Garde"/>
          <w:szCs w:val="20"/>
        </w:rPr>
        <w:t xml:space="preserve"> </w:t>
      </w:r>
      <w:r w:rsidR="00674014" w:rsidRPr="00EB29B0">
        <w:rPr>
          <w:rFonts w:ascii="ITC Avant Garde" w:hAnsi="ITC Avant Garde" w:cs="Arial"/>
          <w:bCs/>
        </w:rPr>
        <w:t>Como parte de</w:t>
      </w:r>
      <w:r w:rsidR="001043D8">
        <w:rPr>
          <w:rFonts w:ascii="ITC Avant Garde" w:hAnsi="ITC Avant Garde" w:cs="Arial"/>
          <w:bCs/>
        </w:rPr>
        <w:t>l</w:t>
      </w:r>
      <w:r w:rsidR="00674014" w:rsidRPr="00EB29B0">
        <w:rPr>
          <w:rFonts w:ascii="ITC Avant Garde" w:hAnsi="ITC Avant Garde" w:cs="Arial"/>
          <w:bCs/>
        </w:rPr>
        <w:t xml:space="preserve"> procedimiento</w:t>
      </w:r>
      <w:r w:rsidR="001043D8">
        <w:rPr>
          <w:rFonts w:ascii="ITC Avant Garde" w:hAnsi="ITC Avant Garde" w:cs="Arial"/>
          <w:bCs/>
        </w:rPr>
        <w:t xml:space="preserve"> de autorización de las ofertas de referencia</w:t>
      </w:r>
      <w:r w:rsidR="00674014" w:rsidRPr="00EB29B0">
        <w:rPr>
          <w:rFonts w:ascii="ITC Avant Garde" w:hAnsi="ITC Avant Garde" w:cs="Arial"/>
          <w:bCs/>
        </w:rPr>
        <w:t xml:space="preserve">, es necesario que el Instituto tenga conocimiento de las opiniones de los integrantes de la industria derivado de que son ellos quienes intervienen en la operación de las redes públicas de telecomunicaciones, </w:t>
      </w:r>
      <w:r w:rsidR="00326988">
        <w:rPr>
          <w:rFonts w:ascii="ITC Avant Garde" w:hAnsi="ITC Avant Garde" w:cs="Arial"/>
          <w:bCs/>
        </w:rPr>
        <w:t xml:space="preserve">y demandan servicios mayoristas regulados del AEP para la </w:t>
      </w:r>
      <w:r w:rsidR="00674014" w:rsidRPr="00EB29B0">
        <w:rPr>
          <w:rFonts w:ascii="ITC Avant Garde" w:hAnsi="ITC Avant Garde" w:cs="Arial"/>
          <w:bCs/>
        </w:rPr>
        <w:t xml:space="preserve">prestación y comercialización de </w:t>
      </w:r>
      <w:r w:rsidR="00326988">
        <w:rPr>
          <w:rFonts w:ascii="ITC Avant Garde" w:hAnsi="ITC Avant Garde" w:cs="Arial"/>
          <w:bCs/>
        </w:rPr>
        <w:t>su</w:t>
      </w:r>
      <w:r w:rsidR="00674014" w:rsidRPr="00EB29B0">
        <w:rPr>
          <w:rFonts w:ascii="ITC Avant Garde" w:hAnsi="ITC Avant Garde" w:cs="Arial"/>
          <w:bCs/>
        </w:rPr>
        <w:t>s servicios; ello sin perder de vista que ante la diversidad de intereses comerciales prevalecientes en la industria</w:t>
      </w:r>
      <w:r w:rsidR="00DC5195">
        <w:rPr>
          <w:rFonts w:ascii="ITC Avant Garde" w:hAnsi="ITC Avant Garde" w:cs="Arial"/>
          <w:bCs/>
        </w:rPr>
        <w:t>,</w:t>
      </w:r>
      <w:r w:rsidR="00674014" w:rsidRPr="00EB29B0">
        <w:rPr>
          <w:rFonts w:ascii="ITC Avant Garde" w:hAnsi="ITC Avant Garde" w:cs="Arial"/>
          <w:bCs/>
        </w:rPr>
        <w:t xml:space="preserve"> es el órgano regulador quien en última instancia está encargado de determinar las condiciones bajo las cuales se deberán de prestar los servicios</w:t>
      </w:r>
      <w:r w:rsidR="00DC5195">
        <w:rPr>
          <w:rFonts w:ascii="ITC Avant Garde" w:hAnsi="ITC Avant Garde" w:cs="Arial"/>
          <w:bCs/>
        </w:rPr>
        <w:t>,</w:t>
      </w:r>
      <w:r w:rsidR="00674014" w:rsidRPr="00EB29B0">
        <w:rPr>
          <w:rFonts w:ascii="ITC Avant Garde" w:hAnsi="ITC Avant Garde" w:cs="Arial"/>
          <w:bCs/>
        </w:rPr>
        <w:t xml:space="preserve"> evitando que se afecte la competencia y la libre concurrencia.</w:t>
      </w:r>
    </w:p>
    <w:p w14:paraId="0F1738AE" w14:textId="77777777" w:rsidR="00113DF3" w:rsidRDefault="00D95D9F" w:rsidP="00AC1B9C">
      <w:pPr>
        <w:spacing w:after="240"/>
        <w:jc w:val="both"/>
        <w:rPr>
          <w:rFonts w:ascii="ITC Avant Garde" w:hAnsi="ITC Avant Garde" w:cs="Arial"/>
          <w:bCs/>
        </w:rPr>
      </w:pPr>
      <w:r w:rsidRPr="00EB29B0">
        <w:rPr>
          <w:rFonts w:ascii="ITC Avant Garde" w:hAnsi="ITC Avant Garde" w:cs="Arial"/>
          <w:bCs/>
        </w:rPr>
        <w:t xml:space="preserve">Es así que en la Resolución Bienal se consideró </w:t>
      </w:r>
      <w:r w:rsidR="00BE2F00" w:rsidRPr="00EB29B0">
        <w:rPr>
          <w:rFonts w:ascii="ITC Avant Garde" w:hAnsi="ITC Avant Garde" w:cs="Arial"/>
          <w:bCs/>
        </w:rPr>
        <w:t>que</w:t>
      </w:r>
      <w:r w:rsidR="000247B2">
        <w:rPr>
          <w:rFonts w:ascii="ITC Avant Garde" w:hAnsi="ITC Avant Garde" w:cs="Arial"/>
          <w:bCs/>
        </w:rPr>
        <w:t xml:space="preserve"> para</w:t>
      </w:r>
      <w:r w:rsidR="000247B2" w:rsidRPr="00141A25">
        <w:t xml:space="preserve"> </w:t>
      </w:r>
      <w:r w:rsidR="000247B2" w:rsidRPr="00141A25">
        <w:rPr>
          <w:rFonts w:ascii="ITC Avant Garde" w:hAnsi="ITC Avant Garde" w:cs="Arial"/>
          <w:bCs/>
        </w:rPr>
        <w:t>brindar certidumbre al AEP respecto a la vigencia, plazos y procedimientos</w:t>
      </w:r>
      <w:r w:rsidR="00BE2F00" w:rsidRPr="00EB29B0">
        <w:rPr>
          <w:rFonts w:ascii="ITC Avant Garde" w:hAnsi="ITC Avant Garde" w:cs="Arial"/>
          <w:bCs/>
        </w:rPr>
        <w:t>,</w:t>
      </w:r>
      <w:r w:rsidRPr="00EB29B0">
        <w:rPr>
          <w:rFonts w:ascii="ITC Avant Garde" w:hAnsi="ITC Avant Garde" w:cs="Arial"/>
          <w:bCs/>
        </w:rPr>
        <w:t xml:space="preserve"> como parte del procedimiento de revisión de la Oferta de Referencia, establecida en la </w:t>
      </w:r>
      <w:r w:rsidRPr="00EB29B0">
        <w:rPr>
          <w:rFonts w:ascii="ITC Avant Garde" w:eastAsia="Times New Roman" w:hAnsi="ITC Avant Garde"/>
          <w:szCs w:val="20"/>
        </w:rPr>
        <w:t>Medida</w:t>
      </w:r>
      <w:r w:rsidR="00BE2F00">
        <w:rPr>
          <w:rFonts w:ascii="ITC Avant Garde" w:eastAsia="Times New Roman" w:hAnsi="ITC Avant Garde"/>
          <w:szCs w:val="20"/>
        </w:rPr>
        <w:t xml:space="preserve"> QUINTA de las Medidas de Desagregación</w:t>
      </w:r>
      <w:r w:rsidRPr="00EB29B0">
        <w:rPr>
          <w:rFonts w:ascii="ITC Avant Garde" w:eastAsia="Times New Roman" w:hAnsi="ITC Avant Garde"/>
          <w:szCs w:val="20"/>
        </w:rPr>
        <w:t>,</w:t>
      </w:r>
      <w:r w:rsidRPr="00EB29B0">
        <w:rPr>
          <w:rFonts w:ascii="ITC Avant Garde" w:hAnsi="ITC Avant Garde" w:cs="Arial"/>
          <w:bCs/>
        </w:rPr>
        <w:t xml:space="preserve"> se lleve a cabo un proceso de consulta pública por un periodo de treinta días naturales, </w:t>
      </w:r>
      <w:r w:rsidR="000247B2">
        <w:rPr>
          <w:rFonts w:ascii="ITC Avant Garde" w:hAnsi="ITC Avant Garde" w:cs="Arial"/>
          <w:bCs/>
        </w:rPr>
        <w:t xml:space="preserve">aplicando lo dispuesto </w:t>
      </w:r>
      <w:r w:rsidRPr="00EB29B0">
        <w:rPr>
          <w:rFonts w:ascii="ITC Avant Garde" w:hAnsi="ITC Avant Garde" w:cs="Arial"/>
          <w:bCs/>
        </w:rPr>
        <w:t xml:space="preserve">por </w:t>
      </w:r>
      <w:r w:rsidR="00BE2F00">
        <w:rPr>
          <w:rFonts w:ascii="ITC Avant Garde" w:hAnsi="ITC Avant Garde" w:cs="Arial"/>
          <w:bCs/>
        </w:rPr>
        <w:t>la fracción III de</w:t>
      </w:r>
      <w:r w:rsidRPr="00EB29B0">
        <w:rPr>
          <w:rFonts w:ascii="ITC Avant Garde" w:hAnsi="ITC Avant Garde" w:cs="Arial"/>
          <w:bCs/>
        </w:rPr>
        <w:t>l artículo 26</w:t>
      </w:r>
      <w:r w:rsidR="00BE2F00">
        <w:rPr>
          <w:rFonts w:ascii="ITC Avant Garde" w:hAnsi="ITC Avant Garde" w:cs="Arial"/>
          <w:bCs/>
        </w:rPr>
        <w:t>9</w:t>
      </w:r>
      <w:r w:rsidRPr="00EB29B0">
        <w:rPr>
          <w:rFonts w:ascii="ITC Avant Garde" w:hAnsi="ITC Avant Garde" w:cs="Arial"/>
          <w:bCs/>
        </w:rPr>
        <w:t xml:space="preserve"> de la</w:t>
      </w:r>
      <w:r w:rsidR="000247B2" w:rsidRPr="000247B2">
        <w:rPr>
          <w:rFonts w:ascii="ITC Avant Garde" w:hAnsi="ITC Avant Garde" w:cs="Arial"/>
          <w:bCs/>
        </w:rPr>
        <w:t xml:space="preserve"> </w:t>
      </w:r>
      <w:r w:rsidR="000247B2" w:rsidRPr="00EB29B0">
        <w:rPr>
          <w:rFonts w:ascii="ITC Avant Garde" w:hAnsi="ITC Avant Garde" w:cs="Arial"/>
          <w:bCs/>
        </w:rPr>
        <w:t>LFTR.</w:t>
      </w:r>
    </w:p>
    <w:p w14:paraId="0039ABD8" w14:textId="77777777" w:rsidR="00113DF3" w:rsidRDefault="00D95D9F" w:rsidP="00AC1B9C">
      <w:pPr>
        <w:spacing w:after="240"/>
        <w:jc w:val="both"/>
        <w:rPr>
          <w:rFonts w:ascii="ITC Avant Garde" w:hAnsi="ITC Avant Garde" w:cs="Arial"/>
          <w:bCs/>
        </w:rPr>
      </w:pPr>
      <w:r w:rsidRPr="00EB29B0">
        <w:rPr>
          <w:rFonts w:ascii="ITC Avant Garde" w:eastAsia="Times New Roman" w:hAnsi="ITC Avant Garde"/>
          <w:szCs w:val="20"/>
        </w:rPr>
        <w:t>Por otra parte, es importante</w:t>
      </w:r>
      <w:r w:rsidR="00674014" w:rsidRPr="00EB29B0">
        <w:rPr>
          <w:rFonts w:ascii="ITC Avant Garde" w:eastAsia="Times New Roman" w:hAnsi="ITC Avant Garde"/>
          <w:szCs w:val="20"/>
        </w:rPr>
        <w:t xml:space="preserve"> señalar que </w:t>
      </w:r>
      <w:r w:rsidR="00674014" w:rsidRPr="00EB29B0">
        <w:rPr>
          <w:rFonts w:ascii="ITC Avant Garde" w:hAnsi="ITC Avant Garde" w:cs="Arial"/>
          <w:bCs/>
        </w:rPr>
        <w:t xml:space="preserve">el artículo 51 de la LFTR establece la posibilidad que </w:t>
      </w:r>
      <w:r w:rsidR="000247B2">
        <w:rPr>
          <w:rFonts w:ascii="ITC Avant Garde" w:hAnsi="ITC Avant Garde" w:cs="Arial"/>
          <w:bCs/>
        </w:rPr>
        <w:t xml:space="preserve">tiene </w:t>
      </w:r>
      <w:r w:rsidR="00674014" w:rsidRPr="00EB29B0">
        <w:rPr>
          <w:rFonts w:ascii="ITC Avant Garde" w:hAnsi="ITC Avant Garde" w:cs="Arial"/>
          <w:bCs/>
        </w:rPr>
        <w:t xml:space="preserve">el Instituto </w:t>
      </w:r>
      <w:r w:rsidR="000247B2">
        <w:rPr>
          <w:rFonts w:ascii="ITC Avant Garde" w:hAnsi="ITC Avant Garde" w:cs="Arial"/>
          <w:bCs/>
        </w:rPr>
        <w:t xml:space="preserve">para </w:t>
      </w:r>
      <w:r w:rsidR="00674014" w:rsidRPr="00EB29B0">
        <w:rPr>
          <w:rFonts w:ascii="ITC Avant Garde" w:hAnsi="ITC Avant Garde" w:cs="Arial"/>
          <w:bCs/>
        </w:rPr>
        <w:t>llev</w:t>
      </w:r>
      <w:r w:rsidR="000247B2">
        <w:rPr>
          <w:rFonts w:ascii="ITC Avant Garde" w:hAnsi="ITC Avant Garde" w:cs="Arial"/>
          <w:bCs/>
        </w:rPr>
        <w:t>ar</w:t>
      </w:r>
      <w:r w:rsidR="00674014" w:rsidRPr="00EB29B0">
        <w:rPr>
          <w:rFonts w:ascii="ITC Avant Garde" w:hAnsi="ITC Avant Garde" w:cs="Arial"/>
          <w:bCs/>
        </w:rPr>
        <w:t xml:space="preserve"> a cabo consultas públicas en cualquier caso en el que el Pleno determine. Dichas consultas se realizarán bajo los principios de transparencia y participación ciudadana en los términos que determine el Pleno.</w:t>
      </w:r>
    </w:p>
    <w:p w14:paraId="01D5D77F" w14:textId="77777777" w:rsidR="00113DF3" w:rsidRDefault="00674014" w:rsidP="00AC1B9C">
      <w:pPr>
        <w:spacing w:after="240"/>
        <w:jc w:val="both"/>
        <w:rPr>
          <w:rFonts w:ascii="ITC Avant Garde" w:hAnsi="ITC Avant Garde" w:cs="Arial"/>
          <w:bCs/>
        </w:rPr>
      </w:pPr>
      <w:r w:rsidRPr="00EB29B0">
        <w:rPr>
          <w:rFonts w:ascii="ITC Avant Garde" w:hAnsi="ITC Avant Garde" w:cs="Arial"/>
          <w:bCs/>
        </w:rPr>
        <w:t xml:space="preserve">Conforme a lo expuesto, se considera que las propuestas de Ofertas de Referencia deben estar sujetas a un proceso de consulta pública por un periodo de treinta días naturales para favorecer la transparencia y participación ciudadana con el fin de recibir los comentarios y opiniones de la industria, académicos, analistas y sociedad en general sobre las principales condiciones técnicas y operativas para llevar a cabo la </w:t>
      </w:r>
      <w:r w:rsidR="00951F36">
        <w:rPr>
          <w:rFonts w:ascii="ITC Avant Garde" w:hAnsi="ITC Avant Garde" w:cs="Arial"/>
          <w:bCs/>
        </w:rPr>
        <w:t>Desagregación de la Red Local del AEP</w:t>
      </w:r>
      <w:r w:rsidRPr="00EB29B0">
        <w:rPr>
          <w:rFonts w:ascii="ITC Avant Garde" w:hAnsi="ITC Avant Garde" w:cs="Arial"/>
          <w:bCs/>
        </w:rPr>
        <w:t xml:space="preserve">, a efecto de dar cabal cumplimiento a lo establecido en el </w:t>
      </w:r>
      <w:r w:rsidR="00326988">
        <w:rPr>
          <w:rFonts w:ascii="ITC Avant Garde" w:hAnsi="ITC Avant Garde" w:cs="Arial"/>
          <w:bCs/>
        </w:rPr>
        <w:t>disposición</w:t>
      </w:r>
      <w:r w:rsidR="00326988" w:rsidRPr="00EB29B0">
        <w:rPr>
          <w:rFonts w:ascii="ITC Avant Garde" w:hAnsi="ITC Avant Garde" w:cs="Arial"/>
          <w:bCs/>
        </w:rPr>
        <w:t xml:space="preserve"> </w:t>
      </w:r>
      <w:r w:rsidRPr="00EB29B0">
        <w:rPr>
          <w:rFonts w:ascii="ITC Avant Garde" w:hAnsi="ITC Avant Garde" w:cs="Arial"/>
          <w:bCs/>
        </w:rPr>
        <w:t>legal señalad</w:t>
      </w:r>
      <w:r w:rsidR="00326988">
        <w:rPr>
          <w:rFonts w:ascii="ITC Avant Garde" w:hAnsi="ITC Avant Garde" w:cs="Arial"/>
          <w:bCs/>
        </w:rPr>
        <w:t>a</w:t>
      </w:r>
      <w:r w:rsidRPr="00EB29B0">
        <w:rPr>
          <w:rFonts w:ascii="ITC Avant Garde" w:hAnsi="ITC Avant Garde" w:cs="Arial"/>
          <w:bCs/>
        </w:rPr>
        <w:t>.</w:t>
      </w:r>
    </w:p>
    <w:p w14:paraId="63114D99" w14:textId="77777777" w:rsidR="00113DF3" w:rsidRDefault="00395C0F" w:rsidP="00AC1B9C">
      <w:pPr>
        <w:spacing w:after="240"/>
        <w:jc w:val="both"/>
        <w:rPr>
          <w:rFonts w:ascii="ITC Avant Garde" w:hAnsi="ITC Avant Garde" w:cs="Arial"/>
          <w:bCs/>
        </w:rPr>
      </w:pPr>
      <w:r w:rsidRPr="00EB29B0">
        <w:rPr>
          <w:rFonts w:ascii="ITC Avant Garde" w:hAnsi="ITC Avant Garde" w:cs="Arial"/>
          <w:bCs/>
        </w:rPr>
        <w:t xml:space="preserve">Al respecto, las condiciones técnicas y operativas serían aplicables al AEP y en ese sentido los concesionarios que presten los servicios de telecomunicaciones y que soliciten servicios </w:t>
      </w:r>
      <w:r w:rsidR="00326988">
        <w:rPr>
          <w:rFonts w:ascii="ITC Avant Garde" w:hAnsi="ITC Avant Garde" w:cs="Arial"/>
          <w:bCs/>
        </w:rPr>
        <w:t xml:space="preserve">mayoristas del AEP </w:t>
      </w:r>
      <w:r w:rsidRPr="00EB29B0">
        <w:rPr>
          <w:rFonts w:ascii="ITC Avant Garde" w:hAnsi="ITC Avant Garde" w:cs="Arial"/>
          <w:bCs/>
        </w:rPr>
        <w:t xml:space="preserve">tendrán a su disposición un marco de referencia </w:t>
      </w:r>
      <w:r w:rsidRPr="00EB29B0">
        <w:rPr>
          <w:rFonts w:ascii="ITC Avant Garde" w:hAnsi="ITC Avant Garde" w:cs="Arial"/>
          <w:bCs/>
        </w:rPr>
        <w:lastRenderedPageBreak/>
        <w:t xml:space="preserve">que se adapte a su enfoque comercial en un ambiente de sana competencia y de condiciones equitativas para todos los participantes del sector. </w:t>
      </w:r>
    </w:p>
    <w:p w14:paraId="4B89BD10" w14:textId="77777777" w:rsidR="00113DF3" w:rsidRDefault="00674014" w:rsidP="00AC1B9C">
      <w:pPr>
        <w:spacing w:after="240"/>
        <w:jc w:val="both"/>
        <w:rPr>
          <w:rFonts w:ascii="ITC Avant Garde" w:eastAsia="Times New Roman" w:hAnsi="ITC Avant Garde"/>
          <w:szCs w:val="20"/>
        </w:rPr>
      </w:pPr>
      <w:r w:rsidRPr="00EB29B0">
        <w:rPr>
          <w:rFonts w:ascii="ITC Avant Garde" w:eastAsia="Times New Roman" w:hAnsi="ITC Avant Garde"/>
          <w:szCs w:val="20"/>
        </w:rPr>
        <w:t xml:space="preserve">Cabe señalar que el proceso de Consulta Pública no implica una aceptación por parte del Instituto de las </w:t>
      </w:r>
      <w:r w:rsidR="00326988">
        <w:rPr>
          <w:rFonts w:ascii="ITC Avant Garde" w:eastAsia="Times New Roman" w:hAnsi="ITC Avant Garde"/>
          <w:szCs w:val="20"/>
        </w:rPr>
        <w:t>propuestas de o</w:t>
      </w:r>
      <w:r w:rsidRPr="00EB29B0">
        <w:rPr>
          <w:rFonts w:ascii="ITC Avant Garde" w:eastAsia="Times New Roman" w:hAnsi="ITC Avant Garde"/>
          <w:szCs w:val="20"/>
        </w:rPr>
        <w:t xml:space="preserve">fertas de </w:t>
      </w:r>
      <w:r w:rsidR="00326988">
        <w:rPr>
          <w:rFonts w:ascii="ITC Avant Garde" w:eastAsia="Times New Roman" w:hAnsi="ITC Avant Garde"/>
          <w:szCs w:val="20"/>
        </w:rPr>
        <w:t>r</w:t>
      </w:r>
      <w:r w:rsidRPr="00EB29B0">
        <w:rPr>
          <w:rFonts w:ascii="ITC Avant Garde" w:eastAsia="Times New Roman" w:hAnsi="ITC Avant Garde"/>
          <w:szCs w:val="20"/>
        </w:rPr>
        <w:t xml:space="preserve">eferencia presentadas por el Agente Económico Preponderante, por lo que podrá requerir modificar los términos y condiciones de las </w:t>
      </w:r>
      <w:r w:rsidR="00326988">
        <w:rPr>
          <w:rFonts w:ascii="ITC Avant Garde" w:eastAsia="Times New Roman" w:hAnsi="ITC Avant Garde"/>
          <w:szCs w:val="20"/>
        </w:rPr>
        <w:t xml:space="preserve">mismas </w:t>
      </w:r>
      <w:r w:rsidRPr="00EB29B0">
        <w:rPr>
          <w:rFonts w:ascii="ITC Avant Garde" w:eastAsia="Times New Roman" w:hAnsi="ITC Avant Garde"/>
          <w:szCs w:val="20"/>
        </w:rPr>
        <w:t xml:space="preserve">cuando no se ajusten a lo establecido en las Medidas </w:t>
      </w:r>
      <w:r w:rsidR="00951F36">
        <w:rPr>
          <w:rFonts w:ascii="ITC Avant Garde" w:eastAsia="Times New Roman" w:hAnsi="ITC Avant Garde"/>
          <w:szCs w:val="20"/>
        </w:rPr>
        <w:t xml:space="preserve">de </w:t>
      </w:r>
      <w:r w:rsidR="00EA52DF">
        <w:rPr>
          <w:rFonts w:ascii="ITC Avant Garde" w:eastAsia="Times New Roman" w:hAnsi="ITC Avant Garde"/>
          <w:szCs w:val="20"/>
        </w:rPr>
        <w:t xml:space="preserve">Desagregación </w:t>
      </w:r>
      <w:r w:rsidRPr="00EB29B0">
        <w:rPr>
          <w:rFonts w:ascii="ITC Avant Garde" w:eastAsia="Times New Roman" w:hAnsi="ITC Avant Garde"/>
          <w:szCs w:val="20"/>
        </w:rPr>
        <w:t>o a su juicio no ofrezcan condiciones que favorezcan la competencia en el sector</w:t>
      </w:r>
      <w:r w:rsidR="00326988">
        <w:rPr>
          <w:rFonts w:ascii="ITC Avant Garde" w:eastAsia="Times New Roman" w:hAnsi="ITC Avant Garde"/>
          <w:szCs w:val="20"/>
        </w:rPr>
        <w:t xml:space="preserve">, de conformidad con lo dispuesto por la Medida </w:t>
      </w:r>
      <w:r w:rsidR="008648FC">
        <w:rPr>
          <w:rFonts w:ascii="ITC Avant Garde" w:eastAsia="Times New Roman" w:hAnsi="ITC Avant Garde"/>
        </w:rPr>
        <w:t>QUINTA</w:t>
      </w:r>
      <w:r w:rsidRPr="00EB29B0">
        <w:rPr>
          <w:rFonts w:ascii="ITC Avant Garde" w:eastAsia="Times New Roman" w:hAnsi="ITC Avant Garde"/>
          <w:szCs w:val="20"/>
        </w:rPr>
        <w:t xml:space="preserve">. </w:t>
      </w:r>
    </w:p>
    <w:p w14:paraId="34D7EA6E" w14:textId="77777777" w:rsidR="00113DF3" w:rsidRDefault="003D36EA" w:rsidP="00AC1B9C">
      <w:pPr>
        <w:spacing w:after="240"/>
        <w:jc w:val="both"/>
        <w:rPr>
          <w:rFonts w:ascii="ITC Avant Garde" w:eastAsia="Times New Roman" w:hAnsi="ITC Avant Garde"/>
          <w:szCs w:val="20"/>
        </w:rPr>
      </w:pPr>
      <w:r w:rsidRPr="00EB29B0">
        <w:rPr>
          <w:rFonts w:ascii="ITC Avant Garde" w:eastAsia="Times New Roman" w:hAnsi="ITC Avant Garde"/>
          <w:szCs w:val="20"/>
        </w:rPr>
        <w:t>Asimismo, el Instituto podrá requerir la documentación e información que estime relevante a efecto de allegarse de mayores elementos de convicción o, en su caso, realizar las prevenciones necesarias, todo ello en términos de lo dispuesto en las propias Medidas, así como en la legislación aplicable.</w:t>
      </w:r>
    </w:p>
    <w:p w14:paraId="4716CF0C" w14:textId="77777777" w:rsidR="00113DF3" w:rsidRDefault="003D36EA" w:rsidP="00AC1B9C">
      <w:pPr>
        <w:spacing w:after="240"/>
        <w:jc w:val="both"/>
        <w:rPr>
          <w:rFonts w:ascii="ITC Avant Garde" w:eastAsia="Times New Roman" w:hAnsi="ITC Avant Garde"/>
          <w:szCs w:val="20"/>
        </w:rPr>
      </w:pPr>
      <w:r>
        <w:rPr>
          <w:rFonts w:ascii="ITC Avant Garde" w:eastAsia="Times New Roman" w:hAnsi="ITC Avant Garde"/>
          <w:szCs w:val="20"/>
        </w:rPr>
        <w:t>En el mismo sentido, el Instituto determinará las tarifas correspondientes a los servicios objeto de las Ofertas de Referencia de acuerdo a la metodología aplicable a cada uno de los servicios establecida en la Resolución Bienal.</w:t>
      </w:r>
    </w:p>
    <w:p w14:paraId="339598E9" w14:textId="1AF23FDB" w:rsidR="00113DF3" w:rsidRDefault="00674014" w:rsidP="00AC1B9C">
      <w:pPr>
        <w:spacing w:after="240"/>
        <w:jc w:val="both"/>
        <w:rPr>
          <w:rFonts w:ascii="ITC Avant Garde" w:hAnsi="ITC Avant Garde" w:cs="Arial"/>
          <w:bCs/>
        </w:rPr>
      </w:pPr>
      <w:r w:rsidRPr="00EB29B0">
        <w:rPr>
          <w:rFonts w:ascii="ITC Avant Garde" w:hAnsi="ITC Avant Garde" w:cs="Arial"/>
          <w:bCs/>
        </w:rPr>
        <w:t xml:space="preserve">Por lo anterior, con fundamento en lo dispuesto en los artículos 28, </w:t>
      </w:r>
      <w:r w:rsidR="00113DF3" w:rsidRPr="00EB29B0">
        <w:rPr>
          <w:rFonts w:ascii="ITC Avant Garde" w:hAnsi="ITC Avant Garde" w:cs="Arial"/>
          <w:bCs/>
        </w:rPr>
        <w:t>párrafo décimo quinto</w:t>
      </w:r>
      <w:r w:rsidRPr="00EB29B0">
        <w:rPr>
          <w:rFonts w:ascii="ITC Avant Garde" w:hAnsi="ITC Avant Garde" w:cs="Arial"/>
          <w:bCs/>
        </w:rPr>
        <w:t xml:space="preserve"> y décimo sexto de la Constitución Política de los Estados Unidos Mexicanos; 1, 2, 7, 15 fracciones XL y LXIII</w:t>
      </w:r>
      <w:r w:rsidR="003545B6" w:rsidRPr="00EB29B0">
        <w:rPr>
          <w:rFonts w:ascii="ITC Avant Garde" w:hAnsi="ITC Avant Garde" w:cs="Arial"/>
          <w:bCs/>
        </w:rPr>
        <w:t>,</w:t>
      </w:r>
      <w:r w:rsidRPr="00EB29B0">
        <w:rPr>
          <w:rFonts w:ascii="ITC Avant Garde" w:hAnsi="ITC Avant Garde" w:cs="Arial"/>
          <w:bCs/>
        </w:rPr>
        <w:t xml:space="preserve"> 51</w:t>
      </w:r>
      <w:r w:rsidR="003545B6" w:rsidRPr="00EB29B0">
        <w:rPr>
          <w:rFonts w:ascii="ITC Avant Garde" w:hAnsi="ITC Avant Garde" w:cs="Arial"/>
          <w:bCs/>
        </w:rPr>
        <w:t xml:space="preserve"> y 26</w:t>
      </w:r>
      <w:r w:rsidR="00EA52DF">
        <w:rPr>
          <w:rFonts w:ascii="ITC Avant Garde" w:hAnsi="ITC Avant Garde" w:cs="Arial"/>
          <w:bCs/>
        </w:rPr>
        <w:t>9</w:t>
      </w:r>
      <w:r w:rsidRPr="00EB29B0">
        <w:rPr>
          <w:rFonts w:ascii="ITC Avant Garde" w:hAnsi="ITC Avant Garde" w:cs="Arial"/>
          <w:bCs/>
        </w:rPr>
        <w:t xml:space="preserve"> </w:t>
      </w:r>
      <w:r w:rsidR="00EA52DF">
        <w:rPr>
          <w:rFonts w:ascii="ITC Avant Garde" w:hAnsi="ITC Avant Garde" w:cs="Arial"/>
          <w:bCs/>
        </w:rPr>
        <w:t xml:space="preserve">fracción III </w:t>
      </w:r>
      <w:r w:rsidRPr="00EB29B0">
        <w:rPr>
          <w:rFonts w:ascii="ITC Avant Garde" w:hAnsi="ITC Avant Garde" w:cs="Arial"/>
          <w:bCs/>
        </w:rPr>
        <w:t>de la Ley Federal de Telecomunicaciones y Radiodifusión, y 1 y 4, fracción 1 y 6 fracción XXXVII</w:t>
      </w:r>
      <w:r w:rsidR="003545B6" w:rsidRPr="00EB29B0">
        <w:rPr>
          <w:rFonts w:ascii="ITC Avant Garde" w:hAnsi="ITC Avant Garde" w:cs="Arial"/>
          <w:bCs/>
        </w:rPr>
        <w:t>I</w:t>
      </w:r>
      <w:r w:rsidRPr="00EB29B0">
        <w:rPr>
          <w:rFonts w:ascii="ITC Avant Garde" w:hAnsi="ITC Avant Garde" w:cs="Arial"/>
          <w:bCs/>
        </w:rPr>
        <w:t xml:space="preserve"> del Estatuto Orgánico del Instituto Federal de Telecomunicaciones, se expide</w:t>
      </w:r>
      <w:r w:rsidR="003545B6" w:rsidRPr="00EB29B0">
        <w:rPr>
          <w:rFonts w:ascii="ITC Avant Garde" w:hAnsi="ITC Avant Garde" w:cs="Arial"/>
          <w:bCs/>
        </w:rPr>
        <w:t>n</w:t>
      </w:r>
      <w:r w:rsidRPr="00EB29B0">
        <w:rPr>
          <w:rFonts w:ascii="ITC Avant Garde" w:hAnsi="ITC Avant Garde" w:cs="Arial"/>
          <w:bCs/>
        </w:rPr>
        <w:t xml:space="preserve"> </w:t>
      </w:r>
      <w:r w:rsidR="003545B6" w:rsidRPr="00EB29B0">
        <w:rPr>
          <w:rFonts w:ascii="ITC Avant Garde" w:hAnsi="ITC Avant Garde" w:cs="Arial"/>
          <w:bCs/>
        </w:rPr>
        <w:t>los</w:t>
      </w:r>
      <w:r w:rsidRPr="00EB29B0">
        <w:rPr>
          <w:rFonts w:ascii="ITC Avant Garde" w:hAnsi="ITC Avant Garde" w:cs="Arial"/>
          <w:bCs/>
        </w:rPr>
        <w:t xml:space="preserve"> siguiente</w:t>
      </w:r>
      <w:r w:rsidR="003545B6" w:rsidRPr="00EB29B0">
        <w:rPr>
          <w:rFonts w:ascii="ITC Avant Garde" w:hAnsi="ITC Avant Garde" w:cs="Arial"/>
          <w:bCs/>
        </w:rPr>
        <w:t>s</w:t>
      </w:r>
      <w:r w:rsidRPr="00EB29B0">
        <w:rPr>
          <w:rFonts w:ascii="ITC Avant Garde" w:hAnsi="ITC Avant Garde" w:cs="Arial"/>
          <w:bCs/>
        </w:rPr>
        <w:t>:</w:t>
      </w:r>
    </w:p>
    <w:p w14:paraId="68A61C1A" w14:textId="77777777" w:rsidR="00113DF3" w:rsidRDefault="00D17822" w:rsidP="00AC1B9C">
      <w:pPr>
        <w:pStyle w:val="Ttulo2"/>
        <w:spacing w:after="240"/>
        <w:ind w:firstLine="0"/>
        <w:jc w:val="center"/>
        <w:rPr>
          <w:rFonts w:ascii="ITC Avant Garde" w:hAnsi="ITC Avant Garde" w:cs="Arial"/>
          <w:smallCaps/>
          <w:sz w:val="22"/>
          <w:szCs w:val="22"/>
        </w:rPr>
      </w:pPr>
      <w:r w:rsidRPr="00113DF3">
        <w:rPr>
          <w:rFonts w:ascii="ITC Avant Garde" w:hAnsi="ITC Avant Garde" w:cs="Arial"/>
          <w:smallCaps/>
          <w:sz w:val="22"/>
          <w:szCs w:val="22"/>
        </w:rPr>
        <w:t>ACUERDO</w:t>
      </w:r>
      <w:r w:rsidR="003545B6" w:rsidRPr="00113DF3">
        <w:rPr>
          <w:rFonts w:ascii="ITC Avant Garde" w:hAnsi="ITC Avant Garde" w:cs="Arial"/>
          <w:smallCaps/>
          <w:sz w:val="22"/>
          <w:szCs w:val="22"/>
        </w:rPr>
        <w:t>S</w:t>
      </w:r>
    </w:p>
    <w:p w14:paraId="1FB5C924" w14:textId="77777777" w:rsidR="00113DF3" w:rsidRDefault="00060DAB" w:rsidP="00AC1B9C">
      <w:pPr>
        <w:spacing w:after="240"/>
        <w:jc w:val="both"/>
        <w:rPr>
          <w:rFonts w:ascii="ITC Avant Garde" w:hAnsi="ITC Avant Garde" w:cs="Arial"/>
          <w:bCs/>
        </w:rPr>
      </w:pPr>
      <w:r w:rsidRPr="0003799D">
        <w:rPr>
          <w:rFonts w:ascii="ITC Avant Garde" w:hAnsi="ITC Avant Garde" w:cs="Arial"/>
          <w:b/>
          <w:bCs/>
        </w:rPr>
        <w:t>PRIMERO</w:t>
      </w:r>
      <w:r w:rsidRPr="0003799D">
        <w:rPr>
          <w:rFonts w:ascii="ITC Avant Garde" w:hAnsi="ITC Avant Garde" w:cs="Arial"/>
          <w:bCs/>
        </w:rPr>
        <w:t xml:space="preserve">.- </w:t>
      </w:r>
      <w:r w:rsidR="003545B6" w:rsidRPr="0003799D">
        <w:rPr>
          <w:rFonts w:ascii="ITC Avant Garde" w:hAnsi="ITC Avant Garde" w:cs="Arial"/>
          <w:bCs/>
        </w:rPr>
        <w:t xml:space="preserve">Se </w:t>
      </w:r>
      <w:r w:rsidR="000247B2">
        <w:rPr>
          <w:rFonts w:ascii="ITC Avant Garde" w:hAnsi="ITC Avant Garde" w:cs="Arial"/>
          <w:bCs/>
        </w:rPr>
        <w:t>determina</w:t>
      </w:r>
      <w:r w:rsidR="000247B2" w:rsidRPr="0003799D">
        <w:rPr>
          <w:rFonts w:ascii="ITC Avant Garde" w:hAnsi="ITC Avant Garde" w:cs="Arial"/>
          <w:bCs/>
        </w:rPr>
        <w:t xml:space="preserve"> </w:t>
      </w:r>
      <w:r w:rsidR="003545B6" w:rsidRPr="0003799D">
        <w:rPr>
          <w:rFonts w:ascii="ITC Avant Garde" w:hAnsi="ITC Avant Garde" w:cs="Arial"/>
          <w:bCs/>
        </w:rPr>
        <w:t xml:space="preserve">someter a consulta pública, por un plazo de 30 (treinta) días naturales contados a partir del día hábil siguiente al de su publicación en el portal de Internet del Instituto Federal de Telecomunicaciones, en los términos que fueron presentadas por las empresas </w:t>
      </w:r>
      <w:r w:rsidR="003545B6" w:rsidRPr="0003799D">
        <w:rPr>
          <w:rFonts w:ascii="ITC Avant Garde" w:eastAsia="Times New Roman" w:hAnsi="ITC Avant Garde"/>
        </w:rPr>
        <w:t>Teléfonos de México, S.A.B. de C.V.</w:t>
      </w:r>
      <w:r w:rsidR="00EA52DF">
        <w:rPr>
          <w:rFonts w:ascii="ITC Avant Garde" w:eastAsia="Times New Roman" w:hAnsi="ITC Avant Garde"/>
        </w:rPr>
        <w:t xml:space="preserve"> y </w:t>
      </w:r>
      <w:r w:rsidR="003545B6" w:rsidRPr="0003799D">
        <w:rPr>
          <w:rFonts w:ascii="ITC Avant Garde" w:eastAsia="Times New Roman" w:hAnsi="ITC Avant Garde"/>
        </w:rPr>
        <w:t xml:space="preserve">Teléfonos del Noroeste, S.A. de C.V. integrantes del </w:t>
      </w:r>
      <w:r w:rsidR="003545B6" w:rsidRPr="0003799D">
        <w:rPr>
          <w:rFonts w:ascii="ITC Avant Garde" w:hAnsi="ITC Avant Garde" w:cs="Arial"/>
          <w:bCs/>
        </w:rPr>
        <w:t>Agente Económico Preponderante</w:t>
      </w:r>
      <w:r w:rsidR="008F099E">
        <w:rPr>
          <w:rFonts w:ascii="ITC Avant Garde" w:hAnsi="ITC Avant Garde" w:cs="Arial"/>
          <w:bCs/>
        </w:rPr>
        <w:t xml:space="preserve"> </w:t>
      </w:r>
      <w:r w:rsidR="00EA52DF">
        <w:rPr>
          <w:rFonts w:ascii="ITC Avant Garde" w:hAnsi="ITC Avant Garde" w:cs="Arial"/>
          <w:bCs/>
        </w:rPr>
        <w:t>en el sector de telecomunicaciones</w:t>
      </w:r>
      <w:r w:rsidR="003545B6" w:rsidRPr="0003799D">
        <w:rPr>
          <w:rFonts w:ascii="ITC Avant Garde" w:hAnsi="ITC Avant Garde" w:cs="Arial"/>
          <w:bCs/>
        </w:rPr>
        <w:t>, las propuestas de Ofertas de Referencia que se detallan en los Antecedentes V</w:t>
      </w:r>
      <w:r w:rsidR="00BF12F9" w:rsidRPr="0003799D">
        <w:rPr>
          <w:rFonts w:ascii="ITC Avant Garde" w:hAnsi="ITC Avant Garde" w:cs="Arial"/>
          <w:bCs/>
        </w:rPr>
        <w:t>I</w:t>
      </w:r>
      <w:r w:rsidR="003545B6" w:rsidRPr="0003799D">
        <w:rPr>
          <w:rFonts w:ascii="ITC Avant Garde" w:hAnsi="ITC Avant Garde" w:cs="Arial"/>
          <w:bCs/>
        </w:rPr>
        <w:t xml:space="preserve"> </w:t>
      </w:r>
      <w:r w:rsidR="00EA52DF">
        <w:rPr>
          <w:rFonts w:ascii="ITC Avant Garde" w:hAnsi="ITC Avant Garde" w:cs="Arial"/>
          <w:bCs/>
        </w:rPr>
        <w:t>y VII</w:t>
      </w:r>
      <w:r w:rsidR="003545B6" w:rsidRPr="0003799D">
        <w:rPr>
          <w:rFonts w:ascii="ITC Avant Garde" w:hAnsi="ITC Avant Garde" w:cs="Arial"/>
          <w:bCs/>
        </w:rPr>
        <w:t xml:space="preserve"> del presente Acuerdo, las cuales forman parte integrante del mismo.</w:t>
      </w:r>
    </w:p>
    <w:p w14:paraId="327021BE" w14:textId="77777777" w:rsidR="00113DF3" w:rsidRDefault="0042271F" w:rsidP="00AC1B9C">
      <w:pPr>
        <w:spacing w:after="240"/>
        <w:jc w:val="both"/>
        <w:rPr>
          <w:rFonts w:ascii="ITC Avant Garde" w:hAnsi="ITC Avant Garde" w:cs="Arial"/>
          <w:bCs/>
        </w:rPr>
      </w:pPr>
      <w:proofErr w:type="gramStart"/>
      <w:r w:rsidRPr="00EB29B0">
        <w:rPr>
          <w:rFonts w:ascii="ITC Avant Garde" w:hAnsi="ITC Avant Garde" w:cs="Arial"/>
          <w:b/>
          <w:bCs/>
        </w:rPr>
        <w:t>SEGUNDO</w:t>
      </w:r>
      <w:r w:rsidRPr="00EB29B0">
        <w:rPr>
          <w:rFonts w:ascii="ITC Avant Garde" w:hAnsi="ITC Avant Garde" w:cs="Arial"/>
          <w:bCs/>
        </w:rPr>
        <w:t>.-</w:t>
      </w:r>
      <w:proofErr w:type="gramEnd"/>
      <w:r w:rsidRPr="00EB29B0">
        <w:rPr>
          <w:rFonts w:ascii="ITC Avant Garde" w:hAnsi="ITC Avant Garde" w:cs="Arial"/>
          <w:bCs/>
        </w:rPr>
        <w:t xml:space="preserve"> Se instruye a la Unidad de Política Regulatoria a recibir y dar la atención que corresponda a las opiniones que sean vertidas en virtud de la consulta pública</w:t>
      </w:r>
      <w:r w:rsidR="005B5F22" w:rsidRPr="00EB29B0">
        <w:rPr>
          <w:rFonts w:ascii="ITC Avant Garde" w:hAnsi="ITC Avant Garde" w:cs="Arial"/>
          <w:bCs/>
        </w:rPr>
        <w:t xml:space="preserve"> materia del presente Acuerdo.</w:t>
      </w:r>
    </w:p>
    <w:p w14:paraId="1A3A0030" w14:textId="3CC457C0" w:rsidR="00113DF3" w:rsidRDefault="0042271F" w:rsidP="00AC1B9C">
      <w:pPr>
        <w:spacing w:after="240"/>
        <w:jc w:val="both"/>
        <w:rPr>
          <w:rFonts w:ascii="ITC Avant Garde" w:hAnsi="ITC Avant Garde" w:cs="Arial"/>
        </w:rPr>
      </w:pPr>
      <w:proofErr w:type="gramStart"/>
      <w:r w:rsidRPr="00EB29B0">
        <w:rPr>
          <w:rFonts w:ascii="ITC Avant Garde" w:hAnsi="ITC Avant Garde" w:cs="Arial"/>
          <w:b/>
          <w:bCs/>
        </w:rPr>
        <w:t>TERCERO</w:t>
      </w:r>
      <w:r w:rsidR="00113DF3">
        <w:rPr>
          <w:rFonts w:ascii="ITC Avant Garde" w:hAnsi="ITC Avant Garde" w:cs="Arial"/>
          <w:bCs/>
        </w:rPr>
        <w:t>.-</w:t>
      </w:r>
      <w:proofErr w:type="gramEnd"/>
      <w:r w:rsidR="00113DF3">
        <w:rPr>
          <w:rFonts w:ascii="ITC Avant Garde" w:hAnsi="ITC Avant Garde" w:cs="Arial"/>
          <w:bCs/>
        </w:rPr>
        <w:t xml:space="preserve"> </w:t>
      </w:r>
      <w:r w:rsidRPr="00EB29B0">
        <w:rPr>
          <w:rFonts w:ascii="ITC Avant Garde" w:hAnsi="ITC Avant Garde" w:cs="Arial"/>
          <w:bCs/>
        </w:rPr>
        <w:t>Publíquese</w:t>
      </w:r>
      <w:r w:rsidR="003252F8" w:rsidRPr="00EB29B0">
        <w:rPr>
          <w:rFonts w:ascii="ITC Avant Garde" w:hAnsi="ITC Avant Garde" w:cs="Arial"/>
          <w:bCs/>
        </w:rPr>
        <w:t xml:space="preserve"> </w:t>
      </w:r>
      <w:r w:rsidRPr="00EB29B0">
        <w:rPr>
          <w:rFonts w:ascii="ITC Avant Garde" w:hAnsi="ITC Avant Garde" w:cs="Arial"/>
          <w:bCs/>
        </w:rPr>
        <w:t xml:space="preserve">en </w:t>
      </w:r>
      <w:r w:rsidR="005B5F22" w:rsidRPr="00EB29B0">
        <w:rPr>
          <w:rFonts w:ascii="ITC Avant Garde" w:hAnsi="ITC Avant Garde" w:cs="Arial"/>
          <w:bCs/>
        </w:rPr>
        <w:t>el portal</w:t>
      </w:r>
      <w:r w:rsidRPr="00EB29B0">
        <w:rPr>
          <w:rFonts w:ascii="ITC Avant Garde" w:hAnsi="ITC Avant Garde" w:cs="Arial"/>
          <w:bCs/>
        </w:rPr>
        <w:t xml:space="preserve"> de Internet del Instituto</w:t>
      </w:r>
      <w:r w:rsidR="00671F9E" w:rsidRPr="00EB29B0">
        <w:rPr>
          <w:rFonts w:ascii="ITC Avant Garde" w:hAnsi="ITC Avant Garde" w:cs="Arial"/>
          <w:bCs/>
        </w:rPr>
        <w:t xml:space="preserve"> Federal de Telecomunicaciones</w:t>
      </w:r>
      <w:r w:rsidRPr="00EB29B0">
        <w:rPr>
          <w:rFonts w:ascii="ITC Avant Garde" w:hAnsi="ITC Avant Garde" w:cs="Arial"/>
          <w:bCs/>
        </w:rPr>
        <w:t>.</w:t>
      </w:r>
      <w:r w:rsidR="00113DF3" w:rsidRPr="006D6AF9">
        <w:rPr>
          <w:rFonts w:ascii="ITC Avant Garde" w:hAnsi="ITC Avant Garde" w:cs="Arial"/>
        </w:rPr>
        <w:t xml:space="preserve"> </w:t>
      </w:r>
    </w:p>
    <w:p w14:paraId="74C14221" w14:textId="7250A7D8" w:rsidR="00650782" w:rsidRPr="00113DF3" w:rsidRDefault="00650782" w:rsidP="00AC1B9C">
      <w:pPr>
        <w:spacing w:after="240" w:line="240" w:lineRule="auto"/>
        <w:jc w:val="both"/>
        <w:rPr>
          <w:rFonts w:ascii="ITC Avant Garde" w:hAnsi="ITC Avant Garde"/>
          <w:sz w:val="14"/>
          <w:lang w:eastAsia="es-MX"/>
        </w:rPr>
      </w:pPr>
      <w:r w:rsidRPr="00650782">
        <w:rPr>
          <w:rFonts w:ascii="ITC Avant Garde" w:hAnsi="ITC Avant Garde"/>
          <w:sz w:val="14"/>
          <w:lang w:val="es-ES" w:eastAsia="es-ES"/>
        </w:rPr>
        <w:lastRenderedPageBreak/>
        <w:t xml:space="preserve">El presente Acuerdo fue aprobado por el Pleno del Instituto Federal de Telecomunicaciones en su I Sesión Extraordinaria celebrada el 6 de julio de 2018, </w:t>
      </w:r>
      <w:r w:rsidRPr="00650782">
        <w:rPr>
          <w:rFonts w:ascii="ITC Avant Garde" w:hAnsi="ITC Avant Garde"/>
          <w:bCs/>
          <w:sz w:val="14"/>
          <w:lang w:val="es-ES" w:eastAsia="es-ES"/>
        </w:rPr>
        <w:t>por</w:t>
      </w:r>
      <w:r w:rsidRPr="00650782">
        <w:rPr>
          <w:rFonts w:ascii="ITC Avant Garde" w:hAnsi="ITC Avant Garde"/>
          <w:sz w:val="14"/>
          <w:lang w:val="es-ES" w:eastAsia="es-ES"/>
        </w:rPr>
        <w:t xml:space="preserve"> </w:t>
      </w:r>
      <w:r w:rsidRPr="00650782">
        <w:rPr>
          <w:rFonts w:ascii="ITC Avant Garde" w:hAnsi="ITC Avant Garde"/>
          <w:bCs/>
          <w:sz w:val="14"/>
          <w:lang w:val="es-ES" w:eastAsia="es-ES"/>
        </w:rPr>
        <w:t>unanimidad</w:t>
      </w:r>
      <w:r w:rsidRPr="00650782">
        <w:rPr>
          <w:rFonts w:ascii="ITC Avant Garde" w:hAnsi="ITC Avant Garde"/>
          <w:sz w:val="14"/>
          <w:lang w:val="es-ES" w:eastAsia="es-ES"/>
        </w:rPr>
        <w:t xml:space="preserve"> de votos de los Comisionados Gabriel Oswaldo Contreras Saldívar, María Elena </w:t>
      </w:r>
      <w:proofErr w:type="spellStart"/>
      <w:r w:rsidRPr="00650782">
        <w:rPr>
          <w:rFonts w:ascii="ITC Avant Garde" w:hAnsi="ITC Avant Garde"/>
          <w:sz w:val="14"/>
          <w:lang w:val="es-ES" w:eastAsia="es-ES"/>
        </w:rPr>
        <w:t>Estavillo</w:t>
      </w:r>
      <w:proofErr w:type="spellEnd"/>
      <w:r w:rsidRPr="00650782">
        <w:rPr>
          <w:rFonts w:ascii="ITC Avant Garde" w:hAnsi="ITC Avant Garde"/>
          <w:sz w:val="14"/>
          <w:lang w:val="es-ES" w:eastAsia="es-ES"/>
        </w:rPr>
        <w:t xml:space="preserve"> Flores, </w:t>
      </w:r>
      <w:r w:rsidRPr="00650782">
        <w:rPr>
          <w:rFonts w:ascii="ITC Avant Garde" w:hAnsi="ITC Avant Garde"/>
          <w:sz w:val="14"/>
          <w:lang w:eastAsia="es-MX"/>
        </w:rPr>
        <w:t xml:space="preserve">Mario Germán </w:t>
      </w:r>
      <w:proofErr w:type="spellStart"/>
      <w:r w:rsidRPr="00650782">
        <w:rPr>
          <w:rFonts w:ascii="ITC Avant Garde" w:hAnsi="ITC Avant Garde"/>
          <w:sz w:val="14"/>
          <w:lang w:eastAsia="es-MX"/>
        </w:rPr>
        <w:t>Fromow</w:t>
      </w:r>
      <w:proofErr w:type="spellEnd"/>
      <w:r w:rsidRPr="00650782">
        <w:rPr>
          <w:rFonts w:ascii="ITC Avant Garde" w:hAnsi="ITC Avant Garde"/>
          <w:sz w:val="14"/>
          <w:lang w:eastAsia="es-MX"/>
        </w:rPr>
        <w:t xml:space="preserve"> Rangel, Adolfo Cuevas Teja, Javier Juárez Mojica, Arturo Robles </w:t>
      </w:r>
      <w:proofErr w:type="spellStart"/>
      <w:r w:rsidRPr="00650782">
        <w:rPr>
          <w:rFonts w:ascii="ITC Avant Garde" w:hAnsi="ITC Avant Garde"/>
          <w:sz w:val="14"/>
          <w:lang w:eastAsia="es-MX"/>
        </w:rPr>
        <w:t>Rovalo</w:t>
      </w:r>
      <w:proofErr w:type="spellEnd"/>
      <w:r w:rsidRPr="00650782">
        <w:rPr>
          <w:rFonts w:ascii="ITC Avant Garde" w:hAnsi="ITC Avant Garde"/>
          <w:sz w:val="14"/>
          <w:lang w:eastAsia="es-MX"/>
        </w:rPr>
        <w:t xml:space="preserve"> y </w:t>
      </w:r>
      <w:proofErr w:type="spellStart"/>
      <w:r w:rsidRPr="00650782">
        <w:rPr>
          <w:rFonts w:ascii="ITC Avant Garde" w:hAnsi="ITC Avant Garde"/>
          <w:sz w:val="14"/>
          <w:lang w:eastAsia="es-MX"/>
        </w:rPr>
        <w:t>Sóstenes</w:t>
      </w:r>
      <w:proofErr w:type="spellEnd"/>
      <w:r w:rsidRPr="00650782">
        <w:rPr>
          <w:rFonts w:ascii="ITC Avant Garde" w:hAnsi="ITC Avant Garde"/>
          <w:sz w:val="14"/>
          <w:lang w:eastAsia="es-MX"/>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P/IFT/EXT/060718/1.</w:t>
      </w:r>
    </w:p>
    <w:sectPr w:rsidR="00650782" w:rsidRPr="00113DF3" w:rsidSect="002641D2">
      <w:headerReference w:type="even" r:id="rId8"/>
      <w:footerReference w:type="default" r:id="rId9"/>
      <w:headerReference w:type="first" r:id="rId10"/>
      <w:pgSz w:w="12240" w:h="15840" w:code="1"/>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5FD74" w14:textId="77777777" w:rsidR="00E0385A" w:rsidRDefault="00E0385A" w:rsidP="009B28E6">
      <w:pPr>
        <w:spacing w:after="0" w:line="240" w:lineRule="auto"/>
      </w:pPr>
      <w:r>
        <w:separator/>
      </w:r>
    </w:p>
  </w:endnote>
  <w:endnote w:type="continuationSeparator" w:id="0">
    <w:p w14:paraId="00EA3A53" w14:textId="77777777" w:rsidR="00E0385A" w:rsidRDefault="00E0385A"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94122"/>
      <w:docPartObj>
        <w:docPartGallery w:val="Page Numbers (Bottom of Page)"/>
        <w:docPartUnique/>
      </w:docPartObj>
    </w:sdtPr>
    <w:sdtEndPr>
      <w:rPr>
        <w:rFonts w:ascii="ITC Avant Garde" w:hAnsi="ITC Avant Garde"/>
        <w:sz w:val="20"/>
        <w:szCs w:val="20"/>
      </w:rPr>
    </w:sdtEndPr>
    <w:sdtContent>
      <w:p w14:paraId="46636ACB" w14:textId="3AD3F580" w:rsidR="00010FC3" w:rsidRPr="002641D2" w:rsidRDefault="00010FC3">
        <w:pPr>
          <w:pStyle w:val="Piedepgina"/>
          <w:jc w:val="right"/>
          <w:rPr>
            <w:rFonts w:ascii="ITC Avant Garde" w:hAnsi="ITC Avant Garde"/>
            <w:sz w:val="20"/>
            <w:szCs w:val="20"/>
          </w:rPr>
        </w:pPr>
        <w:r w:rsidRPr="002641D2">
          <w:rPr>
            <w:rFonts w:ascii="ITC Avant Garde" w:hAnsi="ITC Avant Garde"/>
            <w:sz w:val="20"/>
            <w:szCs w:val="20"/>
          </w:rPr>
          <w:fldChar w:fldCharType="begin"/>
        </w:r>
        <w:r w:rsidRPr="002641D2">
          <w:rPr>
            <w:rFonts w:ascii="ITC Avant Garde" w:hAnsi="ITC Avant Garde"/>
            <w:sz w:val="20"/>
            <w:szCs w:val="20"/>
          </w:rPr>
          <w:instrText>PAGE   \* MERGEFORMAT</w:instrText>
        </w:r>
        <w:r w:rsidRPr="002641D2">
          <w:rPr>
            <w:rFonts w:ascii="ITC Avant Garde" w:hAnsi="ITC Avant Garde"/>
            <w:sz w:val="20"/>
            <w:szCs w:val="20"/>
          </w:rPr>
          <w:fldChar w:fldCharType="separate"/>
        </w:r>
        <w:r w:rsidR="00AF20CB" w:rsidRPr="00AF20CB">
          <w:rPr>
            <w:rFonts w:ascii="ITC Avant Garde" w:hAnsi="ITC Avant Garde"/>
            <w:noProof/>
            <w:sz w:val="20"/>
            <w:szCs w:val="20"/>
            <w:lang w:val="es-ES"/>
          </w:rPr>
          <w:t>6</w:t>
        </w:r>
        <w:r w:rsidRPr="002641D2">
          <w:rPr>
            <w:rFonts w:ascii="ITC Avant Garde" w:hAnsi="ITC Avant Garde"/>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CFF75" w14:textId="77777777" w:rsidR="00E0385A" w:rsidRDefault="00E0385A" w:rsidP="009B28E6">
      <w:pPr>
        <w:spacing w:after="0" w:line="240" w:lineRule="auto"/>
      </w:pPr>
      <w:r>
        <w:separator/>
      </w:r>
    </w:p>
  </w:footnote>
  <w:footnote w:type="continuationSeparator" w:id="0">
    <w:p w14:paraId="2CDFC506" w14:textId="77777777" w:rsidR="00E0385A" w:rsidRDefault="00E0385A" w:rsidP="009B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B5FEB" w14:textId="77777777" w:rsidR="007A1607" w:rsidRDefault="00E0385A">
    <w:pPr>
      <w:pStyle w:val="Encabezado"/>
    </w:pPr>
    <w:r>
      <w:rPr>
        <w:noProof/>
        <w:lang w:eastAsia="es-MX"/>
      </w:rPr>
      <w:pict w14:anchorId="59E6F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C914" w14:textId="77777777" w:rsidR="007A1607" w:rsidRDefault="00E0385A">
    <w:pPr>
      <w:pStyle w:val="Encabezado"/>
    </w:pPr>
    <w:r>
      <w:rPr>
        <w:noProof/>
        <w:lang w:eastAsia="es-MX"/>
      </w:rPr>
      <w:pict w14:anchorId="0BAD4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5"/>
  </w:num>
  <w:num w:numId="6">
    <w:abstractNumId w:val="6"/>
  </w:num>
  <w:num w:numId="7">
    <w:abstractNumId w:val="4"/>
  </w:num>
  <w:num w:numId="8">
    <w:abstractNumId w:val="3"/>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0FC3"/>
    <w:rsid w:val="00012BBE"/>
    <w:rsid w:val="00014BF9"/>
    <w:rsid w:val="000158D7"/>
    <w:rsid w:val="000162A3"/>
    <w:rsid w:val="000177E6"/>
    <w:rsid w:val="00020AB3"/>
    <w:rsid w:val="000247B2"/>
    <w:rsid w:val="000277EE"/>
    <w:rsid w:val="00027A90"/>
    <w:rsid w:val="000304C3"/>
    <w:rsid w:val="000304FF"/>
    <w:rsid w:val="00030A73"/>
    <w:rsid w:val="000310FF"/>
    <w:rsid w:val="00031882"/>
    <w:rsid w:val="00032A87"/>
    <w:rsid w:val="00032E90"/>
    <w:rsid w:val="0003559D"/>
    <w:rsid w:val="00036970"/>
    <w:rsid w:val="0003799D"/>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598F"/>
    <w:rsid w:val="000665C1"/>
    <w:rsid w:val="00066945"/>
    <w:rsid w:val="00066D0C"/>
    <w:rsid w:val="000749EE"/>
    <w:rsid w:val="000758D2"/>
    <w:rsid w:val="00075FCD"/>
    <w:rsid w:val="00077880"/>
    <w:rsid w:val="00080C03"/>
    <w:rsid w:val="000810A2"/>
    <w:rsid w:val="0008186D"/>
    <w:rsid w:val="000826C8"/>
    <w:rsid w:val="00083B34"/>
    <w:rsid w:val="000845D2"/>
    <w:rsid w:val="00084B34"/>
    <w:rsid w:val="00085909"/>
    <w:rsid w:val="00086D08"/>
    <w:rsid w:val="00087728"/>
    <w:rsid w:val="0009114F"/>
    <w:rsid w:val="00091B9C"/>
    <w:rsid w:val="00092AC3"/>
    <w:rsid w:val="00092B31"/>
    <w:rsid w:val="00092F62"/>
    <w:rsid w:val="00093E5C"/>
    <w:rsid w:val="00094E74"/>
    <w:rsid w:val="00095C61"/>
    <w:rsid w:val="00097A31"/>
    <w:rsid w:val="00097A55"/>
    <w:rsid w:val="000A17AE"/>
    <w:rsid w:val="000A1F12"/>
    <w:rsid w:val="000A220A"/>
    <w:rsid w:val="000A4626"/>
    <w:rsid w:val="000A480D"/>
    <w:rsid w:val="000A4FF6"/>
    <w:rsid w:val="000A54BA"/>
    <w:rsid w:val="000A5AEC"/>
    <w:rsid w:val="000A7976"/>
    <w:rsid w:val="000B0072"/>
    <w:rsid w:val="000B0130"/>
    <w:rsid w:val="000B3A09"/>
    <w:rsid w:val="000B4430"/>
    <w:rsid w:val="000B55E8"/>
    <w:rsid w:val="000B5728"/>
    <w:rsid w:val="000B58C5"/>
    <w:rsid w:val="000B7ADF"/>
    <w:rsid w:val="000B7EA5"/>
    <w:rsid w:val="000C1D7A"/>
    <w:rsid w:val="000C2BA6"/>
    <w:rsid w:val="000C42C9"/>
    <w:rsid w:val="000C43CA"/>
    <w:rsid w:val="000C5720"/>
    <w:rsid w:val="000C58E0"/>
    <w:rsid w:val="000C773A"/>
    <w:rsid w:val="000C77C5"/>
    <w:rsid w:val="000D0A36"/>
    <w:rsid w:val="000D2394"/>
    <w:rsid w:val="000D326F"/>
    <w:rsid w:val="000D3CF9"/>
    <w:rsid w:val="000D719C"/>
    <w:rsid w:val="000D7E15"/>
    <w:rsid w:val="000E0BAA"/>
    <w:rsid w:val="000E0DF7"/>
    <w:rsid w:val="000E2375"/>
    <w:rsid w:val="000E3B3C"/>
    <w:rsid w:val="000E40D0"/>
    <w:rsid w:val="000E4D9D"/>
    <w:rsid w:val="000E4EB3"/>
    <w:rsid w:val="000E574A"/>
    <w:rsid w:val="000E58B8"/>
    <w:rsid w:val="000E59C3"/>
    <w:rsid w:val="000E60BB"/>
    <w:rsid w:val="000E6FE0"/>
    <w:rsid w:val="000E7645"/>
    <w:rsid w:val="000E7EF3"/>
    <w:rsid w:val="000F11ED"/>
    <w:rsid w:val="000F1460"/>
    <w:rsid w:val="000F19E9"/>
    <w:rsid w:val="000F27A4"/>
    <w:rsid w:val="000F36C9"/>
    <w:rsid w:val="000F4085"/>
    <w:rsid w:val="000F4570"/>
    <w:rsid w:val="000F7E5E"/>
    <w:rsid w:val="00100714"/>
    <w:rsid w:val="0010184A"/>
    <w:rsid w:val="00101CA1"/>
    <w:rsid w:val="00101DC6"/>
    <w:rsid w:val="0010272C"/>
    <w:rsid w:val="001043D8"/>
    <w:rsid w:val="00104A8D"/>
    <w:rsid w:val="0010685C"/>
    <w:rsid w:val="001068F5"/>
    <w:rsid w:val="0011128D"/>
    <w:rsid w:val="0011148C"/>
    <w:rsid w:val="0011201D"/>
    <w:rsid w:val="00113DF3"/>
    <w:rsid w:val="00116AE9"/>
    <w:rsid w:val="001171CF"/>
    <w:rsid w:val="001200FA"/>
    <w:rsid w:val="0012111B"/>
    <w:rsid w:val="00122CDE"/>
    <w:rsid w:val="00123B6A"/>
    <w:rsid w:val="00124A18"/>
    <w:rsid w:val="001257ED"/>
    <w:rsid w:val="001259B9"/>
    <w:rsid w:val="00126152"/>
    <w:rsid w:val="00126F5D"/>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3EA"/>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0B27"/>
    <w:rsid w:val="00192CEF"/>
    <w:rsid w:val="00195B5A"/>
    <w:rsid w:val="00196DA3"/>
    <w:rsid w:val="001A0BB7"/>
    <w:rsid w:val="001A1138"/>
    <w:rsid w:val="001A26BB"/>
    <w:rsid w:val="001A2CFD"/>
    <w:rsid w:val="001A3EA3"/>
    <w:rsid w:val="001B137F"/>
    <w:rsid w:val="001B3139"/>
    <w:rsid w:val="001B6D9D"/>
    <w:rsid w:val="001B75DB"/>
    <w:rsid w:val="001B7F37"/>
    <w:rsid w:val="001C1FA0"/>
    <w:rsid w:val="001C20C6"/>
    <w:rsid w:val="001C21E2"/>
    <w:rsid w:val="001C2D14"/>
    <w:rsid w:val="001C4CC8"/>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5E34"/>
    <w:rsid w:val="001F6AF9"/>
    <w:rsid w:val="001F78E4"/>
    <w:rsid w:val="00201A31"/>
    <w:rsid w:val="002026B1"/>
    <w:rsid w:val="0020346B"/>
    <w:rsid w:val="00203518"/>
    <w:rsid w:val="00205136"/>
    <w:rsid w:val="00205BED"/>
    <w:rsid w:val="00206B25"/>
    <w:rsid w:val="00206E5F"/>
    <w:rsid w:val="00207639"/>
    <w:rsid w:val="00212DB1"/>
    <w:rsid w:val="00217B21"/>
    <w:rsid w:val="00217D2F"/>
    <w:rsid w:val="00220641"/>
    <w:rsid w:val="0022128B"/>
    <w:rsid w:val="00222341"/>
    <w:rsid w:val="002246B1"/>
    <w:rsid w:val="00225E4F"/>
    <w:rsid w:val="00226034"/>
    <w:rsid w:val="00226B14"/>
    <w:rsid w:val="0023173E"/>
    <w:rsid w:val="002345B6"/>
    <w:rsid w:val="002356B2"/>
    <w:rsid w:val="002356EC"/>
    <w:rsid w:val="002421D3"/>
    <w:rsid w:val="00242F1C"/>
    <w:rsid w:val="00243E90"/>
    <w:rsid w:val="00244144"/>
    <w:rsid w:val="00244327"/>
    <w:rsid w:val="002443D4"/>
    <w:rsid w:val="002447AE"/>
    <w:rsid w:val="002449A3"/>
    <w:rsid w:val="00244CDC"/>
    <w:rsid w:val="00245FEA"/>
    <w:rsid w:val="0024638B"/>
    <w:rsid w:val="00247157"/>
    <w:rsid w:val="00250AAE"/>
    <w:rsid w:val="00251567"/>
    <w:rsid w:val="002563E4"/>
    <w:rsid w:val="00256B36"/>
    <w:rsid w:val="00256BF9"/>
    <w:rsid w:val="002606D2"/>
    <w:rsid w:val="00260CC2"/>
    <w:rsid w:val="00261B02"/>
    <w:rsid w:val="00261B5B"/>
    <w:rsid w:val="002641D2"/>
    <w:rsid w:val="00264DA7"/>
    <w:rsid w:val="00265632"/>
    <w:rsid w:val="00266AF9"/>
    <w:rsid w:val="0027105F"/>
    <w:rsid w:val="00273294"/>
    <w:rsid w:val="00273A55"/>
    <w:rsid w:val="00274117"/>
    <w:rsid w:val="00274186"/>
    <w:rsid w:val="002750A8"/>
    <w:rsid w:val="002774BB"/>
    <w:rsid w:val="002809A3"/>
    <w:rsid w:val="00281276"/>
    <w:rsid w:val="00281330"/>
    <w:rsid w:val="002823AB"/>
    <w:rsid w:val="00282939"/>
    <w:rsid w:val="00283E0C"/>
    <w:rsid w:val="00284F1A"/>
    <w:rsid w:val="00286CCA"/>
    <w:rsid w:val="00286F3B"/>
    <w:rsid w:val="0029190A"/>
    <w:rsid w:val="00292775"/>
    <w:rsid w:val="00293469"/>
    <w:rsid w:val="002938E3"/>
    <w:rsid w:val="0029594B"/>
    <w:rsid w:val="00296D85"/>
    <w:rsid w:val="00296FBD"/>
    <w:rsid w:val="002A0623"/>
    <w:rsid w:val="002A078E"/>
    <w:rsid w:val="002A1F29"/>
    <w:rsid w:val="002A25C7"/>
    <w:rsid w:val="002A2D06"/>
    <w:rsid w:val="002A2E1E"/>
    <w:rsid w:val="002A3A61"/>
    <w:rsid w:val="002A4E7D"/>
    <w:rsid w:val="002A5971"/>
    <w:rsid w:val="002A722E"/>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0266"/>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0DD7"/>
    <w:rsid w:val="00311A3C"/>
    <w:rsid w:val="00311CA4"/>
    <w:rsid w:val="0031424B"/>
    <w:rsid w:val="00314A26"/>
    <w:rsid w:val="003152B2"/>
    <w:rsid w:val="00315328"/>
    <w:rsid w:val="003159B4"/>
    <w:rsid w:val="00315B54"/>
    <w:rsid w:val="00316C4E"/>
    <w:rsid w:val="00317898"/>
    <w:rsid w:val="00317EFD"/>
    <w:rsid w:val="003209BB"/>
    <w:rsid w:val="00321BBA"/>
    <w:rsid w:val="003238FD"/>
    <w:rsid w:val="003252F8"/>
    <w:rsid w:val="00325641"/>
    <w:rsid w:val="00325F15"/>
    <w:rsid w:val="00326988"/>
    <w:rsid w:val="00327F4A"/>
    <w:rsid w:val="003308D3"/>
    <w:rsid w:val="00332BD3"/>
    <w:rsid w:val="00333FB5"/>
    <w:rsid w:val="00335355"/>
    <w:rsid w:val="00336404"/>
    <w:rsid w:val="00337EF8"/>
    <w:rsid w:val="00341904"/>
    <w:rsid w:val="003431F9"/>
    <w:rsid w:val="0034486A"/>
    <w:rsid w:val="00347591"/>
    <w:rsid w:val="00350AE9"/>
    <w:rsid w:val="00350CA5"/>
    <w:rsid w:val="00351620"/>
    <w:rsid w:val="00352AA9"/>
    <w:rsid w:val="0035449A"/>
    <w:rsid w:val="003545B6"/>
    <w:rsid w:val="00356466"/>
    <w:rsid w:val="003568BE"/>
    <w:rsid w:val="00360E15"/>
    <w:rsid w:val="003648FB"/>
    <w:rsid w:val="00364994"/>
    <w:rsid w:val="0036536F"/>
    <w:rsid w:val="00367547"/>
    <w:rsid w:val="003675CF"/>
    <w:rsid w:val="00370B0E"/>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3BC3"/>
    <w:rsid w:val="0038430A"/>
    <w:rsid w:val="003872BE"/>
    <w:rsid w:val="0039150D"/>
    <w:rsid w:val="00391BFA"/>
    <w:rsid w:val="0039258A"/>
    <w:rsid w:val="00392926"/>
    <w:rsid w:val="003942BF"/>
    <w:rsid w:val="00394364"/>
    <w:rsid w:val="00394B08"/>
    <w:rsid w:val="003952DB"/>
    <w:rsid w:val="003958A3"/>
    <w:rsid w:val="003958E2"/>
    <w:rsid w:val="00395C0F"/>
    <w:rsid w:val="00397DBF"/>
    <w:rsid w:val="003A00B7"/>
    <w:rsid w:val="003A05B3"/>
    <w:rsid w:val="003A0801"/>
    <w:rsid w:val="003A0E77"/>
    <w:rsid w:val="003A0E7E"/>
    <w:rsid w:val="003A1514"/>
    <w:rsid w:val="003A15D2"/>
    <w:rsid w:val="003A1D24"/>
    <w:rsid w:val="003A2218"/>
    <w:rsid w:val="003A2A92"/>
    <w:rsid w:val="003A2BE0"/>
    <w:rsid w:val="003A2D9C"/>
    <w:rsid w:val="003A4B8B"/>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12A4"/>
    <w:rsid w:val="003C2DB3"/>
    <w:rsid w:val="003C3D80"/>
    <w:rsid w:val="003C7B69"/>
    <w:rsid w:val="003D0022"/>
    <w:rsid w:val="003D2E8A"/>
    <w:rsid w:val="003D36EA"/>
    <w:rsid w:val="003D3A10"/>
    <w:rsid w:val="003D4278"/>
    <w:rsid w:val="003D4BFB"/>
    <w:rsid w:val="003D605B"/>
    <w:rsid w:val="003D6391"/>
    <w:rsid w:val="003D7D13"/>
    <w:rsid w:val="003E0879"/>
    <w:rsid w:val="003E0E84"/>
    <w:rsid w:val="003E0EF5"/>
    <w:rsid w:val="003E1F58"/>
    <w:rsid w:val="003E2359"/>
    <w:rsid w:val="003E27AB"/>
    <w:rsid w:val="003E2A7B"/>
    <w:rsid w:val="003E2CB6"/>
    <w:rsid w:val="003E355D"/>
    <w:rsid w:val="003E35F8"/>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0E4B"/>
    <w:rsid w:val="00464292"/>
    <w:rsid w:val="00467E9D"/>
    <w:rsid w:val="00470A5F"/>
    <w:rsid w:val="00471E8C"/>
    <w:rsid w:val="004727D7"/>
    <w:rsid w:val="00474B08"/>
    <w:rsid w:val="004754E3"/>
    <w:rsid w:val="004756EF"/>
    <w:rsid w:val="00476C05"/>
    <w:rsid w:val="00477837"/>
    <w:rsid w:val="00481737"/>
    <w:rsid w:val="00482810"/>
    <w:rsid w:val="004828EF"/>
    <w:rsid w:val="00487294"/>
    <w:rsid w:val="00487473"/>
    <w:rsid w:val="0049053E"/>
    <w:rsid w:val="00491689"/>
    <w:rsid w:val="00491CE2"/>
    <w:rsid w:val="00491F4B"/>
    <w:rsid w:val="00492E52"/>
    <w:rsid w:val="00493256"/>
    <w:rsid w:val="00494103"/>
    <w:rsid w:val="00494863"/>
    <w:rsid w:val="004A0B95"/>
    <w:rsid w:val="004A3087"/>
    <w:rsid w:val="004A3A20"/>
    <w:rsid w:val="004A3C18"/>
    <w:rsid w:val="004A7254"/>
    <w:rsid w:val="004A7D1C"/>
    <w:rsid w:val="004B1927"/>
    <w:rsid w:val="004B2A14"/>
    <w:rsid w:val="004B3892"/>
    <w:rsid w:val="004B3EEC"/>
    <w:rsid w:val="004B62C3"/>
    <w:rsid w:val="004B6411"/>
    <w:rsid w:val="004B765F"/>
    <w:rsid w:val="004C00A2"/>
    <w:rsid w:val="004C1409"/>
    <w:rsid w:val="004C3207"/>
    <w:rsid w:val="004D00A0"/>
    <w:rsid w:val="004D2287"/>
    <w:rsid w:val="004D269F"/>
    <w:rsid w:val="004D2B4D"/>
    <w:rsid w:val="004D2F6D"/>
    <w:rsid w:val="004D3DC7"/>
    <w:rsid w:val="004D4E98"/>
    <w:rsid w:val="004D60D0"/>
    <w:rsid w:val="004D7DAB"/>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693D"/>
    <w:rsid w:val="004F77A4"/>
    <w:rsid w:val="004F78CA"/>
    <w:rsid w:val="00501741"/>
    <w:rsid w:val="00501A3F"/>
    <w:rsid w:val="005037BC"/>
    <w:rsid w:val="005042E1"/>
    <w:rsid w:val="005053F2"/>
    <w:rsid w:val="005060A5"/>
    <w:rsid w:val="005063BD"/>
    <w:rsid w:val="0051003D"/>
    <w:rsid w:val="005100D2"/>
    <w:rsid w:val="00510B74"/>
    <w:rsid w:val="0051108D"/>
    <w:rsid w:val="0051200F"/>
    <w:rsid w:val="005128C7"/>
    <w:rsid w:val="0051324A"/>
    <w:rsid w:val="00513315"/>
    <w:rsid w:val="0051365D"/>
    <w:rsid w:val="00514724"/>
    <w:rsid w:val="00514A8F"/>
    <w:rsid w:val="00516282"/>
    <w:rsid w:val="005165AF"/>
    <w:rsid w:val="00516C75"/>
    <w:rsid w:val="005173FB"/>
    <w:rsid w:val="00520364"/>
    <w:rsid w:val="005203FA"/>
    <w:rsid w:val="00523120"/>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3FE"/>
    <w:rsid w:val="00550E3C"/>
    <w:rsid w:val="0055205F"/>
    <w:rsid w:val="0055241F"/>
    <w:rsid w:val="00553652"/>
    <w:rsid w:val="0055446D"/>
    <w:rsid w:val="005553D2"/>
    <w:rsid w:val="005559CC"/>
    <w:rsid w:val="00556DF3"/>
    <w:rsid w:val="00556F18"/>
    <w:rsid w:val="00560D05"/>
    <w:rsid w:val="0056192B"/>
    <w:rsid w:val="0056212B"/>
    <w:rsid w:val="005622CF"/>
    <w:rsid w:val="00563F70"/>
    <w:rsid w:val="005651BD"/>
    <w:rsid w:val="00571BAA"/>
    <w:rsid w:val="005735A7"/>
    <w:rsid w:val="005753EC"/>
    <w:rsid w:val="00575F17"/>
    <w:rsid w:val="00575F83"/>
    <w:rsid w:val="0058038F"/>
    <w:rsid w:val="00585871"/>
    <w:rsid w:val="00585E83"/>
    <w:rsid w:val="00586432"/>
    <w:rsid w:val="00590C76"/>
    <w:rsid w:val="00591EB7"/>
    <w:rsid w:val="00593D0B"/>
    <w:rsid w:val="005A168D"/>
    <w:rsid w:val="005A284C"/>
    <w:rsid w:val="005A3CEC"/>
    <w:rsid w:val="005A3FDC"/>
    <w:rsid w:val="005A4455"/>
    <w:rsid w:val="005A4D65"/>
    <w:rsid w:val="005A4F01"/>
    <w:rsid w:val="005B07E3"/>
    <w:rsid w:val="005B227B"/>
    <w:rsid w:val="005B2432"/>
    <w:rsid w:val="005B289F"/>
    <w:rsid w:val="005B5DAD"/>
    <w:rsid w:val="005B5F22"/>
    <w:rsid w:val="005B7309"/>
    <w:rsid w:val="005B7587"/>
    <w:rsid w:val="005C1ABF"/>
    <w:rsid w:val="005C76B2"/>
    <w:rsid w:val="005D0147"/>
    <w:rsid w:val="005D09B9"/>
    <w:rsid w:val="005D1B1D"/>
    <w:rsid w:val="005D3703"/>
    <w:rsid w:val="005D3918"/>
    <w:rsid w:val="005D4C67"/>
    <w:rsid w:val="005D5CC2"/>
    <w:rsid w:val="005D62EB"/>
    <w:rsid w:val="005D6344"/>
    <w:rsid w:val="005D6687"/>
    <w:rsid w:val="005D70F4"/>
    <w:rsid w:val="005D74A3"/>
    <w:rsid w:val="005E18D2"/>
    <w:rsid w:val="005E2CCB"/>
    <w:rsid w:val="005E2E1E"/>
    <w:rsid w:val="005E3820"/>
    <w:rsid w:val="005E5174"/>
    <w:rsid w:val="005E55A3"/>
    <w:rsid w:val="005E7ABE"/>
    <w:rsid w:val="005E7C23"/>
    <w:rsid w:val="005E7CAA"/>
    <w:rsid w:val="005F0A6A"/>
    <w:rsid w:val="005F23DA"/>
    <w:rsid w:val="005F2A1E"/>
    <w:rsid w:val="005F3D20"/>
    <w:rsid w:val="005F4912"/>
    <w:rsid w:val="005F579A"/>
    <w:rsid w:val="005F6320"/>
    <w:rsid w:val="00602438"/>
    <w:rsid w:val="00603078"/>
    <w:rsid w:val="00603651"/>
    <w:rsid w:val="006043B2"/>
    <w:rsid w:val="00604489"/>
    <w:rsid w:val="006060CD"/>
    <w:rsid w:val="00612A6A"/>
    <w:rsid w:val="0061334D"/>
    <w:rsid w:val="00613AE7"/>
    <w:rsid w:val="00613CB0"/>
    <w:rsid w:val="00614187"/>
    <w:rsid w:val="006147B4"/>
    <w:rsid w:val="00615791"/>
    <w:rsid w:val="00620694"/>
    <w:rsid w:val="0062078B"/>
    <w:rsid w:val="00623063"/>
    <w:rsid w:val="0062330B"/>
    <w:rsid w:val="0062595C"/>
    <w:rsid w:val="00625A03"/>
    <w:rsid w:val="0062621C"/>
    <w:rsid w:val="00626B4C"/>
    <w:rsid w:val="0062772E"/>
    <w:rsid w:val="00631C0C"/>
    <w:rsid w:val="006321AA"/>
    <w:rsid w:val="00632544"/>
    <w:rsid w:val="00632C43"/>
    <w:rsid w:val="00634FDF"/>
    <w:rsid w:val="00635FA8"/>
    <w:rsid w:val="00636171"/>
    <w:rsid w:val="00636E5F"/>
    <w:rsid w:val="006374AB"/>
    <w:rsid w:val="0063757F"/>
    <w:rsid w:val="006377CA"/>
    <w:rsid w:val="0064010B"/>
    <w:rsid w:val="00640510"/>
    <w:rsid w:val="00642F46"/>
    <w:rsid w:val="00645BED"/>
    <w:rsid w:val="0064639F"/>
    <w:rsid w:val="00646F45"/>
    <w:rsid w:val="00650782"/>
    <w:rsid w:val="00650C06"/>
    <w:rsid w:val="006523AE"/>
    <w:rsid w:val="00653302"/>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4014"/>
    <w:rsid w:val="00675ACB"/>
    <w:rsid w:val="006760A4"/>
    <w:rsid w:val="00676375"/>
    <w:rsid w:val="0068177B"/>
    <w:rsid w:val="006831D0"/>
    <w:rsid w:val="0068396A"/>
    <w:rsid w:val="00684AFA"/>
    <w:rsid w:val="00685899"/>
    <w:rsid w:val="006873FC"/>
    <w:rsid w:val="00687753"/>
    <w:rsid w:val="0069187E"/>
    <w:rsid w:val="00692781"/>
    <w:rsid w:val="0069418C"/>
    <w:rsid w:val="00694E04"/>
    <w:rsid w:val="006958A0"/>
    <w:rsid w:val="006964BF"/>
    <w:rsid w:val="006967AB"/>
    <w:rsid w:val="006A1B6C"/>
    <w:rsid w:val="006A3086"/>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1F97"/>
    <w:rsid w:val="006F2FDF"/>
    <w:rsid w:val="006F434E"/>
    <w:rsid w:val="006F6560"/>
    <w:rsid w:val="006F6726"/>
    <w:rsid w:val="006F6A4E"/>
    <w:rsid w:val="006F6D62"/>
    <w:rsid w:val="006F6F9C"/>
    <w:rsid w:val="006F77E9"/>
    <w:rsid w:val="007019B3"/>
    <w:rsid w:val="00702A81"/>
    <w:rsid w:val="0070305C"/>
    <w:rsid w:val="00703789"/>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5F1"/>
    <w:rsid w:val="007208BB"/>
    <w:rsid w:val="00721727"/>
    <w:rsid w:val="00721EC3"/>
    <w:rsid w:val="0072366D"/>
    <w:rsid w:val="0072394C"/>
    <w:rsid w:val="007244CA"/>
    <w:rsid w:val="00727941"/>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8F6"/>
    <w:rsid w:val="00765F1F"/>
    <w:rsid w:val="007668EB"/>
    <w:rsid w:val="00766C39"/>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57CF"/>
    <w:rsid w:val="00797681"/>
    <w:rsid w:val="007978B2"/>
    <w:rsid w:val="00797CB6"/>
    <w:rsid w:val="007A1426"/>
    <w:rsid w:val="007A1607"/>
    <w:rsid w:val="007A2F20"/>
    <w:rsid w:val="007A3434"/>
    <w:rsid w:val="007A3DD3"/>
    <w:rsid w:val="007A493F"/>
    <w:rsid w:val="007A5556"/>
    <w:rsid w:val="007A795A"/>
    <w:rsid w:val="007A7A1B"/>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5BF"/>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B53"/>
    <w:rsid w:val="0081111A"/>
    <w:rsid w:val="00811656"/>
    <w:rsid w:val="00811E1B"/>
    <w:rsid w:val="008172D0"/>
    <w:rsid w:val="008201E9"/>
    <w:rsid w:val="0082239B"/>
    <w:rsid w:val="00822A35"/>
    <w:rsid w:val="00823AEF"/>
    <w:rsid w:val="00824C11"/>
    <w:rsid w:val="008302FF"/>
    <w:rsid w:val="00830343"/>
    <w:rsid w:val="0083074C"/>
    <w:rsid w:val="00830DC9"/>
    <w:rsid w:val="0083122A"/>
    <w:rsid w:val="00831A25"/>
    <w:rsid w:val="00832725"/>
    <w:rsid w:val="008338B6"/>
    <w:rsid w:val="00835E2B"/>
    <w:rsid w:val="008366F9"/>
    <w:rsid w:val="00836AFC"/>
    <w:rsid w:val="00837E93"/>
    <w:rsid w:val="00840702"/>
    <w:rsid w:val="0084194E"/>
    <w:rsid w:val="008469CB"/>
    <w:rsid w:val="008471A1"/>
    <w:rsid w:val="00847C89"/>
    <w:rsid w:val="008539E9"/>
    <w:rsid w:val="00853D33"/>
    <w:rsid w:val="00853F40"/>
    <w:rsid w:val="00854BDB"/>
    <w:rsid w:val="00855613"/>
    <w:rsid w:val="008577EC"/>
    <w:rsid w:val="00860E82"/>
    <w:rsid w:val="00860FA9"/>
    <w:rsid w:val="00862719"/>
    <w:rsid w:val="008648FC"/>
    <w:rsid w:val="00864BEB"/>
    <w:rsid w:val="00865667"/>
    <w:rsid w:val="0086718A"/>
    <w:rsid w:val="00870CFF"/>
    <w:rsid w:val="008751B6"/>
    <w:rsid w:val="008757C8"/>
    <w:rsid w:val="00875E6F"/>
    <w:rsid w:val="0087709B"/>
    <w:rsid w:val="00883582"/>
    <w:rsid w:val="008836E7"/>
    <w:rsid w:val="00883C6A"/>
    <w:rsid w:val="00885A50"/>
    <w:rsid w:val="00886496"/>
    <w:rsid w:val="00886F18"/>
    <w:rsid w:val="00890834"/>
    <w:rsid w:val="00891745"/>
    <w:rsid w:val="00892758"/>
    <w:rsid w:val="00896216"/>
    <w:rsid w:val="00897322"/>
    <w:rsid w:val="00897581"/>
    <w:rsid w:val="008A328E"/>
    <w:rsid w:val="008A51C8"/>
    <w:rsid w:val="008A52E3"/>
    <w:rsid w:val="008A6EC8"/>
    <w:rsid w:val="008A7F86"/>
    <w:rsid w:val="008B3E3A"/>
    <w:rsid w:val="008B4C5C"/>
    <w:rsid w:val="008B5715"/>
    <w:rsid w:val="008B5B4F"/>
    <w:rsid w:val="008B61D9"/>
    <w:rsid w:val="008C150C"/>
    <w:rsid w:val="008C2C44"/>
    <w:rsid w:val="008C4D0E"/>
    <w:rsid w:val="008C5CAC"/>
    <w:rsid w:val="008D148F"/>
    <w:rsid w:val="008D2F42"/>
    <w:rsid w:val="008D3AE5"/>
    <w:rsid w:val="008D3DCF"/>
    <w:rsid w:val="008D4D08"/>
    <w:rsid w:val="008D534F"/>
    <w:rsid w:val="008D555D"/>
    <w:rsid w:val="008D74F9"/>
    <w:rsid w:val="008D7719"/>
    <w:rsid w:val="008E058A"/>
    <w:rsid w:val="008E162A"/>
    <w:rsid w:val="008E1C9B"/>
    <w:rsid w:val="008E1D68"/>
    <w:rsid w:val="008E21DC"/>
    <w:rsid w:val="008E24F9"/>
    <w:rsid w:val="008E3097"/>
    <w:rsid w:val="008E32E5"/>
    <w:rsid w:val="008E40AE"/>
    <w:rsid w:val="008E417D"/>
    <w:rsid w:val="008E54A5"/>
    <w:rsid w:val="008E69E6"/>
    <w:rsid w:val="008E75DD"/>
    <w:rsid w:val="008E7868"/>
    <w:rsid w:val="008E78A3"/>
    <w:rsid w:val="008E7DBF"/>
    <w:rsid w:val="008F05A7"/>
    <w:rsid w:val="008F099E"/>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2C14"/>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46C1A"/>
    <w:rsid w:val="00947B17"/>
    <w:rsid w:val="0095084C"/>
    <w:rsid w:val="00951F36"/>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05C"/>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87B"/>
    <w:rsid w:val="00991DE1"/>
    <w:rsid w:val="0099201D"/>
    <w:rsid w:val="00992B16"/>
    <w:rsid w:val="00992CA2"/>
    <w:rsid w:val="0099300B"/>
    <w:rsid w:val="00994137"/>
    <w:rsid w:val="0099455D"/>
    <w:rsid w:val="00995967"/>
    <w:rsid w:val="00997384"/>
    <w:rsid w:val="009A0009"/>
    <w:rsid w:val="009A06D6"/>
    <w:rsid w:val="009A104B"/>
    <w:rsid w:val="009A2F48"/>
    <w:rsid w:val="009A4118"/>
    <w:rsid w:val="009A6A42"/>
    <w:rsid w:val="009A72ED"/>
    <w:rsid w:val="009B03E5"/>
    <w:rsid w:val="009B0BED"/>
    <w:rsid w:val="009B1AD9"/>
    <w:rsid w:val="009B28E6"/>
    <w:rsid w:val="009B2990"/>
    <w:rsid w:val="009B2E1D"/>
    <w:rsid w:val="009B7BEE"/>
    <w:rsid w:val="009C1F4D"/>
    <w:rsid w:val="009C2A63"/>
    <w:rsid w:val="009C34F7"/>
    <w:rsid w:val="009C3CCF"/>
    <w:rsid w:val="009C5F92"/>
    <w:rsid w:val="009C6776"/>
    <w:rsid w:val="009C7850"/>
    <w:rsid w:val="009D068F"/>
    <w:rsid w:val="009D4FFC"/>
    <w:rsid w:val="009D50C3"/>
    <w:rsid w:val="009D5598"/>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827"/>
    <w:rsid w:val="00A17EF9"/>
    <w:rsid w:val="00A2223B"/>
    <w:rsid w:val="00A24A8C"/>
    <w:rsid w:val="00A25ABA"/>
    <w:rsid w:val="00A270BB"/>
    <w:rsid w:val="00A2728E"/>
    <w:rsid w:val="00A27308"/>
    <w:rsid w:val="00A3058C"/>
    <w:rsid w:val="00A30A38"/>
    <w:rsid w:val="00A31FA1"/>
    <w:rsid w:val="00A326B7"/>
    <w:rsid w:val="00A32ABB"/>
    <w:rsid w:val="00A33196"/>
    <w:rsid w:val="00A3332D"/>
    <w:rsid w:val="00A33F3A"/>
    <w:rsid w:val="00A33FAB"/>
    <w:rsid w:val="00A34017"/>
    <w:rsid w:val="00A3414E"/>
    <w:rsid w:val="00A345FF"/>
    <w:rsid w:val="00A356C2"/>
    <w:rsid w:val="00A41216"/>
    <w:rsid w:val="00A41ADB"/>
    <w:rsid w:val="00A43851"/>
    <w:rsid w:val="00A439DD"/>
    <w:rsid w:val="00A455E7"/>
    <w:rsid w:val="00A45F0C"/>
    <w:rsid w:val="00A46938"/>
    <w:rsid w:val="00A4788C"/>
    <w:rsid w:val="00A5264F"/>
    <w:rsid w:val="00A5286D"/>
    <w:rsid w:val="00A5347D"/>
    <w:rsid w:val="00A53CDD"/>
    <w:rsid w:val="00A54628"/>
    <w:rsid w:val="00A5647B"/>
    <w:rsid w:val="00A57828"/>
    <w:rsid w:val="00A60D81"/>
    <w:rsid w:val="00A643D9"/>
    <w:rsid w:val="00A64B00"/>
    <w:rsid w:val="00A64BA9"/>
    <w:rsid w:val="00A64D3D"/>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B9C"/>
    <w:rsid w:val="00AC1C1A"/>
    <w:rsid w:val="00AC2C16"/>
    <w:rsid w:val="00AC2C9A"/>
    <w:rsid w:val="00AC2CF6"/>
    <w:rsid w:val="00AC4C7B"/>
    <w:rsid w:val="00AC543A"/>
    <w:rsid w:val="00AC6A41"/>
    <w:rsid w:val="00AC7FC4"/>
    <w:rsid w:val="00AD0082"/>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5F3"/>
    <w:rsid w:val="00AE58FF"/>
    <w:rsid w:val="00AE7279"/>
    <w:rsid w:val="00AE7419"/>
    <w:rsid w:val="00AE7DC4"/>
    <w:rsid w:val="00AF07D9"/>
    <w:rsid w:val="00AF121D"/>
    <w:rsid w:val="00AF20CB"/>
    <w:rsid w:val="00AF2A13"/>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4B67"/>
    <w:rsid w:val="00B260F0"/>
    <w:rsid w:val="00B263FA"/>
    <w:rsid w:val="00B264BE"/>
    <w:rsid w:val="00B27914"/>
    <w:rsid w:val="00B27988"/>
    <w:rsid w:val="00B32598"/>
    <w:rsid w:val="00B32638"/>
    <w:rsid w:val="00B32931"/>
    <w:rsid w:val="00B32E06"/>
    <w:rsid w:val="00B34975"/>
    <w:rsid w:val="00B349E1"/>
    <w:rsid w:val="00B3590C"/>
    <w:rsid w:val="00B409F8"/>
    <w:rsid w:val="00B4140E"/>
    <w:rsid w:val="00B41906"/>
    <w:rsid w:val="00B41F75"/>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77674"/>
    <w:rsid w:val="00B81E30"/>
    <w:rsid w:val="00B821BC"/>
    <w:rsid w:val="00B82861"/>
    <w:rsid w:val="00B83559"/>
    <w:rsid w:val="00B85282"/>
    <w:rsid w:val="00B85BE1"/>
    <w:rsid w:val="00B86477"/>
    <w:rsid w:val="00B86B8B"/>
    <w:rsid w:val="00B90361"/>
    <w:rsid w:val="00B90845"/>
    <w:rsid w:val="00B908B4"/>
    <w:rsid w:val="00B9184A"/>
    <w:rsid w:val="00B92A6A"/>
    <w:rsid w:val="00B93842"/>
    <w:rsid w:val="00B96C6C"/>
    <w:rsid w:val="00BA0ECD"/>
    <w:rsid w:val="00BA2C79"/>
    <w:rsid w:val="00BA4B7A"/>
    <w:rsid w:val="00BA5234"/>
    <w:rsid w:val="00BA7700"/>
    <w:rsid w:val="00BA78BD"/>
    <w:rsid w:val="00BB01CA"/>
    <w:rsid w:val="00BB11DA"/>
    <w:rsid w:val="00BB178A"/>
    <w:rsid w:val="00BB187E"/>
    <w:rsid w:val="00BB27C4"/>
    <w:rsid w:val="00BB2CB7"/>
    <w:rsid w:val="00BB4ADA"/>
    <w:rsid w:val="00BB5C7E"/>
    <w:rsid w:val="00BB5CD9"/>
    <w:rsid w:val="00BB6A64"/>
    <w:rsid w:val="00BB7D0B"/>
    <w:rsid w:val="00BC2DC8"/>
    <w:rsid w:val="00BC30D1"/>
    <w:rsid w:val="00BC5446"/>
    <w:rsid w:val="00BC726C"/>
    <w:rsid w:val="00BC7520"/>
    <w:rsid w:val="00BD07EE"/>
    <w:rsid w:val="00BD3F4E"/>
    <w:rsid w:val="00BD44B0"/>
    <w:rsid w:val="00BD5097"/>
    <w:rsid w:val="00BD51DC"/>
    <w:rsid w:val="00BD54B1"/>
    <w:rsid w:val="00BD584C"/>
    <w:rsid w:val="00BD7C16"/>
    <w:rsid w:val="00BD7F32"/>
    <w:rsid w:val="00BE2F00"/>
    <w:rsid w:val="00BE4F7B"/>
    <w:rsid w:val="00BE5701"/>
    <w:rsid w:val="00BE5C44"/>
    <w:rsid w:val="00BE6C19"/>
    <w:rsid w:val="00BF0EC2"/>
    <w:rsid w:val="00BF12F9"/>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2B66"/>
    <w:rsid w:val="00C24DE2"/>
    <w:rsid w:val="00C30983"/>
    <w:rsid w:val="00C31845"/>
    <w:rsid w:val="00C31B75"/>
    <w:rsid w:val="00C32396"/>
    <w:rsid w:val="00C3270C"/>
    <w:rsid w:val="00C33373"/>
    <w:rsid w:val="00C33D3B"/>
    <w:rsid w:val="00C34526"/>
    <w:rsid w:val="00C34E6B"/>
    <w:rsid w:val="00C3607A"/>
    <w:rsid w:val="00C36938"/>
    <w:rsid w:val="00C3787B"/>
    <w:rsid w:val="00C379E9"/>
    <w:rsid w:val="00C410B3"/>
    <w:rsid w:val="00C4291F"/>
    <w:rsid w:val="00C44604"/>
    <w:rsid w:val="00C4496F"/>
    <w:rsid w:val="00C459B5"/>
    <w:rsid w:val="00C45DA9"/>
    <w:rsid w:val="00C4694E"/>
    <w:rsid w:val="00C471D2"/>
    <w:rsid w:val="00C50596"/>
    <w:rsid w:val="00C51A1C"/>
    <w:rsid w:val="00C52108"/>
    <w:rsid w:val="00C54156"/>
    <w:rsid w:val="00C56CCB"/>
    <w:rsid w:val="00C60B94"/>
    <w:rsid w:val="00C60FF1"/>
    <w:rsid w:val="00C62939"/>
    <w:rsid w:val="00C6384C"/>
    <w:rsid w:val="00C63CBE"/>
    <w:rsid w:val="00C644E3"/>
    <w:rsid w:val="00C6499D"/>
    <w:rsid w:val="00C70756"/>
    <w:rsid w:val="00C707B3"/>
    <w:rsid w:val="00C768B8"/>
    <w:rsid w:val="00C77948"/>
    <w:rsid w:val="00C81254"/>
    <w:rsid w:val="00C82A66"/>
    <w:rsid w:val="00C8343B"/>
    <w:rsid w:val="00C839C0"/>
    <w:rsid w:val="00C83F90"/>
    <w:rsid w:val="00C84620"/>
    <w:rsid w:val="00C85B23"/>
    <w:rsid w:val="00C86B77"/>
    <w:rsid w:val="00C90CFE"/>
    <w:rsid w:val="00C91677"/>
    <w:rsid w:val="00C92572"/>
    <w:rsid w:val="00C92673"/>
    <w:rsid w:val="00C92C33"/>
    <w:rsid w:val="00C955F9"/>
    <w:rsid w:val="00C96110"/>
    <w:rsid w:val="00CA15C8"/>
    <w:rsid w:val="00CA231B"/>
    <w:rsid w:val="00CA25BB"/>
    <w:rsid w:val="00CA2A5A"/>
    <w:rsid w:val="00CA35DB"/>
    <w:rsid w:val="00CA3E08"/>
    <w:rsid w:val="00CA4146"/>
    <w:rsid w:val="00CA437B"/>
    <w:rsid w:val="00CA4FB7"/>
    <w:rsid w:val="00CA6184"/>
    <w:rsid w:val="00CA7074"/>
    <w:rsid w:val="00CA7DE2"/>
    <w:rsid w:val="00CB0FC8"/>
    <w:rsid w:val="00CB11B1"/>
    <w:rsid w:val="00CB193D"/>
    <w:rsid w:val="00CB30C3"/>
    <w:rsid w:val="00CB3689"/>
    <w:rsid w:val="00CB46D8"/>
    <w:rsid w:val="00CB57A4"/>
    <w:rsid w:val="00CB5D74"/>
    <w:rsid w:val="00CB6095"/>
    <w:rsid w:val="00CB61F4"/>
    <w:rsid w:val="00CB669B"/>
    <w:rsid w:val="00CC08A8"/>
    <w:rsid w:val="00CC18B8"/>
    <w:rsid w:val="00CC278D"/>
    <w:rsid w:val="00CC3D6C"/>
    <w:rsid w:val="00CC48CB"/>
    <w:rsid w:val="00CC53D5"/>
    <w:rsid w:val="00CC5B8C"/>
    <w:rsid w:val="00CC6314"/>
    <w:rsid w:val="00CC6C46"/>
    <w:rsid w:val="00CC718B"/>
    <w:rsid w:val="00CD0204"/>
    <w:rsid w:val="00CD1C98"/>
    <w:rsid w:val="00CD3FE7"/>
    <w:rsid w:val="00CD4D2B"/>
    <w:rsid w:val="00CD5C65"/>
    <w:rsid w:val="00CD6B0E"/>
    <w:rsid w:val="00CD760F"/>
    <w:rsid w:val="00CE05E3"/>
    <w:rsid w:val="00CE1208"/>
    <w:rsid w:val="00CE24C3"/>
    <w:rsid w:val="00CE41B7"/>
    <w:rsid w:val="00CE479D"/>
    <w:rsid w:val="00CE5FEE"/>
    <w:rsid w:val="00CE6146"/>
    <w:rsid w:val="00CE7282"/>
    <w:rsid w:val="00CE735C"/>
    <w:rsid w:val="00CF1CCE"/>
    <w:rsid w:val="00CF1E02"/>
    <w:rsid w:val="00CF2355"/>
    <w:rsid w:val="00CF2443"/>
    <w:rsid w:val="00CF4ED6"/>
    <w:rsid w:val="00CF6D8B"/>
    <w:rsid w:val="00CF7CD7"/>
    <w:rsid w:val="00CF7F4D"/>
    <w:rsid w:val="00D00851"/>
    <w:rsid w:val="00D01477"/>
    <w:rsid w:val="00D03187"/>
    <w:rsid w:val="00D05EE6"/>
    <w:rsid w:val="00D0756B"/>
    <w:rsid w:val="00D0770D"/>
    <w:rsid w:val="00D07EC4"/>
    <w:rsid w:val="00D10130"/>
    <w:rsid w:val="00D10239"/>
    <w:rsid w:val="00D1093B"/>
    <w:rsid w:val="00D11B91"/>
    <w:rsid w:val="00D11C94"/>
    <w:rsid w:val="00D13DB0"/>
    <w:rsid w:val="00D140BD"/>
    <w:rsid w:val="00D15779"/>
    <w:rsid w:val="00D17822"/>
    <w:rsid w:val="00D1789E"/>
    <w:rsid w:val="00D200B1"/>
    <w:rsid w:val="00D2028D"/>
    <w:rsid w:val="00D210D2"/>
    <w:rsid w:val="00D226B3"/>
    <w:rsid w:val="00D250C5"/>
    <w:rsid w:val="00D26EA3"/>
    <w:rsid w:val="00D3014D"/>
    <w:rsid w:val="00D31B4A"/>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BC0"/>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1FD4"/>
    <w:rsid w:val="00D62098"/>
    <w:rsid w:val="00D626FB"/>
    <w:rsid w:val="00D62E05"/>
    <w:rsid w:val="00D62EFF"/>
    <w:rsid w:val="00D634B9"/>
    <w:rsid w:val="00D63DA6"/>
    <w:rsid w:val="00D6467B"/>
    <w:rsid w:val="00D6525E"/>
    <w:rsid w:val="00D65893"/>
    <w:rsid w:val="00D658F2"/>
    <w:rsid w:val="00D6681A"/>
    <w:rsid w:val="00D67174"/>
    <w:rsid w:val="00D67742"/>
    <w:rsid w:val="00D70CDD"/>
    <w:rsid w:val="00D71770"/>
    <w:rsid w:val="00D73642"/>
    <w:rsid w:val="00D73F32"/>
    <w:rsid w:val="00D743F1"/>
    <w:rsid w:val="00D74712"/>
    <w:rsid w:val="00D74740"/>
    <w:rsid w:val="00D757A9"/>
    <w:rsid w:val="00D75E04"/>
    <w:rsid w:val="00D76536"/>
    <w:rsid w:val="00D76F83"/>
    <w:rsid w:val="00D8374A"/>
    <w:rsid w:val="00D83750"/>
    <w:rsid w:val="00D8390F"/>
    <w:rsid w:val="00D8442A"/>
    <w:rsid w:val="00D8544A"/>
    <w:rsid w:val="00D860F4"/>
    <w:rsid w:val="00D86620"/>
    <w:rsid w:val="00D87E4B"/>
    <w:rsid w:val="00D91219"/>
    <w:rsid w:val="00D93402"/>
    <w:rsid w:val="00D94387"/>
    <w:rsid w:val="00D952C6"/>
    <w:rsid w:val="00D95D9F"/>
    <w:rsid w:val="00D9653C"/>
    <w:rsid w:val="00D96FA3"/>
    <w:rsid w:val="00D970C6"/>
    <w:rsid w:val="00D97822"/>
    <w:rsid w:val="00D97A9A"/>
    <w:rsid w:val="00DA0A33"/>
    <w:rsid w:val="00DA0DBE"/>
    <w:rsid w:val="00DA1297"/>
    <w:rsid w:val="00DA1A14"/>
    <w:rsid w:val="00DA2FEB"/>
    <w:rsid w:val="00DA69AA"/>
    <w:rsid w:val="00DA6AAE"/>
    <w:rsid w:val="00DA7E40"/>
    <w:rsid w:val="00DA7FF7"/>
    <w:rsid w:val="00DB0AB5"/>
    <w:rsid w:val="00DB0DEC"/>
    <w:rsid w:val="00DB4E99"/>
    <w:rsid w:val="00DB7104"/>
    <w:rsid w:val="00DB7B53"/>
    <w:rsid w:val="00DB7E1A"/>
    <w:rsid w:val="00DC1638"/>
    <w:rsid w:val="00DC32AA"/>
    <w:rsid w:val="00DC3BFE"/>
    <w:rsid w:val="00DC5195"/>
    <w:rsid w:val="00DC6B3C"/>
    <w:rsid w:val="00DC7A37"/>
    <w:rsid w:val="00DD0A98"/>
    <w:rsid w:val="00DD461F"/>
    <w:rsid w:val="00DD4C85"/>
    <w:rsid w:val="00DD55E6"/>
    <w:rsid w:val="00DD5B64"/>
    <w:rsid w:val="00DD662A"/>
    <w:rsid w:val="00DD6967"/>
    <w:rsid w:val="00DE0A9F"/>
    <w:rsid w:val="00DE4DD4"/>
    <w:rsid w:val="00DE6247"/>
    <w:rsid w:val="00DE69E6"/>
    <w:rsid w:val="00DE789E"/>
    <w:rsid w:val="00DE7D2B"/>
    <w:rsid w:val="00DF06B4"/>
    <w:rsid w:val="00DF0ABD"/>
    <w:rsid w:val="00DF157F"/>
    <w:rsid w:val="00DF5750"/>
    <w:rsid w:val="00DF6CCC"/>
    <w:rsid w:val="00DF7B00"/>
    <w:rsid w:val="00E01605"/>
    <w:rsid w:val="00E0385A"/>
    <w:rsid w:val="00E03F08"/>
    <w:rsid w:val="00E0454B"/>
    <w:rsid w:val="00E0486B"/>
    <w:rsid w:val="00E0617D"/>
    <w:rsid w:val="00E06916"/>
    <w:rsid w:val="00E06E06"/>
    <w:rsid w:val="00E07745"/>
    <w:rsid w:val="00E1056C"/>
    <w:rsid w:val="00E10CD9"/>
    <w:rsid w:val="00E11BF2"/>
    <w:rsid w:val="00E125B9"/>
    <w:rsid w:val="00E16021"/>
    <w:rsid w:val="00E17339"/>
    <w:rsid w:val="00E20797"/>
    <w:rsid w:val="00E20980"/>
    <w:rsid w:val="00E20BE8"/>
    <w:rsid w:val="00E20F00"/>
    <w:rsid w:val="00E21600"/>
    <w:rsid w:val="00E22042"/>
    <w:rsid w:val="00E24DB0"/>
    <w:rsid w:val="00E24F58"/>
    <w:rsid w:val="00E25618"/>
    <w:rsid w:val="00E30EDD"/>
    <w:rsid w:val="00E31102"/>
    <w:rsid w:val="00E3180A"/>
    <w:rsid w:val="00E31A8E"/>
    <w:rsid w:val="00E31D47"/>
    <w:rsid w:val="00E3435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EB2"/>
    <w:rsid w:val="00E67FD3"/>
    <w:rsid w:val="00E7109E"/>
    <w:rsid w:val="00E745D3"/>
    <w:rsid w:val="00E762D1"/>
    <w:rsid w:val="00E772A1"/>
    <w:rsid w:val="00E7743D"/>
    <w:rsid w:val="00E776AF"/>
    <w:rsid w:val="00E77804"/>
    <w:rsid w:val="00E77B5F"/>
    <w:rsid w:val="00E77BD8"/>
    <w:rsid w:val="00E80586"/>
    <w:rsid w:val="00E835D7"/>
    <w:rsid w:val="00E85D4C"/>
    <w:rsid w:val="00E85EF0"/>
    <w:rsid w:val="00E86374"/>
    <w:rsid w:val="00E868DA"/>
    <w:rsid w:val="00E91972"/>
    <w:rsid w:val="00E925A6"/>
    <w:rsid w:val="00E9300B"/>
    <w:rsid w:val="00E93140"/>
    <w:rsid w:val="00E93D63"/>
    <w:rsid w:val="00E94A9F"/>
    <w:rsid w:val="00E94C8E"/>
    <w:rsid w:val="00E95891"/>
    <w:rsid w:val="00E95EC0"/>
    <w:rsid w:val="00EA0832"/>
    <w:rsid w:val="00EA1EFD"/>
    <w:rsid w:val="00EA30FF"/>
    <w:rsid w:val="00EA3622"/>
    <w:rsid w:val="00EA394A"/>
    <w:rsid w:val="00EA4445"/>
    <w:rsid w:val="00EA52DF"/>
    <w:rsid w:val="00EA5573"/>
    <w:rsid w:val="00EA5B11"/>
    <w:rsid w:val="00EA5E34"/>
    <w:rsid w:val="00EA655A"/>
    <w:rsid w:val="00EA6D1B"/>
    <w:rsid w:val="00EA73E5"/>
    <w:rsid w:val="00EA7D9C"/>
    <w:rsid w:val="00EB1FA6"/>
    <w:rsid w:val="00EB22B4"/>
    <w:rsid w:val="00EB29B0"/>
    <w:rsid w:val="00EB4B6E"/>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A01"/>
    <w:rsid w:val="00EF472F"/>
    <w:rsid w:val="00EF5AF7"/>
    <w:rsid w:val="00EF6212"/>
    <w:rsid w:val="00EF6F46"/>
    <w:rsid w:val="00EF790E"/>
    <w:rsid w:val="00F01482"/>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07EA"/>
    <w:rsid w:val="00F31DC3"/>
    <w:rsid w:val="00F33729"/>
    <w:rsid w:val="00F340DA"/>
    <w:rsid w:val="00F34129"/>
    <w:rsid w:val="00F350B7"/>
    <w:rsid w:val="00F35875"/>
    <w:rsid w:val="00F37260"/>
    <w:rsid w:val="00F401D9"/>
    <w:rsid w:val="00F40616"/>
    <w:rsid w:val="00F41873"/>
    <w:rsid w:val="00F43496"/>
    <w:rsid w:val="00F436AB"/>
    <w:rsid w:val="00F453BD"/>
    <w:rsid w:val="00F47356"/>
    <w:rsid w:val="00F47965"/>
    <w:rsid w:val="00F47C27"/>
    <w:rsid w:val="00F511E7"/>
    <w:rsid w:val="00F526C4"/>
    <w:rsid w:val="00F52A7E"/>
    <w:rsid w:val="00F54219"/>
    <w:rsid w:val="00F55800"/>
    <w:rsid w:val="00F55B89"/>
    <w:rsid w:val="00F56574"/>
    <w:rsid w:val="00F63AD3"/>
    <w:rsid w:val="00F63E57"/>
    <w:rsid w:val="00F642F9"/>
    <w:rsid w:val="00F64E9E"/>
    <w:rsid w:val="00F65296"/>
    <w:rsid w:val="00F70921"/>
    <w:rsid w:val="00F70C6C"/>
    <w:rsid w:val="00F70F8D"/>
    <w:rsid w:val="00F73A4C"/>
    <w:rsid w:val="00F741CC"/>
    <w:rsid w:val="00F75AD0"/>
    <w:rsid w:val="00F76550"/>
    <w:rsid w:val="00F7774E"/>
    <w:rsid w:val="00F77E15"/>
    <w:rsid w:val="00F8083C"/>
    <w:rsid w:val="00F816EF"/>
    <w:rsid w:val="00F83686"/>
    <w:rsid w:val="00F83A04"/>
    <w:rsid w:val="00F83DC4"/>
    <w:rsid w:val="00F841F0"/>
    <w:rsid w:val="00F86CBE"/>
    <w:rsid w:val="00F90E00"/>
    <w:rsid w:val="00F9106B"/>
    <w:rsid w:val="00F91213"/>
    <w:rsid w:val="00F9135C"/>
    <w:rsid w:val="00F919F7"/>
    <w:rsid w:val="00F91FFB"/>
    <w:rsid w:val="00F92584"/>
    <w:rsid w:val="00F942D1"/>
    <w:rsid w:val="00F95410"/>
    <w:rsid w:val="00F95760"/>
    <w:rsid w:val="00F97943"/>
    <w:rsid w:val="00FA06E2"/>
    <w:rsid w:val="00FA1429"/>
    <w:rsid w:val="00FA18A6"/>
    <w:rsid w:val="00FA1C03"/>
    <w:rsid w:val="00FA2EB1"/>
    <w:rsid w:val="00FA35C7"/>
    <w:rsid w:val="00FA4741"/>
    <w:rsid w:val="00FA4A35"/>
    <w:rsid w:val="00FA53F3"/>
    <w:rsid w:val="00FB04F0"/>
    <w:rsid w:val="00FB08C9"/>
    <w:rsid w:val="00FB0FD9"/>
    <w:rsid w:val="00FB1508"/>
    <w:rsid w:val="00FB1953"/>
    <w:rsid w:val="00FB3D7C"/>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F280D"/>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aliases w:val="Titulo 2 DGDTR,SF2 Título,FTítulo 1,h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aliases w:val="Titulo 2 DGDTR Car,SF2 Título Car,FTítulo 1 Car,h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Citaift">
    <w:name w:val="Cita ift"/>
    <w:basedOn w:val="Normal"/>
    <w:link w:val="CitaiftCar"/>
    <w:qFormat/>
    <w:rsid w:val="00D0756B"/>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0756B"/>
    <w:rPr>
      <w:rFonts w:ascii="ITC Avant Garde" w:eastAsia="Times New Roman" w:hAnsi="ITC Avant Garde" w:cs="Arial"/>
      <w:i/>
      <w:color w:val="000000"/>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1412">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8627066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6421981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177616851">
      <w:bodyDiv w:val="1"/>
      <w:marLeft w:val="0"/>
      <w:marRight w:val="0"/>
      <w:marTop w:val="0"/>
      <w:marBottom w:val="0"/>
      <w:divBdr>
        <w:top w:val="none" w:sz="0" w:space="0" w:color="auto"/>
        <w:left w:val="none" w:sz="0" w:space="0" w:color="auto"/>
        <w:bottom w:val="none" w:sz="0" w:space="0" w:color="auto"/>
        <w:right w:val="none" w:sz="0" w:space="0" w:color="auto"/>
      </w:divBdr>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468739521">
      <w:bodyDiv w:val="1"/>
      <w:marLeft w:val="0"/>
      <w:marRight w:val="0"/>
      <w:marTop w:val="0"/>
      <w:marBottom w:val="0"/>
      <w:divBdr>
        <w:top w:val="none" w:sz="0" w:space="0" w:color="auto"/>
        <w:left w:val="none" w:sz="0" w:space="0" w:color="auto"/>
        <w:bottom w:val="none" w:sz="0" w:space="0" w:color="auto"/>
        <w:right w:val="none" w:sz="0" w:space="0" w:color="auto"/>
      </w:divBdr>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9A3E7-90B6-4BEF-A231-3AE3DE183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2474</Words>
  <Characters>13609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16051</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Mario Alonso Cruz</cp:lastModifiedBy>
  <cp:revision>5</cp:revision>
  <cp:lastPrinted>2018-07-10T22:20:00Z</cp:lastPrinted>
  <dcterms:created xsi:type="dcterms:W3CDTF">2018-08-20T22:21:00Z</dcterms:created>
  <dcterms:modified xsi:type="dcterms:W3CDTF">2018-08-20T22:27:00Z</dcterms:modified>
</cp:coreProperties>
</file>