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8D0B7" w14:textId="77777777" w:rsidR="00303C65" w:rsidRPr="00303C65" w:rsidRDefault="00B048BA" w:rsidP="00303C65">
      <w:pPr>
        <w:pStyle w:val="Ttulo1"/>
        <w:spacing w:after="240" w:line="240" w:lineRule="auto"/>
        <w:jc w:val="both"/>
        <w:rPr>
          <w:rFonts w:ascii="ITC Avant Garde" w:hAnsi="ITC Avant Garde"/>
          <w:b/>
          <w:color w:val="000000" w:themeColor="text1"/>
          <w:sz w:val="22"/>
          <w:szCs w:val="22"/>
          <w:lang w:eastAsia="es-MX"/>
        </w:rPr>
      </w:pPr>
      <w:r w:rsidRPr="00303C65">
        <w:rPr>
          <w:rFonts w:ascii="ITC Avant Garde" w:hAnsi="ITC Avant Garde"/>
          <w:b/>
          <w:color w:val="000000" w:themeColor="text1"/>
          <w:sz w:val="22"/>
          <w:szCs w:val="22"/>
          <w:lang w:eastAsia="es-MX"/>
        </w:rPr>
        <w:t xml:space="preserve">RESOLUCIÓN </w:t>
      </w:r>
      <w:r w:rsidR="00F03892" w:rsidRPr="00303C65">
        <w:rPr>
          <w:rFonts w:ascii="ITC Avant Garde" w:hAnsi="ITC Avant Garde"/>
          <w:b/>
          <w:color w:val="000000" w:themeColor="text1"/>
          <w:sz w:val="22"/>
          <w:szCs w:val="22"/>
          <w:lang w:eastAsia="es-MX"/>
        </w:rPr>
        <w:t>MEDIANTE</w:t>
      </w:r>
      <w:r w:rsidRPr="00303C65">
        <w:rPr>
          <w:rFonts w:ascii="ITC Avant Garde" w:hAnsi="ITC Avant Garde"/>
          <w:b/>
          <w:color w:val="000000" w:themeColor="text1"/>
          <w:sz w:val="22"/>
          <w:szCs w:val="22"/>
          <w:lang w:eastAsia="es-MX"/>
        </w:rPr>
        <w:t xml:space="preserve"> LA CUAL EL PLENO DEL INSTITUTO FEDERAL </w:t>
      </w:r>
      <w:r w:rsidR="00BB44E2" w:rsidRPr="00303C65">
        <w:rPr>
          <w:rFonts w:ascii="ITC Avant Garde" w:hAnsi="ITC Avant Garde"/>
          <w:b/>
          <w:color w:val="000000" w:themeColor="text1"/>
          <w:sz w:val="22"/>
          <w:szCs w:val="22"/>
          <w:lang w:eastAsia="es-MX"/>
        </w:rPr>
        <w:t>DE</w:t>
      </w:r>
      <w:r w:rsidRPr="00303C65">
        <w:rPr>
          <w:rFonts w:ascii="ITC Avant Garde" w:hAnsi="ITC Avant Garde"/>
          <w:b/>
          <w:color w:val="000000" w:themeColor="text1"/>
          <w:sz w:val="22"/>
          <w:szCs w:val="22"/>
          <w:lang w:eastAsia="es-MX"/>
        </w:rPr>
        <w:t xml:space="preserve"> TELECOMUNICACIONES </w:t>
      </w:r>
      <w:r w:rsidR="00341067" w:rsidRPr="00303C65">
        <w:rPr>
          <w:rFonts w:ascii="ITC Avant Garde" w:hAnsi="ITC Avant Garde"/>
          <w:b/>
          <w:color w:val="000000" w:themeColor="text1"/>
          <w:sz w:val="22"/>
          <w:szCs w:val="22"/>
          <w:lang w:eastAsia="es-MX"/>
        </w:rPr>
        <w:t>PR</w:t>
      </w:r>
      <w:r w:rsidR="00194376" w:rsidRPr="00303C65">
        <w:rPr>
          <w:rFonts w:ascii="ITC Avant Garde" w:hAnsi="ITC Avant Garde"/>
          <w:b/>
          <w:color w:val="000000" w:themeColor="text1"/>
          <w:sz w:val="22"/>
          <w:szCs w:val="22"/>
          <w:lang w:eastAsia="es-MX"/>
        </w:rPr>
        <w:t>O</w:t>
      </w:r>
      <w:r w:rsidR="00341067" w:rsidRPr="00303C65">
        <w:rPr>
          <w:rFonts w:ascii="ITC Avant Garde" w:hAnsi="ITC Avant Garde"/>
          <w:b/>
          <w:color w:val="000000" w:themeColor="text1"/>
          <w:sz w:val="22"/>
          <w:szCs w:val="22"/>
          <w:lang w:eastAsia="es-MX"/>
        </w:rPr>
        <w:t>RROGA</w:t>
      </w:r>
      <w:r w:rsidR="005D4A72" w:rsidRPr="00303C65">
        <w:rPr>
          <w:rFonts w:ascii="ITC Avant Garde" w:hAnsi="ITC Avant Garde"/>
          <w:b/>
          <w:color w:val="000000" w:themeColor="text1"/>
          <w:sz w:val="22"/>
          <w:szCs w:val="22"/>
          <w:lang w:eastAsia="es-MX"/>
        </w:rPr>
        <w:t xml:space="preserve"> </w:t>
      </w:r>
      <w:r w:rsidR="00194376" w:rsidRPr="00303C65">
        <w:rPr>
          <w:rFonts w:ascii="ITC Avant Garde" w:hAnsi="ITC Avant Garde"/>
          <w:b/>
          <w:color w:val="000000" w:themeColor="text1"/>
          <w:sz w:val="22"/>
          <w:szCs w:val="22"/>
          <w:lang w:eastAsia="es-MX"/>
        </w:rPr>
        <w:t>LA</w:t>
      </w:r>
      <w:r w:rsidR="00724B93" w:rsidRPr="00303C65">
        <w:rPr>
          <w:rFonts w:ascii="ITC Avant Garde" w:hAnsi="ITC Avant Garde"/>
          <w:b/>
          <w:color w:val="000000" w:themeColor="text1"/>
          <w:sz w:val="22"/>
          <w:szCs w:val="22"/>
          <w:lang w:eastAsia="es-MX"/>
        </w:rPr>
        <w:t xml:space="preserve"> </w:t>
      </w:r>
      <w:r w:rsidR="00C93692" w:rsidRPr="00303C65">
        <w:rPr>
          <w:rFonts w:ascii="ITC Avant Garde" w:hAnsi="ITC Avant Garde"/>
          <w:b/>
          <w:color w:val="000000" w:themeColor="text1"/>
          <w:sz w:val="22"/>
          <w:szCs w:val="22"/>
          <w:lang w:eastAsia="es-MX"/>
        </w:rPr>
        <w:t xml:space="preserve">VIGENCIA </w:t>
      </w:r>
      <w:r w:rsidR="00BC78D0" w:rsidRPr="00303C65">
        <w:rPr>
          <w:rFonts w:ascii="ITC Avant Garde" w:hAnsi="ITC Avant Garde"/>
          <w:b/>
          <w:color w:val="000000" w:themeColor="text1"/>
          <w:sz w:val="22"/>
          <w:szCs w:val="22"/>
          <w:lang w:eastAsia="es-MX"/>
        </w:rPr>
        <w:t xml:space="preserve">DE LA </w:t>
      </w:r>
      <w:r w:rsidR="000E588F" w:rsidRPr="00303C65">
        <w:rPr>
          <w:rFonts w:ascii="ITC Avant Garde" w:hAnsi="ITC Avant Garde"/>
          <w:b/>
          <w:color w:val="000000" w:themeColor="text1"/>
          <w:sz w:val="22"/>
          <w:szCs w:val="22"/>
          <w:lang w:eastAsia="es-MX"/>
        </w:rPr>
        <w:t>ASIGNACIÓN DE FRECUENCIAS PARA USO OFICIA</w:t>
      </w:r>
      <w:r w:rsidR="00E93C65" w:rsidRPr="00303C65">
        <w:rPr>
          <w:rFonts w:ascii="ITC Avant Garde" w:hAnsi="ITC Avant Garde"/>
          <w:b/>
          <w:color w:val="000000" w:themeColor="text1"/>
          <w:sz w:val="22"/>
          <w:szCs w:val="22"/>
          <w:lang w:eastAsia="es-MX"/>
        </w:rPr>
        <w:t>L</w:t>
      </w:r>
      <w:r w:rsidR="008173FA" w:rsidRPr="00303C65">
        <w:rPr>
          <w:rFonts w:ascii="ITC Avant Garde" w:hAnsi="ITC Avant Garde"/>
          <w:b/>
          <w:color w:val="000000" w:themeColor="text1"/>
          <w:sz w:val="22"/>
          <w:szCs w:val="22"/>
          <w:lang w:eastAsia="es-MX"/>
        </w:rPr>
        <w:t>,</w:t>
      </w:r>
      <w:r w:rsidR="00FC68F9" w:rsidRPr="00303C65">
        <w:rPr>
          <w:rFonts w:ascii="ITC Avant Garde" w:hAnsi="ITC Avant Garde"/>
          <w:b/>
          <w:color w:val="000000" w:themeColor="text1"/>
          <w:sz w:val="22"/>
          <w:szCs w:val="22"/>
          <w:lang w:eastAsia="es-MX"/>
        </w:rPr>
        <w:t xml:space="preserve"> </w:t>
      </w:r>
      <w:r w:rsidR="006A38B1" w:rsidRPr="00303C65">
        <w:rPr>
          <w:rFonts w:ascii="ITC Avant Garde" w:hAnsi="ITC Avant Garde"/>
          <w:b/>
          <w:color w:val="000000" w:themeColor="text1"/>
          <w:sz w:val="22"/>
          <w:szCs w:val="22"/>
          <w:lang w:eastAsia="es-MX"/>
        </w:rPr>
        <w:t>OTORGAD</w:t>
      </w:r>
      <w:r w:rsidR="006555AC" w:rsidRPr="00303C65">
        <w:rPr>
          <w:rFonts w:ascii="ITC Avant Garde" w:hAnsi="ITC Avant Garde"/>
          <w:b/>
          <w:color w:val="000000" w:themeColor="text1"/>
          <w:sz w:val="22"/>
          <w:szCs w:val="22"/>
          <w:lang w:eastAsia="es-MX"/>
        </w:rPr>
        <w:t>A</w:t>
      </w:r>
      <w:r w:rsidR="006A38B1" w:rsidRPr="00303C65">
        <w:rPr>
          <w:rFonts w:ascii="ITC Avant Garde" w:hAnsi="ITC Avant Garde"/>
          <w:b/>
          <w:color w:val="000000" w:themeColor="text1"/>
          <w:sz w:val="22"/>
          <w:szCs w:val="22"/>
          <w:lang w:eastAsia="es-MX"/>
        </w:rPr>
        <w:t xml:space="preserve"> </w:t>
      </w:r>
      <w:r w:rsidR="008D3022" w:rsidRPr="00303C65">
        <w:rPr>
          <w:rFonts w:ascii="ITC Avant Garde" w:hAnsi="ITC Avant Garde"/>
          <w:b/>
          <w:color w:val="000000" w:themeColor="text1"/>
          <w:sz w:val="22"/>
          <w:szCs w:val="22"/>
          <w:lang w:eastAsia="es-MX"/>
        </w:rPr>
        <w:t xml:space="preserve">EL </w:t>
      </w:r>
      <w:r w:rsidR="003F40CC" w:rsidRPr="00303C65">
        <w:rPr>
          <w:rFonts w:ascii="ITC Avant Garde" w:hAnsi="ITC Avant Garde"/>
          <w:b/>
          <w:color w:val="000000" w:themeColor="text1"/>
          <w:sz w:val="22"/>
          <w:szCs w:val="22"/>
          <w:lang w:eastAsia="es-MX"/>
        </w:rPr>
        <w:t>2</w:t>
      </w:r>
      <w:r w:rsidR="00B66AED" w:rsidRPr="00303C65">
        <w:rPr>
          <w:rFonts w:ascii="ITC Avant Garde" w:hAnsi="ITC Avant Garde"/>
          <w:b/>
          <w:color w:val="000000" w:themeColor="text1"/>
          <w:sz w:val="22"/>
          <w:szCs w:val="22"/>
          <w:lang w:eastAsia="es-MX"/>
        </w:rPr>
        <w:t>1</w:t>
      </w:r>
      <w:r w:rsidR="000C3682" w:rsidRPr="00303C65">
        <w:rPr>
          <w:rFonts w:ascii="ITC Avant Garde" w:hAnsi="ITC Avant Garde"/>
          <w:b/>
          <w:color w:val="000000" w:themeColor="text1"/>
          <w:sz w:val="22"/>
          <w:szCs w:val="22"/>
          <w:lang w:eastAsia="es-MX"/>
        </w:rPr>
        <w:t xml:space="preserve"> DE </w:t>
      </w:r>
      <w:r w:rsidR="00B66AED" w:rsidRPr="00303C65">
        <w:rPr>
          <w:rFonts w:ascii="ITC Avant Garde" w:hAnsi="ITC Avant Garde"/>
          <w:b/>
          <w:color w:val="000000" w:themeColor="text1"/>
          <w:sz w:val="22"/>
          <w:szCs w:val="22"/>
          <w:lang w:eastAsia="es-MX"/>
        </w:rPr>
        <w:t>SEPTIEMBRE</w:t>
      </w:r>
      <w:r w:rsidR="003F40CC" w:rsidRPr="00303C65">
        <w:rPr>
          <w:rFonts w:ascii="ITC Avant Garde" w:hAnsi="ITC Avant Garde"/>
          <w:b/>
          <w:color w:val="000000" w:themeColor="text1"/>
          <w:sz w:val="22"/>
          <w:szCs w:val="22"/>
          <w:lang w:eastAsia="es-MX"/>
        </w:rPr>
        <w:t xml:space="preserve"> DE 2007</w:t>
      </w:r>
      <w:r w:rsidR="00BC78D0" w:rsidRPr="00303C65">
        <w:rPr>
          <w:rFonts w:ascii="ITC Avant Garde" w:hAnsi="ITC Avant Garde"/>
          <w:b/>
          <w:color w:val="000000" w:themeColor="text1"/>
          <w:sz w:val="22"/>
          <w:szCs w:val="22"/>
          <w:lang w:eastAsia="es-MX"/>
        </w:rPr>
        <w:t xml:space="preserve"> </w:t>
      </w:r>
      <w:r w:rsidR="006A38B1" w:rsidRPr="00303C65">
        <w:rPr>
          <w:rFonts w:ascii="ITC Avant Garde" w:hAnsi="ITC Avant Garde"/>
          <w:b/>
          <w:color w:val="000000" w:themeColor="text1"/>
          <w:sz w:val="22"/>
          <w:szCs w:val="22"/>
          <w:lang w:eastAsia="es-MX"/>
        </w:rPr>
        <w:t>A</w:t>
      </w:r>
      <w:r w:rsidR="00AC51C4" w:rsidRPr="00303C65">
        <w:rPr>
          <w:rFonts w:ascii="ITC Avant Garde" w:hAnsi="ITC Avant Garde"/>
          <w:b/>
          <w:color w:val="000000" w:themeColor="text1"/>
          <w:sz w:val="22"/>
          <w:szCs w:val="22"/>
          <w:lang w:eastAsia="es-MX"/>
        </w:rPr>
        <w:t xml:space="preserve"> FAVOR </w:t>
      </w:r>
      <w:r w:rsidR="00BC78D0" w:rsidRPr="00303C65">
        <w:rPr>
          <w:rFonts w:ascii="ITC Avant Garde" w:hAnsi="ITC Avant Garde"/>
          <w:b/>
          <w:color w:val="000000" w:themeColor="text1"/>
          <w:sz w:val="22"/>
          <w:szCs w:val="22"/>
          <w:lang w:eastAsia="es-MX"/>
        </w:rPr>
        <w:t xml:space="preserve">DE </w:t>
      </w:r>
      <w:r w:rsidR="003F40CC" w:rsidRPr="00303C65">
        <w:rPr>
          <w:rFonts w:ascii="ITC Avant Garde" w:hAnsi="ITC Avant Garde"/>
          <w:b/>
          <w:color w:val="000000" w:themeColor="text1"/>
          <w:sz w:val="22"/>
          <w:szCs w:val="22"/>
          <w:lang w:eastAsia="es-MX"/>
        </w:rPr>
        <w:t>PETRÓLEOS MEXICANOS, EMPRESA PRODUCTIVA DEL ESTADO</w:t>
      </w:r>
      <w:r w:rsidR="00724B93" w:rsidRPr="00303C65">
        <w:rPr>
          <w:rFonts w:ascii="ITC Avant Garde" w:hAnsi="ITC Avant Garde"/>
          <w:b/>
          <w:color w:val="000000" w:themeColor="text1"/>
          <w:sz w:val="22"/>
          <w:szCs w:val="22"/>
          <w:lang w:eastAsia="es-MX"/>
        </w:rPr>
        <w:t xml:space="preserve"> Y</w:t>
      </w:r>
      <w:r w:rsidR="00194376" w:rsidRPr="00303C65">
        <w:rPr>
          <w:rFonts w:ascii="ITC Avant Garde" w:hAnsi="ITC Avant Garde"/>
          <w:b/>
          <w:color w:val="000000" w:themeColor="text1"/>
          <w:sz w:val="22"/>
          <w:szCs w:val="22"/>
          <w:lang w:eastAsia="es-MX"/>
        </w:rPr>
        <w:t>,</w:t>
      </w:r>
      <w:r w:rsidR="00724B93" w:rsidRPr="00303C65">
        <w:rPr>
          <w:rFonts w:ascii="ITC Avant Garde" w:hAnsi="ITC Avant Garde"/>
          <w:b/>
          <w:color w:val="000000" w:themeColor="text1"/>
          <w:sz w:val="22"/>
          <w:szCs w:val="22"/>
          <w:lang w:eastAsia="es-MX"/>
        </w:rPr>
        <w:t xml:space="preserve"> </w:t>
      </w:r>
      <w:r w:rsidR="00194376" w:rsidRPr="00303C65">
        <w:rPr>
          <w:rFonts w:ascii="ITC Avant Garde" w:hAnsi="ITC Avant Garde"/>
          <w:b/>
          <w:color w:val="000000" w:themeColor="text1"/>
          <w:sz w:val="22"/>
          <w:szCs w:val="22"/>
          <w:lang w:eastAsia="es-MX"/>
        </w:rPr>
        <w:t xml:space="preserve">EN CONSECUENCIA, </w:t>
      </w:r>
      <w:r w:rsidR="00724B93" w:rsidRPr="00303C65">
        <w:rPr>
          <w:rFonts w:ascii="ITC Avant Garde" w:hAnsi="ITC Avant Garde"/>
          <w:b/>
          <w:color w:val="000000" w:themeColor="text1"/>
          <w:sz w:val="22"/>
          <w:szCs w:val="22"/>
          <w:lang w:eastAsia="es-MX"/>
        </w:rPr>
        <w:t>OTORGA UN TÍTULO DE CONCESIÓN PARA USAR Y APROVECHAR BANDAS DE FRECUENCIAS DEL ESPECTRO RADIOELÉCTRICO, ASÍ COMO UN TÍTULO DE CONCESIÓN ÚNICA, AMBOS PARA USO PÚBLICO</w:t>
      </w:r>
      <w:r w:rsidR="00E13E2A" w:rsidRPr="00303C65">
        <w:rPr>
          <w:rFonts w:ascii="ITC Avant Garde" w:hAnsi="ITC Avant Garde"/>
          <w:b/>
          <w:color w:val="000000" w:themeColor="text1"/>
          <w:sz w:val="22"/>
          <w:szCs w:val="22"/>
          <w:lang w:eastAsia="es-MX"/>
        </w:rPr>
        <w:t>.</w:t>
      </w:r>
    </w:p>
    <w:p w14:paraId="2B564BB4" w14:textId="77777777" w:rsidR="00303C65" w:rsidRPr="00303C65" w:rsidRDefault="00B048BA" w:rsidP="00303C65">
      <w:pPr>
        <w:pStyle w:val="Ttulo2"/>
        <w:spacing w:after="240"/>
        <w:jc w:val="center"/>
        <w:rPr>
          <w:rFonts w:ascii="ITC Avant Garde" w:hAnsi="ITC Avant Garde"/>
          <w:b/>
          <w:color w:val="000000" w:themeColor="text1"/>
          <w:sz w:val="22"/>
          <w:szCs w:val="22"/>
        </w:rPr>
      </w:pPr>
      <w:r w:rsidRPr="00303C65">
        <w:rPr>
          <w:rFonts w:ascii="ITC Avant Garde" w:hAnsi="ITC Avant Garde"/>
          <w:b/>
          <w:color w:val="000000" w:themeColor="text1"/>
          <w:sz w:val="22"/>
          <w:szCs w:val="22"/>
        </w:rPr>
        <w:t>ANTECEDENTES</w:t>
      </w:r>
    </w:p>
    <w:p w14:paraId="55D8DF72" w14:textId="1BFBF0EC" w:rsidR="00303C65" w:rsidRPr="00303C65" w:rsidRDefault="00301C55" w:rsidP="00303C65">
      <w:pPr>
        <w:numPr>
          <w:ilvl w:val="0"/>
          <w:numId w:val="4"/>
        </w:numPr>
        <w:spacing w:before="240" w:line="240" w:lineRule="auto"/>
        <w:ind w:left="567" w:hanging="567"/>
        <w:jc w:val="both"/>
        <w:rPr>
          <w:rFonts w:ascii="ITC Avant Garde" w:hAnsi="ITC Avant Garde"/>
          <w:bCs/>
          <w:color w:val="000000"/>
          <w:lang w:eastAsia="es-MX"/>
        </w:rPr>
      </w:pPr>
      <w:r w:rsidRPr="00303C65">
        <w:rPr>
          <w:rFonts w:ascii="ITC Avant Garde" w:hAnsi="ITC Avant Garde"/>
          <w:b/>
          <w:bCs/>
          <w:color w:val="000000"/>
          <w:lang w:eastAsia="es-MX"/>
        </w:rPr>
        <w:t xml:space="preserve">Otorgamiento de la Asignación. </w:t>
      </w:r>
      <w:r w:rsidR="00AB5C9A" w:rsidRPr="00303C65">
        <w:rPr>
          <w:rFonts w:ascii="ITC Avant Garde" w:hAnsi="ITC Avant Garde"/>
          <w:bCs/>
          <w:color w:val="000000"/>
          <w:lang w:eastAsia="es-MX"/>
        </w:rPr>
        <w:t>El 21 de septiembre de 2007, l</w:t>
      </w:r>
      <w:r w:rsidRPr="00303C65">
        <w:rPr>
          <w:rFonts w:ascii="ITC Avant Garde" w:hAnsi="ITC Avant Garde"/>
          <w:bCs/>
          <w:color w:val="000000"/>
          <w:lang w:eastAsia="es-MX"/>
        </w:rPr>
        <w:t xml:space="preserve">a Secretaría de Comunicaciones </w:t>
      </w:r>
      <w:r w:rsidR="00C95ED6" w:rsidRPr="00303C65">
        <w:rPr>
          <w:rFonts w:ascii="ITC Avant Garde" w:hAnsi="ITC Avant Garde"/>
          <w:bCs/>
          <w:color w:val="000000"/>
          <w:lang w:eastAsia="es-MX"/>
        </w:rPr>
        <w:t>y Transportes (la “Secretaría”)</w:t>
      </w:r>
      <w:r w:rsidRPr="00303C65">
        <w:rPr>
          <w:rFonts w:ascii="ITC Avant Garde" w:hAnsi="ITC Avant Garde"/>
          <w:bCs/>
          <w:color w:val="000000"/>
          <w:lang w:eastAsia="es-MX"/>
        </w:rPr>
        <w:t xml:space="preserve"> otorgó a favor de </w:t>
      </w:r>
      <w:r w:rsidR="003F40CC" w:rsidRPr="00303C65">
        <w:rPr>
          <w:rFonts w:ascii="ITC Avant Garde" w:hAnsi="ITC Avant Garde"/>
          <w:bCs/>
          <w:color w:val="000000"/>
          <w:lang w:eastAsia="es-MX"/>
        </w:rPr>
        <w:t>Petróleos Mexicanos</w:t>
      </w:r>
      <w:r w:rsidR="005A6E0D" w:rsidRPr="00303C65">
        <w:rPr>
          <w:rFonts w:ascii="ITC Avant Garde" w:hAnsi="ITC Avant Garde"/>
          <w:bCs/>
          <w:color w:val="000000"/>
          <w:lang w:eastAsia="es-MX"/>
        </w:rPr>
        <w:t xml:space="preserve"> (“PEMEX”)</w:t>
      </w:r>
      <w:r w:rsidR="00C95ED6" w:rsidRPr="00303C65">
        <w:rPr>
          <w:rFonts w:ascii="ITC Avant Garde" w:hAnsi="ITC Avant Garde"/>
          <w:bCs/>
          <w:color w:val="000000"/>
          <w:lang w:eastAsia="es-MX"/>
        </w:rPr>
        <w:t>,</w:t>
      </w:r>
      <w:r w:rsidR="00495E2B" w:rsidRPr="00303C65">
        <w:rPr>
          <w:rFonts w:ascii="ITC Avant Garde" w:hAnsi="ITC Avant Garde"/>
          <w:bCs/>
          <w:color w:val="000000"/>
          <w:lang w:eastAsia="es-MX"/>
        </w:rPr>
        <w:t xml:space="preserve"> </w:t>
      </w:r>
      <w:r w:rsidR="003365B5" w:rsidRPr="00303C65">
        <w:rPr>
          <w:rFonts w:ascii="ITC Avant Garde" w:hAnsi="ITC Avant Garde"/>
          <w:bCs/>
          <w:color w:val="000000"/>
          <w:lang w:eastAsia="es-MX"/>
        </w:rPr>
        <w:t>en ese entonces</w:t>
      </w:r>
      <w:r w:rsidR="00AB5C9A" w:rsidRPr="00303C65">
        <w:rPr>
          <w:rFonts w:ascii="ITC Avant Garde" w:hAnsi="ITC Avant Garde"/>
          <w:bCs/>
          <w:color w:val="000000"/>
          <w:lang w:eastAsia="es-MX"/>
        </w:rPr>
        <w:t xml:space="preserve"> </w:t>
      </w:r>
      <w:r w:rsidR="00495E2B" w:rsidRPr="00303C65">
        <w:rPr>
          <w:rFonts w:ascii="ITC Avant Garde" w:hAnsi="ITC Avant Garde"/>
          <w:bCs/>
          <w:color w:val="000000"/>
          <w:lang w:eastAsia="es-MX"/>
        </w:rPr>
        <w:t>Organismo Público Descentralizado del Gobierno Federal (ahora Empres</w:t>
      </w:r>
      <w:r w:rsidR="008A1811" w:rsidRPr="00303C65">
        <w:rPr>
          <w:rFonts w:ascii="ITC Avant Garde" w:hAnsi="ITC Avant Garde"/>
          <w:bCs/>
          <w:color w:val="000000"/>
          <w:lang w:eastAsia="es-MX"/>
        </w:rPr>
        <w:t>a</w:t>
      </w:r>
      <w:r w:rsidR="00495E2B" w:rsidRPr="00303C65">
        <w:rPr>
          <w:rFonts w:ascii="ITC Avant Garde" w:hAnsi="ITC Avant Garde"/>
          <w:bCs/>
          <w:color w:val="000000"/>
          <w:lang w:eastAsia="es-MX"/>
        </w:rPr>
        <w:t xml:space="preserve"> Productiva del Estado)</w:t>
      </w:r>
      <w:r w:rsidR="00C95ED6" w:rsidRPr="00303C65">
        <w:rPr>
          <w:rFonts w:ascii="ITC Avant Garde" w:hAnsi="ITC Avant Garde"/>
          <w:bCs/>
          <w:color w:val="000000"/>
          <w:lang w:eastAsia="es-MX"/>
        </w:rPr>
        <w:t>,</w:t>
      </w:r>
      <w:r w:rsidR="00495E2B" w:rsidRPr="00303C65">
        <w:rPr>
          <w:rFonts w:ascii="ITC Avant Garde" w:hAnsi="ITC Avant Garde"/>
          <w:bCs/>
          <w:color w:val="000000"/>
          <w:lang w:eastAsia="es-MX"/>
        </w:rPr>
        <w:t xml:space="preserve"> </w:t>
      </w:r>
      <w:r w:rsidR="003365B5" w:rsidRPr="00303C65">
        <w:rPr>
          <w:rFonts w:ascii="ITC Avant Garde" w:hAnsi="ITC Avant Garde"/>
          <w:bCs/>
          <w:color w:val="000000"/>
          <w:lang w:eastAsia="es-MX"/>
        </w:rPr>
        <w:t>l</w:t>
      </w:r>
      <w:r w:rsidRPr="00303C65">
        <w:rPr>
          <w:rFonts w:ascii="ITC Avant Garde" w:hAnsi="ITC Avant Garde"/>
          <w:bCs/>
          <w:color w:val="000000"/>
          <w:lang w:eastAsia="es-MX"/>
        </w:rPr>
        <w:t>a asigna</w:t>
      </w:r>
      <w:r w:rsidRPr="00303C65">
        <w:rPr>
          <w:rFonts w:ascii="ITC Avant Garde" w:hAnsi="ITC Avant Garde"/>
        </w:rPr>
        <w:t>ción número 1.-</w:t>
      </w:r>
      <w:r w:rsidR="00495E2B" w:rsidRPr="00303C65">
        <w:rPr>
          <w:rFonts w:ascii="ITC Avant Garde" w:hAnsi="ITC Avant Garde"/>
        </w:rPr>
        <w:t>209</w:t>
      </w:r>
      <w:r w:rsidRPr="00303C65">
        <w:rPr>
          <w:rFonts w:ascii="ITC Avant Garde" w:hAnsi="ITC Avant Garde"/>
        </w:rPr>
        <w:t xml:space="preserve"> para usar, aprovechar o explotar bandas de frecuencias para uso oficial, para instalar y operar una red privada de telecomunicaciones</w:t>
      </w:r>
      <w:r w:rsidR="00495E2B" w:rsidRPr="00303C65">
        <w:rPr>
          <w:rFonts w:ascii="ITC Avant Garde" w:hAnsi="ITC Avant Garde"/>
        </w:rPr>
        <w:t xml:space="preserve"> para su sistema de radiocomunicación especializada de flotillas</w:t>
      </w:r>
      <w:r w:rsidR="00AE028B" w:rsidRPr="00303C65">
        <w:rPr>
          <w:rFonts w:ascii="ITC Avant Garde" w:hAnsi="ITC Avant Garde"/>
        </w:rPr>
        <w:t xml:space="preserve"> (la “Asignación</w:t>
      </w:r>
      <w:r w:rsidR="009074BB" w:rsidRPr="00303C65">
        <w:rPr>
          <w:rFonts w:ascii="ITC Avant Garde" w:hAnsi="ITC Avant Garde"/>
        </w:rPr>
        <w:t>)</w:t>
      </w:r>
      <w:r w:rsidRPr="00303C65">
        <w:rPr>
          <w:rFonts w:ascii="ITC Avant Garde" w:hAnsi="ITC Avant Garde"/>
        </w:rPr>
        <w:t>.</w:t>
      </w:r>
    </w:p>
    <w:p w14:paraId="4F038F20" w14:textId="77777777" w:rsidR="00303C65" w:rsidRPr="00303C65" w:rsidRDefault="001858C5" w:rsidP="00303C65">
      <w:pPr>
        <w:spacing w:before="240" w:line="240" w:lineRule="auto"/>
        <w:ind w:left="567"/>
        <w:jc w:val="both"/>
        <w:rPr>
          <w:rFonts w:ascii="ITC Avant Garde" w:hAnsi="ITC Avant Garde"/>
        </w:rPr>
      </w:pPr>
      <w:r w:rsidRPr="00303C65">
        <w:rPr>
          <w:rFonts w:ascii="ITC Avant Garde" w:hAnsi="ITC Avant Garde"/>
        </w:rPr>
        <w:t>Para tales efectos</w:t>
      </w:r>
      <w:r w:rsidR="003365B5" w:rsidRPr="00303C65">
        <w:rPr>
          <w:rFonts w:ascii="ITC Avant Garde" w:hAnsi="ITC Avant Garde"/>
        </w:rPr>
        <w:t>,</w:t>
      </w:r>
      <w:r w:rsidRPr="00303C65">
        <w:rPr>
          <w:rFonts w:ascii="ITC Avant Garde" w:hAnsi="ITC Avant Garde"/>
        </w:rPr>
        <w:t xml:space="preserve"> se asignaron las frecuencias que se indican en la </w:t>
      </w:r>
      <w:r w:rsidR="003365B5" w:rsidRPr="00303C65">
        <w:rPr>
          <w:rFonts w:ascii="ITC Avant Garde" w:hAnsi="ITC Avant Garde"/>
        </w:rPr>
        <w:t>T</w:t>
      </w:r>
      <w:r w:rsidRPr="00303C65">
        <w:rPr>
          <w:rFonts w:ascii="ITC Avant Garde" w:hAnsi="ITC Avant Garde"/>
        </w:rPr>
        <w:t>abla 1</w:t>
      </w:r>
      <w:r w:rsidR="002C6011" w:rsidRPr="00303C65">
        <w:rPr>
          <w:rFonts w:ascii="ITC Avant Garde" w:hAnsi="ITC Avant Garde"/>
        </w:rPr>
        <w:t xml:space="preserve"> con cobertura en las Entidades Federativas de: Aguascalientes, Campeche, Chiapas, Chihuahua, Coahuila, Distrito Federal (ahora Ciudad de México), Durango, Guanajuato, Hidalgo, Jalisco, México, Michoacán, Nuevo León, Oaxaca, Puebla, Querétaro, San Luis Potosí, Tabasco, Tamaulipas, Tlaxcala, Veracruz y Zacatecas</w:t>
      </w:r>
      <w:r w:rsidRPr="00303C65">
        <w:rPr>
          <w:rFonts w:ascii="ITC Avant Garde" w:hAnsi="ITC Avant Garde"/>
        </w:rPr>
        <w:t>; a</w:t>
      </w:r>
      <w:r w:rsidRPr="00303C65">
        <w:rPr>
          <w:rFonts w:ascii="ITC Avant Garde" w:hAnsi="ITC Avant Garde"/>
          <w:bCs/>
          <w:color w:val="000000"/>
          <w:lang w:eastAsia="es-MX"/>
        </w:rPr>
        <w:t xml:space="preserve">simismo, en dicha asignación se estableció </w:t>
      </w:r>
      <w:r w:rsidRPr="00303C65">
        <w:rPr>
          <w:rFonts w:ascii="ITC Avant Garde" w:hAnsi="ITC Avant Garde"/>
        </w:rPr>
        <w:t>en su Condición 3 una vigencia de 4 (cuatro) años, contados a partir de la fecha de su otorgamiento, misma que podría prorrogarse por plazos iguales.</w:t>
      </w:r>
    </w:p>
    <w:p w14:paraId="090C7876" w14:textId="7C010AAD" w:rsidR="001858C5" w:rsidRPr="00303C65" w:rsidRDefault="001858C5" w:rsidP="00303C65">
      <w:pPr>
        <w:spacing w:before="240" w:line="240" w:lineRule="auto"/>
        <w:ind w:left="567"/>
        <w:jc w:val="center"/>
        <w:rPr>
          <w:rFonts w:ascii="ITC Avant Garde" w:hAnsi="ITC Avant Garde"/>
          <w:b/>
          <w:sz w:val="18"/>
          <w:szCs w:val="18"/>
        </w:rPr>
      </w:pPr>
      <w:r w:rsidRPr="00303C65">
        <w:rPr>
          <w:rFonts w:ascii="ITC Avant Garde" w:hAnsi="ITC Avant Garde"/>
          <w:b/>
          <w:sz w:val="18"/>
          <w:szCs w:val="18"/>
        </w:rPr>
        <w:t>Tabla 1</w:t>
      </w:r>
    </w:p>
    <w:tbl>
      <w:tblPr>
        <w:tblStyle w:val="Tablaconcuadrcula"/>
        <w:tblW w:w="8784" w:type="dxa"/>
        <w:jc w:val="center"/>
        <w:tblLayout w:type="fixed"/>
        <w:tblLook w:val="04A0" w:firstRow="1" w:lastRow="0" w:firstColumn="1" w:lastColumn="0" w:noHBand="0" w:noVBand="1"/>
        <w:tblCaption w:val="Tabla 1"/>
        <w:tblDescription w:val="En una tabla de 6 columnas, se proporcionan las frecuencias Tx y Rx."/>
      </w:tblPr>
      <w:tblGrid>
        <w:gridCol w:w="1413"/>
        <w:gridCol w:w="1276"/>
        <w:gridCol w:w="1559"/>
        <w:gridCol w:w="1417"/>
        <w:gridCol w:w="1560"/>
        <w:gridCol w:w="1559"/>
      </w:tblGrid>
      <w:tr w:rsidR="00303C65" w:rsidRPr="00303C65" w14:paraId="5833DF0C" w14:textId="77777777" w:rsidTr="00303C65">
        <w:trPr>
          <w:trHeight w:val="240"/>
          <w:tblHeader/>
          <w:jc w:val="center"/>
        </w:trPr>
        <w:tc>
          <w:tcPr>
            <w:tcW w:w="1413" w:type="dxa"/>
            <w:tcBorders>
              <w:top w:val="single" w:sz="4" w:space="0" w:color="auto"/>
              <w:bottom w:val="single" w:sz="4" w:space="0" w:color="auto"/>
            </w:tcBorders>
            <w:shd w:val="clear" w:color="auto" w:fill="BFBFBF" w:themeFill="background1" w:themeFillShade="BF"/>
            <w:vAlign w:val="center"/>
            <w:hideMark/>
          </w:tcPr>
          <w:p w14:paraId="787E2C1E" w14:textId="7A955A6D"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b/>
                <w:color w:val="000000"/>
                <w:sz w:val="18"/>
                <w:szCs w:val="18"/>
                <w:lang w:eastAsia="es-MX"/>
              </w:rPr>
              <w:t>Co</w:t>
            </w:r>
            <w:bookmarkStart w:id="0" w:name="_GoBack"/>
            <w:bookmarkEnd w:id="0"/>
            <w:r w:rsidRPr="00303C65">
              <w:rPr>
                <w:rFonts w:ascii="ITC Avant Garde" w:eastAsia="Times New Roman" w:hAnsi="ITC Avant Garde"/>
                <w:b/>
                <w:color w:val="000000"/>
                <w:sz w:val="18"/>
                <w:szCs w:val="18"/>
                <w:lang w:eastAsia="es-MX"/>
              </w:rPr>
              <w:t>nsecutivo</w:t>
            </w:r>
          </w:p>
        </w:tc>
        <w:tc>
          <w:tcPr>
            <w:tcW w:w="1276" w:type="dxa"/>
            <w:tcBorders>
              <w:top w:val="single" w:sz="4" w:space="0" w:color="auto"/>
              <w:bottom w:val="single" w:sz="4" w:space="0" w:color="auto"/>
            </w:tcBorders>
            <w:shd w:val="clear" w:color="auto" w:fill="BFBFBF" w:themeFill="background1" w:themeFillShade="BF"/>
            <w:vAlign w:val="center"/>
            <w:hideMark/>
          </w:tcPr>
          <w:p w14:paraId="1B6F64B3" w14:textId="6AA658C8"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b/>
                <w:color w:val="000000"/>
                <w:sz w:val="18"/>
                <w:szCs w:val="18"/>
                <w:lang w:eastAsia="es-MX"/>
              </w:rPr>
              <w:t>Frecuencia</w:t>
            </w:r>
            <w:r w:rsidRPr="00303C65">
              <w:rPr>
                <w:rFonts w:ascii="ITC Avant Garde" w:eastAsia="Times New Roman" w:hAnsi="ITC Avant Garde"/>
                <w:color w:val="000000"/>
                <w:sz w:val="18"/>
                <w:szCs w:val="18"/>
                <w:lang w:eastAsia="es-MX"/>
              </w:rPr>
              <w:t xml:space="preserve"> Tx</w:t>
            </w:r>
          </w:p>
        </w:tc>
        <w:tc>
          <w:tcPr>
            <w:tcW w:w="1559" w:type="dxa"/>
            <w:tcBorders>
              <w:top w:val="single" w:sz="4" w:space="0" w:color="auto"/>
              <w:bottom w:val="single" w:sz="4" w:space="0" w:color="auto"/>
            </w:tcBorders>
            <w:shd w:val="clear" w:color="auto" w:fill="BFBFBF" w:themeFill="background1" w:themeFillShade="BF"/>
            <w:vAlign w:val="center"/>
            <w:hideMark/>
          </w:tcPr>
          <w:p w14:paraId="1B76ECCA" w14:textId="47ECA9B8"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b/>
                <w:color w:val="000000"/>
                <w:sz w:val="18"/>
                <w:szCs w:val="18"/>
                <w:lang w:eastAsia="es-MX"/>
              </w:rPr>
              <w:t>Frecuencia</w:t>
            </w:r>
            <w:r w:rsidRPr="00303C65">
              <w:rPr>
                <w:rFonts w:ascii="ITC Avant Garde" w:eastAsia="Times New Roman" w:hAnsi="ITC Avant Garde"/>
                <w:color w:val="000000"/>
                <w:sz w:val="18"/>
                <w:szCs w:val="18"/>
                <w:lang w:eastAsia="es-MX"/>
              </w:rPr>
              <w:t xml:space="preserve"> </w:t>
            </w:r>
            <w:proofErr w:type="spellStart"/>
            <w:r w:rsidRPr="00303C65">
              <w:rPr>
                <w:rFonts w:ascii="ITC Avant Garde" w:eastAsia="Times New Roman" w:hAnsi="ITC Avant Garde"/>
                <w:color w:val="000000"/>
                <w:sz w:val="18"/>
                <w:szCs w:val="18"/>
                <w:lang w:eastAsia="es-MX"/>
              </w:rPr>
              <w:t>Rx</w:t>
            </w:r>
            <w:proofErr w:type="spellEnd"/>
          </w:p>
        </w:tc>
        <w:tc>
          <w:tcPr>
            <w:tcW w:w="1417" w:type="dxa"/>
            <w:tcBorders>
              <w:top w:val="single" w:sz="4" w:space="0" w:color="auto"/>
              <w:bottom w:val="single" w:sz="4" w:space="0" w:color="auto"/>
            </w:tcBorders>
            <w:shd w:val="clear" w:color="auto" w:fill="BFBFBF" w:themeFill="background1" w:themeFillShade="BF"/>
            <w:vAlign w:val="center"/>
            <w:hideMark/>
          </w:tcPr>
          <w:p w14:paraId="3C66B8FB" w14:textId="4CF95F14"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b/>
                <w:color w:val="000000"/>
                <w:sz w:val="18"/>
                <w:szCs w:val="18"/>
                <w:lang w:eastAsia="es-MX"/>
              </w:rPr>
              <w:t>Consecutivo</w:t>
            </w:r>
          </w:p>
        </w:tc>
        <w:tc>
          <w:tcPr>
            <w:tcW w:w="1560" w:type="dxa"/>
            <w:tcBorders>
              <w:top w:val="single" w:sz="4" w:space="0" w:color="auto"/>
              <w:bottom w:val="single" w:sz="4" w:space="0" w:color="auto"/>
            </w:tcBorders>
            <w:shd w:val="clear" w:color="auto" w:fill="BFBFBF" w:themeFill="background1" w:themeFillShade="BF"/>
            <w:vAlign w:val="center"/>
            <w:hideMark/>
          </w:tcPr>
          <w:p w14:paraId="4BD3467B" w14:textId="61CB70EF"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b/>
                <w:color w:val="000000"/>
                <w:sz w:val="18"/>
                <w:szCs w:val="18"/>
                <w:lang w:eastAsia="es-MX"/>
              </w:rPr>
              <w:t>Frecuencia</w:t>
            </w:r>
            <w:r w:rsidRPr="00303C65">
              <w:rPr>
                <w:rFonts w:ascii="ITC Avant Garde" w:eastAsia="Times New Roman" w:hAnsi="ITC Avant Garde"/>
                <w:color w:val="000000"/>
                <w:sz w:val="18"/>
                <w:szCs w:val="18"/>
                <w:lang w:eastAsia="es-MX"/>
              </w:rPr>
              <w:t xml:space="preserve"> </w:t>
            </w:r>
            <w:proofErr w:type="spellStart"/>
            <w:r w:rsidRPr="00303C65">
              <w:rPr>
                <w:rFonts w:ascii="ITC Avant Garde" w:eastAsia="Times New Roman" w:hAnsi="ITC Avant Garde"/>
                <w:color w:val="000000"/>
                <w:sz w:val="18"/>
                <w:szCs w:val="18"/>
                <w:lang w:eastAsia="es-MX"/>
              </w:rPr>
              <w:t>Tx</w:t>
            </w:r>
            <w:proofErr w:type="spellEnd"/>
          </w:p>
        </w:tc>
        <w:tc>
          <w:tcPr>
            <w:tcW w:w="1559" w:type="dxa"/>
            <w:tcBorders>
              <w:top w:val="single" w:sz="4" w:space="0" w:color="auto"/>
              <w:bottom w:val="single" w:sz="4" w:space="0" w:color="auto"/>
            </w:tcBorders>
            <w:shd w:val="clear" w:color="auto" w:fill="BFBFBF" w:themeFill="background1" w:themeFillShade="BF"/>
            <w:vAlign w:val="center"/>
            <w:hideMark/>
          </w:tcPr>
          <w:p w14:paraId="0343B999" w14:textId="7F696203"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b/>
                <w:color w:val="000000"/>
                <w:sz w:val="18"/>
                <w:szCs w:val="18"/>
                <w:lang w:eastAsia="es-MX"/>
              </w:rPr>
              <w:t>Frecuencia</w:t>
            </w:r>
            <w:r w:rsidRPr="00303C65">
              <w:rPr>
                <w:rFonts w:ascii="ITC Avant Garde" w:eastAsia="Times New Roman" w:hAnsi="ITC Avant Garde"/>
                <w:color w:val="000000"/>
                <w:sz w:val="18"/>
                <w:szCs w:val="18"/>
                <w:lang w:eastAsia="es-MX"/>
              </w:rPr>
              <w:t xml:space="preserve"> </w:t>
            </w:r>
            <w:proofErr w:type="spellStart"/>
            <w:r w:rsidRPr="00303C65">
              <w:rPr>
                <w:rFonts w:ascii="ITC Avant Garde" w:eastAsia="Times New Roman" w:hAnsi="ITC Avant Garde"/>
                <w:color w:val="000000"/>
                <w:sz w:val="18"/>
                <w:szCs w:val="18"/>
                <w:lang w:eastAsia="es-MX"/>
              </w:rPr>
              <w:t>Rx</w:t>
            </w:r>
            <w:proofErr w:type="spellEnd"/>
          </w:p>
        </w:tc>
      </w:tr>
      <w:tr w:rsidR="00303C65" w:rsidRPr="00303C65" w14:paraId="05BAA8B1" w14:textId="77777777" w:rsidTr="00303C65">
        <w:trPr>
          <w:trHeight w:val="240"/>
          <w:jc w:val="center"/>
        </w:trPr>
        <w:tc>
          <w:tcPr>
            <w:tcW w:w="1413" w:type="dxa"/>
            <w:tcBorders>
              <w:top w:val="single" w:sz="4" w:space="0" w:color="auto"/>
            </w:tcBorders>
            <w:hideMark/>
          </w:tcPr>
          <w:p w14:paraId="5900BF9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w:t>
            </w:r>
          </w:p>
        </w:tc>
        <w:tc>
          <w:tcPr>
            <w:tcW w:w="1276" w:type="dxa"/>
            <w:tcBorders>
              <w:top w:val="single" w:sz="4" w:space="0" w:color="auto"/>
            </w:tcBorders>
            <w:hideMark/>
          </w:tcPr>
          <w:p w14:paraId="0CC36B8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851.05</w:t>
            </w:r>
          </w:p>
        </w:tc>
        <w:tc>
          <w:tcPr>
            <w:tcW w:w="1559" w:type="dxa"/>
            <w:tcBorders>
              <w:top w:val="single" w:sz="4" w:space="0" w:color="auto"/>
            </w:tcBorders>
            <w:hideMark/>
          </w:tcPr>
          <w:p w14:paraId="4001328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806.05</w:t>
            </w:r>
          </w:p>
        </w:tc>
        <w:tc>
          <w:tcPr>
            <w:tcW w:w="1417" w:type="dxa"/>
            <w:tcBorders>
              <w:top w:val="single" w:sz="4" w:space="0" w:color="auto"/>
            </w:tcBorders>
            <w:hideMark/>
          </w:tcPr>
          <w:p w14:paraId="08FC0AA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54</w:t>
            </w:r>
          </w:p>
        </w:tc>
        <w:tc>
          <w:tcPr>
            <w:tcW w:w="1560" w:type="dxa"/>
            <w:tcBorders>
              <w:top w:val="single" w:sz="4" w:space="0" w:color="auto"/>
            </w:tcBorders>
            <w:hideMark/>
          </w:tcPr>
          <w:p w14:paraId="4831AFE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855.85</w:t>
            </w:r>
          </w:p>
        </w:tc>
        <w:tc>
          <w:tcPr>
            <w:tcW w:w="1559" w:type="dxa"/>
            <w:tcBorders>
              <w:top w:val="single" w:sz="4" w:space="0" w:color="auto"/>
            </w:tcBorders>
            <w:hideMark/>
          </w:tcPr>
          <w:p w14:paraId="3536788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810.85</w:t>
            </w:r>
          </w:p>
        </w:tc>
      </w:tr>
      <w:tr w:rsidR="00303C65" w:rsidRPr="00303C65" w14:paraId="252C4641" w14:textId="77777777" w:rsidTr="00303C65">
        <w:trPr>
          <w:trHeight w:val="240"/>
          <w:jc w:val="center"/>
        </w:trPr>
        <w:tc>
          <w:tcPr>
            <w:tcW w:w="1413" w:type="dxa"/>
            <w:hideMark/>
          </w:tcPr>
          <w:p w14:paraId="64E6330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2</w:t>
            </w:r>
          </w:p>
        </w:tc>
        <w:tc>
          <w:tcPr>
            <w:tcW w:w="1276" w:type="dxa"/>
            <w:hideMark/>
          </w:tcPr>
          <w:p w14:paraId="6E3FFA7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851.1</w:t>
            </w:r>
          </w:p>
        </w:tc>
        <w:tc>
          <w:tcPr>
            <w:tcW w:w="1559" w:type="dxa"/>
            <w:hideMark/>
          </w:tcPr>
          <w:p w14:paraId="2777A0A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806.1</w:t>
            </w:r>
          </w:p>
        </w:tc>
        <w:tc>
          <w:tcPr>
            <w:tcW w:w="1417" w:type="dxa"/>
            <w:hideMark/>
          </w:tcPr>
          <w:p w14:paraId="335B448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55</w:t>
            </w:r>
          </w:p>
        </w:tc>
        <w:tc>
          <w:tcPr>
            <w:tcW w:w="1560" w:type="dxa"/>
            <w:hideMark/>
          </w:tcPr>
          <w:p w14:paraId="4F61577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855.925</w:t>
            </w:r>
          </w:p>
        </w:tc>
        <w:tc>
          <w:tcPr>
            <w:tcW w:w="1559" w:type="dxa"/>
            <w:hideMark/>
          </w:tcPr>
          <w:p w14:paraId="646581A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810.925</w:t>
            </w:r>
          </w:p>
        </w:tc>
      </w:tr>
      <w:tr w:rsidR="00303C65" w:rsidRPr="00303C65" w14:paraId="13C4779B" w14:textId="77777777" w:rsidTr="00303C65">
        <w:trPr>
          <w:trHeight w:val="240"/>
          <w:jc w:val="center"/>
        </w:trPr>
        <w:tc>
          <w:tcPr>
            <w:tcW w:w="1413" w:type="dxa"/>
            <w:hideMark/>
          </w:tcPr>
          <w:p w14:paraId="2E8FE9E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3</w:t>
            </w:r>
          </w:p>
        </w:tc>
        <w:tc>
          <w:tcPr>
            <w:tcW w:w="1276" w:type="dxa"/>
            <w:hideMark/>
          </w:tcPr>
          <w:p w14:paraId="620C346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851.3</w:t>
            </w:r>
          </w:p>
        </w:tc>
        <w:tc>
          <w:tcPr>
            <w:tcW w:w="1559" w:type="dxa"/>
            <w:hideMark/>
          </w:tcPr>
          <w:p w14:paraId="0943413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806.3</w:t>
            </w:r>
          </w:p>
        </w:tc>
        <w:tc>
          <w:tcPr>
            <w:tcW w:w="1417" w:type="dxa"/>
            <w:hideMark/>
          </w:tcPr>
          <w:p w14:paraId="7428AC3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56</w:t>
            </w:r>
          </w:p>
        </w:tc>
        <w:tc>
          <w:tcPr>
            <w:tcW w:w="1560" w:type="dxa"/>
            <w:hideMark/>
          </w:tcPr>
          <w:p w14:paraId="5764D69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856.025</w:t>
            </w:r>
          </w:p>
        </w:tc>
        <w:tc>
          <w:tcPr>
            <w:tcW w:w="1559" w:type="dxa"/>
            <w:hideMark/>
          </w:tcPr>
          <w:p w14:paraId="528A03E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811.025</w:t>
            </w:r>
          </w:p>
        </w:tc>
      </w:tr>
      <w:tr w:rsidR="00303C65" w:rsidRPr="00303C65" w14:paraId="7A320814" w14:textId="77777777" w:rsidTr="00303C65">
        <w:trPr>
          <w:trHeight w:val="240"/>
          <w:jc w:val="center"/>
        </w:trPr>
        <w:tc>
          <w:tcPr>
            <w:tcW w:w="1413" w:type="dxa"/>
            <w:hideMark/>
          </w:tcPr>
          <w:p w14:paraId="732D421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4</w:t>
            </w:r>
          </w:p>
        </w:tc>
        <w:tc>
          <w:tcPr>
            <w:tcW w:w="1276" w:type="dxa"/>
            <w:hideMark/>
          </w:tcPr>
          <w:p w14:paraId="2A4E0CF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851.35</w:t>
            </w:r>
          </w:p>
        </w:tc>
        <w:tc>
          <w:tcPr>
            <w:tcW w:w="1559" w:type="dxa"/>
            <w:hideMark/>
          </w:tcPr>
          <w:p w14:paraId="0F54C6B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806.35</w:t>
            </w:r>
          </w:p>
        </w:tc>
        <w:tc>
          <w:tcPr>
            <w:tcW w:w="1417" w:type="dxa"/>
            <w:hideMark/>
          </w:tcPr>
          <w:p w14:paraId="4258F41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57</w:t>
            </w:r>
          </w:p>
        </w:tc>
        <w:tc>
          <w:tcPr>
            <w:tcW w:w="1560" w:type="dxa"/>
            <w:hideMark/>
          </w:tcPr>
          <w:p w14:paraId="6997D48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856.05</w:t>
            </w:r>
          </w:p>
        </w:tc>
        <w:tc>
          <w:tcPr>
            <w:tcW w:w="1559" w:type="dxa"/>
            <w:hideMark/>
          </w:tcPr>
          <w:p w14:paraId="00C0A97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811.05</w:t>
            </w:r>
          </w:p>
        </w:tc>
      </w:tr>
      <w:tr w:rsidR="00303C65" w:rsidRPr="00303C65" w14:paraId="69994404" w14:textId="77777777" w:rsidTr="00303C65">
        <w:trPr>
          <w:trHeight w:val="240"/>
          <w:jc w:val="center"/>
        </w:trPr>
        <w:tc>
          <w:tcPr>
            <w:tcW w:w="1413" w:type="dxa"/>
            <w:hideMark/>
          </w:tcPr>
          <w:p w14:paraId="6C6CDCE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5</w:t>
            </w:r>
          </w:p>
        </w:tc>
        <w:tc>
          <w:tcPr>
            <w:tcW w:w="1276" w:type="dxa"/>
            <w:hideMark/>
          </w:tcPr>
          <w:p w14:paraId="2763760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851.55</w:t>
            </w:r>
          </w:p>
        </w:tc>
        <w:tc>
          <w:tcPr>
            <w:tcW w:w="1559" w:type="dxa"/>
            <w:hideMark/>
          </w:tcPr>
          <w:p w14:paraId="2DB43BA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806.55</w:t>
            </w:r>
          </w:p>
        </w:tc>
        <w:tc>
          <w:tcPr>
            <w:tcW w:w="1417" w:type="dxa"/>
            <w:hideMark/>
          </w:tcPr>
          <w:p w14:paraId="7661E76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58</w:t>
            </w:r>
          </w:p>
        </w:tc>
        <w:tc>
          <w:tcPr>
            <w:tcW w:w="1560" w:type="dxa"/>
            <w:hideMark/>
          </w:tcPr>
          <w:p w14:paraId="24F699C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856.3</w:t>
            </w:r>
          </w:p>
        </w:tc>
        <w:tc>
          <w:tcPr>
            <w:tcW w:w="1559" w:type="dxa"/>
            <w:hideMark/>
          </w:tcPr>
          <w:p w14:paraId="2375646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811.3</w:t>
            </w:r>
          </w:p>
        </w:tc>
      </w:tr>
      <w:tr w:rsidR="00303C65" w:rsidRPr="00303C65" w14:paraId="6823F267" w14:textId="77777777" w:rsidTr="00303C65">
        <w:trPr>
          <w:trHeight w:val="240"/>
          <w:jc w:val="center"/>
        </w:trPr>
        <w:tc>
          <w:tcPr>
            <w:tcW w:w="1413" w:type="dxa"/>
            <w:hideMark/>
          </w:tcPr>
          <w:p w14:paraId="37D338A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6</w:t>
            </w:r>
          </w:p>
        </w:tc>
        <w:tc>
          <w:tcPr>
            <w:tcW w:w="1276" w:type="dxa"/>
            <w:hideMark/>
          </w:tcPr>
          <w:p w14:paraId="3D321BE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851.6</w:t>
            </w:r>
          </w:p>
        </w:tc>
        <w:tc>
          <w:tcPr>
            <w:tcW w:w="1559" w:type="dxa"/>
            <w:hideMark/>
          </w:tcPr>
          <w:p w14:paraId="4665BC6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806.6</w:t>
            </w:r>
          </w:p>
        </w:tc>
        <w:tc>
          <w:tcPr>
            <w:tcW w:w="1417" w:type="dxa"/>
            <w:hideMark/>
          </w:tcPr>
          <w:p w14:paraId="47F9471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59</w:t>
            </w:r>
          </w:p>
        </w:tc>
        <w:tc>
          <w:tcPr>
            <w:tcW w:w="1560" w:type="dxa"/>
            <w:hideMark/>
          </w:tcPr>
          <w:p w14:paraId="4129BD8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856.55</w:t>
            </w:r>
          </w:p>
        </w:tc>
        <w:tc>
          <w:tcPr>
            <w:tcW w:w="1559" w:type="dxa"/>
            <w:hideMark/>
          </w:tcPr>
          <w:p w14:paraId="79590BB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811.55</w:t>
            </w:r>
          </w:p>
        </w:tc>
      </w:tr>
      <w:tr w:rsidR="00303C65" w:rsidRPr="00303C65" w14:paraId="5CC047A7" w14:textId="77777777" w:rsidTr="00303C65">
        <w:trPr>
          <w:trHeight w:val="240"/>
          <w:jc w:val="center"/>
        </w:trPr>
        <w:tc>
          <w:tcPr>
            <w:tcW w:w="1413" w:type="dxa"/>
            <w:hideMark/>
          </w:tcPr>
          <w:p w14:paraId="461741C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7</w:t>
            </w:r>
          </w:p>
        </w:tc>
        <w:tc>
          <w:tcPr>
            <w:tcW w:w="1276" w:type="dxa"/>
            <w:hideMark/>
          </w:tcPr>
          <w:p w14:paraId="0543E39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851.725</w:t>
            </w:r>
          </w:p>
        </w:tc>
        <w:tc>
          <w:tcPr>
            <w:tcW w:w="1559" w:type="dxa"/>
            <w:hideMark/>
          </w:tcPr>
          <w:p w14:paraId="187DC47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806.725</w:t>
            </w:r>
          </w:p>
        </w:tc>
        <w:tc>
          <w:tcPr>
            <w:tcW w:w="1417" w:type="dxa"/>
            <w:hideMark/>
          </w:tcPr>
          <w:p w14:paraId="2BE7933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60</w:t>
            </w:r>
          </w:p>
        </w:tc>
        <w:tc>
          <w:tcPr>
            <w:tcW w:w="1560" w:type="dxa"/>
            <w:hideMark/>
          </w:tcPr>
          <w:p w14:paraId="6E07EB2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856.8</w:t>
            </w:r>
          </w:p>
        </w:tc>
        <w:tc>
          <w:tcPr>
            <w:tcW w:w="1559" w:type="dxa"/>
            <w:hideMark/>
          </w:tcPr>
          <w:p w14:paraId="40D594F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811.8</w:t>
            </w:r>
          </w:p>
        </w:tc>
      </w:tr>
      <w:tr w:rsidR="00303C65" w:rsidRPr="00303C65" w14:paraId="3924A867" w14:textId="77777777" w:rsidTr="00303C65">
        <w:trPr>
          <w:trHeight w:val="240"/>
          <w:jc w:val="center"/>
        </w:trPr>
        <w:tc>
          <w:tcPr>
            <w:tcW w:w="1413" w:type="dxa"/>
            <w:hideMark/>
          </w:tcPr>
          <w:p w14:paraId="5789CAE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w:t>
            </w:r>
          </w:p>
        </w:tc>
        <w:tc>
          <w:tcPr>
            <w:tcW w:w="1276" w:type="dxa"/>
            <w:hideMark/>
          </w:tcPr>
          <w:p w14:paraId="5C39D5B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851.8</w:t>
            </w:r>
          </w:p>
        </w:tc>
        <w:tc>
          <w:tcPr>
            <w:tcW w:w="1559" w:type="dxa"/>
            <w:hideMark/>
          </w:tcPr>
          <w:p w14:paraId="31C8802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806.8</w:t>
            </w:r>
          </w:p>
        </w:tc>
        <w:tc>
          <w:tcPr>
            <w:tcW w:w="1417" w:type="dxa"/>
            <w:hideMark/>
          </w:tcPr>
          <w:p w14:paraId="73E86A1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61</w:t>
            </w:r>
          </w:p>
        </w:tc>
        <w:tc>
          <w:tcPr>
            <w:tcW w:w="1560" w:type="dxa"/>
            <w:hideMark/>
          </w:tcPr>
          <w:p w14:paraId="363B217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857.025</w:t>
            </w:r>
          </w:p>
        </w:tc>
        <w:tc>
          <w:tcPr>
            <w:tcW w:w="1559" w:type="dxa"/>
            <w:hideMark/>
          </w:tcPr>
          <w:p w14:paraId="157EB64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812.025</w:t>
            </w:r>
          </w:p>
        </w:tc>
      </w:tr>
      <w:tr w:rsidR="00303C65" w:rsidRPr="00303C65" w14:paraId="0689C2BE" w14:textId="77777777" w:rsidTr="00303C65">
        <w:trPr>
          <w:trHeight w:val="240"/>
          <w:jc w:val="center"/>
        </w:trPr>
        <w:tc>
          <w:tcPr>
            <w:tcW w:w="1413" w:type="dxa"/>
            <w:hideMark/>
          </w:tcPr>
          <w:p w14:paraId="4E5D37A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9</w:t>
            </w:r>
          </w:p>
        </w:tc>
        <w:tc>
          <w:tcPr>
            <w:tcW w:w="1276" w:type="dxa"/>
            <w:hideMark/>
          </w:tcPr>
          <w:p w14:paraId="692C0EE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851.825</w:t>
            </w:r>
          </w:p>
        </w:tc>
        <w:tc>
          <w:tcPr>
            <w:tcW w:w="1559" w:type="dxa"/>
            <w:hideMark/>
          </w:tcPr>
          <w:p w14:paraId="5A439D1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806.825</w:t>
            </w:r>
          </w:p>
        </w:tc>
        <w:tc>
          <w:tcPr>
            <w:tcW w:w="1417" w:type="dxa"/>
            <w:hideMark/>
          </w:tcPr>
          <w:p w14:paraId="6EEE3C8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62</w:t>
            </w:r>
          </w:p>
        </w:tc>
        <w:tc>
          <w:tcPr>
            <w:tcW w:w="1560" w:type="dxa"/>
            <w:hideMark/>
          </w:tcPr>
          <w:p w14:paraId="44957B6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857.05</w:t>
            </w:r>
          </w:p>
        </w:tc>
        <w:tc>
          <w:tcPr>
            <w:tcW w:w="1559" w:type="dxa"/>
            <w:hideMark/>
          </w:tcPr>
          <w:p w14:paraId="35AB452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812.05</w:t>
            </w:r>
          </w:p>
        </w:tc>
      </w:tr>
      <w:tr w:rsidR="00303C65" w:rsidRPr="00303C65" w14:paraId="2F96C3CE" w14:textId="77777777" w:rsidTr="00303C65">
        <w:trPr>
          <w:trHeight w:val="240"/>
          <w:jc w:val="center"/>
        </w:trPr>
        <w:tc>
          <w:tcPr>
            <w:tcW w:w="1413" w:type="dxa"/>
            <w:hideMark/>
          </w:tcPr>
          <w:p w14:paraId="6E009C0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10</w:t>
            </w:r>
          </w:p>
        </w:tc>
        <w:tc>
          <w:tcPr>
            <w:tcW w:w="1276" w:type="dxa"/>
            <w:hideMark/>
          </w:tcPr>
          <w:p w14:paraId="286DE04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851.85</w:t>
            </w:r>
          </w:p>
        </w:tc>
        <w:tc>
          <w:tcPr>
            <w:tcW w:w="1559" w:type="dxa"/>
            <w:hideMark/>
          </w:tcPr>
          <w:p w14:paraId="1A41DED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806.85</w:t>
            </w:r>
          </w:p>
        </w:tc>
        <w:tc>
          <w:tcPr>
            <w:tcW w:w="1417" w:type="dxa"/>
            <w:hideMark/>
          </w:tcPr>
          <w:p w14:paraId="6C0E5F7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63</w:t>
            </w:r>
          </w:p>
        </w:tc>
        <w:tc>
          <w:tcPr>
            <w:tcW w:w="1560" w:type="dxa"/>
            <w:hideMark/>
          </w:tcPr>
          <w:p w14:paraId="7E70C95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857.3</w:t>
            </w:r>
          </w:p>
        </w:tc>
        <w:tc>
          <w:tcPr>
            <w:tcW w:w="1559" w:type="dxa"/>
            <w:hideMark/>
          </w:tcPr>
          <w:p w14:paraId="47E8231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812.3</w:t>
            </w:r>
          </w:p>
        </w:tc>
      </w:tr>
      <w:tr w:rsidR="00303C65" w:rsidRPr="00303C65" w14:paraId="688269A2" w14:textId="77777777" w:rsidTr="00303C65">
        <w:trPr>
          <w:trHeight w:val="240"/>
          <w:jc w:val="center"/>
        </w:trPr>
        <w:tc>
          <w:tcPr>
            <w:tcW w:w="1413" w:type="dxa"/>
            <w:hideMark/>
          </w:tcPr>
          <w:p w14:paraId="45E2943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11</w:t>
            </w:r>
          </w:p>
        </w:tc>
        <w:tc>
          <w:tcPr>
            <w:tcW w:w="1276" w:type="dxa"/>
            <w:hideMark/>
          </w:tcPr>
          <w:p w14:paraId="205E09A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851.925</w:t>
            </w:r>
          </w:p>
        </w:tc>
        <w:tc>
          <w:tcPr>
            <w:tcW w:w="1559" w:type="dxa"/>
            <w:hideMark/>
          </w:tcPr>
          <w:p w14:paraId="52A4500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806.925</w:t>
            </w:r>
          </w:p>
        </w:tc>
        <w:tc>
          <w:tcPr>
            <w:tcW w:w="1417" w:type="dxa"/>
            <w:hideMark/>
          </w:tcPr>
          <w:p w14:paraId="049F4E5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64</w:t>
            </w:r>
          </w:p>
        </w:tc>
        <w:tc>
          <w:tcPr>
            <w:tcW w:w="1560" w:type="dxa"/>
            <w:hideMark/>
          </w:tcPr>
          <w:p w14:paraId="6E8D877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857.55</w:t>
            </w:r>
          </w:p>
        </w:tc>
        <w:tc>
          <w:tcPr>
            <w:tcW w:w="1559" w:type="dxa"/>
            <w:hideMark/>
          </w:tcPr>
          <w:p w14:paraId="4691F57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812.55</w:t>
            </w:r>
          </w:p>
        </w:tc>
      </w:tr>
      <w:tr w:rsidR="00303C65" w:rsidRPr="00303C65" w14:paraId="1512F07C" w14:textId="77777777" w:rsidTr="00303C65">
        <w:trPr>
          <w:trHeight w:val="240"/>
          <w:jc w:val="center"/>
        </w:trPr>
        <w:tc>
          <w:tcPr>
            <w:tcW w:w="1413" w:type="dxa"/>
            <w:hideMark/>
          </w:tcPr>
          <w:p w14:paraId="6E1B6DC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12</w:t>
            </w:r>
          </w:p>
        </w:tc>
        <w:tc>
          <w:tcPr>
            <w:tcW w:w="1276" w:type="dxa"/>
            <w:hideMark/>
          </w:tcPr>
          <w:p w14:paraId="2D4F43C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852.05</w:t>
            </w:r>
          </w:p>
        </w:tc>
        <w:tc>
          <w:tcPr>
            <w:tcW w:w="1559" w:type="dxa"/>
            <w:hideMark/>
          </w:tcPr>
          <w:p w14:paraId="54E83D6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807.05</w:t>
            </w:r>
          </w:p>
        </w:tc>
        <w:tc>
          <w:tcPr>
            <w:tcW w:w="1417" w:type="dxa"/>
            <w:hideMark/>
          </w:tcPr>
          <w:p w14:paraId="6C895C6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65</w:t>
            </w:r>
          </w:p>
        </w:tc>
        <w:tc>
          <w:tcPr>
            <w:tcW w:w="1560" w:type="dxa"/>
            <w:hideMark/>
          </w:tcPr>
          <w:p w14:paraId="6CAAEB8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857.8</w:t>
            </w:r>
          </w:p>
        </w:tc>
        <w:tc>
          <w:tcPr>
            <w:tcW w:w="1559" w:type="dxa"/>
            <w:hideMark/>
          </w:tcPr>
          <w:p w14:paraId="7419991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812.8</w:t>
            </w:r>
          </w:p>
        </w:tc>
      </w:tr>
      <w:tr w:rsidR="00303C65" w:rsidRPr="00303C65" w14:paraId="52001945" w14:textId="77777777" w:rsidTr="00303C65">
        <w:trPr>
          <w:trHeight w:val="240"/>
          <w:jc w:val="center"/>
        </w:trPr>
        <w:tc>
          <w:tcPr>
            <w:tcW w:w="1413" w:type="dxa"/>
            <w:hideMark/>
          </w:tcPr>
          <w:p w14:paraId="12A0728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13</w:t>
            </w:r>
          </w:p>
        </w:tc>
        <w:tc>
          <w:tcPr>
            <w:tcW w:w="1276" w:type="dxa"/>
            <w:hideMark/>
          </w:tcPr>
          <w:p w14:paraId="305688B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852.1</w:t>
            </w:r>
          </w:p>
        </w:tc>
        <w:tc>
          <w:tcPr>
            <w:tcW w:w="1559" w:type="dxa"/>
            <w:hideMark/>
          </w:tcPr>
          <w:p w14:paraId="02C704D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807.1</w:t>
            </w:r>
          </w:p>
        </w:tc>
        <w:tc>
          <w:tcPr>
            <w:tcW w:w="1417" w:type="dxa"/>
            <w:hideMark/>
          </w:tcPr>
          <w:p w14:paraId="281135F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66</w:t>
            </w:r>
          </w:p>
        </w:tc>
        <w:tc>
          <w:tcPr>
            <w:tcW w:w="1560" w:type="dxa"/>
            <w:hideMark/>
          </w:tcPr>
          <w:p w14:paraId="3751509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858.025</w:t>
            </w:r>
          </w:p>
        </w:tc>
        <w:tc>
          <w:tcPr>
            <w:tcW w:w="1559" w:type="dxa"/>
            <w:hideMark/>
          </w:tcPr>
          <w:p w14:paraId="458D1F8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813.025</w:t>
            </w:r>
          </w:p>
        </w:tc>
      </w:tr>
      <w:tr w:rsidR="00303C65" w:rsidRPr="00303C65" w14:paraId="067C87E9" w14:textId="77777777" w:rsidTr="00303C65">
        <w:trPr>
          <w:trHeight w:val="240"/>
          <w:jc w:val="center"/>
        </w:trPr>
        <w:tc>
          <w:tcPr>
            <w:tcW w:w="1413" w:type="dxa"/>
            <w:hideMark/>
          </w:tcPr>
          <w:p w14:paraId="68D65CF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14</w:t>
            </w:r>
          </w:p>
        </w:tc>
        <w:tc>
          <w:tcPr>
            <w:tcW w:w="1276" w:type="dxa"/>
            <w:hideMark/>
          </w:tcPr>
          <w:p w14:paraId="02B9FF2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852.3</w:t>
            </w:r>
          </w:p>
        </w:tc>
        <w:tc>
          <w:tcPr>
            <w:tcW w:w="1559" w:type="dxa"/>
            <w:hideMark/>
          </w:tcPr>
          <w:p w14:paraId="347D1E5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807.3</w:t>
            </w:r>
          </w:p>
        </w:tc>
        <w:tc>
          <w:tcPr>
            <w:tcW w:w="1417" w:type="dxa"/>
            <w:hideMark/>
          </w:tcPr>
          <w:p w14:paraId="3F02579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67</w:t>
            </w:r>
          </w:p>
        </w:tc>
        <w:tc>
          <w:tcPr>
            <w:tcW w:w="1560" w:type="dxa"/>
            <w:hideMark/>
          </w:tcPr>
          <w:p w14:paraId="57E6EDC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858.05</w:t>
            </w:r>
          </w:p>
        </w:tc>
        <w:tc>
          <w:tcPr>
            <w:tcW w:w="1559" w:type="dxa"/>
            <w:hideMark/>
          </w:tcPr>
          <w:p w14:paraId="513C044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813.05</w:t>
            </w:r>
          </w:p>
        </w:tc>
      </w:tr>
      <w:tr w:rsidR="00303C65" w:rsidRPr="00303C65" w14:paraId="099C91F0" w14:textId="77777777" w:rsidTr="00303C65">
        <w:trPr>
          <w:trHeight w:val="240"/>
          <w:jc w:val="center"/>
        </w:trPr>
        <w:tc>
          <w:tcPr>
            <w:tcW w:w="1413" w:type="dxa"/>
            <w:hideMark/>
          </w:tcPr>
          <w:p w14:paraId="7276BC0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15</w:t>
            </w:r>
          </w:p>
        </w:tc>
        <w:tc>
          <w:tcPr>
            <w:tcW w:w="1276" w:type="dxa"/>
            <w:hideMark/>
          </w:tcPr>
          <w:p w14:paraId="50173B5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852.35</w:t>
            </w:r>
          </w:p>
        </w:tc>
        <w:tc>
          <w:tcPr>
            <w:tcW w:w="1559" w:type="dxa"/>
            <w:hideMark/>
          </w:tcPr>
          <w:p w14:paraId="264C75D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807.35</w:t>
            </w:r>
          </w:p>
        </w:tc>
        <w:tc>
          <w:tcPr>
            <w:tcW w:w="1417" w:type="dxa"/>
            <w:hideMark/>
          </w:tcPr>
          <w:p w14:paraId="5E50740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68</w:t>
            </w:r>
          </w:p>
        </w:tc>
        <w:tc>
          <w:tcPr>
            <w:tcW w:w="1560" w:type="dxa"/>
            <w:hideMark/>
          </w:tcPr>
          <w:p w14:paraId="4F80AEC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858.3</w:t>
            </w:r>
          </w:p>
        </w:tc>
        <w:tc>
          <w:tcPr>
            <w:tcW w:w="1559" w:type="dxa"/>
            <w:hideMark/>
          </w:tcPr>
          <w:p w14:paraId="16BDC78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813.3</w:t>
            </w:r>
          </w:p>
        </w:tc>
      </w:tr>
      <w:tr w:rsidR="00303C65" w:rsidRPr="00303C65" w14:paraId="53886B78" w14:textId="77777777" w:rsidTr="00303C65">
        <w:trPr>
          <w:trHeight w:val="240"/>
          <w:jc w:val="center"/>
        </w:trPr>
        <w:tc>
          <w:tcPr>
            <w:tcW w:w="1413" w:type="dxa"/>
            <w:hideMark/>
          </w:tcPr>
          <w:p w14:paraId="56975C6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16</w:t>
            </w:r>
          </w:p>
        </w:tc>
        <w:tc>
          <w:tcPr>
            <w:tcW w:w="1276" w:type="dxa"/>
            <w:hideMark/>
          </w:tcPr>
          <w:p w14:paraId="07BFFE4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852.55</w:t>
            </w:r>
          </w:p>
        </w:tc>
        <w:tc>
          <w:tcPr>
            <w:tcW w:w="1559" w:type="dxa"/>
            <w:hideMark/>
          </w:tcPr>
          <w:p w14:paraId="6B8AF27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807.55</w:t>
            </w:r>
          </w:p>
        </w:tc>
        <w:tc>
          <w:tcPr>
            <w:tcW w:w="1417" w:type="dxa"/>
            <w:hideMark/>
          </w:tcPr>
          <w:p w14:paraId="4C847EB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69</w:t>
            </w:r>
          </w:p>
        </w:tc>
        <w:tc>
          <w:tcPr>
            <w:tcW w:w="1560" w:type="dxa"/>
            <w:hideMark/>
          </w:tcPr>
          <w:p w14:paraId="11FD46D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858.55</w:t>
            </w:r>
          </w:p>
        </w:tc>
        <w:tc>
          <w:tcPr>
            <w:tcW w:w="1559" w:type="dxa"/>
            <w:hideMark/>
          </w:tcPr>
          <w:p w14:paraId="3C924C5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813.55</w:t>
            </w:r>
          </w:p>
        </w:tc>
      </w:tr>
      <w:tr w:rsidR="00303C65" w:rsidRPr="00303C65" w14:paraId="1A439389" w14:textId="77777777" w:rsidTr="00303C65">
        <w:trPr>
          <w:trHeight w:val="240"/>
          <w:jc w:val="center"/>
        </w:trPr>
        <w:tc>
          <w:tcPr>
            <w:tcW w:w="1413" w:type="dxa"/>
            <w:hideMark/>
          </w:tcPr>
          <w:p w14:paraId="338FB2B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lastRenderedPageBreak/>
              <w:t>17</w:t>
            </w:r>
          </w:p>
        </w:tc>
        <w:tc>
          <w:tcPr>
            <w:tcW w:w="1276" w:type="dxa"/>
            <w:hideMark/>
          </w:tcPr>
          <w:p w14:paraId="2AC7BAF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852.6</w:t>
            </w:r>
          </w:p>
        </w:tc>
        <w:tc>
          <w:tcPr>
            <w:tcW w:w="1559" w:type="dxa"/>
            <w:hideMark/>
          </w:tcPr>
          <w:p w14:paraId="4B5CA78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807.6</w:t>
            </w:r>
          </w:p>
        </w:tc>
        <w:tc>
          <w:tcPr>
            <w:tcW w:w="1417" w:type="dxa"/>
            <w:hideMark/>
          </w:tcPr>
          <w:p w14:paraId="3C94451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70</w:t>
            </w:r>
          </w:p>
        </w:tc>
        <w:tc>
          <w:tcPr>
            <w:tcW w:w="1560" w:type="dxa"/>
            <w:hideMark/>
          </w:tcPr>
          <w:p w14:paraId="1F2BECD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858.8</w:t>
            </w:r>
          </w:p>
        </w:tc>
        <w:tc>
          <w:tcPr>
            <w:tcW w:w="1559" w:type="dxa"/>
            <w:hideMark/>
          </w:tcPr>
          <w:p w14:paraId="732980E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813.8</w:t>
            </w:r>
          </w:p>
        </w:tc>
      </w:tr>
      <w:tr w:rsidR="00303C65" w:rsidRPr="00303C65" w14:paraId="295A31C3" w14:textId="77777777" w:rsidTr="00303C65">
        <w:trPr>
          <w:trHeight w:val="240"/>
          <w:jc w:val="center"/>
        </w:trPr>
        <w:tc>
          <w:tcPr>
            <w:tcW w:w="1413" w:type="dxa"/>
            <w:hideMark/>
          </w:tcPr>
          <w:p w14:paraId="2D7FB26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18</w:t>
            </w:r>
          </w:p>
        </w:tc>
        <w:tc>
          <w:tcPr>
            <w:tcW w:w="1276" w:type="dxa"/>
            <w:hideMark/>
          </w:tcPr>
          <w:p w14:paraId="16ED00A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852.725</w:t>
            </w:r>
          </w:p>
        </w:tc>
        <w:tc>
          <w:tcPr>
            <w:tcW w:w="1559" w:type="dxa"/>
            <w:hideMark/>
          </w:tcPr>
          <w:p w14:paraId="1D3DCBB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807.725</w:t>
            </w:r>
          </w:p>
        </w:tc>
        <w:tc>
          <w:tcPr>
            <w:tcW w:w="1417" w:type="dxa"/>
            <w:hideMark/>
          </w:tcPr>
          <w:p w14:paraId="66BD4AA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71</w:t>
            </w:r>
          </w:p>
        </w:tc>
        <w:tc>
          <w:tcPr>
            <w:tcW w:w="1560" w:type="dxa"/>
            <w:hideMark/>
          </w:tcPr>
          <w:p w14:paraId="06E4D4D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859.025</w:t>
            </w:r>
          </w:p>
        </w:tc>
        <w:tc>
          <w:tcPr>
            <w:tcW w:w="1559" w:type="dxa"/>
            <w:hideMark/>
          </w:tcPr>
          <w:p w14:paraId="13C5E12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814.025</w:t>
            </w:r>
          </w:p>
        </w:tc>
      </w:tr>
      <w:tr w:rsidR="00303C65" w:rsidRPr="00303C65" w14:paraId="576FEA26" w14:textId="77777777" w:rsidTr="00303C65">
        <w:trPr>
          <w:trHeight w:val="240"/>
          <w:jc w:val="center"/>
        </w:trPr>
        <w:tc>
          <w:tcPr>
            <w:tcW w:w="1413" w:type="dxa"/>
            <w:hideMark/>
          </w:tcPr>
          <w:p w14:paraId="0433D4F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19</w:t>
            </w:r>
          </w:p>
        </w:tc>
        <w:tc>
          <w:tcPr>
            <w:tcW w:w="1276" w:type="dxa"/>
            <w:hideMark/>
          </w:tcPr>
          <w:p w14:paraId="537DDA6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852.8</w:t>
            </w:r>
          </w:p>
        </w:tc>
        <w:tc>
          <w:tcPr>
            <w:tcW w:w="1559" w:type="dxa"/>
            <w:hideMark/>
          </w:tcPr>
          <w:p w14:paraId="1E2F7C2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807.8</w:t>
            </w:r>
          </w:p>
        </w:tc>
        <w:tc>
          <w:tcPr>
            <w:tcW w:w="1417" w:type="dxa"/>
            <w:hideMark/>
          </w:tcPr>
          <w:p w14:paraId="1EB9BD0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72</w:t>
            </w:r>
          </w:p>
        </w:tc>
        <w:tc>
          <w:tcPr>
            <w:tcW w:w="1560" w:type="dxa"/>
            <w:hideMark/>
          </w:tcPr>
          <w:p w14:paraId="56949FF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859.05</w:t>
            </w:r>
          </w:p>
        </w:tc>
        <w:tc>
          <w:tcPr>
            <w:tcW w:w="1559" w:type="dxa"/>
            <w:hideMark/>
          </w:tcPr>
          <w:p w14:paraId="1ECA717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814.05</w:t>
            </w:r>
          </w:p>
        </w:tc>
      </w:tr>
      <w:tr w:rsidR="00303C65" w:rsidRPr="00303C65" w14:paraId="3ECC9497" w14:textId="77777777" w:rsidTr="00303C65">
        <w:trPr>
          <w:trHeight w:val="240"/>
          <w:jc w:val="center"/>
        </w:trPr>
        <w:tc>
          <w:tcPr>
            <w:tcW w:w="1413" w:type="dxa"/>
            <w:hideMark/>
          </w:tcPr>
          <w:p w14:paraId="7B76A0A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20</w:t>
            </w:r>
          </w:p>
        </w:tc>
        <w:tc>
          <w:tcPr>
            <w:tcW w:w="1276" w:type="dxa"/>
            <w:hideMark/>
          </w:tcPr>
          <w:p w14:paraId="10FEE3C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852.825</w:t>
            </w:r>
          </w:p>
        </w:tc>
        <w:tc>
          <w:tcPr>
            <w:tcW w:w="1559" w:type="dxa"/>
            <w:hideMark/>
          </w:tcPr>
          <w:p w14:paraId="1D74A4A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807.825</w:t>
            </w:r>
          </w:p>
        </w:tc>
        <w:tc>
          <w:tcPr>
            <w:tcW w:w="1417" w:type="dxa"/>
            <w:hideMark/>
          </w:tcPr>
          <w:p w14:paraId="1EDD7B5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73</w:t>
            </w:r>
          </w:p>
        </w:tc>
        <w:tc>
          <w:tcPr>
            <w:tcW w:w="1560" w:type="dxa"/>
            <w:hideMark/>
          </w:tcPr>
          <w:p w14:paraId="31D1052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859.3</w:t>
            </w:r>
          </w:p>
        </w:tc>
        <w:tc>
          <w:tcPr>
            <w:tcW w:w="1559" w:type="dxa"/>
            <w:hideMark/>
          </w:tcPr>
          <w:p w14:paraId="3ABEA4F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814.3</w:t>
            </w:r>
          </w:p>
        </w:tc>
      </w:tr>
      <w:tr w:rsidR="00303C65" w:rsidRPr="00303C65" w14:paraId="0A251AA5" w14:textId="77777777" w:rsidTr="00303C65">
        <w:trPr>
          <w:trHeight w:val="240"/>
          <w:jc w:val="center"/>
        </w:trPr>
        <w:tc>
          <w:tcPr>
            <w:tcW w:w="1413" w:type="dxa"/>
            <w:hideMark/>
          </w:tcPr>
          <w:p w14:paraId="496D496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21</w:t>
            </w:r>
          </w:p>
        </w:tc>
        <w:tc>
          <w:tcPr>
            <w:tcW w:w="1276" w:type="dxa"/>
            <w:hideMark/>
          </w:tcPr>
          <w:p w14:paraId="00A611D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852.85</w:t>
            </w:r>
          </w:p>
        </w:tc>
        <w:tc>
          <w:tcPr>
            <w:tcW w:w="1559" w:type="dxa"/>
            <w:hideMark/>
          </w:tcPr>
          <w:p w14:paraId="7E0756F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807.85</w:t>
            </w:r>
          </w:p>
        </w:tc>
        <w:tc>
          <w:tcPr>
            <w:tcW w:w="1417" w:type="dxa"/>
            <w:hideMark/>
          </w:tcPr>
          <w:p w14:paraId="7AA1521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74</w:t>
            </w:r>
          </w:p>
        </w:tc>
        <w:tc>
          <w:tcPr>
            <w:tcW w:w="1560" w:type="dxa"/>
            <w:hideMark/>
          </w:tcPr>
          <w:p w14:paraId="19D6756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859.55</w:t>
            </w:r>
          </w:p>
        </w:tc>
        <w:tc>
          <w:tcPr>
            <w:tcW w:w="1559" w:type="dxa"/>
            <w:hideMark/>
          </w:tcPr>
          <w:p w14:paraId="5362A37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814.55</w:t>
            </w:r>
          </w:p>
        </w:tc>
      </w:tr>
      <w:tr w:rsidR="00303C65" w:rsidRPr="00303C65" w14:paraId="3CCCACA8" w14:textId="77777777" w:rsidTr="00303C65">
        <w:trPr>
          <w:trHeight w:val="240"/>
          <w:jc w:val="center"/>
        </w:trPr>
        <w:tc>
          <w:tcPr>
            <w:tcW w:w="1413" w:type="dxa"/>
            <w:hideMark/>
          </w:tcPr>
          <w:p w14:paraId="4C7BD15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22</w:t>
            </w:r>
          </w:p>
        </w:tc>
        <w:tc>
          <w:tcPr>
            <w:tcW w:w="1276" w:type="dxa"/>
            <w:hideMark/>
          </w:tcPr>
          <w:p w14:paraId="451A75D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852.925</w:t>
            </w:r>
          </w:p>
        </w:tc>
        <w:tc>
          <w:tcPr>
            <w:tcW w:w="1559" w:type="dxa"/>
            <w:hideMark/>
          </w:tcPr>
          <w:p w14:paraId="2328337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807.925</w:t>
            </w:r>
          </w:p>
        </w:tc>
        <w:tc>
          <w:tcPr>
            <w:tcW w:w="1417" w:type="dxa"/>
            <w:hideMark/>
          </w:tcPr>
          <w:p w14:paraId="584A4A9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75</w:t>
            </w:r>
          </w:p>
        </w:tc>
        <w:tc>
          <w:tcPr>
            <w:tcW w:w="1560" w:type="dxa"/>
            <w:hideMark/>
          </w:tcPr>
          <w:p w14:paraId="351B98A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859.8</w:t>
            </w:r>
          </w:p>
        </w:tc>
        <w:tc>
          <w:tcPr>
            <w:tcW w:w="1559" w:type="dxa"/>
            <w:hideMark/>
          </w:tcPr>
          <w:p w14:paraId="7EBD3CA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814.8</w:t>
            </w:r>
          </w:p>
        </w:tc>
      </w:tr>
      <w:tr w:rsidR="00303C65" w:rsidRPr="00303C65" w14:paraId="242A8C13" w14:textId="77777777" w:rsidTr="00303C65">
        <w:trPr>
          <w:trHeight w:val="240"/>
          <w:jc w:val="center"/>
        </w:trPr>
        <w:tc>
          <w:tcPr>
            <w:tcW w:w="1413" w:type="dxa"/>
            <w:hideMark/>
          </w:tcPr>
          <w:p w14:paraId="130888B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23</w:t>
            </w:r>
          </w:p>
        </w:tc>
        <w:tc>
          <w:tcPr>
            <w:tcW w:w="1276" w:type="dxa"/>
            <w:hideMark/>
          </w:tcPr>
          <w:p w14:paraId="4971AC9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853.05</w:t>
            </w:r>
          </w:p>
        </w:tc>
        <w:tc>
          <w:tcPr>
            <w:tcW w:w="1559" w:type="dxa"/>
            <w:hideMark/>
          </w:tcPr>
          <w:p w14:paraId="28F7347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808.05</w:t>
            </w:r>
          </w:p>
        </w:tc>
        <w:tc>
          <w:tcPr>
            <w:tcW w:w="1417" w:type="dxa"/>
            <w:hideMark/>
          </w:tcPr>
          <w:p w14:paraId="2EA371C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76</w:t>
            </w:r>
          </w:p>
        </w:tc>
        <w:tc>
          <w:tcPr>
            <w:tcW w:w="1560" w:type="dxa"/>
            <w:hideMark/>
          </w:tcPr>
          <w:p w14:paraId="4F507E8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860.025</w:t>
            </w:r>
          </w:p>
        </w:tc>
        <w:tc>
          <w:tcPr>
            <w:tcW w:w="1559" w:type="dxa"/>
            <w:hideMark/>
          </w:tcPr>
          <w:p w14:paraId="5E13442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815.025</w:t>
            </w:r>
          </w:p>
        </w:tc>
      </w:tr>
      <w:tr w:rsidR="00303C65" w:rsidRPr="00303C65" w14:paraId="151597EE" w14:textId="77777777" w:rsidTr="00303C65">
        <w:trPr>
          <w:trHeight w:val="240"/>
          <w:jc w:val="center"/>
        </w:trPr>
        <w:tc>
          <w:tcPr>
            <w:tcW w:w="1413" w:type="dxa"/>
            <w:hideMark/>
          </w:tcPr>
          <w:p w14:paraId="0F4C6AB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24</w:t>
            </w:r>
          </w:p>
        </w:tc>
        <w:tc>
          <w:tcPr>
            <w:tcW w:w="1276" w:type="dxa"/>
            <w:hideMark/>
          </w:tcPr>
          <w:p w14:paraId="01A63EE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853.1</w:t>
            </w:r>
          </w:p>
        </w:tc>
        <w:tc>
          <w:tcPr>
            <w:tcW w:w="1559" w:type="dxa"/>
            <w:hideMark/>
          </w:tcPr>
          <w:p w14:paraId="61C7F0A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808.1</w:t>
            </w:r>
          </w:p>
        </w:tc>
        <w:tc>
          <w:tcPr>
            <w:tcW w:w="1417" w:type="dxa"/>
            <w:hideMark/>
          </w:tcPr>
          <w:p w14:paraId="4E67C3C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77</w:t>
            </w:r>
          </w:p>
        </w:tc>
        <w:tc>
          <w:tcPr>
            <w:tcW w:w="1560" w:type="dxa"/>
            <w:hideMark/>
          </w:tcPr>
          <w:p w14:paraId="7DCEACC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860.05</w:t>
            </w:r>
          </w:p>
        </w:tc>
        <w:tc>
          <w:tcPr>
            <w:tcW w:w="1559" w:type="dxa"/>
            <w:hideMark/>
          </w:tcPr>
          <w:p w14:paraId="7CC7B91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815.05</w:t>
            </w:r>
          </w:p>
        </w:tc>
      </w:tr>
      <w:tr w:rsidR="00303C65" w:rsidRPr="00303C65" w14:paraId="24294121" w14:textId="77777777" w:rsidTr="00303C65">
        <w:trPr>
          <w:trHeight w:val="240"/>
          <w:jc w:val="center"/>
        </w:trPr>
        <w:tc>
          <w:tcPr>
            <w:tcW w:w="1413" w:type="dxa"/>
            <w:hideMark/>
          </w:tcPr>
          <w:p w14:paraId="78724BD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25</w:t>
            </w:r>
          </w:p>
        </w:tc>
        <w:tc>
          <w:tcPr>
            <w:tcW w:w="1276" w:type="dxa"/>
            <w:hideMark/>
          </w:tcPr>
          <w:p w14:paraId="53D3804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853.3</w:t>
            </w:r>
          </w:p>
        </w:tc>
        <w:tc>
          <w:tcPr>
            <w:tcW w:w="1559" w:type="dxa"/>
            <w:hideMark/>
          </w:tcPr>
          <w:p w14:paraId="73ECADE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808.3</w:t>
            </w:r>
          </w:p>
        </w:tc>
        <w:tc>
          <w:tcPr>
            <w:tcW w:w="1417" w:type="dxa"/>
            <w:hideMark/>
          </w:tcPr>
          <w:p w14:paraId="59D88B2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78</w:t>
            </w:r>
          </w:p>
        </w:tc>
        <w:tc>
          <w:tcPr>
            <w:tcW w:w="1560" w:type="dxa"/>
            <w:hideMark/>
          </w:tcPr>
          <w:p w14:paraId="635E2F8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860.3</w:t>
            </w:r>
          </w:p>
        </w:tc>
        <w:tc>
          <w:tcPr>
            <w:tcW w:w="1559" w:type="dxa"/>
            <w:hideMark/>
          </w:tcPr>
          <w:p w14:paraId="2F5327C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815.3</w:t>
            </w:r>
          </w:p>
        </w:tc>
      </w:tr>
      <w:tr w:rsidR="00303C65" w:rsidRPr="00303C65" w14:paraId="3D2C0124" w14:textId="77777777" w:rsidTr="00303C65">
        <w:trPr>
          <w:trHeight w:val="240"/>
          <w:jc w:val="center"/>
        </w:trPr>
        <w:tc>
          <w:tcPr>
            <w:tcW w:w="1413" w:type="dxa"/>
            <w:hideMark/>
          </w:tcPr>
          <w:p w14:paraId="5DB447E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26</w:t>
            </w:r>
          </w:p>
        </w:tc>
        <w:tc>
          <w:tcPr>
            <w:tcW w:w="1276" w:type="dxa"/>
            <w:hideMark/>
          </w:tcPr>
          <w:p w14:paraId="6838777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853.35</w:t>
            </w:r>
          </w:p>
        </w:tc>
        <w:tc>
          <w:tcPr>
            <w:tcW w:w="1559" w:type="dxa"/>
            <w:hideMark/>
          </w:tcPr>
          <w:p w14:paraId="594BC95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808.35</w:t>
            </w:r>
          </w:p>
        </w:tc>
        <w:tc>
          <w:tcPr>
            <w:tcW w:w="1417" w:type="dxa"/>
            <w:hideMark/>
          </w:tcPr>
          <w:p w14:paraId="4B775EB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79</w:t>
            </w:r>
          </w:p>
        </w:tc>
        <w:tc>
          <w:tcPr>
            <w:tcW w:w="1560" w:type="dxa"/>
            <w:hideMark/>
          </w:tcPr>
          <w:p w14:paraId="3D79DCC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860.55</w:t>
            </w:r>
          </w:p>
        </w:tc>
        <w:tc>
          <w:tcPr>
            <w:tcW w:w="1559" w:type="dxa"/>
            <w:hideMark/>
          </w:tcPr>
          <w:p w14:paraId="0717F55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815.55</w:t>
            </w:r>
          </w:p>
        </w:tc>
      </w:tr>
      <w:tr w:rsidR="00303C65" w:rsidRPr="00303C65" w14:paraId="34C91E82" w14:textId="77777777" w:rsidTr="00303C65">
        <w:trPr>
          <w:trHeight w:val="240"/>
          <w:jc w:val="center"/>
        </w:trPr>
        <w:tc>
          <w:tcPr>
            <w:tcW w:w="1413" w:type="dxa"/>
            <w:hideMark/>
          </w:tcPr>
          <w:p w14:paraId="5C34A98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27</w:t>
            </w:r>
          </w:p>
        </w:tc>
        <w:tc>
          <w:tcPr>
            <w:tcW w:w="1276" w:type="dxa"/>
            <w:hideMark/>
          </w:tcPr>
          <w:p w14:paraId="6B59808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853.55</w:t>
            </w:r>
          </w:p>
        </w:tc>
        <w:tc>
          <w:tcPr>
            <w:tcW w:w="1559" w:type="dxa"/>
            <w:hideMark/>
          </w:tcPr>
          <w:p w14:paraId="63A3BF7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808.55</w:t>
            </w:r>
          </w:p>
        </w:tc>
        <w:tc>
          <w:tcPr>
            <w:tcW w:w="1417" w:type="dxa"/>
            <w:hideMark/>
          </w:tcPr>
          <w:p w14:paraId="1BF5E42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w:t>
            </w:r>
          </w:p>
        </w:tc>
        <w:tc>
          <w:tcPr>
            <w:tcW w:w="1560" w:type="dxa"/>
            <w:hideMark/>
          </w:tcPr>
          <w:p w14:paraId="433F239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860.8</w:t>
            </w:r>
          </w:p>
        </w:tc>
        <w:tc>
          <w:tcPr>
            <w:tcW w:w="1559" w:type="dxa"/>
            <w:hideMark/>
          </w:tcPr>
          <w:p w14:paraId="6844DC6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815.8</w:t>
            </w:r>
          </w:p>
        </w:tc>
      </w:tr>
      <w:tr w:rsidR="00303C65" w:rsidRPr="00303C65" w14:paraId="6B69AF70" w14:textId="77777777" w:rsidTr="00303C65">
        <w:trPr>
          <w:trHeight w:val="240"/>
          <w:jc w:val="center"/>
        </w:trPr>
        <w:tc>
          <w:tcPr>
            <w:tcW w:w="1413" w:type="dxa"/>
            <w:hideMark/>
          </w:tcPr>
          <w:p w14:paraId="22A4440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28</w:t>
            </w:r>
          </w:p>
        </w:tc>
        <w:tc>
          <w:tcPr>
            <w:tcW w:w="1276" w:type="dxa"/>
            <w:hideMark/>
          </w:tcPr>
          <w:p w14:paraId="12D3BD5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853.6</w:t>
            </w:r>
          </w:p>
        </w:tc>
        <w:tc>
          <w:tcPr>
            <w:tcW w:w="1559" w:type="dxa"/>
            <w:hideMark/>
          </w:tcPr>
          <w:p w14:paraId="60131D1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808.6</w:t>
            </w:r>
          </w:p>
        </w:tc>
        <w:tc>
          <w:tcPr>
            <w:tcW w:w="1417" w:type="dxa"/>
            <w:hideMark/>
          </w:tcPr>
          <w:p w14:paraId="5850434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w:t>
            </w:r>
          </w:p>
        </w:tc>
        <w:tc>
          <w:tcPr>
            <w:tcW w:w="1560" w:type="dxa"/>
            <w:hideMark/>
          </w:tcPr>
          <w:p w14:paraId="1A3152D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861.05</w:t>
            </w:r>
          </w:p>
        </w:tc>
        <w:tc>
          <w:tcPr>
            <w:tcW w:w="1559" w:type="dxa"/>
            <w:hideMark/>
          </w:tcPr>
          <w:p w14:paraId="71447C8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816.05</w:t>
            </w:r>
          </w:p>
        </w:tc>
      </w:tr>
      <w:tr w:rsidR="00303C65" w:rsidRPr="00303C65" w14:paraId="53D768C8" w14:textId="77777777" w:rsidTr="00303C65">
        <w:trPr>
          <w:trHeight w:val="240"/>
          <w:jc w:val="center"/>
        </w:trPr>
        <w:tc>
          <w:tcPr>
            <w:tcW w:w="1413" w:type="dxa"/>
            <w:hideMark/>
          </w:tcPr>
          <w:p w14:paraId="507C53A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29</w:t>
            </w:r>
          </w:p>
        </w:tc>
        <w:tc>
          <w:tcPr>
            <w:tcW w:w="1276" w:type="dxa"/>
            <w:hideMark/>
          </w:tcPr>
          <w:p w14:paraId="4CA1D9C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853.725</w:t>
            </w:r>
          </w:p>
        </w:tc>
        <w:tc>
          <w:tcPr>
            <w:tcW w:w="1559" w:type="dxa"/>
            <w:hideMark/>
          </w:tcPr>
          <w:p w14:paraId="782D66C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808.725</w:t>
            </w:r>
          </w:p>
        </w:tc>
        <w:tc>
          <w:tcPr>
            <w:tcW w:w="1417" w:type="dxa"/>
            <w:hideMark/>
          </w:tcPr>
          <w:p w14:paraId="00CD1AA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82</w:t>
            </w:r>
          </w:p>
        </w:tc>
        <w:tc>
          <w:tcPr>
            <w:tcW w:w="1560" w:type="dxa"/>
            <w:hideMark/>
          </w:tcPr>
          <w:p w14:paraId="5783D58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861.3</w:t>
            </w:r>
          </w:p>
        </w:tc>
        <w:tc>
          <w:tcPr>
            <w:tcW w:w="1559" w:type="dxa"/>
            <w:hideMark/>
          </w:tcPr>
          <w:p w14:paraId="77A36E9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816.3</w:t>
            </w:r>
          </w:p>
        </w:tc>
      </w:tr>
      <w:tr w:rsidR="00303C65" w:rsidRPr="00303C65" w14:paraId="08355EB7" w14:textId="77777777" w:rsidTr="00303C65">
        <w:trPr>
          <w:trHeight w:val="240"/>
          <w:jc w:val="center"/>
        </w:trPr>
        <w:tc>
          <w:tcPr>
            <w:tcW w:w="1413" w:type="dxa"/>
            <w:hideMark/>
          </w:tcPr>
          <w:p w14:paraId="09DBA24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30</w:t>
            </w:r>
          </w:p>
        </w:tc>
        <w:tc>
          <w:tcPr>
            <w:tcW w:w="1276" w:type="dxa"/>
            <w:hideMark/>
          </w:tcPr>
          <w:p w14:paraId="49EDBE5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853.8</w:t>
            </w:r>
          </w:p>
        </w:tc>
        <w:tc>
          <w:tcPr>
            <w:tcW w:w="1559" w:type="dxa"/>
            <w:hideMark/>
          </w:tcPr>
          <w:p w14:paraId="40ACA23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808.8</w:t>
            </w:r>
          </w:p>
        </w:tc>
        <w:tc>
          <w:tcPr>
            <w:tcW w:w="1417" w:type="dxa"/>
            <w:hideMark/>
          </w:tcPr>
          <w:p w14:paraId="39D80D2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83</w:t>
            </w:r>
          </w:p>
        </w:tc>
        <w:tc>
          <w:tcPr>
            <w:tcW w:w="1560" w:type="dxa"/>
            <w:hideMark/>
          </w:tcPr>
          <w:p w14:paraId="307E07C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861.55</w:t>
            </w:r>
          </w:p>
        </w:tc>
        <w:tc>
          <w:tcPr>
            <w:tcW w:w="1559" w:type="dxa"/>
            <w:hideMark/>
          </w:tcPr>
          <w:p w14:paraId="6DFC6ED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816.55</w:t>
            </w:r>
          </w:p>
        </w:tc>
      </w:tr>
      <w:tr w:rsidR="00303C65" w:rsidRPr="00303C65" w14:paraId="173EA59E" w14:textId="77777777" w:rsidTr="00303C65">
        <w:trPr>
          <w:trHeight w:val="240"/>
          <w:jc w:val="center"/>
        </w:trPr>
        <w:tc>
          <w:tcPr>
            <w:tcW w:w="1413" w:type="dxa"/>
            <w:hideMark/>
          </w:tcPr>
          <w:p w14:paraId="027F4AE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31</w:t>
            </w:r>
          </w:p>
        </w:tc>
        <w:tc>
          <w:tcPr>
            <w:tcW w:w="1276" w:type="dxa"/>
            <w:hideMark/>
          </w:tcPr>
          <w:p w14:paraId="6869512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853.825</w:t>
            </w:r>
          </w:p>
        </w:tc>
        <w:tc>
          <w:tcPr>
            <w:tcW w:w="1559" w:type="dxa"/>
            <w:hideMark/>
          </w:tcPr>
          <w:p w14:paraId="2B5AA80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808.825</w:t>
            </w:r>
          </w:p>
        </w:tc>
        <w:tc>
          <w:tcPr>
            <w:tcW w:w="1417" w:type="dxa"/>
            <w:hideMark/>
          </w:tcPr>
          <w:p w14:paraId="4FECC5C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84</w:t>
            </w:r>
          </w:p>
        </w:tc>
        <w:tc>
          <w:tcPr>
            <w:tcW w:w="1560" w:type="dxa"/>
            <w:hideMark/>
          </w:tcPr>
          <w:p w14:paraId="496BFD5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861.775</w:t>
            </w:r>
          </w:p>
        </w:tc>
        <w:tc>
          <w:tcPr>
            <w:tcW w:w="1559" w:type="dxa"/>
            <w:hideMark/>
          </w:tcPr>
          <w:p w14:paraId="4EE3E11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816.775</w:t>
            </w:r>
          </w:p>
        </w:tc>
      </w:tr>
      <w:tr w:rsidR="00303C65" w:rsidRPr="00303C65" w14:paraId="27E3B5A6" w14:textId="77777777" w:rsidTr="00303C65">
        <w:trPr>
          <w:trHeight w:val="240"/>
          <w:jc w:val="center"/>
        </w:trPr>
        <w:tc>
          <w:tcPr>
            <w:tcW w:w="1413" w:type="dxa"/>
            <w:hideMark/>
          </w:tcPr>
          <w:p w14:paraId="596460B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32</w:t>
            </w:r>
          </w:p>
        </w:tc>
        <w:tc>
          <w:tcPr>
            <w:tcW w:w="1276" w:type="dxa"/>
            <w:hideMark/>
          </w:tcPr>
          <w:p w14:paraId="7ADEF67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853.85</w:t>
            </w:r>
          </w:p>
        </w:tc>
        <w:tc>
          <w:tcPr>
            <w:tcW w:w="1559" w:type="dxa"/>
            <w:hideMark/>
          </w:tcPr>
          <w:p w14:paraId="56A11C1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808.85</w:t>
            </w:r>
          </w:p>
        </w:tc>
        <w:tc>
          <w:tcPr>
            <w:tcW w:w="1417" w:type="dxa"/>
            <w:hideMark/>
          </w:tcPr>
          <w:p w14:paraId="7DBFDD3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w:t>
            </w:r>
          </w:p>
        </w:tc>
        <w:tc>
          <w:tcPr>
            <w:tcW w:w="1560" w:type="dxa"/>
            <w:hideMark/>
          </w:tcPr>
          <w:p w14:paraId="4495B98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861.8</w:t>
            </w:r>
          </w:p>
        </w:tc>
        <w:tc>
          <w:tcPr>
            <w:tcW w:w="1559" w:type="dxa"/>
            <w:hideMark/>
          </w:tcPr>
          <w:p w14:paraId="3EFA6AE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816.8</w:t>
            </w:r>
          </w:p>
        </w:tc>
      </w:tr>
      <w:tr w:rsidR="00303C65" w:rsidRPr="00303C65" w14:paraId="429A5900" w14:textId="77777777" w:rsidTr="00303C65">
        <w:trPr>
          <w:trHeight w:val="240"/>
          <w:jc w:val="center"/>
        </w:trPr>
        <w:tc>
          <w:tcPr>
            <w:tcW w:w="1413" w:type="dxa"/>
            <w:hideMark/>
          </w:tcPr>
          <w:p w14:paraId="65BC6EB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33</w:t>
            </w:r>
          </w:p>
        </w:tc>
        <w:tc>
          <w:tcPr>
            <w:tcW w:w="1276" w:type="dxa"/>
            <w:hideMark/>
          </w:tcPr>
          <w:p w14:paraId="08EFE19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853.925</w:t>
            </w:r>
          </w:p>
        </w:tc>
        <w:tc>
          <w:tcPr>
            <w:tcW w:w="1559" w:type="dxa"/>
            <w:hideMark/>
          </w:tcPr>
          <w:p w14:paraId="75ADE41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808.925</w:t>
            </w:r>
          </w:p>
        </w:tc>
        <w:tc>
          <w:tcPr>
            <w:tcW w:w="1417" w:type="dxa"/>
            <w:hideMark/>
          </w:tcPr>
          <w:p w14:paraId="2B1389A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w:t>
            </w:r>
          </w:p>
        </w:tc>
        <w:tc>
          <w:tcPr>
            <w:tcW w:w="1560" w:type="dxa"/>
            <w:hideMark/>
          </w:tcPr>
          <w:p w14:paraId="279513C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862.05</w:t>
            </w:r>
          </w:p>
        </w:tc>
        <w:tc>
          <w:tcPr>
            <w:tcW w:w="1559" w:type="dxa"/>
            <w:hideMark/>
          </w:tcPr>
          <w:p w14:paraId="1D257F8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817.05</w:t>
            </w:r>
          </w:p>
        </w:tc>
      </w:tr>
      <w:tr w:rsidR="00303C65" w:rsidRPr="00303C65" w14:paraId="18C51B41" w14:textId="77777777" w:rsidTr="00303C65">
        <w:trPr>
          <w:trHeight w:val="240"/>
          <w:jc w:val="center"/>
        </w:trPr>
        <w:tc>
          <w:tcPr>
            <w:tcW w:w="1413" w:type="dxa"/>
            <w:hideMark/>
          </w:tcPr>
          <w:p w14:paraId="3655319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34</w:t>
            </w:r>
          </w:p>
        </w:tc>
        <w:tc>
          <w:tcPr>
            <w:tcW w:w="1276" w:type="dxa"/>
            <w:hideMark/>
          </w:tcPr>
          <w:p w14:paraId="7D5D1AF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854.05</w:t>
            </w:r>
          </w:p>
        </w:tc>
        <w:tc>
          <w:tcPr>
            <w:tcW w:w="1559" w:type="dxa"/>
            <w:hideMark/>
          </w:tcPr>
          <w:p w14:paraId="77E15CA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809.05</w:t>
            </w:r>
          </w:p>
        </w:tc>
        <w:tc>
          <w:tcPr>
            <w:tcW w:w="1417" w:type="dxa"/>
            <w:hideMark/>
          </w:tcPr>
          <w:p w14:paraId="1BABB57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87</w:t>
            </w:r>
          </w:p>
        </w:tc>
        <w:tc>
          <w:tcPr>
            <w:tcW w:w="1560" w:type="dxa"/>
            <w:hideMark/>
          </w:tcPr>
          <w:p w14:paraId="255CEDB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862.3</w:t>
            </w:r>
          </w:p>
        </w:tc>
        <w:tc>
          <w:tcPr>
            <w:tcW w:w="1559" w:type="dxa"/>
            <w:hideMark/>
          </w:tcPr>
          <w:p w14:paraId="7917953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817.3</w:t>
            </w:r>
          </w:p>
        </w:tc>
      </w:tr>
      <w:tr w:rsidR="00303C65" w:rsidRPr="00303C65" w14:paraId="08B1B269" w14:textId="77777777" w:rsidTr="00303C65">
        <w:trPr>
          <w:trHeight w:val="240"/>
          <w:jc w:val="center"/>
        </w:trPr>
        <w:tc>
          <w:tcPr>
            <w:tcW w:w="1413" w:type="dxa"/>
            <w:hideMark/>
          </w:tcPr>
          <w:p w14:paraId="5CB35B3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35</w:t>
            </w:r>
          </w:p>
        </w:tc>
        <w:tc>
          <w:tcPr>
            <w:tcW w:w="1276" w:type="dxa"/>
            <w:hideMark/>
          </w:tcPr>
          <w:p w14:paraId="67BF153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854.1</w:t>
            </w:r>
          </w:p>
        </w:tc>
        <w:tc>
          <w:tcPr>
            <w:tcW w:w="1559" w:type="dxa"/>
            <w:hideMark/>
          </w:tcPr>
          <w:p w14:paraId="289D965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809.1</w:t>
            </w:r>
          </w:p>
        </w:tc>
        <w:tc>
          <w:tcPr>
            <w:tcW w:w="1417" w:type="dxa"/>
            <w:hideMark/>
          </w:tcPr>
          <w:p w14:paraId="409DDD7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88</w:t>
            </w:r>
          </w:p>
        </w:tc>
        <w:tc>
          <w:tcPr>
            <w:tcW w:w="1560" w:type="dxa"/>
            <w:hideMark/>
          </w:tcPr>
          <w:p w14:paraId="03456E0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862.55</w:t>
            </w:r>
          </w:p>
        </w:tc>
        <w:tc>
          <w:tcPr>
            <w:tcW w:w="1559" w:type="dxa"/>
            <w:hideMark/>
          </w:tcPr>
          <w:p w14:paraId="199BCA6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817.55</w:t>
            </w:r>
          </w:p>
        </w:tc>
      </w:tr>
      <w:tr w:rsidR="00303C65" w:rsidRPr="00303C65" w14:paraId="094B9A87" w14:textId="77777777" w:rsidTr="00303C65">
        <w:trPr>
          <w:trHeight w:val="240"/>
          <w:jc w:val="center"/>
        </w:trPr>
        <w:tc>
          <w:tcPr>
            <w:tcW w:w="1413" w:type="dxa"/>
            <w:hideMark/>
          </w:tcPr>
          <w:p w14:paraId="2416257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36</w:t>
            </w:r>
          </w:p>
        </w:tc>
        <w:tc>
          <w:tcPr>
            <w:tcW w:w="1276" w:type="dxa"/>
            <w:hideMark/>
          </w:tcPr>
          <w:p w14:paraId="00A7E60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854.3</w:t>
            </w:r>
          </w:p>
        </w:tc>
        <w:tc>
          <w:tcPr>
            <w:tcW w:w="1559" w:type="dxa"/>
            <w:hideMark/>
          </w:tcPr>
          <w:p w14:paraId="442F687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809.3</w:t>
            </w:r>
          </w:p>
        </w:tc>
        <w:tc>
          <w:tcPr>
            <w:tcW w:w="1417" w:type="dxa"/>
            <w:hideMark/>
          </w:tcPr>
          <w:p w14:paraId="69C673B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89</w:t>
            </w:r>
          </w:p>
        </w:tc>
        <w:tc>
          <w:tcPr>
            <w:tcW w:w="1560" w:type="dxa"/>
            <w:hideMark/>
          </w:tcPr>
          <w:p w14:paraId="7D532A4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862.775</w:t>
            </w:r>
          </w:p>
        </w:tc>
        <w:tc>
          <w:tcPr>
            <w:tcW w:w="1559" w:type="dxa"/>
            <w:hideMark/>
          </w:tcPr>
          <w:p w14:paraId="7A8988A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817.775</w:t>
            </w:r>
          </w:p>
        </w:tc>
      </w:tr>
      <w:tr w:rsidR="00303C65" w:rsidRPr="00303C65" w14:paraId="3E055A8F" w14:textId="77777777" w:rsidTr="00303C65">
        <w:trPr>
          <w:trHeight w:val="240"/>
          <w:jc w:val="center"/>
        </w:trPr>
        <w:tc>
          <w:tcPr>
            <w:tcW w:w="1413" w:type="dxa"/>
            <w:hideMark/>
          </w:tcPr>
          <w:p w14:paraId="3473E14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37</w:t>
            </w:r>
          </w:p>
        </w:tc>
        <w:tc>
          <w:tcPr>
            <w:tcW w:w="1276" w:type="dxa"/>
            <w:hideMark/>
          </w:tcPr>
          <w:p w14:paraId="5C95DEB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854.35</w:t>
            </w:r>
          </w:p>
        </w:tc>
        <w:tc>
          <w:tcPr>
            <w:tcW w:w="1559" w:type="dxa"/>
            <w:hideMark/>
          </w:tcPr>
          <w:p w14:paraId="7C8D293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809.35</w:t>
            </w:r>
          </w:p>
        </w:tc>
        <w:tc>
          <w:tcPr>
            <w:tcW w:w="1417" w:type="dxa"/>
            <w:hideMark/>
          </w:tcPr>
          <w:p w14:paraId="4E72A83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90</w:t>
            </w:r>
          </w:p>
        </w:tc>
        <w:tc>
          <w:tcPr>
            <w:tcW w:w="1560" w:type="dxa"/>
            <w:hideMark/>
          </w:tcPr>
          <w:p w14:paraId="1FAC881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862.8</w:t>
            </w:r>
          </w:p>
        </w:tc>
        <w:tc>
          <w:tcPr>
            <w:tcW w:w="1559" w:type="dxa"/>
            <w:hideMark/>
          </w:tcPr>
          <w:p w14:paraId="38EED8F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817.8</w:t>
            </w:r>
          </w:p>
        </w:tc>
      </w:tr>
      <w:tr w:rsidR="00303C65" w:rsidRPr="00303C65" w14:paraId="575D3B5B" w14:textId="77777777" w:rsidTr="00303C65">
        <w:trPr>
          <w:trHeight w:val="240"/>
          <w:jc w:val="center"/>
        </w:trPr>
        <w:tc>
          <w:tcPr>
            <w:tcW w:w="1413" w:type="dxa"/>
            <w:hideMark/>
          </w:tcPr>
          <w:p w14:paraId="6E7004F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38</w:t>
            </w:r>
          </w:p>
        </w:tc>
        <w:tc>
          <w:tcPr>
            <w:tcW w:w="1276" w:type="dxa"/>
            <w:hideMark/>
          </w:tcPr>
          <w:p w14:paraId="5A7AD8C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854.55</w:t>
            </w:r>
          </w:p>
        </w:tc>
        <w:tc>
          <w:tcPr>
            <w:tcW w:w="1559" w:type="dxa"/>
            <w:hideMark/>
          </w:tcPr>
          <w:p w14:paraId="35DB704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809.55</w:t>
            </w:r>
          </w:p>
        </w:tc>
        <w:tc>
          <w:tcPr>
            <w:tcW w:w="1417" w:type="dxa"/>
            <w:hideMark/>
          </w:tcPr>
          <w:p w14:paraId="3E6E7AA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91</w:t>
            </w:r>
          </w:p>
        </w:tc>
        <w:tc>
          <w:tcPr>
            <w:tcW w:w="1560" w:type="dxa"/>
            <w:hideMark/>
          </w:tcPr>
          <w:p w14:paraId="2F63467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863.05</w:t>
            </w:r>
          </w:p>
        </w:tc>
        <w:tc>
          <w:tcPr>
            <w:tcW w:w="1559" w:type="dxa"/>
            <w:hideMark/>
          </w:tcPr>
          <w:p w14:paraId="0E93CE4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818.05</w:t>
            </w:r>
          </w:p>
        </w:tc>
      </w:tr>
      <w:tr w:rsidR="00303C65" w:rsidRPr="00303C65" w14:paraId="14902C9D" w14:textId="77777777" w:rsidTr="00303C65">
        <w:trPr>
          <w:trHeight w:val="240"/>
          <w:jc w:val="center"/>
        </w:trPr>
        <w:tc>
          <w:tcPr>
            <w:tcW w:w="1413" w:type="dxa"/>
            <w:hideMark/>
          </w:tcPr>
          <w:p w14:paraId="2EBAE96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39</w:t>
            </w:r>
          </w:p>
        </w:tc>
        <w:tc>
          <w:tcPr>
            <w:tcW w:w="1276" w:type="dxa"/>
            <w:hideMark/>
          </w:tcPr>
          <w:p w14:paraId="5399CC7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854.6</w:t>
            </w:r>
          </w:p>
        </w:tc>
        <w:tc>
          <w:tcPr>
            <w:tcW w:w="1559" w:type="dxa"/>
            <w:hideMark/>
          </w:tcPr>
          <w:p w14:paraId="4E46EC1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809.6</w:t>
            </w:r>
          </w:p>
        </w:tc>
        <w:tc>
          <w:tcPr>
            <w:tcW w:w="1417" w:type="dxa"/>
            <w:hideMark/>
          </w:tcPr>
          <w:p w14:paraId="11DB306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92</w:t>
            </w:r>
          </w:p>
        </w:tc>
        <w:tc>
          <w:tcPr>
            <w:tcW w:w="1560" w:type="dxa"/>
            <w:hideMark/>
          </w:tcPr>
          <w:p w14:paraId="20DCAC4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863.3</w:t>
            </w:r>
          </w:p>
        </w:tc>
        <w:tc>
          <w:tcPr>
            <w:tcW w:w="1559" w:type="dxa"/>
            <w:hideMark/>
          </w:tcPr>
          <w:p w14:paraId="4CCAA10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818.3</w:t>
            </w:r>
          </w:p>
        </w:tc>
      </w:tr>
      <w:tr w:rsidR="00303C65" w:rsidRPr="00303C65" w14:paraId="32F27A65" w14:textId="77777777" w:rsidTr="00303C65">
        <w:trPr>
          <w:trHeight w:val="240"/>
          <w:jc w:val="center"/>
        </w:trPr>
        <w:tc>
          <w:tcPr>
            <w:tcW w:w="1413" w:type="dxa"/>
            <w:hideMark/>
          </w:tcPr>
          <w:p w14:paraId="7A0C36C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40</w:t>
            </w:r>
          </w:p>
        </w:tc>
        <w:tc>
          <w:tcPr>
            <w:tcW w:w="1276" w:type="dxa"/>
            <w:hideMark/>
          </w:tcPr>
          <w:p w14:paraId="419F90B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854.725</w:t>
            </w:r>
          </w:p>
        </w:tc>
        <w:tc>
          <w:tcPr>
            <w:tcW w:w="1559" w:type="dxa"/>
            <w:hideMark/>
          </w:tcPr>
          <w:p w14:paraId="2180B87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809.725</w:t>
            </w:r>
          </w:p>
        </w:tc>
        <w:tc>
          <w:tcPr>
            <w:tcW w:w="1417" w:type="dxa"/>
            <w:hideMark/>
          </w:tcPr>
          <w:p w14:paraId="6230A4B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93</w:t>
            </w:r>
          </w:p>
        </w:tc>
        <w:tc>
          <w:tcPr>
            <w:tcW w:w="1560" w:type="dxa"/>
            <w:hideMark/>
          </w:tcPr>
          <w:p w14:paraId="7F2BB5E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863.55</w:t>
            </w:r>
          </w:p>
        </w:tc>
        <w:tc>
          <w:tcPr>
            <w:tcW w:w="1559" w:type="dxa"/>
            <w:hideMark/>
          </w:tcPr>
          <w:p w14:paraId="4AEE4C5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818.55</w:t>
            </w:r>
          </w:p>
        </w:tc>
      </w:tr>
      <w:tr w:rsidR="00303C65" w:rsidRPr="00303C65" w14:paraId="1DE86FAB" w14:textId="77777777" w:rsidTr="00303C65">
        <w:trPr>
          <w:trHeight w:val="240"/>
          <w:jc w:val="center"/>
        </w:trPr>
        <w:tc>
          <w:tcPr>
            <w:tcW w:w="1413" w:type="dxa"/>
            <w:hideMark/>
          </w:tcPr>
          <w:p w14:paraId="1B4E4CA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41</w:t>
            </w:r>
          </w:p>
        </w:tc>
        <w:tc>
          <w:tcPr>
            <w:tcW w:w="1276" w:type="dxa"/>
            <w:hideMark/>
          </w:tcPr>
          <w:p w14:paraId="25DFAC5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854.8</w:t>
            </w:r>
          </w:p>
        </w:tc>
        <w:tc>
          <w:tcPr>
            <w:tcW w:w="1559" w:type="dxa"/>
            <w:hideMark/>
          </w:tcPr>
          <w:p w14:paraId="10E2466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809.8</w:t>
            </w:r>
          </w:p>
        </w:tc>
        <w:tc>
          <w:tcPr>
            <w:tcW w:w="1417" w:type="dxa"/>
            <w:hideMark/>
          </w:tcPr>
          <w:p w14:paraId="53B32F3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94</w:t>
            </w:r>
          </w:p>
        </w:tc>
        <w:tc>
          <w:tcPr>
            <w:tcW w:w="1560" w:type="dxa"/>
            <w:hideMark/>
          </w:tcPr>
          <w:p w14:paraId="1C261B8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863.775</w:t>
            </w:r>
          </w:p>
        </w:tc>
        <w:tc>
          <w:tcPr>
            <w:tcW w:w="1559" w:type="dxa"/>
            <w:hideMark/>
          </w:tcPr>
          <w:p w14:paraId="7CFA003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818.775</w:t>
            </w:r>
          </w:p>
        </w:tc>
      </w:tr>
      <w:tr w:rsidR="00303C65" w:rsidRPr="00303C65" w14:paraId="3E7F667E" w14:textId="77777777" w:rsidTr="00303C65">
        <w:trPr>
          <w:trHeight w:val="240"/>
          <w:jc w:val="center"/>
        </w:trPr>
        <w:tc>
          <w:tcPr>
            <w:tcW w:w="1413" w:type="dxa"/>
            <w:hideMark/>
          </w:tcPr>
          <w:p w14:paraId="7910B37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42</w:t>
            </w:r>
          </w:p>
        </w:tc>
        <w:tc>
          <w:tcPr>
            <w:tcW w:w="1276" w:type="dxa"/>
            <w:hideMark/>
          </w:tcPr>
          <w:p w14:paraId="10C2770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854.825</w:t>
            </w:r>
          </w:p>
        </w:tc>
        <w:tc>
          <w:tcPr>
            <w:tcW w:w="1559" w:type="dxa"/>
            <w:hideMark/>
          </w:tcPr>
          <w:p w14:paraId="0F5C755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809.825</w:t>
            </w:r>
          </w:p>
        </w:tc>
        <w:tc>
          <w:tcPr>
            <w:tcW w:w="1417" w:type="dxa"/>
            <w:hideMark/>
          </w:tcPr>
          <w:p w14:paraId="690EA73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95</w:t>
            </w:r>
          </w:p>
        </w:tc>
        <w:tc>
          <w:tcPr>
            <w:tcW w:w="1560" w:type="dxa"/>
            <w:hideMark/>
          </w:tcPr>
          <w:p w14:paraId="723167D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863.8</w:t>
            </w:r>
          </w:p>
        </w:tc>
        <w:tc>
          <w:tcPr>
            <w:tcW w:w="1559" w:type="dxa"/>
            <w:hideMark/>
          </w:tcPr>
          <w:p w14:paraId="6C6A20F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818.8</w:t>
            </w:r>
          </w:p>
        </w:tc>
      </w:tr>
      <w:tr w:rsidR="00303C65" w:rsidRPr="00303C65" w14:paraId="295E3C39" w14:textId="77777777" w:rsidTr="00303C65">
        <w:trPr>
          <w:trHeight w:val="240"/>
          <w:jc w:val="center"/>
        </w:trPr>
        <w:tc>
          <w:tcPr>
            <w:tcW w:w="1413" w:type="dxa"/>
            <w:hideMark/>
          </w:tcPr>
          <w:p w14:paraId="388BC39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43</w:t>
            </w:r>
          </w:p>
        </w:tc>
        <w:tc>
          <w:tcPr>
            <w:tcW w:w="1276" w:type="dxa"/>
            <w:hideMark/>
          </w:tcPr>
          <w:p w14:paraId="64DC680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854.85</w:t>
            </w:r>
          </w:p>
        </w:tc>
        <w:tc>
          <w:tcPr>
            <w:tcW w:w="1559" w:type="dxa"/>
            <w:hideMark/>
          </w:tcPr>
          <w:p w14:paraId="7690AAE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809.85</w:t>
            </w:r>
          </w:p>
        </w:tc>
        <w:tc>
          <w:tcPr>
            <w:tcW w:w="1417" w:type="dxa"/>
            <w:hideMark/>
          </w:tcPr>
          <w:p w14:paraId="26F8C37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96</w:t>
            </w:r>
          </w:p>
        </w:tc>
        <w:tc>
          <w:tcPr>
            <w:tcW w:w="1560" w:type="dxa"/>
            <w:hideMark/>
          </w:tcPr>
          <w:p w14:paraId="306EC55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864.05</w:t>
            </w:r>
          </w:p>
        </w:tc>
        <w:tc>
          <w:tcPr>
            <w:tcW w:w="1559" w:type="dxa"/>
            <w:hideMark/>
          </w:tcPr>
          <w:p w14:paraId="2495FED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819.05</w:t>
            </w:r>
          </w:p>
        </w:tc>
      </w:tr>
      <w:tr w:rsidR="00303C65" w:rsidRPr="00303C65" w14:paraId="20C784DC" w14:textId="77777777" w:rsidTr="00303C65">
        <w:trPr>
          <w:trHeight w:val="240"/>
          <w:jc w:val="center"/>
        </w:trPr>
        <w:tc>
          <w:tcPr>
            <w:tcW w:w="1413" w:type="dxa"/>
            <w:hideMark/>
          </w:tcPr>
          <w:p w14:paraId="1F39207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44</w:t>
            </w:r>
          </w:p>
        </w:tc>
        <w:tc>
          <w:tcPr>
            <w:tcW w:w="1276" w:type="dxa"/>
            <w:hideMark/>
          </w:tcPr>
          <w:p w14:paraId="6D9E385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854.925</w:t>
            </w:r>
          </w:p>
        </w:tc>
        <w:tc>
          <w:tcPr>
            <w:tcW w:w="1559" w:type="dxa"/>
            <w:hideMark/>
          </w:tcPr>
          <w:p w14:paraId="69E4184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809.925</w:t>
            </w:r>
          </w:p>
        </w:tc>
        <w:tc>
          <w:tcPr>
            <w:tcW w:w="1417" w:type="dxa"/>
            <w:hideMark/>
          </w:tcPr>
          <w:p w14:paraId="6E8532E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97</w:t>
            </w:r>
          </w:p>
        </w:tc>
        <w:tc>
          <w:tcPr>
            <w:tcW w:w="1560" w:type="dxa"/>
            <w:hideMark/>
          </w:tcPr>
          <w:p w14:paraId="06FE246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864.3</w:t>
            </w:r>
          </w:p>
        </w:tc>
        <w:tc>
          <w:tcPr>
            <w:tcW w:w="1559" w:type="dxa"/>
            <w:hideMark/>
          </w:tcPr>
          <w:p w14:paraId="5EC759A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819.3</w:t>
            </w:r>
          </w:p>
        </w:tc>
      </w:tr>
      <w:tr w:rsidR="00303C65" w:rsidRPr="00303C65" w14:paraId="752FD86A" w14:textId="77777777" w:rsidTr="00303C65">
        <w:trPr>
          <w:trHeight w:val="240"/>
          <w:jc w:val="center"/>
        </w:trPr>
        <w:tc>
          <w:tcPr>
            <w:tcW w:w="1413" w:type="dxa"/>
            <w:hideMark/>
          </w:tcPr>
          <w:p w14:paraId="2140A4F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45</w:t>
            </w:r>
          </w:p>
        </w:tc>
        <w:tc>
          <w:tcPr>
            <w:tcW w:w="1276" w:type="dxa"/>
            <w:hideMark/>
          </w:tcPr>
          <w:p w14:paraId="4804942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855.05</w:t>
            </w:r>
          </w:p>
        </w:tc>
        <w:tc>
          <w:tcPr>
            <w:tcW w:w="1559" w:type="dxa"/>
            <w:hideMark/>
          </w:tcPr>
          <w:p w14:paraId="72B49DD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810.05</w:t>
            </w:r>
          </w:p>
        </w:tc>
        <w:tc>
          <w:tcPr>
            <w:tcW w:w="1417" w:type="dxa"/>
            <w:hideMark/>
          </w:tcPr>
          <w:p w14:paraId="1619379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98</w:t>
            </w:r>
          </w:p>
        </w:tc>
        <w:tc>
          <w:tcPr>
            <w:tcW w:w="1560" w:type="dxa"/>
            <w:hideMark/>
          </w:tcPr>
          <w:p w14:paraId="6076BC6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864.55</w:t>
            </w:r>
          </w:p>
        </w:tc>
        <w:tc>
          <w:tcPr>
            <w:tcW w:w="1559" w:type="dxa"/>
            <w:hideMark/>
          </w:tcPr>
          <w:p w14:paraId="4627854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819.55</w:t>
            </w:r>
          </w:p>
        </w:tc>
      </w:tr>
      <w:tr w:rsidR="00303C65" w:rsidRPr="00303C65" w14:paraId="4E7F7D74" w14:textId="77777777" w:rsidTr="00303C65">
        <w:trPr>
          <w:trHeight w:val="240"/>
          <w:jc w:val="center"/>
        </w:trPr>
        <w:tc>
          <w:tcPr>
            <w:tcW w:w="1413" w:type="dxa"/>
            <w:hideMark/>
          </w:tcPr>
          <w:p w14:paraId="478E577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46</w:t>
            </w:r>
          </w:p>
        </w:tc>
        <w:tc>
          <w:tcPr>
            <w:tcW w:w="1276" w:type="dxa"/>
            <w:hideMark/>
          </w:tcPr>
          <w:p w14:paraId="3ABF2F5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855.1</w:t>
            </w:r>
          </w:p>
        </w:tc>
        <w:tc>
          <w:tcPr>
            <w:tcW w:w="1559" w:type="dxa"/>
            <w:hideMark/>
          </w:tcPr>
          <w:p w14:paraId="53885A7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810.1</w:t>
            </w:r>
          </w:p>
        </w:tc>
        <w:tc>
          <w:tcPr>
            <w:tcW w:w="1417" w:type="dxa"/>
            <w:hideMark/>
          </w:tcPr>
          <w:p w14:paraId="3103B87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99</w:t>
            </w:r>
          </w:p>
        </w:tc>
        <w:tc>
          <w:tcPr>
            <w:tcW w:w="1560" w:type="dxa"/>
            <w:hideMark/>
          </w:tcPr>
          <w:p w14:paraId="76C76A6A"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864.775</w:t>
            </w:r>
          </w:p>
        </w:tc>
        <w:tc>
          <w:tcPr>
            <w:tcW w:w="1559" w:type="dxa"/>
            <w:hideMark/>
          </w:tcPr>
          <w:p w14:paraId="5B4A5A8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819.775</w:t>
            </w:r>
          </w:p>
        </w:tc>
      </w:tr>
      <w:tr w:rsidR="00303C65" w:rsidRPr="00303C65" w14:paraId="03C9434F" w14:textId="77777777" w:rsidTr="00303C65">
        <w:trPr>
          <w:trHeight w:val="240"/>
          <w:jc w:val="center"/>
        </w:trPr>
        <w:tc>
          <w:tcPr>
            <w:tcW w:w="1413" w:type="dxa"/>
            <w:hideMark/>
          </w:tcPr>
          <w:p w14:paraId="0BFC9C8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47</w:t>
            </w:r>
          </w:p>
        </w:tc>
        <w:tc>
          <w:tcPr>
            <w:tcW w:w="1276" w:type="dxa"/>
            <w:hideMark/>
          </w:tcPr>
          <w:p w14:paraId="750D317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855.3</w:t>
            </w:r>
          </w:p>
        </w:tc>
        <w:tc>
          <w:tcPr>
            <w:tcW w:w="1559" w:type="dxa"/>
            <w:hideMark/>
          </w:tcPr>
          <w:p w14:paraId="162FA74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810.3</w:t>
            </w:r>
          </w:p>
        </w:tc>
        <w:tc>
          <w:tcPr>
            <w:tcW w:w="1417" w:type="dxa"/>
            <w:hideMark/>
          </w:tcPr>
          <w:p w14:paraId="3D32259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100</w:t>
            </w:r>
          </w:p>
        </w:tc>
        <w:tc>
          <w:tcPr>
            <w:tcW w:w="1560" w:type="dxa"/>
            <w:hideMark/>
          </w:tcPr>
          <w:p w14:paraId="47D8EBE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864.8</w:t>
            </w:r>
          </w:p>
        </w:tc>
        <w:tc>
          <w:tcPr>
            <w:tcW w:w="1559" w:type="dxa"/>
            <w:hideMark/>
          </w:tcPr>
          <w:p w14:paraId="67DF7CF2"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819.8</w:t>
            </w:r>
          </w:p>
        </w:tc>
      </w:tr>
      <w:tr w:rsidR="00303C65" w:rsidRPr="00303C65" w14:paraId="02B4802C" w14:textId="77777777" w:rsidTr="00303C65">
        <w:trPr>
          <w:trHeight w:val="240"/>
          <w:jc w:val="center"/>
        </w:trPr>
        <w:tc>
          <w:tcPr>
            <w:tcW w:w="1413" w:type="dxa"/>
            <w:hideMark/>
          </w:tcPr>
          <w:p w14:paraId="5B27D6A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48</w:t>
            </w:r>
          </w:p>
        </w:tc>
        <w:tc>
          <w:tcPr>
            <w:tcW w:w="1276" w:type="dxa"/>
            <w:hideMark/>
          </w:tcPr>
          <w:p w14:paraId="2263DF21"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855.35</w:t>
            </w:r>
          </w:p>
        </w:tc>
        <w:tc>
          <w:tcPr>
            <w:tcW w:w="1559" w:type="dxa"/>
            <w:hideMark/>
          </w:tcPr>
          <w:p w14:paraId="6C73A98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810.35</w:t>
            </w:r>
          </w:p>
        </w:tc>
        <w:tc>
          <w:tcPr>
            <w:tcW w:w="1417" w:type="dxa"/>
            <w:hideMark/>
          </w:tcPr>
          <w:p w14:paraId="2C3AED1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101</w:t>
            </w:r>
          </w:p>
        </w:tc>
        <w:tc>
          <w:tcPr>
            <w:tcW w:w="1560" w:type="dxa"/>
            <w:hideMark/>
          </w:tcPr>
          <w:p w14:paraId="6BA677C6"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865.05</w:t>
            </w:r>
          </w:p>
        </w:tc>
        <w:tc>
          <w:tcPr>
            <w:tcW w:w="1559" w:type="dxa"/>
            <w:hideMark/>
          </w:tcPr>
          <w:p w14:paraId="6C4DE0C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820.05</w:t>
            </w:r>
          </w:p>
        </w:tc>
      </w:tr>
      <w:tr w:rsidR="00303C65" w:rsidRPr="00303C65" w14:paraId="2C1DE447" w14:textId="77777777" w:rsidTr="00303C65">
        <w:trPr>
          <w:trHeight w:val="240"/>
          <w:jc w:val="center"/>
        </w:trPr>
        <w:tc>
          <w:tcPr>
            <w:tcW w:w="1413" w:type="dxa"/>
            <w:hideMark/>
          </w:tcPr>
          <w:p w14:paraId="61A5B7A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49</w:t>
            </w:r>
          </w:p>
        </w:tc>
        <w:tc>
          <w:tcPr>
            <w:tcW w:w="1276" w:type="dxa"/>
            <w:hideMark/>
          </w:tcPr>
          <w:p w14:paraId="2D8461AF"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855.55</w:t>
            </w:r>
          </w:p>
        </w:tc>
        <w:tc>
          <w:tcPr>
            <w:tcW w:w="1559" w:type="dxa"/>
            <w:hideMark/>
          </w:tcPr>
          <w:p w14:paraId="4AA44E6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810.55</w:t>
            </w:r>
          </w:p>
        </w:tc>
        <w:tc>
          <w:tcPr>
            <w:tcW w:w="1417" w:type="dxa"/>
            <w:hideMark/>
          </w:tcPr>
          <w:p w14:paraId="1C6027A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102</w:t>
            </w:r>
          </w:p>
        </w:tc>
        <w:tc>
          <w:tcPr>
            <w:tcW w:w="1560" w:type="dxa"/>
            <w:hideMark/>
          </w:tcPr>
          <w:p w14:paraId="2FDEC70E"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865.3</w:t>
            </w:r>
          </w:p>
        </w:tc>
        <w:tc>
          <w:tcPr>
            <w:tcW w:w="1559" w:type="dxa"/>
            <w:hideMark/>
          </w:tcPr>
          <w:p w14:paraId="1087283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820.3</w:t>
            </w:r>
          </w:p>
        </w:tc>
      </w:tr>
      <w:tr w:rsidR="00303C65" w:rsidRPr="00303C65" w14:paraId="10815D1C" w14:textId="77777777" w:rsidTr="00303C65">
        <w:trPr>
          <w:trHeight w:val="240"/>
          <w:jc w:val="center"/>
        </w:trPr>
        <w:tc>
          <w:tcPr>
            <w:tcW w:w="1413" w:type="dxa"/>
            <w:hideMark/>
          </w:tcPr>
          <w:p w14:paraId="11CB30A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50</w:t>
            </w:r>
          </w:p>
        </w:tc>
        <w:tc>
          <w:tcPr>
            <w:tcW w:w="1276" w:type="dxa"/>
            <w:hideMark/>
          </w:tcPr>
          <w:p w14:paraId="3B16BE6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855.6</w:t>
            </w:r>
          </w:p>
        </w:tc>
        <w:tc>
          <w:tcPr>
            <w:tcW w:w="1559" w:type="dxa"/>
            <w:hideMark/>
          </w:tcPr>
          <w:p w14:paraId="72943F2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810.6</w:t>
            </w:r>
          </w:p>
        </w:tc>
        <w:tc>
          <w:tcPr>
            <w:tcW w:w="1417" w:type="dxa"/>
            <w:hideMark/>
          </w:tcPr>
          <w:p w14:paraId="3C488A8C"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103</w:t>
            </w:r>
          </w:p>
        </w:tc>
        <w:tc>
          <w:tcPr>
            <w:tcW w:w="1560" w:type="dxa"/>
            <w:hideMark/>
          </w:tcPr>
          <w:p w14:paraId="45F7F79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865.55</w:t>
            </w:r>
          </w:p>
        </w:tc>
        <w:tc>
          <w:tcPr>
            <w:tcW w:w="1559" w:type="dxa"/>
            <w:hideMark/>
          </w:tcPr>
          <w:p w14:paraId="54E2812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820.55</w:t>
            </w:r>
          </w:p>
        </w:tc>
      </w:tr>
      <w:tr w:rsidR="00303C65" w:rsidRPr="00303C65" w14:paraId="3BEAA7C9" w14:textId="77777777" w:rsidTr="00303C65">
        <w:trPr>
          <w:trHeight w:val="240"/>
          <w:jc w:val="center"/>
        </w:trPr>
        <w:tc>
          <w:tcPr>
            <w:tcW w:w="1413" w:type="dxa"/>
            <w:hideMark/>
          </w:tcPr>
          <w:p w14:paraId="4DDDA787"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51</w:t>
            </w:r>
          </w:p>
        </w:tc>
        <w:tc>
          <w:tcPr>
            <w:tcW w:w="1276" w:type="dxa"/>
            <w:hideMark/>
          </w:tcPr>
          <w:p w14:paraId="4B70D44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855.725</w:t>
            </w:r>
          </w:p>
        </w:tc>
        <w:tc>
          <w:tcPr>
            <w:tcW w:w="1559" w:type="dxa"/>
            <w:hideMark/>
          </w:tcPr>
          <w:p w14:paraId="428BEF9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810.725</w:t>
            </w:r>
          </w:p>
        </w:tc>
        <w:tc>
          <w:tcPr>
            <w:tcW w:w="1417" w:type="dxa"/>
            <w:hideMark/>
          </w:tcPr>
          <w:p w14:paraId="0D739195"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104</w:t>
            </w:r>
          </w:p>
        </w:tc>
        <w:tc>
          <w:tcPr>
            <w:tcW w:w="1560" w:type="dxa"/>
            <w:hideMark/>
          </w:tcPr>
          <w:p w14:paraId="25A4C22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865.775</w:t>
            </w:r>
          </w:p>
        </w:tc>
        <w:tc>
          <w:tcPr>
            <w:tcW w:w="1559" w:type="dxa"/>
            <w:hideMark/>
          </w:tcPr>
          <w:p w14:paraId="3CB9B89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820.775</w:t>
            </w:r>
          </w:p>
        </w:tc>
      </w:tr>
      <w:tr w:rsidR="00303C65" w:rsidRPr="00303C65" w14:paraId="4BA3F257" w14:textId="77777777" w:rsidTr="00303C65">
        <w:trPr>
          <w:trHeight w:val="240"/>
          <w:jc w:val="center"/>
        </w:trPr>
        <w:tc>
          <w:tcPr>
            <w:tcW w:w="1413" w:type="dxa"/>
            <w:hideMark/>
          </w:tcPr>
          <w:p w14:paraId="34338F54"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52</w:t>
            </w:r>
          </w:p>
        </w:tc>
        <w:tc>
          <w:tcPr>
            <w:tcW w:w="1276" w:type="dxa"/>
            <w:hideMark/>
          </w:tcPr>
          <w:p w14:paraId="390E640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855.8</w:t>
            </w:r>
          </w:p>
        </w:tc>
        <w:tc>
          <w:tcPr>
            <w:tcW w:w="1559" w:type="dxa"/>
            <w:hideMark/>
          </w:tcPr>
          <w:p w14:paraId="78204A9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810.8</w:t>
            </w:r>
          </w:p>
        </w:tc>
        <w:tc>
          <w:tcPr>
            <w:tcW w:w="1417" w:type="dxa"/>
            <w:hideMark/>
          </w:tcPr>
          <w:p w14:paraId="09D97758"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105</w:t>
            </w:r>
          </w:p>
        </w:tc>
        <w:tc>
          <w:tcPr>
            <w:tcW w:w="1560" w:type="dxa"/>
            <w:hideMark/>
          </w:tcPr>
          <w:p w14:paraId="76C41659"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865.8</w:t>
            </w:r>
          </w:p>
        </w:tc>
        <w:tc>
          <w:tcPr>
            <w:tcW w:w="1559" w:type="dxa"/>
            <w:hideMark/>
          </w:tcPr>
          <w:p w14:paraId="5B9A5B0D"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820.8</w:t>
            </w:r>
          </w:p>
        </w:tc>
      </w:tr>
      <w:tr w:rsidR="00303C65" w:rsidRPr="00303C65" w14:paraId="2060D05D" w14:textId="77777777" w:rsidTr="00303C65">
        <w:trPr>
          <w:trHeight w:val="240"/>
          <w:jc w:val="center"/>
        </w:trPr>
        <w:tc>
          <w:tcPr>
            <w:tcW w:w="1413" w:type="dxa"/>
            <w:hideMark/>
          </w:tcPr>
          <w:p w14:paraId="6B94CDAB"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53</w:t>
            </w:r>
          </w:p>
        </w:tc>
        <w:tc>
          <w:tcPr>
            <w:tcW w:w="1276" w:type="dxa"/>
            <w:hideMark/>
          </w:tcPr>
          <w:p w14:paraId="46A2FFB3"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855.825</w:t>
            </w:r>
          </w:p>
        </w:tc>
        <w:tc>
          <w:tcPr>
            <w:tcW w:w="1559" w:type="dxa"/>
            <w:hideMark/>
          </w:tcPr>
          <w:p w14:paraId="76384320" w14:textId="77777777"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sidRPr="00303C65">
              <w:rPr>
                <w:rFonts w:ascii="ITC Avant Garde" w:eastAsia="Times New Roman" w:hAnsi="ITC Avant Garde"/>
                <w:color w:val="000000"/>
                <w:sz w:val="18"/>
                <w:szCs w:val="18"/>
                <w:lang w:eastAsia="es-MX"/>
              </w:rPr>
              <w:t>810.825</w:t>
            </w:r>
          </w:p>
        </w:tc>
        <w:tc>
          <w:tcPr>
            <w:tcW w:w="1417" w:type="dxa"/>
            <w:hideMark/>
          </w:tcPr>
          <w:p w14:paraId="67741F4E" w14:textId="2F10526F" w:rsidR="00303C65" w:rsidRPr="00303C65" w:rsidRDefault="00303C65" w:rsidP="00303C65">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w:t>
            </w:r>
          </w:p>
        </w:tc>
        <w:tc>
          <w:tcPr>
            <w:tcW w:w="1560" w:type="dxa"/>
            <w:hideMark/>
          </w:tcPr>
          <w:p w14:paraId="6CE1D6C3" w14:textId="7EDCE0DB" w:rsidR="00303C65" w:rsidRPr="00303C65" w:rsidRDefault="00303C65" w:rsidP="00303C65">
            <w:pPr>
              <w:spacing w:after="0" w:line="240" w:lineRule="auto"/>
              <w:jc w:val="center"/>
              <w:rPr>
                <w:rFonts w:ascii="ITC Avant Garde" w:eastAsia="Times New Roman" w:hAnsi="ITC Avant Garde"/>
                <w:sz w:val="20"/>
                <w:szCs w:val="20"/>
                <w:lang w:eastAsia="es-MX"/>
              </w:rPr>
            </w:pPr>
            <w:r>
              <w:rPr>
                <w:rFonts w:ascii="ITC Avant Garde" w:eastAsia="Times New Roman" w:hAnsi="ITC Avant Garde"/>
                <w:sz w:val="20"/>
                <w:szCs w:val="20"/>
                <w:lang w:eastAsia="es-MX"/>
              </w:rPr>
              <w:t>.</w:t>
            </w:r>
          </w:p>
        </w:tc>
        <w:tc>
          <w:tcPr>
            <w:tcW w:w="1559" w:type="dxa"/>
            <w:hideMark/>
          </w:tcPr>
          <w:p w14:paraId="2EF8F878" w14:textId="1361C5DF" w:rsidR="00303C65" w:rsidRPr="00303C65" w:rsidRDefault="00303C65" w:rsidP="00303C65">
            <w:pPr>
              <w:spacing w:after="0" w:line="240" w:lineRule="auto"/>
              <w:jc w:val="center"/>
              <w:rPr>
                <w:rFonts w:ascii="ITC Avant Garde" w:eastAsia="Times New Roman" w:hAnsi="ITC Avant Garde"/>
                <w:sz w:val="20"/>
                <w:szCs w:val="20"/>
                <w:lang w:eastAsia="es-MX"/>
              </w:rPr>
            </w:pPr>
            <w:r>
              <w:rPr>
                <w:rFonts w:ascii="ITC Avant Garde" w:eastAsia="Times New Roman" w:hAnsi="ITC Avant Garde"/>
                <w:sz w:val="20"/>
                <w:szCs w:val="20"/>
                <w:lang w:eastAsia="es-MX"/>
              </w:rPr>
              <w:t>.</w:t>
            </w:r>
          </w:p>
        </w:tc>
      </w:tr>
    </w:tbl>
    <w:p w14:paraId="30047F0F" w14:textId="77777777" w:rsidR="00303C65" w:rsidRPr="00303C65" w:rsidRDefault="00493612" w:rsidP="00303C65">
      <w:pPr>
        <w:numPr>
          <w:ilvl w:val="0"/>
          <w:numId w:val="4"/>
        </w:numPr>
        <w:spacing w:before="240" w:line="240" w:lineRule="auto"/>
        <w:ind w:left="567" w:hanging="567"/>
        <w:jc w:val="both"/>
        <w:rPr>
          <w:rFonts w:ascii="ITC Avant Garde" w:hAnsi="ITC Avant Garde"/>
          <w:b/>
          <w:bCs/>
          <w:color w:val="000000"/>
          <w:lang w:eastAsia="es-MX"/>
        </w:rPr>
      </w:pPr>
      <w:r w:rsidRPr="00303C65">
        <w:rPr>
          <w:rFonts w:ascii="ITC Avant Garde" w:hAnsi="ITC Avant Garde"/>
          <w:b/>
          <w:bCs/>
          <w:color w:val="000000"/>
          <w:lang w:eastAsia="es-MX"/>
        </w:rPr>
        <w:t>Solicitud de Prórroga de Vigencia.</w:t>
      </w:r>
      <w:r w:rsidRPr="00303C65">
        <w:rPr>
          <w:rFonts w:ascii="ITC Avant Garde" w:hAnsi="ITC Avant Garde"/>
          <w:bCs/>
          <w:color w:val="000000"/>
          <w:lang w:eastAsia="es-MX"/>
        </w:rPr>
        <w:t xml:space="preserve"> </w:t>
      </w:r>
      <w:r w:rsidR="00A3221E" w:rsidRPr="00303C65">
        <w:rPr>
          <w:rFonts w:ascii="ITC Avant Garde" w:hAnsi="ITC Avant Garde"/>
          <w:bCs/>
          <w:color w:val="000000"/>
          <w:lang w:eastAsia="es-MX"/>
        </w:rPr>
        <w:t>El 20 de octubre de 2010, m</w:t>
      </w:r>
      <w:r w:rsidR="00D348B0" w:rsidRPr="00303C65">
        <w:rPr>
          <w:rFonts w:ascii="ITC Avant Garde" w:hAnsi="ITC Avant Garde"/>
          <w:bCs/>
          <w:color w:val="000000"/>
          <w:lang w:eastAsia="es-MX"/>
        </w:rPr>
        <w:t xml:space="preserve">ediante oficio </w:t>
      </w:r>
      <w:r w:rsidR="00DA323F" w:rsidRPr="00303C65">
        <w:rPr>
          <w:rFonts w:ascii="ITC Avant Garde" w:hAnsi="ITC Avant Garde"/>
          <w:bCs/>
          <w:color w:val="000000"/>
          <w:lang w:eastAsia="es-MX"/>
        </w:rPr>
        <w:t>GC-1-000548-004427-2010</w:t>
      </w:r>
      <w:r w:rsidR="00A3221E" w:rsidRPr="00303C65">
        <w:rPr>
          <w:rFonts w:ascii="ITC Avant Garde" w:hAnsi="ITC Avant Garde"/>
          <w:bCs/>
          <w:color w:val="000000"/>
          <w:lang w:eastAsia="es-MX"/>
        </w:rPr>
        <w:t>,</w:t>
      </w:r>
      <w:r w:rsidR="00D348B0" w:rsidRPr="00303C65">
        <w:rPr>
          <w:rFonts w:ascii="ITC Avant Garde" w:hAnsi="ITC Avant Garde"/>
          <w:bCs/>
          <w:color w:val="000000"/>
          <w:lang w:eastAsia="es-MX"/>
        </w:rPr>
        <w:t xml:space="preserve"> </w:t>
      </w:r>
      <w:r w:rsidR="00A3221E" w:rsidRPr="00303C65">
        <w:rPr>
          <w:rFonts w:ascii="ITC Avant Garde" w:hAnsi="ITC Avant Garde"/>
          <w:bCs/>
          <w:color w:val="000000"/>
          <w:lang w:eastAsia="es-MX"/>
        </w:rPr>
        <w:t xml:space="preserve">la </w:t>
      </w:r>
      <w:r w:rsidR="00AE028B" w:rsidRPr="00303C65">
        <w:rPr>
          <w:rFonts w:ascii="ITC Avant Garde" w:hAnsi="ITC Avant Garde"/>
          <w:bCs/>
          <w:color w:val="000000"/>
          <w:lang w:eastAsia="es-MX"/>
        </w:rPr>
        <w:t>Gerencia de Conectividad</w:t>
      </w:r>
      <w:r w:rsidR="001A4267" w:rsidRPr="00303C65">
        <w:rPr>
          <w:rFonts w:ascii="ITC Avant Garde" w:hAnsi="ITC Avant Garde"/>
          <w:bCs/>
          <w:color w:val="000000"/>
          <w:lang w:eastAsia="es-MX"/>
        </w:rPr>
        <w:t xml:space="preserve"> de </w:t>
      </w:r>
      <w:r w:rsidR="003F40CC" w:rsidRPr="00303C65">
        <w:rPr>
          <w:rFonts w:ascii="ITC Avant Garde" w:hAnsi="ITC Avant Garde"/>
          <w:bCs/>
          <w:color w:val="000000"/>
          <w:lang w:eastAsia="es-MX"/>
        </w:rPr>
        <w:t>P</w:t>
      </w:r>
      <w:r w:rsidR="00DA323F" w:rsidRPr="00303C65">
        <w:rPr>
          <w:rFonts w:ascii="ITC Avant Garde" w:hAnsi="ITC Avant Garde"/>
          <w:bCs/>
          <w:color w:val="000000"/>
          <w:lang w:eastAsia="es-MX"/>
        </w:rPr>
        <w:t>E</w:t>
      </w:r>
      <w:r w:rsidR="003F40CC" w:rsidRPr="00303C65">
        <w:rPr>
          <w:rFonts w:ascii="ITC Avant Garde" w:hAnsi="ITC Avant Garde"/>
          <w:bCs/>
          <w:color w:val="000000"/>
          <w:lang w:eastAsia="es-MX"/>
        </w:rPr>
        <w:t>M</w:t>
      </w:r>
      <w:r w:rsidR="00DA323F" w:rsidRPr="00303C65">
        <w:rPr>
          <w:rFonts w:ascii="ITC Avant Garde" w:hAnsi="ITC Avant Garde"/>
          <w:bCs/>
          <w:color w:val="000000"/>
          <w:lang w:eastAsia="es-MX"/>
        </w:rPr>
        <w:t>EX</w:t>
      </w:r>
      <w:r w:rsidR="00A3221E" w:rsidRPr="00303C65">
        <w:rPr>
          <w:rFonts w:ascii="ITC Avant Garde" w:hAnsi="ITC Avant Garde"/>
          <w:bCs/>
          <w:color w:val="000000"/>
          <w:lang w:eastAsia="es-MX"/>
        </w:rPr>
        <w:t xml:space="preserve"> </w:t>
      </w:r>
      <w:r w:rsidR="00D348B0" w:rsidRPr="00303C65">
        <w:rPr>
          <w:rFonts w:ascii="ITC Avant Garde" w:hAnsi="ITC Avant Garde"/>
          <w:bCs/>
          <w:color w:val="000000"/>
          <w:lang w:eastAsia="es-MX"/>
        </w:rPr>
        <w:t xml:space="preserve">solicitó </w:t>
      </w:r>
      <w:r w:rsidR="00A3221E" w:rsidRPr="00303C65">
        <w:rPr>
          <w:rFonts w:ascii="ITC Avant Garde" w:hAnsi="ITC Avant Garde"/>
          <w:bCs/>
          <w:color w:val="000000"/>
          <w:lang w:eastAsia="es-MX"/>
        </w:rPr>
        <w:t xml:space="preserve">a la Dirección General de Política de Telecomunicaciones y de Radiodifusión de la Secretaría </w:t>
      </w:r>
      <w:r w:rsidR="00D348B0" w:rsidRPr="00303C65">
        <w:rPr>
          <w:rFonts w:ascii="ITC Avant Garde" w:hAnsi="ITC Avant Garde"/>
          <w:bCs/>
          <w:color w:val="000000"/>
          <w:lang w:eastAsia="es-MX"/>
        </w:rPr>
        <w:t xml:space="preserve">la prórroga de vigencia </w:t>
      </w:r>
      <w:r w:rsidR="00925D0B" w:rsidRPr="00303C65">
        <w:rPr>
          <w:rFonts w:ascii="ITC Avant Garde" w:hAnsi="ITC Avant Garde"/>
          <w:bCs/>
          <w:color w:val="000000"/>
          <w:lang w:eastAsia="es-MX"/>
        </w:rPr>
        <w:t xml:space="preserve">de la </w:t>
      </w:r>
      <w:r w:rsidR="00AE028B" w:rsidRPr="00303C65">
        <w:rPr>
          <w:rFonts w:ascii="ITC Avant Garde" w:hAnsi="ITC Avant Garde"/>
          <w:bCs/>
          <w:color w:val="000000"/>
          <w:lang w:eastAsia="es-MX"/>
        </w:rPr>
        <w:t>A</w:t>
      </w:r>
      <w:r w:rsidR="00D348B0" w:rsidRPr="00303C65">
        <w:rPr>
          <w:rFonts w:ascii="ITC Avant Garde" w:hAnsi="ITC Avant Garde"/>
          <w:bCs/>
          <w:color w:val="000000"/>
          <w:lang w:eastAsia="es-MX"/>
        </w:rPr>
        <w:t>signación</w:t>
      </w:r>
      <w:r w:rsidR="00A24F33" w:rsidRPr="00303C65">
        <w:rPr>
          <w:rFonts w:ascii="ITC Avant Garde" w:hAnsi="ITC Avant Garde"/>
          <w:bCs/>
          <w:color w:val="000000"/>
          <w:lang w:eastAsia="es-MX"/>
        </w:rPr>
        <w:t xml:space="preserve"> </w:t>
      </w:r>
      <w:r w:rsidR="00F02D99" w:rsidRPr="00303C65">
        <w:rPr>
          <w:rFonts w:ascii="ITC Avant Garde" w:hAnsi="ITC Avant Garde"/>
          <w:bCs/>
          <w:color w:val="000000"/>
          <w:lang w:eastAsia="es-MX"/>
        </w:rPr>
        <w:t>(la “Solicitud de Prórroga”)</w:t>
      </w:r>
      <w:r w:rsidR="003F5292" w:rsidRPr="00303C65">
        <w:rPr>
          <w:rFonts w:ascii="ITC Avant Garde" w:hAnsi="ITC Avant Garde"/>
          <w:bCs/>
          <w:color w:val="000000" w:themeColor="text1"/>
          <w:lang w:eastAsia="es-MX"/>
        </w:rPr>
        <w:t>.</w:t>
      </w:r>
      <w:r w:rsidR="008F631E" w:rsidRPr="00303C65">
        <w:rPr>
          <w:rFonts w:ascii="ITC Avant Garde" w:hAnsi="ITC Avant Garde"/>
          <w:bCs/>
          <w:color w:val="000000"/>
          <w:lang w:eastAsia="es-MX"/>
        </w:rPr>
        <w:t xml:space="preserve"> </w:t>
      </w:r>
    </w:p>
    <w:p w14:paraId="0E7E86F8" w14:textId="77777777" w:rsidR="00303C65" w:rsidRPr="00303C65" w:rsidRDefault="00A3221E" w:rsidP="00303C65">
      <w:pPr>
        <w:spacing w:before="240" w:line="240" w:lineRule="auto"/>
        <w:ind w:left="567"/>
        <w:jc w:val="both"/>
        <w:rPr>
          <w:rFonts w:ascii="ITC Avant Garde" w:hAnsi="ITC Avant Garde"/>
          <w:bCs/>
          <w:color w:val="000000"/>
          <w:lang w:eastAsia="es-MX"/>
        </w:rPr>
      </w:pPr>
      <w:r w:rsidRPr="00303C65">
        <w:rPr>
          <w:rFonts w:ascii="ITC Avant Garde" w:hAnsi="ITC Avant Garde"/>
          <w:bCs/>
          <w:color w:val="000000"/>
          <w:lang w:eastAsia="es-MX"/>
        </w:rPr>
        <w:t>Consecuentemente, m</w:t>
      </w:r>
      <w:r w:rsidR="00A54787" w:rsidRPr="00303C65">
        <w:rPr>
          <w:rFonts w:ascii="ITC Avant Garde" w:hAnsi="ITC Avant Garde"/>
          <w:bCs/>
          <w:color w:val="000000"/>
          <w:lang w:eastAsia="es-MX"/>
        </w:rPr>
        <w:t xml:space="preserve">ediante </w:t>
      </w:r>
      <w:r w:rsidRPr="00303C65">
        <w:rPr>
          <w:rFonts w:ascii="ITC Avant Garde" w:hAnsi="ITC Avant Garde"/>
          <w:bCs/>
          <w:color w:val="000000"/>
          <w:lang w:eastAsia="es-MX"/>
        </w:rPr>
        <w:t>o</w:t>
      </w:r>
      <w:r w:rsidR="00A54787" w:rsidRPr="00303C65">
        <w:rPr>
          <w:rFonts w:ascii="ITC Avant Garde" w:hAnsi="ITC Avant Garde"/>
          <w:bCs/>
          <w:color w:val="000000"/>
          <w:lang w:eastAsia="es-MX"/>
        </w:rPr>
        <w:t>ficio número 2.1.203.-</w:t>
      </w:r>
      <w:r w:rsidR="00AE028B" w:rsidRPr="00303C65">
        <w:rPr>
          <w:rFonts w:ascii="ITC Avant Garde" w:hAnsi="ITC Avant Garde"/>
          <w:bCs/>
          <w:color w:val="000000"/>
          <w:lang w:eastAsia="es-MX"/>
        </w:rPr>
        <w:t>7384</w:t>
      </w:r>
      <w:r w:rsidR="00A54787" w:rsidRPr="00303C65">
        <w:rPr>
          <w:rFonts w:ascii="ITC Avant Garde" w:hAnsi="ITC Avant Garde"/>
          <w:bCs/>
          <w:color w:val="000000"/>
          <w:lang w:eastAsia="es-MX"/>
        </w:rPr>
        <w:t xml:space="preserve"> de fecha </w:t>
      </w:r>
      <w:r w:rsidR="00AE028B" w:rsidRPr="00303C65">
        <w:rPr>
          <w:rFonts w:ascii="ITC Avant Garde" w:hAnsi="ITC Avant Garde"/>
          <w:bCs/>
          <w:color w:val="000000"/>
          <w:lang w:eastAsia="es-MX"/>
        </w:rPr>
        <w:t>4</w:t>
      </w:r>
      <w:r w:rsidR="00A54787" w:rsidRPr="00303C65">
        <w:rPr>
          <w:rFonts w:ascii="ITC Avant Garde" w:hAnsi="ITC Avant Garde"/>
          <w:bCs/>
          <w:color w:val="000000"/>
          <w:lang w:eastAsia="es-MX"/>
        </w:rPr>
        <w:t xml:space="preserve"> de </w:t>
      </w:r>
      <w:r w:rsidR="00AE028B" w:rsidRPr="00303C65">
        <w:rPr>
          <w:rFonts w:ascii="ITC Avant Garde" w:hAnsi="ITC Avant Garde"/>
          <w:bCs/>
          <w:color w:val="000000"/>
          <w:lang w:eastAsia="es-MX"/>
        </w:rPr>
        <w:t>noviembre</w:t>
      </w:r>
      <w:r w:rsidR="00A54787" w:rsidRPr="00303C65">
        <w:rPr>
          <w:rFonts w:ascii="ITC Avant Garde" w:hAnsi="ITC Avant Garde"/>
          <w:bCs/>
          <w:color w:val="000000"/>
          <w:lang w:eastAsia="es-MX"/>
        </w:rPr>
        <w:t xml:space="preserve"> de 201</w:t>
      </w:r>
      <w:r w:rsidR="00AE028B" w:rsidRPr="00303C65">
        <w:rPr>
          <w:rFonts w:ascii="ITC Avant Garde" w:hAnsi="ITC Avant Garde"/>
          <w:bCs/>
          <w:color w:val="000000"/>
          <w:lang w:eastAsia="es-MX"/>
        </w:rPr>
        <w:t>0</w:t>
      </w:r>
      <w:r w:rsidR="00A54787" w:rsidRPr="00303C65">
        <w:rPr>
          <w:rFonts w:ascii="ITC Avant Garde" w:hAnsi="ITC Avant Garde"/>
          <w:bCs/>
          <w:color w:val="000000"/>
          <w:lang w:eastAsia="es-MX"/>
        </w:rPr>
        <w:t xml:space="preserve">, la </w:t>
      </w:r>
      <w:r w:rsidRPr="00303C65">
        <w:rPr>
          <w:rFonts w:ascii="ITC Avant Garde" w:hAnsi="ITC Avant Garde"/>
          <w:bCs/>
          <w:color w:val="000000"/>
          <w:lang w:eastAsia="es-MX"/>
        </w:rPr>
        <w:t xml:space="preserve">citada unidad administrativa </w:t>
      </w:r>
      <w:r w:rsidR="00A54787" w:rsidRPr="00303C65">
        <w:rPr>
          <w:rFonts w:ascii="ITC Avant Garde" w:hAnsi="ITC Avant Garde"/>
          <w:bCs/>
          <w:color w:val="000000"/>
          <w:lang w:eastAsia="es-MX"/>
        </w:rPr>
        <w:t>solicitó a la extinta Comisión Federal de Telecomunicaciones (la “Comisión”)</w:t>
      </w:r>
      <w:r w:rsidR="00A555F7" w:rsidRPr="00303C65">
        <w:rPr>
          <w:rFonts w:ascii="ITC Avant Garde" w:hAnsi="ITC Avant Garde"/>
          <w:bCs/>
          <w:color w:val="000000"/>
          <w:lang w:eastAsia="es-MX"/>
        </w:rPr>
        <w:t>,</w:t>
      </w:r>
      <w:r w:rsidR="00A54787" w:rsidRPr="00303C65">
        <w:rPr>
          <w:rFonts w:ascii="ITC Avant Garde" w:hAnsi="ITC Avant Garde"/>
          <w:bCs/>
          <w:color w:val="000000"/>
          <w:lang w:eastAsia="es-MX"/>
        </w:rPr>
        <w:t xml:space="preserve"> emitir opinión respecto </w:t>
      </w:r>
      <w:r w:rsidR="00F02D99" w:rsidRPr="00303C65">
        <w:rPr>
          <w:rFonts w:ascii="ITC Avant Garde" w:hAnsi="ITC Avant Garde"/>
          <w:bCs/>
          <w:color w:val="000000"/>
          <w:lang w:eastAsia="es-MX"/>
        </w:rPr>
        <w:t>a</w:t>
      </w:r>
      <w:r w:rsidR="00A54787" w:rsidRPr="00303C65">
        <w:rPr>
          <w:rFonts w:ascii="ITC Avant Garde" w:hAnsi="ITC Avant Garde"/>
          <w:bCs/>
          <w:color w:val="000000"/>
          <w:lang w:eastAsia="es-MX"/>
        </w:rPr>
        <w:t xml:space="preserve"> la </w:t>
      </w:r>
      <w:r w:rsidR="00AE028B" w:rsidRPr="00303C65">
        <w:rPr>
          <w:rFonts w:ascii="ITC Avant Garde" w:hAnsi="ITC Avant Garde"/>
          <w:bCs/>
          <w:color w:val="000000"/>
          <w:lang w:eastAsia="es-MX"/>
        </w:rPr>
        <w:t>Solicitud de Prórroga.</w:t>
      </w:r>
      <w:r w:rsidR="00F02D99" w:rsidRPr="00303C65">
        <w:rPr>
          <w:rFonts w:ascii="ITC Avant Garde" w:hAnsi="ITC Avant Garde"/>
          <w:bCs/>
          <w:color w:val="000000"/>
          <w:lang w:eastAsia="es-MX"/>
        </w:rPr>
        <w:t xml:space="preserve"> </w:t>
      </w:r>
    </w:p>
    <w:p w14:paraId="27B20D72" w14:textId="77777777" w:rsidR="00303C65" w:rsidRPr="00303C65" w:rsidRDefault="00923859" w:rsidP="00303C65">
      <w:pPr>
        <w:numPr>
          <w:ilvl w:val="0"/>
          <w:numId w:val="4"/>
        </w:numPr>
        <w:spacing w:before="240" w:line="240" w:lineRule="auto"/>
        <w:ind w:left="567" w:hanging="567"/>
        <w:jc w:val="both"/>
        <w:rPr>
          <w:rFonts w:ascii="ITC Avant Garde" w:hAnsi="ITC Avant Garde"/>
          <w:b/>
          <w:bCs/>
          <w:color w:val="000000"/>
          <w:lang w:eastAsia="es-MX"/>
        </w:rPr>
      </w:pPr>
      <w:r w:rsidRPr="00303C65">
        <w:rPr>
          <w:rFonts w:ascii="ITC Avant Garde" w:hAnsi="ITC Avant Garde"/>
          <w:b/>
          <w:bCs/>
          <w:color w:val="000000"/>
          <w:lang w:eastAsia="es-MX"/>
        </w:rPr>
        <w:lastRenderedPageBreak/>
        <w:t xml:space="preserve">Solicitud de Dictamen de Cumplimiento de Obligaciones. </w:t>
      </w:r>
      <w:r w:rsidRPr="00303C65">
        <w:rPr>
          <w:rFonts w:ascii="ITC Avant Garde" w:hAnsi="ITC Avant Garde"/>
          <w:bCs/>
          <w:color w:val="000000"/>
          <w:lang w:eastAsia="es-MX"/>
        </w:rPr>
        <w:t>Mediante oficio CFT/D03/USI/DGA/0063/2011 notificado el 18 de enero de 2011 a la entonces Unidad de Supervisión y Verificación de la Comisión, la Unidad de Servicios a la Industria solicitó a dicha unidad administrativa que determinara el cumplimiento de obligaciones respecto a la Solicitud de Prórroga.</w:t>
      </w:r>
    </w:p>
    <w:p w14:paraId="34856627" w14:textId="270C8E0B" w:rsidR="00303C65" w:rsidRPr="00303C65" w:rsidRDefault="00AE028B" w:rsidP="00303C65">
      <w:pPr>
        <w:numPr>
          <w:ilvl w:val="0"/>
          <w:numId w:val="4"/>
        </w:numPr>
        <w:spacing w:before="240" w:line="240" w:lineRule="auto"/>
        <w:ind w:left="567" w:hanging="567"/>
        <w:jc w:val="both"/>
        <w:rPr>
          <w:rFonts w:ascii="ITC Avant Garde" w:hAnsi="ITC Avant Garde"/>
          <w:bCs/>
          <w:color w:val="000000"/>
          <w:lang w:eastAsia="es-MX"/>
        </w:rPr>
      </w:pPr>
      <w:r w:rsidRPr="00303C65">
        <w:rPr>
          <w:rFonts w:ascii="ITC Avant Garde" w:hAnsi="ITC Avant Garde"/>
          <w:b/>
          <w:bCs/>
          <w:color w:val="000000"/>
          <w:lang w:eastAsia="es-MX"/>
        </w:rPr>
        <w:t>Requerimiento</w:t>
      </w:r>
      <w:r w:rsidR="00923859" w:rsidRPr="00303C65">
        <w:rPr>
          <w:rFonts w:ascii="ITC Avant Garde" w:hAnsi="ITC Avant Garde"/>
          <w:b/>
          <w:bCs/>
          <w:color w:val="000000"/>
          <w:lang w:eastAsia="es-MX"/>
        </w:rPr>
        <w:t xml:space="preserve"> a Pemex</w:t>
      </w:r>
      <w:r w:rsidRPr="00303C65">
        <w:rPr>
          <w:rFonts w:ascii="ITC Avant Garde" w:hAnsi="ITC Avant Garde"/>
          <w:b/>
          <w:bCs/>
          <w:color w:val="000000"/>
          <w:lang w:eastAsia="es-MX"/>
        </w:rPr>
        <w:t>.</w:t>
      </w:r>
      <w:r w:rsidRPr="00303C65">
        <w:rPr>
          <w:rFonts w:ascii="ITC Avant Garde" w:hAnsi="ITC Avant Garde"/>
          <w:bCs/>
          <w:color w:val="000000"/>
          <w:lang w:eastAsia="es-MX"/>
        </w:rPr>
        <w:t xml:space="preserve"> Con oficio CFT/D03/USI/DGA/0076/11</w:t>
      </w:r>
      <w:r w:rsidR="009024BD" w:rsidRPr="00303C65">
        <w:rPr>
          <w:rFonts w:ascii="ITC Avant Garde" w:hAnsi="ITC Avant Garde"/>
          <w:bCs/>
          <w:color w:val="000000"/>
          <w:lang w:eastAsia="es-MX"/>
        </w:rPr>
        <w:t xml:space="preserve"> </w:t>
      </w:r>
      <w:r w:rsidR="009024BD" w:rsidRPr="00303C65">
        <w:rPr>
          <w:rFonts w:ascii="ITC Avant Garde" w:hAnsi="ITC Avant Garde"/>
          <w:bCs/>
          <w:lang w:eastAsia="es-MX"/>
        </w:rPr>
        <w:t>de fecha 19 de enero de 2011</w:t>
      </w:r>
      <w:r w:rsidR="005A6E0D" w:rsidRPr="00303C65">
        <w:rPr>
          <w:rFonts w:ascii="ITC Avant Garde" w:hAnsi="ITC Avant Garde"/>
          <w:bCs/>
          <w:lang w:eastAsia="es-MX"/>
        </w:rPr>
        <w:t>,</w:t>
      </w:r>
      <w:r w:rsidRPr="00303C65">
        <w:rPr>
          <w:rFonts w:ascii="ITC Avant Garde" w:hAnsi="ITC Avant Garde"/>
          <w:bCs/>
          <w:lang w:eastAsia="es-MX"/>
        </w:rPr>
        <w:t xml:space="preserve"> la entonces Dirección General de Redes, Espectro y </w:t>
      </w:r>
      <w:r w:rsidRPr="00303C65">
        <w:rPr>
          <w:rFonts w:ascii="ITC Avant Garde" w:hAnsi="ITC Avant Garde"/>
          <w:bCs/>
          <w:color w:val="000000"/>
          <w:lang w:eastAsia="es-MX"/>
        </w:rPr>
        <w:t xml:space="preserve">Servicios “A” de la Unidad de Servicios a la Industria de la Comisión solicitó a </w:t>
      </w:r>
      <w:r w:rsidR="00D03152" w:rsidRPr="00303C65">
        <w:rPr>
          <w:rFonts w:ascii="ITC Avant Garde" w:hAnsi="ITC Avant Garde"/>
          <w:bCs/>
          <w:color w:val="000000"/>
          <w:lang w:eastAsia="es-MX"/>
        </w:rPr>
        <w:t xml:space="preserve">la Subdirección de Infraestructura Tecnológica de PEMEX </w:t>
      </w:r>
      <w:r w:rsidRPr="00303C65">
        <w:rPr>
          <w:rFonts w:ascii="ITC Avant Garde" w:hAnsi="ITC Avant Garde"/>
          <w:bCs/>
          <w:color w:val="000000"/>
          <w:lang w:eastAsia="es-MX"/>
        </w:rPr>
        <w:t xml:space="preserve">ratificar la Solicitud de Prórroga, toda vez que </w:t>
      </w:r>
      <w:r w:rsidR="00D03152" w:rsidRPr="00303C65">
        <w:rPr>
          <w:rFonts w:ascii="ITC Avant Garde" w:hAnsi="ITC Avant Garde"/>
          <w:bCs/>
          <w:color w:val="000000"/>
          <w:lang w:eastAsia="es-MX"/>
        </w:rPr>
        <w:t xml:space="preserve">el titular de la Gerencia de Conectividad de PEMEX </w:t>
      </w:r>
      <w:r w:rsidRPr="00303C65">
        <w:rPr>
          <w:rFonts w:ascii="ITC Avant Garde" w:hAnsi="ITC Avant Garde"/>
          <w:bCs/>
          <w:color w:val="000000"/>
          <w:lang w:eastAsia="es-MX"/>
        </w:rPr>
        <w:t>no estaba acreditado ante dicha Comisión para representar a PEMEX.</w:t>
      </w:r>
    </w:p>
    <w:p w14:paraId="34A25C25" w14:textId="77777777" w:rsidR="00303C65" w:rsidRPr="00303C65" w:rsidRDefault="00D03152" w:rsidP="00303C65">
      <w:pPr>
        <w:spacing w:before="240" w:line="240" w:lineRule="auto"/>
        <w:ind w:left="567"/>
        <w:jc w:val="both"/>
        <w:rPr>
          <w:rFonts w:ascii="ITC Avant Garde" w:hAnsi="ITC Avant Garde"/>
          <w:bCs/>
          <w:color w:val="000000"/>
          <w:lang w:eastAsia="es-MX"/>
        </w:rPr>
      </w:pPr>
      <w:r w:rsidRPr="00303C65">
        <w:rPr>
          <w:rFonts w:ascii="ITC Avant Garde" w:hAnsi="ITC Avant Garde"/>
          <w:bCs/>
          <w:color w:val="000000"/>
          <w:lang w:eastAsia="es-MX"/>
        </w:rPr>
        <w:t>En ese sentido, e</w:t>
      </w:r>
      <w:r w:rsidR="00AE028B" w:rsidRPr="00303C65">
        <w:rPr>
          <w:rFonts w:ascii="ITC Avant Garde" w:hAnsi="ITC Avant Garde"/>
          <w:bCs/>
          <w:color w:val="000000"/>
          <w:lang w:eastAsia="es-MX"/>
        </w:rPr>
        <w:t>l 1 de marzo de 2011</w:t>
      </w:r>
      <w:r w:rsidR="00565E36" w:rsidRPr="00303C65">
        <w:rPr>
          <w:rFonts w:ascii="ITC Avant Garde" w:hAnsi="ITC Avant Garde"/>
          <w:bCs/>
          <w:color w:val="000000"/>
          <w:lang w:eastAsia="es-MX"/>
        </w:rPr>
        <w:t>,</w:t>
      </w:r>
      <w:r w:rsidR="00AE028B" w:rsidRPr="00303C65">
        <w:rPr>
          <w:rFonts w:ascii="ITC Avant Garde" w:hAnsi="ITC Avant Garde"/>
          <w:bCs/>
          <w:color w:val="000000"/>
          <w:lang w:eastAsia="es-MX"/>
        </w:rPr>
        <w:t xml:space="preserve"> en respuesta al requerimiento descrito en el párrafo anterior</w:t>
      </w:r>
      <w:r w:rsidR="00565E36" w:rsidRPr="00303C65">
        <w:rPr>
          <w:rFonts w:ascii="ITC Avant Garde" w:hAnsi="ITC Avant Garde"/>
          <w:bCs/>
          <w:color w:val="000000"/>
          <w:lang w:eastAsia="es-MX"/>
        </w:rPr>
        <w:t>,</w:t>
      </w:r>
      <w:r w:rsidR="00AE028B" w:rsidRPr="00303C65">
        <w:rPr>
          <w:rFonts w:ascii="ITC Avant Garde" w:hAnsi="ITC Avant Garde"/>
          <w:bCs/>
          <w:color w:val="000000"/>
          <w:lang w:eastAsia="es-MX"/>
        </w:rPr>
        <w:t xml:space="preserve"> el </w:t>
      </w:r>
      <w:r w:rsidRPr="00303C65">
        <w:rPr>
          <w:rFonts w:ascii="ITC Avant Garde" w:hAnsi="ITC Avant Garde"/>
          <w:bCs/>
          <w:color w:val="000000"/>
          <w:lang w:eastAsia="es-MX"/>
        </w:rPr>
        <w:t xml:space="preserve">titular de la </w:t>
      </w:r>
      <w:r w:rsidR="00AE028B" w:rsidRPr="00303C65">
        <w:rPr>
          <w:rFonts w:ascii="ITC Avant Garde" w:hAnsi="ITC Avant Garde"/>
          <w:bCs/>
          <w:color w:val="000000"/>
          <w:lang w:eastAsia="es-MX"/>
        </w:rPr>
        <w:t>Subdire</w:t>
      </w:r>
      <w:r w:rsidRPr="00303C65">
        <w:rPr>
          <w:rFonts w:ascii="ITC Avant Garde" w:hAnsi="ITC Avant Garde"/>
          <w:bCs/>
          <w:color w:val="000000"/>
          <w:lang w:eastAsia="es-MX"/>
        </w:rPr>
        <w:t>cción</w:t>
      </w:r>
      <w:r w:rsidR="00AE028B" w:rsidRPr="00303C65">
        <w:rPr>
          <w:rFonts w:ascii="ITC Avant Garde" w:hAnsi="ITC Avant Garde"/>
          <w:bCs/>
          <w:color w:val="000000"/>
          <w:lang w:eastAsia="es-MX"/>
        </w:rPr>
        <w:t xml:space="preserve"> de Infraestructura Tecnológica de PEMEX ratificó la Solicitud de Prórroga</w:t>
      </w:r>
      <w:r w:rsidR="00565E36" w:rsidRPr="00303C65">
        <w:rPr>
          <w:rFonts w:ascii="ITC Avant Garde" w:hAnsi="ITC Avant Garde"/>
          <w:bCs/>
          <w:color w:val="000000"/>
          <w:lang w:eastAsia="es-MX"/>
        </w:rPr>
        <w:t>.</w:t>
      </w:r>
    </w:p>
    <w:p w14:paraId="155FC44E" w14:textId="74BA92E5" w:rsidR="00303C65" w:rsidRPr="00303C65" w:rsidRDefault="00627CDD" w:rsidP="00303C65">
      <w:pPr>
        <w:numPr>
          <w:ilvl w:val="0"/>
          <w:numId w:val="4"/>
        </w:numPr>
        <w:spacing w:before="240" w:line="240" w:lineRule="auto"/>
        <w:ind w:left="567" w:hanging="567"/>
        <w:jc w:val="both"/>
        <w:rPr>
          <w:rFonts w:ascii="ITC Avant Garde" w:hAnsi="ITC Avant Garde"/>
          <w:b/>
          <w:bCs/>
          <w:color w:val="000000"/>
          <w:lang w:eastAsia="es-MX"/>
        </w:rPr>
      </w:pPr>
      <w:r w:rsidRPr="00303C65">
        <w:rPr>
          <w:rFonts w:ascii="ITC Avant Garde" w:hAnsi="ITC Avant Garde"/>
          <w:b/>
          <w:bCs/>
          <w:color w:val="000000"/>
          <w:lang w:eastAsia="es-MX"/>
        </w:rPr>
        <w:t>Solicitud de Modificación a la Asignación</w:t>
      </w:r>
      <w:r w:rsidRPr="00303C65">
        <w:rPr>
          <w:rFonts w:ascii="ITC Avant Garde" w:hAnsi="ITC Avant Garde"/>
          <w:bCs/>
          <w:color w:val="000000"/>
          <w:lang w:eastAsia="es-MX"/>
        </w:rPr>
        <w:t xml:space="preserve">. </w:t>
      </w:r>
      <w:r w:rsidR="009B7BEA" w:rsidRPr="00303C65">
        <w:rPr>
          <w:rFonts w:ascii="ITC Avant Garde" w:hAnsi="ITC Avant Garde"/>
          <w:bCs/>
          <w:color w:val="000000"/>
          <w:lang w:val="es-ES" w:eastAsia="es-MX"/>
        </w:rPr>
        <w:t xml:space="preserve">Con oficio 2.1.203.8991 presentado el 16 de diciembre de 2011 a la Comisión, la Secretaría remitió a dicho órgano desconcentrado </w:t>
      </w:r>
      <w:r w:rsidR="009B7BEA" w:rsidRPr="00303C65">
        <w:rPr>
          <w:rFonts w:ascii="ITC Avant Garde" w:hAnsi="ITC Avant Garde"/>
          <w:bCs/>
          <w:color w:val="000000"/>
          <w:lang w:eastAsia="es-MX"/>
        </w:rPr>
        <w:t xml:space="preserve">el escrito </w:t>
      </w:r>
      <w:r w:rsidR="009F5AD8" w:rsidRPr="00303C65">
        <w:rPr>
          <w:rFonts w:ascii="ITC Avant Garde" w:hAnsi="ITC Avant Garde"/>
          <w:bCs/>
          <w:color w:val="000000"/>
          <w:lang w:eastAsia="es-MX"/>
        </w:rPr>
        <w:t xml:space="preserve">presentado por PEMEX </w:t>
      </w:r>
      <w:r w:rsidR="00DB60F2" w:rsidRPr="00303C65">
        <w:rPr>
          <w:rFonts w:ascii="ITC Avant Garde" w:hAnsi="ITC Avant Garde"/>
          <w:bCs/>
          <w:color w:val="000000"/>
          <w:lang w:eastAsia="es-MX"/>
        </w:rPr>
        <w:t xml:space="preserve">ante la citada dependencia, </w:t>
      </w:r>
      <w:r w:rsidR="009B7BEA" w:rsidRPr="00303C65">
        <w:rPr>
          <w:rFonts w:ascii="ITC Avant Garde" w:hAnsi="ITC Avant Garde"/>
          <w:bCs/>
          <w:color w:val="000000"/>
          <w:lang w:eastAsia="es-MX"/>
        </w:rPr>
        <w:t xml:space="preserve">por </w:t>
      </w:r>
      <w:r w:rsidR="009F5AD8" w:rsidRPr="00303C65">
        <w:rPr>
          <w:rFonts w:ascii="ITC Avant Garde" w:hAnsi="ITC Avant Garde"/>
          <w:bCs/>
          <w:color w:val="000000"/>
          <w:lang w:eastAsia="es-MX"/>
        </w:rPr>
        <w:t>medio d</w:t>
      </w:r>
      <w:r w:rsidR="009B7BEA" w:rsidRPr="00303C65">
        <w:rPr>
          <w:rFonts w:ascii="ITC Avant Garde" w:hAnsi="ITC Avant Garde"/>
          <w:bCs/>
          <w:color w:val="000000"/>
          <w:lang w:eastAsia="es-MX"/>
        </w:rPr>
        <w:t xml:space="preserve">el cual </w:t>
      </w:r>
      <w:r w:rsidR="009F5AD8" w:rsidRPr="00303C65">
        <w:rPr>
          <w:rFonts w:ascii="ITC Avant Garde" w:hAnsi="ITC Avant Garde"/>
          <w:bCs/>
          <w:color w:val="000000"/>
          <w:lang w:eastAsia="es-MX"/>
        </w:rPr>
        <w:t>manifestó</w:t>
      </w:r>
      <w:r w:rsidR="00993C0A" w:rsidRPr="00303C65">
        <w:rPr>
          <w:rFonts w:ascii="ITC Avant Garde" w:hAnsi="ITC Avant Garde"/>
          <w:bCs/>
          <w:color w:val="000000"/>
          <w:lang w:eastAsia="es-MX"/>
        </w:rPr>
        <w:t xml:space="preserve"> la necesidad de ampliar la cobertura de los servicios de la red privada móvil de </w:t>
      </w:r>
      <w:r w:rsidR="007C3EE2" w:rsidRPr="00303C65">
        <w:rPr>
          <w:rFonts w:ascii="ITC Avant Garde" w:hAnsi="ITC Avant Garde"/>
          <w:bCs/>
          <w:color w:val="000000"/>
          <w:lang w:eastAsia="es-MX"/>
        </w:rPr>
        <w:t xml:space="preserve">radiocomunicación especializada de flotillas, adicionando 12 (doce) </w:t>
      </w:r>
      <w:r w:rsidR="00993C0A" w:rsidRPr="00303C65">
        <w:rPr>
          <w:rFonts w:ascii="ITC Avant Garde" w:hAnsi="ITC Avant Garde"/>
          <w:bCs/>
          <w:color w:val="000000"/>
          <w:lang w:eastAsia="es-MX"/>
        </w:rPr>
        <w:t>sitios de repetición para desplegar los servicios de radiocomunicación para los proyectos</w:t>
      </w:r>
      <w:r w:rsidR="007C3EE2" w:rsidRPr="00303C65">
        <w:rPr>
          <w:rFonts w:ascii="ITC Avant Garde" w:hAnsi="ITC Avant Garde"/>
          <w:bCs/>
          <w:color w:val="000000"/>
          <w:lang w:eastAsia="es-MX"/>
        </w:rPr>
        <w:t xml:space="preserve">: </w:t>
      </w:r>
      <w:r w:rsidR="00993C0A" w:rsidRPr="00303C65">
        <w:rPr>
          <w:rFonts w:ascii="ITC Avant Garde" w:hAnsi="ITC Avant Garde"/>
          <w:bCs/>
          <w:color w:val="000000"/>
          <w:lang w:eastAsia="es-MX"/>
        </w:rPr>
        <w:t>Activo Integral Aceite Terciario del Golfo, Activo Integral Veracruz y Activo Integral Burgos</w:t>
      </w:r>
      <w:r w:rsidR="008B3013" w:rsidRPr="00303C65">
        <w:rPr>
          <w:rFonts w:ascii="ITC Avant Garde" w:hAnsi="ITC Avant Garde"/>
          <w:bCs/>
          <w:color w:val="000000"/>
          <w:lang w:eastAsia="es-MX"/>
        </w:rPr>
        <w:t xml:space="preserve"> (“Solicitud de Modificación”)</w:t>
      </w:r>
      <w:r w:rsidR="00993C0A" w:rsidRPr="00303C65">
        <w:rPr>
          <w:rFonts w:ascii="ITC Avant Garde" w:hAnsi="ITC Avant Garde"/>
          <w:bCs/>
          <w:color w:val="000000"/>
          <w:lang w:eastAsia="es-MX"/>
        </w:rPr>
        <w:t>.</w:t>
      </w:r>
    </w:p>
    <w:p w14:paraId="4C2E3ABF" w14:textId="77777777" w:rsidR="00303C65" w:rsidRPr="00303C65" w:rsidRDefault="00C30396" w:rsidP="00303C65">
      <w:pPr>
        <w:spacing w:before="240" w:line="240" w:lineRule="auto"/>
        <w:ind w:left="567"/>
        <w:jc w:val="both"/>
        <w:rPr>
          <w:rFonts w:ascii="ITC Avant Garde" w:hAnsi="ITC Avant Garde"/>
          <w:bCs/>
          <w:color w:val="000000"/>
          <w:lang w:eastAsia="es-MX"/>
        </w:rPr>
      </w:pPr>
      <w:r w:rsidRPr="00303C65">
        <w:rPr>
          <w:rFonts w:ascii="ITC Avant Garde" w:hAnsi="ITC Avant Garde"/>
          <w:bCs/>
          <w:color w:val="000000"/>
          <w:lang w:eastAsia="es-MX"/>
        </w:rPr>
        <w:t>Considerando que la Solicitud de Prórroga estaba en análisis al interior de la Comisión, se integró la Solicitud de Modificación a dicho análisis.</w:t>
      </w:r>
    </w:p>
    <w:p w14:paraId="7EE5E2F3" w14:textId="77777777" w:rsidR="00303C65" w:rsidRPr="00303C65" w:rsidRDefault="00A33F77" w:rsidP="00303C65">
      <w:pPr>
        <w:numPr>
          <w:ilvl w:val="0"/>
          <w:numId w:val="4"/>
        </w:numPr>
        <w:spacing w:before="240" w:line="240" w:lineRule="auto"/>
        <w:ind w:left="567" w:hanging="567"/>
        <w:jc w:val="both"/>
        <w:rPr>
          <w:rFonts w:ascii="ITC Avant Garde" w:hAnsi="ITC Avant Garde"/>
          <w:bCs/>
          <w:color w:val="000000"/>
          <w:lang w:eastAsia="es-MX"/>
        </w:rPr>
      </w:pPr>
      <w:r w:rsidRPr="00303C65">
        <w:rPr>
          <w:rFonts w:ascii="ITC Avant Garde" w:hAnsi="ITC Avant Garde"/>
          <w:b/>
          <w:bCs/>
          <w:color w:val="000000"/>
          <w:lang w:eastAsia="es-MX"/>
        </w:rPr>
        <w:t xml:space="preserve">Decreto de Reforma Constitucional. </w:t>
      </w:r>
      <w:r w:rsidRPr="00303C65">
        <w:rPr>
          <w:rFonts w:ascii="ITC Avant Garde" w:hAnsi="ITC Avant Garde"/>
          <w:bCs/>
          <w:color w:val="000000"/>
          <w:lang w:eastAsia="es-MX"/>
        </w:rPr>
        <w:t xml:space="preserve">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r w:rsidR="008D209E" w:rsidRPr="00303C65">
        <w:rPr>
          <w:rFonts w:ascii="ITC Avant Garde" w:hAnsi="ITC Avant Garde"/>
          <w:bCs/>
          <w:color w:val="000000"/>
          <w:lang w:eastAsia="es-MX"/>
        </w:rPr>
        <w:t xml:space="preserve">mismo </w:t>
      </w:r>
      <w:r w:rsidRPr="00303C65">
        <w:rPr>
          <w:rFonts w:ascii="ITC Avant Garde" w:hAnsi="ITC Avant Garde"/>
          <w:bCs/>
          <w:color w:val="000000"/>
          <w:lang w:eastAsia="es-MX"/>
        </w:rPr>
        <w:t>que tiene por objeto el desarrollo eficiente de la radiodifusión y las telecomunicaciones.</w:t>
      </w:r>
    </w:p>
    <w:p w14:paraId="485B491F" w14:textId="77777777" w:rsidR="00303C65" w:rsidRPr="00303C65" w:rsidRDefault="00931043" w:rsidP="00303C65">
      <w:pPr>
        <w:numPr>
          <w:ilvl w:val="0"/>
          <w:numId w:val="4"/>
        </w:numPr>
        <w:spacing w:before="240" w:line="240" w:lineRule="auto"/>
        <w:ind w:left="567" w:hanging="567"/>
        <w:jc w:val="both"/>
        <w:rPr>
          <w:rFonts w:ascii="ITC Avant Garde" w:hAnsi="ITC Avant Garde"/>
          <w:bCs/>
          <w:color w:val="000000"/>
          <w:lang w:eastAsia="es-MX"/>
        </w:rPr>
      </w:pPr>
      <w:r w:rsidRPr="00303C65">
        <w:rPr>
          <w:rFonts w:ascii="ITC Avant Garde" w:hAnsi="ITC Avant Garde"/>
          <w:b/>
          <w:bCs/>
          <w:color w:val="000000"/>
          <w:lang w:eastAsia="es-MX"/>
        </w:rPr>
        <w:t xml:space="preserve">Dictamen de </w:t>
      </w:r>
      <w:r w:rsidR="00565E36" w:rsidRPr="00303C65">
        <w:rPr>
          <w:rFonts w:ascii="ITC Avant Garde" w:hAnsi="ITC Avant Garde"/>
          <w:b/>
          <w:bCs/>
          <w:color w:val="000000"/>
          <w:lang w:eastAsia="es-MX"/>
        </w:rPr>
        <w:t>Cumplimiento de Obligaciones</w:t>
      </w:r>
      <w:r w:rsidR="00565E36" w:rsidRPr="00303C65">
        <w:rPr>
          <w:rFonts w:ascii="ITC Avant Garde" w:hAnsi="ITC Avant Garde"/>
          <w:bCs/>
          <w:color w:val="000000"/>
          <w:lang w:eastAsia="es-MX"/>
        </w:rPr>
        <w:t>. Con oficio CFT/D04/USV/620/2013 de fecha 14 de agosto de 2013, la entonces Unidad de Supervisión y Verificación de la Comisión señaló que a esa fecha, PEMEX se encontraba al corriente en el cumplimiento de sus obligaciones monetarias derivadas de la Asignación,</w:t>
      </w:r>
      <w:r w:rsidR="00105E35" w:rsidRPr="00303C65">
        <w:rPr>
          <w:rFonts w:ascii="ITC Avant Garde" w:hAnsi="ITC Avant Garde"/>
          <w:bCs/>
          <w:color w:val="000000"/>
          <w:lang w:eastAsia="es-MX"/>
        </w:rPr>
        <w:t xml:space="preserve"> </w:t>
      </w:r>
      <w:r w:rsidR="00565E36" w:rsidRPr="00303C65">
        <w:rPr>
          <w:rFonts w:ascii="ITC Avant Garde" w:hAnsi="ITC Avant Garde"/>
          <w:bCs/>
          <w:color w:val="000000"/>
          <w:lang w:eastAsia="es-MX"/>
        </w:rPr>
        <w:t>por lo que emitió opinión favorable respecto a la Solicitud de Prórroga.</w:t>
      </w:r>
    </w:p>
    <w:p w14:paraId="36E53374" w14:textId="77777777" w:rsidR="00303C65" w:rsidRPr="00303C65" w:rsidRDefault="00F07C69" w:rsidP="00303C65">
      <w:pPr>
        <w:numPr>
          <w:ilvl w:val="0"/>
          <w:numId w:val="4"/>
        </w:numPr>
        <w:spacing w:before="240" w:line="240" w:lineRule="auto"/>
        <w:ind w:left="567" w:hanging="567"/>
        <w:jc w:val="both"/>
        <w:rPr>
          <w:rFonts w:ascii="ITC Avant Garde" w:hAnsi="ITC Avant Garde"/>
          <w:b/>
          <w:bCs/>
          <w:color w:val="000000" w:themeColor="text1"/>
          <w:lang w:eastAsia="es-MX"/>
        </w:rPr>
      </w:pPr>
      <w:r w:rsidRPr="00303C65">
        <w:rPr>
          <w:rFonts w:ascii="ITC Avant Garde" w:hAnsi="ITC Avant Garde"/>
          <w:b/>
          <w:bCs/>
          <w:color w:val="000000" w:themeColor="text1"/>
          <w:lang w:eastAsia="es-MX"/>
        </w:rPr>
        <w:t xml:space="preserve">Decreto </w:t>
      </w:r>
      <w:r w:rsidR="0039707A" w:rsidRPr="00303C65">
        <w:rPr>
          <w:rFonts w:ascii="ITC Avant Garde" w:hAnsi="ITC Avant Garde"/>
          <w:b/>
          <w:bCs/>
          <w:color w:val="000000" w:themeColor="text1"/>
          <w:lang w:eastAsia="es-MX"/>
        </w:rPr>
        <w:t>de</w:t>
      </w:r>
      <w:r w:rsidRPr="00303C65">
        <w:rPr>
          <w:rFonts w:ascii="ITC Avant Garde" w:hAnsi="ITC Avant Garde"/>
          <w:b/>
          <w:bCs/>
          <w:color w:val="000000" w:themeColor="text1"/>
          <w:lang w:eastAsia="es-MX"/>
        </w:rPr>
        <w:t xml:space="preserve"> Ley.</w:t>
      </w:r>
      <w:r w:rsidR="00E92BB2" w:rsidRPr="00303C65">
        <w:rPr>
          <w:rFonts w:ascii="ITC Avant Garde" w:hAnsi="ITC Avant Garde"/>
          <w:b/>
          <w:bCs/>
          <w:color w:val="000000" w:themeColor="text1"/>
          <w:lang w:eastAsia="es-MX"/>
        </w:rPr>
        <w:t xml:space="preserve"> </w:t>
      </w:r>
      <w:r w:rsidR="00E92BB2" w:rsidRPr="00303C65">
        <w:rPr>
          <w:rFonts w:ascii="ITC Avant Garde" w:hAnsi="ITC Avant Garde"/>
          <w:bCs/>
          <w:color w:val="000000" w:themeColor="text1"/>
          <w:lang w:eastAsia="es-MX"/>
        </w:rPr>
        <w:t xml:space="preserve">El 14 de julio de 2014, se publicó en el Diario Oficial de la Federación el “Decreto por el que se expiden la Ley Federal de Telecomunicaciones y Radiodifusión, y la Ley del Sistema Público de Radiodifusión del Estado Mexicano; y </w:t>
      </w:r>
      <w:r w:rsidR="00E92BB2" w:rsidRPr="00303C65">
        <w:rPr>
          <w:rFonts w:ascii="ITC Avant Garde" w:hAnsi="ITC Avant Garde"/>
          <w:bCs/>
          <w:color w:val="000000" w:themeColor="text1"/>
          <w:lang w:eastAsia="es-MX"/>
        </w:rPr>
        <w:lastRenderedPageBreak/>
        <w:t>se reforman, adicionan y derogan diversas disposiciones en materia de telecomunicaciones y radiodifusión” (el “Decreto de Ley”), mismo que entró en vigor el 13 de agosto de 2014.</w:t>
      </w:r>
    </w:p>
    <w:p w14:paraId="4BB4D516" w14:textId="77777777" w:rsidR="00303C65" w:rsidRPr="00303C65" w:rsidRDefault="00742C59" w:rsidP="00303C65">
      <w:pPr>
        <w:numPr>
          <w:ilvl w:val="0"/>
          <w:numId w:val="4"/>
        </w:numPr>
        <w:spacing w:before="240" w:line="240" w:lineRule="auto"/>
        <w:ind w:left="567" w:hanging="567"/>
        <w:jc w:val="both"/>
        <w:rPr>
          <w:rFonts w:ascii="ITC Avant Garde" w:hAnsi="ITC Avant Garde"/>
          <w:bCs/>
          <w:color w:val="000000" w:themeColor="text1"/>
          <w:lang w:eastAsia="es-MX"/>
        </w:rPr>
      </w:pPr>
      <w:r w:rsidRPr="00303C65">
        <w:rPr>
          <w:rFonts w:ascii="ITC Avant Garde" w:hAnsi="ITC Avant Garde" w:cs="Arial"/>
          <w:b/>
          <w:bCs/>
          <w:color w:val="000000"/>
          <w:shd w:val="clear" w:color="auto" w:fill="FFFFFF"/>
        </w:rPr>
        <w:t>Estatuto Orgánico.</w:t>
      </w:r>
      <w:r w:rsidR="009E4A3B" w:rsidRPr="00303C65">
        <w:rPr>
          <w:rStyle w:val="apple-converted-space"/>
          <w:rFonts w:ascii="ITC Avant Garde" w:hAnsi="ITC Avant Garde" w:cs="Arial"/>
          <w:b/>
          <w:bCs/>
          <w:color w:val="000000"/>
          <w:shd w:val="clear" w:color="auto" w:fill="FFFFFF"/>
        </w:rPr>
        <w:t xml:space="preserve"> </w:t>
      </w:r>
      <w:r w:rsidRPr="00303C65">
        <w:rPr>
          <w:rFonts w:ascii="ITC Avant Garde" w:hAnsi="ITC Avant Garde"/>
          <w:color w:val="000000"/>
          <w:shd w:val="clear" w:color="auto" w:fill="FFFFFF"/>
        </w:rPr>
        <w:t>El 4 de septiembre de 2014, se publicó en el D</w:t>
      </w:r>
      <w:r w:rsidR="008652CC" w:rsidRPr="00303C65">
        <w:rPr>
          <w:rFonts w:ascii="ITC Avant Garde" w:hAnsi="ITC Avant Garde"/>
          <w:color w:val="000000"/>
          <w:shd w:val="clear" w:color="auto" w:fill="FFFFFF"/>
        </w:rPr>
        <w:t xml:space="preserve">iario </w:t>
      </w:r>
      <w:r w:rsidRPr="00303C65">
        <w:rPr>
          <w:rFonts w:ascii="ITC Avant Garde" w:hAnsi="ITC Avant Garde"/>
          <w:color w:val="000000"/>
          <w:shd w:val="clear" w:color="auto" w:fill="FFFFFF"/>
        </w:rPr>
        <w:t>O</w:t>
      </w:r>
      <w:r w:rsidR="008652CC" w:rsidRPr="00303C65">
        <w:rPr>
          <w:rFonts w:ascii="ITC Avant Garde" w:hAnsi="ITC Avant Garde"/>
          <w:color w:val="000000"/>
          <w:shd w:val="clear" w:color="auto" w:fill="FFFFFF"/>
        </w:rPr>
        <w:t xml:space="preserve">ficial de la </w:t>
      </w:r>
      <w:r w:rsidRPr="00303C65">
        <w:rPr>
          <w:rFonts w:ascii="ITC Avant Garde" w:hAnsi="ITC Avant Garde"/>
          <w:color w:val="000000"/>
          <w:shd w:val="clear" w:color="auto" w:fill="FFFFFF"/>
        </w:rPr>
        <w:t>F</w:t>
      </w:r>
      <w:r w:rsidR="008652CC" w:rsidRPr="00303C65">
        <w:rPr>
          <w:rFonts w:ascii="ITC Avant Garde" w:hAnsi="ITC Avant Garde"/>
          <w:color w:val="000000"/>
          <w:shd w:val="clear" w:color="auto" w:fill="FFFFFF"/>
        </w:rPr>
        <w:t>ederación</w:t>
      </w:r>
      <w:r w:rsidRPr="00303C65">
        <w:rPr>
          <w:rFonts w:ascii="ITC Avant Garde" w:hAnsi="ITC Avant Garde"/>
          <w:color w:val="000000"/>
          <w:shd w:val="clear" w:color="auto" w:fill="FFFFFF"/>
        </w:rPr>
        <w:t xml:space="preserve"> el “Estatuto Orgánico del Instituto Federal de Telecomunicaciones” (el “Estatuto Orgánico”), mismo que entró en vigor </w:t>
      </w:r>
      <w:r w:rsidR="00610A7F" w:rsidRPr="00303C65">
        <w:rPr>
          <w:rFonts w:ascii="ITC Avant Garde" w:hAnsi="ITC Avant Garde"/>
          <w:color w:val="000000"/>
          <w:shd w:val="clear" w:color="auto" w:fill="FFFFFF"/>
        </w:rPr>
        <w:t>el 26 de septiembre de 2014</w:t>
      </w:r>
      <w:r w:rsidR="00BF101E" w:rsidRPr="00303C65">
        <w:rPr>
          <w:rFonts w:ascii="ITC Avant Garde" w:hAnsi="ITC Avant Garde"/>
          <w:color w:val="000000"/>
          <w:shd w:val="clear" w:color="auto" w:fill="FFFFFF"/>
        </w:rPr>
        <w:t xml:space="preserve"> y fue modificado por última vez</w:t>
      </w:r>
      <w:r w:rsidR="00644CC3" w:rsidRPr="00303C65">
        <w:rPr>
          <w:rFonts w:ascii="ITC Avant Garde" w:hAnsi="ITC Avant Garde"/>
          <w:color w:val="000000"/>
          <w:shd w:val="clear" w:color="auto" w:fill="FFFFFF"/>
        </w:rPr>
        <w:t xml:space="preserve"> el </w:t>
      </w:r>
      <w:r w:rsidR="00644CC3" w:rsidRPr="00303C65">
        <w:rPr>
          <w:rFonts w:ascii="ITC Avant Garde" w:hAnsi="ITC Avant Garde"/>
          <w:bCs/>
          <w:color w:val="000000" w:themeColor="text1"/>
          <w:lang w:eastAsia="es-MX"/>
        </w:rPr>
        <w:t>17 de octubre de 2016</w:t>
      </w:r>
      <w:r w:rsidRPr="00303C65">
        <w:rPr>
          <w:rFonts w:ascii="ITC Avant Garde" w:hAnsi="ITC Avant Garde"/>
          <w:color w:val="000000"/>
          <w:shd w:val="clear" w:color="auto" w:fill="FFFFFF"/>
        </w:rPr>
        <w:t>.</w:t>
      </w:r>
    </w:p>
    <w:p w14:paraId="3131FD28" w14:textId="77777777" w:rsidR="00303C65" w:rsidRPr="00303C65" w:rsidRDefault="004A3C53" w:rsidP="00303C65">
      <w:pPr>
        <w:pStyle w:val="Prrafodelista"/>
        <w:numPr>
          <w:ilvl w:val="0"/>
          <w:numId w:val="4"/>
        </w:numPr>
        <w:spacing w:before="240" w:after="200"/>
        <w:ind w:left="567" w:hanging="567"/>
        <w:jc w:val="both"/>
        <w:rPr>
          <w:rFonts w:ascii="ITC Avant Garde" w:hAnsi="ITC Avant Garde" w:cs="Arial"/>
          <w:b/>
          <w:bCs/>
          <w:color w:val="000000"/>
          <w:sz w:val="22"/>
          <w:shd w:val="clear" w:color="auto" w:fill="FFFFFF"/>
        </w:rPr>
      </w:pPr>
      <w:r w:rsidRPr="00303C65">
        <w:rPr>
          <w:rFonts w:ascii="ITC Avant Garde" w:hAnsi="ITC Avant Garde"/>
          <w:b/>
          <w:color w:val="000000"/>
          <w:sz w:val="22"/>
        </w:rPr>
        <w:t xml:space="preserve">Acuerdo de Cambio de Bandas. </w:t>
      </w:r>
      <w:r w:rsidRPr="00303C65">
        <w:rPr>
          <w:rFonts w:ascii="ITC Avant Garde" w:hAnsi="ITC Avant Garde"/>
          <w:color w:val="000000"/>
          <w:sz w:val="22"/>
        </w:rPr>
        <w:t xml:space="preserve">El 13 de septiembre de 2016, se publicó en el </w:t>
      </w:r>
      <w:r w:rsidRPr="00303C65">
        <w:rPr>
          <w:rFonts w:ascii="ITC Avant Garde" w:hAnsi="ITC Avant Garde"/>
          <w:color w:val="000000"/>
          <w:sz w:val="22"/>
          <w:shd w:val="clear" w:color="auto" w:fill="FFFFFF"/>
        </w:rPr>
        <w:t>Diario Oficial de la Federación el “A</w:t>
      </w:r>
      <w:r w:rsidR="00923859" w:rsidRPr="00303C65">
        <w:rPr>
          <w:rFonts w:ascii="ITC Avant Garde" w:hAnsi="ITC Avant Garde"/>
          <w:color w:val="000000"/>
          <w:sz w:val="22"/>
          <w:shd w:val="clear" w:color="auto" w:fill="FFFFFF"/>
        </w:rPr>
        <w:t>cuerdo</w:t>
      </w:r>
      <w:r w:rsidRPr="00303C65">
        <w:rPr>
          <w:rFonts w:ascii="ITC Avant Garde" w:hAnsi="ITC Avant Garde"/>
          <w:color w:val="000000"/>
          <w:sz w:val="22"/>
          <w:shd w:val="clear" w:color="auto" w:fill="FFFFFF"/>
        </w:rPr>
        <w:t xml:space="preserve">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 </w:t>
      </w:r>
      <w:r w:rsidRPr="00303C65">
        <w:rPr>
          <w:rFonts w:ascii="ITC Avant Garde" w:hAnsi="ITC Avant Garde"/>
          <w:bCs/>
          <w:color w:val="000000" w:themeColor="text1"/>
          <w:sz w:val="22"/>
          <w:lang w:eastAsia="es-MX"/>
        </w:rPr>
        <w:t>mismo que entró en vigor el 26 de octubre de 2016, con excepción del Acuerdo Primero, que contempla el Plan de la Banda 806-824/851-869 MHz, mismo que entró en vigor el 14 de septiembre de 2016 (el “Acuerdo de Cambio de Bandas”).</w:t>
      </w:r>
    </w:p>
    <w:p w14:paraId="082ACF53" w14:textId="735F7C57" w:rsidR="00303C65" w:rsidRPr="00303C65" w:rsidRDefault="00020322" w:rsidP="00303C65">
      <w:pPr>
        <w:numPr>
          <w:ilvl w:val="0"/>
          <w:numId w:val="4"/>
        </w:numPr>
        <w:spacing w:before="240" w:line="240" w:lineRule="auto"/>
        <w:ind w:left="567" w:hanging="567"/>
        <w:jc w:val="both"/>
        <w:rPr>
          <w:rFonts w:ascii="ITC Avant Garde" w:hAnsi="ITC Avant Garde"/>
          <w:bCs/>
          <w:color w:val="000000"/>
          <w:lang w:eastAsia="es-MX"/>
        </w:rPr>
      </w:pPr>
      <w:r w:rsidRPr="00303C65">
        <w:rPr>
          <w:rFonts w:ascii="ITC Avant Garde" w:hAnsi="ITC Avant Garde"/>
          <w:b/>
          <w:bCs/>
          <w:color w:val="000000"/>
          <w:lang w:eastAsia="es-MX"/>
        </w:rPr>
        <w:t>Solicitud de Opinión de la Unidad de Espectro Radioeléctrico.</w:t>
      </w:r>
      <w:r w:rsidRPr="00303C65">
        <w:rPr>
          <w:rFonts w:ascii="ITC Avant Garde" w:hAnsi="ITC Avant Garde"/>
          <w:bCs/>
          <w:color w:val="000000"/>
          <w:lang w:eastAsia="es-MX"/>
        </w:rPr>
        <w:t xml:space="preserve"> </w:t>
      </w:r>
      <w:r w:rsidR="00C84F44" w:rsidRPr="00303C65">
        <w:rPr>
          <w:rFonts w:ascii="ITC Avant Garde" w:hAnsi="ITC Avant Garde"/>
          <w:bCs/>
          <w:color w:val="000000"/>
          <w:lang w:eastAsia="es-MX"/>
        </w:rPr>
        <w:t>Mediante oficio IFT/223/UCS/DG-CTEL/2286/2016 notificado el</w:t>
      </w:r>
      <w:r w:rsidRPr="00303C65">
        <w:rPr>
          <w:rFonts w:ascii="ITC Avant Garde" w:hAnsi="ITC Avant Garde"/>
          <w:bCs/>
          <w:color w:val="000000"/>
          <w:lang w:eastAsia="es-MX"/>
        </w:rPr>
        <w:t xml:space="preserve"> 10 de octubre de 2016</w:t>
      </w:r>
      <w:r w:rsidR="00C84F44" w:rsidRPr="00303C65">
        <w:rPr>
          <w:rFonts w:ascii="ITC Avant Garde" w:hAnsi="ITC Avant Garde"/>
          <w:bCs/>
          <w:color w:val="000000"/>
          <w:lang w:eastAsia="es-MX"/>
        </w:rPr>
        <w:t>,</w:t>
      </w:r>
      <w:r w:rsidRPr="00303C65">
        <w:rPr>
          <w:rFonts w:ascii="ITC Avant Garde" w:hAnsi="ITC Avant Garde"/>
          <w:bCs/>
          <w:color w:val="000000"/>
          <w:lang w:eastAsia="es-MX"/>
        </w:rPr>
        <w:t xml:space="preserve"> la Unidad de Concesiones y Servicios, a través de la Dirección General de Concesiones de Telecomunicaciones, solicitó a la Unidad de Espectro Radioeléctrico emitir opinión respecto a la Solicitud de Prórroga</w:t>
      </w:r>
      <w:r w:rsidR="00D90978" w:rsidRPr="00303C65">
        <w:rPr>
          <w:rFonts w:ascii="ITC Avant Garde" w:hAnsi="ITC Avant Garde"/>
          <w:bCs/>
          <w:color w:val="000000"/>
          <w:lang w:eastAsia="es-MX"/>
        </w:rPr>
        <w:t xml:space="preserve"> y la Solicitud de Modificación</w:t>
      </w:r>
      <w:r w:rsidRPr="00303C65">
        <w:rPr>
          <w:rFonts w:ascii="ITC Avant Garde" w:hAnsi="ITC Avant Garde"/>
          <w:bCs/>
          <w:color w:val="000000"/>
          <w:lang w:eastAsia="es-MX"/>
        </w:rPr>
        <w:t xml:space="preserve">. </w:t>
      </w:r>
    </w:p>
    <w:p w14:paraId="083A291E" w14:textId="77777777" w:rsidR="00303C65" w:rsidRPr="00303C65" w:rsidRDefault="007E3C85" w:rsidP="00303C65">
      <w:pPr>
        <w:numPr>
          <w:ilvl w:val="0"/>
          <w:numId w:val="4"/>
        </w:numPr>
        <w:spacing w:before="240" w:line="240" w:lineRule="auto"/>
        <w:ind w:left="567" w:hanging="567"/>
        <w:jc w:val="both"/>
        <w:rPr>
          <w:rFonts w:ascii="ITC Avant Garde" w:hAnsi="ITC Avant Garde"/>
          <w:bCs/>
          <w:color w:val="000000"/>
          <w:lang w:eastAsia="es-MX"/>
        </w:rPr>
      </w:pPr>
      <w:r w:rsidRPr="00303C65">
        <w:rPr>
          <w:rFonts w:ascii="ITC Avant Garde" w:hAnsi="ITC Avant Garde"/>
          <w:b/>
          <w:bCs/>
          <w:color w:val="000000"/>
          <w:lang w:eastAsia="es-MX"/>
        </w:rPr>
        <w:t>Alcance a la Solicitud de Modificación.</w:t>
      </w:r>
      <w:r w:rsidRPr="00303C65">
        <w:rPr>
          <w:rFonts w:ascii="ITC Avant Garde" w:hAnsi="ITC Avant Garde"/>
          <w:bCs/>
          <w:color w:val="000000"/>
          <w:lang w:eastAsia="es-MX"/>
        </w:rPr>
        <w:t xml:space="preserve"> Mediante escrito DCTI-SSTI-86-2017, presentado al Instituto el 21 de abril de 2017, la Suplente por Ausencia del Titular de la Subdirección de Servicios de Tecnologías de Información de PEMEX realizó diversas precisiones a la Solicitud de Modificación (“Alcance</w:t>
      </w:r>
      <w:r w:rsidR="00A96F03" w:rsidRPr="00303C65">
        <w:rPr>
          <w:rFonts w:ascii="ITC Avant Garde" w:hAnsi="ITC Avant Garde"/>
          <w:bCs/>
          <w:color w:val="000000"/>
          <w:lang w:eastAsia="es-MX"/>
        </w:rPr>
        <w:t>”).</w:t>
      </w:r>
    </w:p>
    <w:p w14:paraId="7C423DB2" w14:textId="77777777" w:rsidR="00303C65" w:rsidRPr="00303C65" w:rsidRDefault="00022FDF" w:rsidP="00303C65">
      <w:pPr>
        <w:numPr>
          <w:ilvl w:val="0"/>
          <w:numId w:val="4"/>
        </w:numPr>
        <w:spacing w:before="240" w:line="240" w:lineRule="auto"/>
        <w:ind w:left="567" w:hanging="567"/>
        <w:jc w:val="both"/>
        <w:rPr>
          <w:rFonts w:ascii="ITC Avant Garde" w:hAnsi="ITC Avant Garde"/>
          <w:bCs/>
          <w:color w:val="000000"/>
          <w:lang w:eastAsia="es-MX"/>
        </w:rPr>
      </w:pPr>
      <w:r w:rsidRPr="00303C65">
        <w:rPr>
          <w:rFonts w:ascii="ITC Avant Garde" w:hAnsi="ITC Avant Garde"/>
          <w:b/>
          <w:bCs/>
          <w:color w:val="000000"/>
          <w:lang w:eastAsia="es-MX"/>
        </w:rPr>
        <w:t xml:space="preserve">Opinión de la Unidad de Espectro Radioeléctrico. </w:t>
      </w:r>
      <w:r w:rsidR="00636A45" w:rsidRPr="00303C65">
        <w:rPr>
          <w:rFonts w:ascii="ITC Avant Garde" w:hAnsi="ITC Avant Garde"/>
          <w:bCs/>
          <w:color w:val="000000"/>
          <w:lang w:eastAsia="es-MX"/>
        </w:rPr>
        <w:t>Con oficio IFT/222/UER/DG-PLES</w:t>
      </w:r>
      <w:r w:rsidRPr="00303C65">
        <w:rPr>
          <w:rFonts w:ascii="ITC Avant Garde" w:hAnsi="ITC Avant Garde"/>
          <w:bCs/>
          <w:color w:val="000000"/>
          <w:lang w:eastAsia="es-MX"/>
        </w:rPr>
        <w:t>/0</w:t>
      </w:r>
      <w:r w:rsidR="00636A45" w:rsidRPr="00303C65">
        <w:rPr>
          <w:rFonts w:ascii="ITC Avant Garde" w:hAnsi="ITC Avant Garde"/>
          <w:bCs/>
          <w:color w:val="000000"/>
          <w:lang w:eastAsia="es-MX"/>
        </w:rPr>
        <w:t>04</w:t>
      </w:r>
      <w:r w:rsidRPr="00303C65">
        <w:rPr>
          <w:rFonts w:ascii="ITC Avant Garde" w:hAnsi="ITC Avant Garde"/>
          <w:bCs/>
          <w:color w:val="000000"/>
          <w:lang w:eastAsia="es-MX"/>
        </w:rPr>
        <w:t>/201</w:t>
      </w:r>
      <w:r w:rsidR="00636A45" w:rsidRPr="00303C65">
        <w:rPr>
          <w:rFonts w:ascii="ITC Avant Garde" w:hAnsi="ITC Avant Garde"/>
          <w:bCs/>
          <w:color w:val="000000"/>
          <w:lang w:eastAsia="es-MX"/>
        </w:rPr>
        <w:t>7</w:t>
      </w:r>
      <w:r w:rsidRPr="00303C65">
        <w:rPr>
          <w:rFonts w:ascii="ITC Avant Garde" w:hAnsi="ITC Avant Garde"/>
          <w:bCs/>
          <w:color w:val="000000"/>
          <w:lang w:eastAsia="es-MX"/>
        </w:rPr>
        <w:t xml:space="preserve"> </w:t>
      </w:r>
      <w:r w:rsidR="008A224C" w:rsidRPr="00303C65">
        <w:rPr>
          <w:rFonts w:ascii="ITC Avant Garde" w:hAnsi="ITC Avant Garde"/>
          <w:bCs/>
        </w:rPr>
        <w:t xml:space="preserve">fechado el </w:t>
      </w:r>
      <w:r w:rsidR="00636A45" w:rsidRPr="00303C65">
        <w:rPr>
          <w:rFonts w:ascii="ITC Avant Garde" w:hAnsi="ITC Avant Garde"/>
          <w:bCs/>
        </w:rPr>
        <w:t>9</w:t>
      </w:r>
      <w:r w:rsidR="008A224C" w:rsidRPr="00303C65">
        <w:rPr>
          <w:rFonts w:ascii="ITC Avant Garde" w:hAnsi="ITC Avant Garde"/>
          <w:bCs/>
        </w:rPr>
        <w:t xml:space="preserve"> de </w:t>
      </w:r>
      <w:r w:rsidR="00636A45" w:rsidRPr="00303C65">
        <w:rPr>
          <w:rFonts w:ascii="ITC Avant Garde" w:hAnsi="ITC Avant Garde"/>
          <w:bCs/>
        </w:rPr>
        <w:t>mayo</w:t>
      </w:r>
      <w:r w:rsidR="006E7039" w:rsidRPr="00303C65">
        <w:rPr>
          <w:rFonts w:ascii="ITC Avant Garde" w:hAnsi="ITC Avant Garde"/>
          <w:bCs/>
        </w:rPr>
        <w:t xml:space="preserve"> de 2017</w:t>
      </w:r>
      <w:r w:rsidR="008A224C" w:rsidRPr="00303C65">
        <w:rPr>
          <w:rFonts w:ascii="ITC Avant Garde" w:hAnsi="ITC Avant Garde"/>
          <w:bCs/>
        </w:rPr>
        <w:t xml:space="preserve">, </w:t>
      </w:r>
      <w:r w:rsidRPr="00303C65">
        <w:rPr>
          <w:rFonts w:ascii="ITC Avant Garde" w:hAnsi="ITC Avant Garde"/>
          <w:bCs/>
          <w:color w:val="000000"/>
          <w:lang w:eastAsia="es-MX"/>
        </w:rPr>
        <w:t xml:space="preserve">la Dirección General de Planeación del Espectro, adscrita a la Unidad de Espectro Radioeléctrico, emitió </w:t>
      </w:r>
      <w:r w:rsidR="008A224C" w:rsidRPr="00303C65">
        <w:rPr>
          <w:rFonts w:ascii="ITC Avant Garde" w:hAnsi="ITC Avant Garde"/>
          <w:bCs/>
          <w:color w:val="000000"/>
          <w:lang w:eastAsia="es-MX"/>
        </w:rPr>
        <w:t xml:space="preserve">a la Unidad de Concesiones y Servicios </w:t>
      </w:r>
      <w:r w:rsidRPr="00303C65">
        <w:rPr>
          <w:rFonts w:ascii="ITC Avant Garde" w:hAnsi="ITC Avant Garde"/>
          <w:bCs/>
          <w:color w:val="000000"/>
          <w:lang w:eastAsia="es-MX"/>
        </w:rPr>
        <w:t>los dictámenes correspondientes a la Solicitud de Prórroga</w:t>
      </w:r>
      <w:r w:rsidR="005D2B58" w:rsidRPr="00303C65">
        <w:rPr>
          <w:rFonts w:ascii="ITC Avant Garde" w:hAnsi="ITC Avant Garde"/>
          <w:bCs/>
          <w:color w:val="000000"/>
          <w:lang w:eastAsia="es-MX"/>
        </w:rPr>
        <w:t xml:space="preserve">, </w:t>
      </w:r>
      <w:r w:rsidR="00FC70CA" w:rsidRPr="00303C65">
        <w:rPr>
          <w:rFonts w:ascii="ITC Avant Garde" w:hAnsi="ITC Avant Garde"/>
          <w:bCs/>
          <w:color w:val="000000"/>
          <w:lang w:eastAsia="es-MX"/>
        </w:rPr>
        <w:t>a la Solicitud de Modificación</w:t>
      </w:r>
      <w:r w:rsidR="005D2B58" w:rsidRPr="00303C65">
        <w:rPr>
          <w:rFonts w:ascii="ITC Avant Garde" w:hAnsi="ITC Avant Garde"/>
          <w:bCs/>
          <w:color w:val="000000"/>
          <w:lang w:eastAsia="es-MX"/>
        </w:rPr>
        <w:t xml:space="preserve"> y al Alcance</w:t>
      </w:r>
      <w:r w:rsidR="00A96F03" w:rsidRPr="00303C65">
        <w:rPr>
          <w:rFonts w:ascii="ITC Avant Garde" w:hAnsi="ITC Avant Garde"/>
          <w:bCs/>
          <w:color w:val="000000"/>
          <w:lang w:eastAsia="es-MX"/>
        </w:rPr>
        <w:t>.</w:t>
      </w:r>
      <w:r w:rsidRPr="00303C65">
        <w:rPr>
          <w:rFonts w:ascii="ITC Avant Garde" w:hAnsi="ITC Avant Garde"/>
          <w:bCs/>
          <w:color w:val="000000"/>
          <w:lang w:eastAsia="es-MX"/>
        </w:rPr>
        <w:t xml:space="preserve"> </w:t>
      </w:r>
    </w:p>
    <w:p w14:paraId="571BEC88" w14:textId="77777777" w:rsidR="00303C65" w:rsidRPr="00303C65" w:rsidRDefault="00B048BA" w:rsidP="00303C65">
      <w:pPr>
        <w:spacing w:before="240" w:line="240" w:lineRule="auto"/>
        <w:ind w:left="567"/>
        <w:jc w:val="both"/>
        <w:rPr>
          <w:rFonts w:ascii="ITC Avant Garde" w:hAnsi="ITC Avant Garde"/>
          <w:bCs/>
          <w:color w:val="000000"/>
          <w:lang w:eastAsia="es-MX"/>
        </w:rPr>
      </w:pPr>
      <w:r w:rsidRPr="00303C65">
        <w:rPr>
          <w:rFonts w:ascii="ITC Avant Garde" w:hAnsi="ITC Avant Garde"/>
          <w:bCs/>
          <w:color w:val="000000"/>
          <w:lang w:eastAsia="es-MX"/>
        </w:rPr>
        <w:t>En virtud de los Antecedentes referidos y,</w:t>
      </w:r>
    </w:p>
    <w:p w14:paraId="7BEA93DB" w14:textId="77777777" w:rsidR="00303C65" w:rsidRPr="00303C65" w:rsidRDefault="00B048BA" w:rsidP="00303C65">
      <w:pPr>
        <w:pStyle w:val="Ttulo2"/>
        <w:spacing w:after="240"/>
        <w:jc w:val="center"/>
        <w:rPr>
          <w:rFonts w:ascii="ITC Avant Garde" w:hAnsi="ITC Avant Garde"/>
          <w:b/>
          <w:color w:val="000000" w:themeColor="text1"/>
          <w:sz w:val="22"/>
          <w:szCs w:val="22"/>
        </w:rPr>
      </w:pPr>
      <w:r w:rsidRPr="00303C65">
        <w:rPr>
          <w:rFonts w:ascii="ITC Avant Garde" w:hAnsi="ITC Avant Garde"/>
          <w:b/>
          <w:color w:val="000000" w:themeColor="text1"/>
          <w:sz w:val="22"/>
          <w:szCs w:val="22"/>
        </w:rPr>
        <w:t>CONSIDERANDO</w:t>
      </w:r>
    </w:p>
    <w:p w14:paraId="486C887B" w14:textId="654DFCDD" w:rsidR="00303C65" w:rsidRPr="00303C65" w:rsidRDefault="00B048BA"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
          <w:bCs/>
        </w:rPr>
        <w:t>Primero.-</w:t>
      </w:r>
      <w:r w:rsidRPr="00303C65">
        <w:rPr>
          <w:rFonts w:ascii="ITC Avant Garde" w:hAnsi="ITC Avant Garde"/>
          <w:bCs/>
        </w:rPr>
        <w:t xml:space="preserve"> </w:t>
      </w:r>
      <w:r w:rsidRPr="00303C65">
        <w:rPr>
          <w:rFonts w:ascii="ITC Avant Garde" w:hAnsi="ITC Avant Garde"/>
          <w:b/>
          <w:bCs/>
        </w:rPr>
        <w:t>Competencia.</w:t>
      </w:r>
      <w:r w:rsidRPr="00303C65">
        <w:rPr>
          <w:rFonts w:ascii="ITC Avant Garde" w:hAnsi="ITC Avant Garde"/>
          <w:bCs/>
        </w:rPr>
        <w:t xml:space="preserve"> Conforme lo dispone el artículo 28 </w:t>
      </w:r>
      <w:r w:rsidR="00ED1D21" w:rsidRPr="00303C65">
        <w:rPr>
          <w:rFonts w:ascii="ITC Avant Garde" w:hAnsi="ITC Avant Garde"/>
          <w:bCs/>
        </w:rPr>
        <w:t>párrafo décimo quinto</w:t>
      </w:r>
      <w:r w:rsidR="00D06F43" w:rsidRPr="00303C65">
        <w:rPr>
          <w:rFonts w:ascii="ITC Avant Garde" w:hAnsi="ITC Avant Garde"/>
          <w:bCs/>
        </w:rPr>
        <w:t xml:space="preserve"> </w:t>
      </w:r>
      <w:r w:rsidRPr="00303C65">
        <w:rPr>
          <w:rFonts w:ascii="ITC Avant Garde" w:hAnsi="ITC Avant Garde"/>
          <w:bCs/>
        </w:rPr>
        <w:t>de la Constitución Política de los Estados Unidos Mexicanos</w:t>
      </w:r>
      <w:r w:rsidR="00DE628B" w:rsidRPr="00303C65">
        <w:rPr>
          <w:rFonts w:ascii="ITC Avant Garde" w:hAnsi="ITC Avant Garde"/>
          <w:bCs/>
        </w:rPr>
        <w:t xml:space="preserve"> (la “Constitución”)</w:t>
      </w:r>
      <w:r w:rsidRPr="00303C65">
        <w:rPr>
          <w:rFonts w:ascii="ITC Avant Garde" w:hAnsi="ITC Avant Garde"/>
          <w:bCs/>
        </w:rPr>
        <w:t xml:space="preserve">, el Instituto es </w:t>
      </w:r>
      <w:r w:rsidR="00E96C9C" w:rsidRPr="00303C65">
        <w:rPr>
          <w:rFonts w:ascii="ITC Avant Garde" w:hAnsi="ITC Avant Garde"/>
          <w:bCs/>
        </w:rPr>
        <w:t>un</w:t>
      </w:r>
      <w:r w:rsidRPr="00303C65">
        <w:rPr>
          <w:rFonts w:ascii="ITC Avant Garde" w:hAnsi="ITC Avant Garde"/>
          <w:bCs/>
        </w:rPr>
        <w:t xml:space="preserve">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w:t>
      </w:r>
      <w:r w:rsidRPr="00303C65">
        <w:rPr>
          <w:rFonts w:ascii="ITC Avant Garde" w:hAnsi="ITC Avant Garde"/>
          <w:bCs/>
        </w:rPr>
        <w:lastRenderedPageBreak/>
        <w:t>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0D37B41A" w14:textId="77777777" w:rsidR="00303C65" w:rsidRPr="00303C65" w:rsidRDefault="00742C59"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 xml:space="preserve">Asimismo, </w:t>
      </w:r>
      <w:r w:rsidR="00B34AC0" w:rsidRPr="00303C65">
        <w:rPr>
          <w:rFonts w:ascii="ITC Avant Garde" w:hAnsi="ITC Avant Garde"/>
          <w:bCs/>
        </w:rPr>
        <w:t>en términos del párrafo décimo sexto del artículo constitucional</w:t>
      </w:r>
      <w:r w:rsidR="00124597" w:rsidRPr="00303C65">
        <w:rPr>
          <w:rFonts w:ascii="ITC Avant Garde" w:hAnsi="ITC Avant Garde"/>
          <w:bCs/>
        </w:rPr>
        <w:t xml:space="preserve"> antes mencionado</w:t>
      </w:r>
      <w:r w:rsidR="00B34AC0" w:rsidRPr="00303C65">
        <w:rPr>
          <w:rFonts w:ascii="ITC Avant Garde" w:hAnsi="ITC Avant Garde"/>
          <w:bCs/>
        </w:rPr>
        <w:t xml:space="preserve">, </w:t>
      </w:r>
      <w:r w:rsidRPr="00303C65">
        <w:rPr>
          <w:rFonts w:ascii="ITC Avant Garde" w:hAnsi="ITC Avant Garde"/>
          <w:bCs/>
        </w:rPr>
        <w:t>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w:t>
      </w:r>
      <w:r w:rsidR="00114E58" w:rsidRPr="00303C65">
        <w:rPr>
          <w:rFonts w:ascii="ITC Avant Garde" w:hAnsi="ITC Avant Garde"/>
          <w:bCs/>
        </w:rPr>
        <w:t>ncurrencia</w:t>
      </w:r>
      <w:r w:rsidRPr="00303C65">
        <w:rPr>
          <w:rFonts w:ascii="ITC Avant Garde" w:hAnsi="ITC Avant Garde"/>
          <w:bCs/>
        </w:rPr>
        <w:t>; impondrá límites al c</w:t>
      </w:r>
      <w:r w:rsidR="004B7836" w:rsidRPr="00303C65">
        <w:rPr>
          <w:rFonts w:ascii="ITC Avant Garde" w:hAnsi="ITC Avant Garde"/>
          <w:bCs/>
        </w:rPr>
        <w:t>oncesionamie</w:t>
      </w:r>
      <w:r w:rsidRPr="00303C65">
        <w:rPr>
          <w:rFonts w:ascii="ITC Avant Garde" w:hAnsi="ITC Avant Garde"/>
          <w:bCs/>
        </w:rPr>
        <w:t>nto y a la propiedad cruzada que controle varios medios de comunicación que sean concesionarios de radiodifusión y telecomunicaciones que sirvan a un mismo mercado o zona de cobertura geogr</w:t>
      </w:r>
      <w:r w:rsidR="004B7836" w:rsidRPr="00303C65">
        <w:rPr>
          <w:rFonts w:ascii="ITC Avant Garde" w:hAnsi="ITC Avant Garde"/>
          <w:bCs/>
        </w:rPr>
        <w:t xml:space="preserve">áfica, </w:t>
      </w:r>
      <w:r w:rsidRPr="00303C65">
        <w:rPr>
          <w:rFonts w:ascii="ITC Avant Garde" w:hAnsi="ITC Avant Garde"/>
          <w:bCs/>
        </w:rPr>
        <w:t xml:space="preserve">garantizando lo dispuesto en los artículos </w:t>
      </w:r>
      <w:r w:rsidR="004B7836" w:rsidRPr="00303C65">
        <w:rPr>
          <w:rFonts w:ascii="ITC Avant Garde" w:hAnsi="ITC Avant Garde"/>
          <w:bCs/>
        </w:rPr>
        <w:t>6o. y 7o. de la Constitución.</w:t>
      </w:r>
    </w:p>
    <w:p w14:paraId="31A74F95" w14:textId="77777777" w:rsidR="00303C65" w:rsidRPr="00303C65" w:rsidRDefault="00914F3B" w:rsidP="00303C65">
      <w:pPr>
        <w:autoSpaceDE w:val="0"/>
        <w:autoSpaceDN w:val="0"/>
        <w:adjustRightInd w:val="0"/>
        <w:spacing w:before="240" w:line="240" w:lineRule="auto"/>
        <w:jc w:val="both"/>
        <w:rPr>
          <w:rFonts w:ascii="ITC Avant Garde" w:hAnsi="ITC Avant Garde" w:cs="Tahoma"/>
          <w:bCs/>
          <w:lang w:eastAsia="es-MX"/>
        </w:rPr>
      </w:pPr>
      <w:r w:rsidRPr="00303C65">
        <w:rPr>
          <w:rFonts w:ascii="ITC Avant Garde" w:hAnsi="ITC Avant Garde" w:cs="Tahoma"/>
          <w:bCs/>
          <w:lang w:eastAsia="es-MX"/>
        </w:rPr>
        <w:t>De igual forma, corresponde al Instituto el otorgamiento de concesiones en materia de radiodifusión y telecomunicaciones. En este sentido, el Pleno del Instituto está facultado, conforme a lo establecido por los artículos 15 fracciones IV y LVII y 17 fracción I de la Ley Federal de Telecomunicaciones y Radiodifusión (la “Ley”), para resolver sobre el otorgamiento de las concesiones señaladas, resolver respecto de las prórrogas, modificación o terminación de las mismas, así como interpretar la Ley y demás disposiciones administrativas en materia de telecomunicaciones y radiodifusión, en el ámbito de sus atribuciones.</w:t>
      </w:r>
    </w:p>
    <w:p w14:paraId="20E1AC95" w14:textId="77777777" w:rsidR="00303C65" w:rsidRPr="00303C65" w:rsidRDefault="00E64B6B" w:rsidP="00303C65">
      <w:pPr>
        <w:autoSpaceDE w:val="0"/>
        <w:autoSpaceDN w:val="0"/>
        <w:adjustRightInd w:val="0"/>
        <w:spacing w:before="240" w:line="240" w:lineRule="auto"/>
        <w:jc w:val="both"/>
        <w:rPr>
          <w:rFonts w:ascii="ITC Avant Garde" w:hAnsi="ITC Avant Garde" w:cs="Tahoma"/>
          <w:bCs/>
          <w:lang w:eastAsia="es-MX"/>
        </w:rPr>
      </w:pPr>
      <w:r w:rsidRPr="00303C65">
        <w:rPr>
          <w:rFonts w:ascii="ITC Avant Garde" w:hAnsi="ITC Avant Garde" w:cs="Tahoma"/>
          <w:bCs/>
          <w:lang w:eastAsia="es-MX"/>
        </w:rPr>
        <w:t>Por otra parte, corresponde al Pleno del Instituto, en términos del artículo 6 fracci</w:t>
      </w:r>
      <w:r w:rsidR="005678C3" w:rsidRPr="00303C65">
        <w:rPr>
          <w:rFonts w:ascii="ITC Avant Garde" w:hAnsi="ITC Avant Garde" w:cs="Tahoma"/>
          <w:bCs/>
          <w:lang w:eastAsia="es-MX"/>
        </w:rPr>
        <w:t>ones</w:t>
      </w:r>
      <w:r w:rsidRPr="00303C65">
        <w:rPr>
          <w:rFonts w:ascii="ITC Avant Garde" w:hAnsi="ITC Avant Garde" w:cs="Tahoma"/>
          <w:bCs/>
          <w:lang w:eastAsia="es-MX"/>
        </w:rPr>
        <w:t xml:space="preserve"> I </w:t>
      </w:r>
      <w:r w:rsidR="00914F3B" w:rsidRPr="00303C65">
        <w:rPr>
          <w:rFonts w:ascii="ITC Avant Garde" w:hAnsi="ITC Avant Garde" w:cs="Tahoma"/>
          <w:bCs/>
          <w:lang w:eastAsia="es-MX"/>
        </w:rPr>
        <w:t xml:space="preserve">y </w:t>
      </w:r>
      <w:r w:rsidR="005678C3" w:rsidRPr="00303C65">
        <w:rPr>
          <w:rFonts w:ascii="ITC Avant Garde" w:hAnsi="ITC Avant Garde" w:cs="Tahoma"/>
          <w:bCs/>
          <w:lang w:eastAsia="es-MX"/>
        </w:rPr>
        <w:t>XVII</w:t>
      </w:r>
      <w:r w:rsidR="00B723F8" w:rsidRPr="00303C65">
        <w:rPr>
          <w:rFonts w:ascii="ITC Avant Garde" w:hAnsi="ITC Avant Garde" w:cs="Tahoma"/>
          <w:bCs/>
          <w:lang w:eastAsia="es-MX"/>
        </w:rPr>
        <w:t>I</w:t>
      </w:r>
      <w:r w:rsidR="005678C3" w:rsidRPr="00303C65">
        <w:rPr>
          <w:rFonts w:ascii="ITC Avant Garde" w:hAnsi="ITC Avant Garde" w:cs="Tahoma"/>
          <w:bCs/>
          <w:lang w:eastAsia="es-MX"/>
        </w:rPr>
        <w:t xml:space="preserve"> </w:t>
      </w:r>
      <w:r w:rsidRPr="00303C65">
        <w:rPr>
          <w:rFonts w:ascii="ITC Avant Garde" w:hAnsi="ITC Avant Garde" w:cs="Tahoma"/>
          <w:bCs/>
          <w:lang w:eastAsia="es-MX"/>
        </w:rPr>
        <w:t xml:space="preserve">del </w:t>
      </w:r>
      <w:r w:rsidRPr="00303C65">
        <w:rPr>
          <w:rFonts w:ascii="ITC Avant Garde" w:hAnsi="ITC Avant Garde"/>
          <w:bCs/>
          <w:lang w:eastAsia="es-MX"/>
        </w:rPr>
        <w:t>Estatuto Orgánico,</w:t>
      </w:r>
      <w:r w:rsidRPr="00303C65">
        <w:rPr>
          <w:rFonts w:ascii="ITC Avant Garde" w:hAnsi="ITC Avant Garde" w:cs="Tahoma"/>
          <w:bCs/>
          <w:lang w:eastAsia="es-MX"/>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5678C3" w:rsidRPr="00303C65">
        <w:rPr>
          <w:rFonts w:ascii="ITC Avant Garde" w:hAnsi="ITC Avant Garde" w:cs="Tahoma"/>
          <w:bCs/>
          <w:lang w:eastAsia="es-MX"/>
        </w:rPr>
        <w:t xml:space="preserve"> y las demás que la Ley y otros ordenamientos le confieran</w:t>
      </w:r>
      <w:r w:rsidRPr="00303C65">
        <w:rPr>
          <w:rFonts w:ascii="ITC Avant Garde" w:hAnsi="ITC Avant Garde" w:cs="Tahoma"/>
          <w:bCs/>
          <w:lang w:eastAsia="es-MX"/>
        </w:rPr>
        <w:t>.</w:t>
      </w:r>
    </w:p>
    <w:p w14:paraId="6ACEA615" w14:textId="77777777" w:rsidR="00303C65" w:rsidRPr="00303C65" w:rsidRDefault="006A38B1" w:rsidP="00303C65">
      <w:pPr>
        <w:autoSpaceDE w:val="0"/>
        <w:autoSpaceDN w:val="0"/>
        <w:adjustRightInd w:val="0"/>
        <w:spacing w:before="240" w:line="240" w:lineRule="auto"/>
        <w:jc w:val="both"/>
        <w:rPr>
          <w:rFonts w:ascii="ITC Avant Garde" w:hAnsi="ITC Avant Garde" w:cs="Tahoma"/>
          <w:bCs/>
          <w:lang w:eastAsia="es-MX"/>
        </w:rPr>
      </w:pPr>
      <w:r w:rsidRPr="00303C65">
        <w:rPr>
          <w:rFonts w:ascii="ITC Avant Garde" w:hAnsi="ITC Avant Garde" w:cs="Tahoma"/>
          <w:bCs/>
          <w:lang w:eastAsia="es-MX"/>
        </w:rPr>
        <w:t>Asimismo</w:t>
      </w:r>
      <w:r w:rsidR="00FA0380" w:rsidRPr="00303C65">
        <w:rPr>
          <w:rFonts w:ascii="ITC Avant Garde" w:hAnsi="ITC Avant Garde" w:cs="Tahoma"/>
          <w:bCs/>
          <w:lang w:eastAsia="es-MX"/>
        </w:rPr>
        <w:t xml:space="preserve">, </w:t>
      </w:r>
      <w:r w:rsidR="00B573B6" w:rsidRPr="00303C65">
        <w:rPr>
          <w:rFonts w:ascii="ITC Avant Garde" w:hAnsi="ITC Avant Garde" w:cs="Tahoma"/>
          <w:bCs/>
          <w:lang w:eastAsia="es-MX"/>
        </w:rPr>
        <w:t>conforme a</w:t>
      </w:r>
      <w:r w:rsidR="00F42853" w:rsidRPr="00303C65">
        <w:rPr>
          <w:rFonts w:ascii="ITC Avant Garde" w:hAnsi="ITC Avant Garde" w:cs="Tahoma"/>
          <w:bCs/>
          <w:lang w:eastAsia="es-MX"/>
        </w:rPr>
        <w:t xml:space="preserve"> </w:t>
      </w:r>
      <w:r w:rsidR="00B573B6" w:rsidRPr="00303C65">
        <w:rPr>
          <w:rFonts w:ascii="ITC Avant Garde" w:hAnsi="ITC Avant Garde" w:cs="Tahoma"/>
          <w:bCs/>
          <w:lang w:eastAsia="es-MX"/>
        </w:rPr>
        <w:t>l</w:t>
      </w:r>
      <w:r w:rsidR="00F42853" w:rsidRPr="00303C65">
        <w:rPr>
          <w:rFonts w:ascii="ITC Avant Garde" w:hAnsi="ITC Avant Garde" w:cs="Tahoma"/>
          <w:bCs/>
          <w:lang w:eastAsia="es-MX"/>
        </w:rPr>
        <w:t>os</w:t>
      </w:r>
      <w:r w:rsidR="00B573B6" w:rsidRPr="00303C65">
        <w:rPr>
          <w:rFonts w:ascii="ITC Avant Garde" w:hAnsi="ITC Avant Garde" w:cs="Tahoma"/>
          <w:bCs/>
          <w:lang w:eastAsia="es-MX"/>
        </w:rPr>
        <w:t xml:space="preserve"> artículo</w:t>
      </w:r>
      <w:r w:rsidR="00F42853" w:rsidRPr="00303C65">
        <w:rPr>
          <w:rFonts w:ascii="ITC Avant Garde" w:hAnsi="ITC Avant Garde" w:cs="Tahoma"/>
          <w:bCs/>
          <w:lang w:eastAsia="es-MX"/>
        </w:rPr>
        <w:t>s</w:t>
      </w:r>
      <w:r w:rsidR="00B573B6" w:rsidRPr="00303C65">
        <w:rPr>
          <w:rFonts w:ascii="ITC Avant Garde" w:hAnsi="ITC Avant Garde" w:cs="Tahoma"/>
          <w:bCs/>
          <w:lang w:eastAsia="es-MX"/>
        </w:rPr>
        <w:t xml:space="preserve"> </w:t>
      </w:r>
      <w:r w:rsidR="00022FDF" w:rsidRPr="00303C65">
        <w:rPr>
          <w:rFonts w:ascii="ITC Avant Garde" w:hAnsi="ITC Avant Garde" w:cs="Tahoma"/>
          <w:bCs/>
          <w:lang w:eastAsia="es-MX"/>
        </w:rPr>
        <w:t xml:space="preserve">32 y </w:t>
      </w:r>
      <w:r w:rsidR="0082518F" w:rsidRPr="00303C65">
        <w:rPr>
          <w:rFonts w:ascii="ITC Avant Garde" w:hAnsi="ITC Avant Garde" w:cs="Tahoma"/>
          <w:bCs/>
          <w:lang w:eastAsia="es-MX"/>
        </w:rPr>
        <w:t xml:space="preserve">33 </w:t>
      </w:r>
      <w:proofErr w:type="gramStart"/>
      <w:r w:rsidR="0082518F" w:rsidRPr="00303C65">
        <w:rPr>
          <w:rFonts w:ascii="ITC Avant Garde" w:hAnsi="ITC Avant Garde" w:cs="Tahoma"/>
          <w:bCs/>
          <w:lang w:eastAsia="es-MX"/>
        </w:rPr>
        <w:t>fracción</w:t>
      </w:r>
      <w:proofErr w:type="gramEnd"/>
      <w:r w:rsidR="0082518F" w:rsidRPr="00303C65">
        <w:rPr>
          <w:rFonts w:ascii="ITC Avant Garde" w:hAnsi="ITC Avant Garde" w:cs="Tahoma"/>
          <w:bCs/>
          <w:lang w:eastAsia="es-MX"/>
        </w:rPr>
        <w:t xml:space="preserve"> II del Estatuto Orgánico</w:t>
      </w:r>
      <w:r w:rsidR="00B048BA" w:rsidRPr="00303C65">
        <w:rPr>
          <w:rFonts w:ascii="ITC Avant Garde" w:hAnsi="ITC Avant Garde"/>
          <w:bCs/>
        </w:rPr>
        <w:t xml:space="preserve"> corresponde a</w:t>
      </w:r>
      <w:r w:rsidR="0082518F" w:rsidRPr="00303C65">
        <w:rPr>
          <w:rFonts w:ascii="ITC Avant Garde" w:hAnsi="ITC Avant Garde"/>
          <w:bCs/>
        </w:rPr>
        <w:t xml:space="preserve"> </w:t>
      </w:r>
      <w:r w:rsidR="0082518F" w:rsidRPr="00303C65">
        <w:rPr>
          <w:rFonts w:ascii="ITC Avant Garde" w:hAnsi="ITC Avant Garde" w:cs="Tahoma"/>
          <w:bCs/>
          <w:lang w:eastAsia="es-MX"/>
        </w:rPr>
        <w:t xml:space="preserve">la Unidad de Concesiones y Servicios, </w:t>
      </w:r>
      <w:r w:rsidR="00124597" w:rsidRPr="00303C65">
        <w:rPr>
          <w:rFonts w:ascii="ITC Avant Garde" w:hAnsi="ITC Avant Garde" w:cs="Tahoma"/>
          <w:bCs/>
          <w:lang w:eastAsia="es-MX"/>
        </w:rPr>
        <w:t xml:space="preserve">a través de la Dirección General de Concesiones de Telecomunicaciones, </w:t>
      </w:r>
      <w:r w:rsidR="0082518F" w:rsidRPr="00303C65">
        <w:rPr>
          <w:rFonts w:ascii="ITC Avant Garde" w:hAnsi="ITC Avant Garde" w:cs="Tahoma"/>
          <w:bCs/>
          <w:lang w:eastAsia="es-MX"/>
        </w:rPr>
        <w:t xml:space="preserve">tramitar y evaluar las solicitudes </w:t>
      </w:r>
      <w:r w:rsidR="0071048A" w:rsidRPr="00303C65">
        <w:rPr>
          <w:rFonts w:ascii="ITC Avant Garde" w:hAnsi="ITC Avant Garde" w:cs="Tahoma"/>
          <w:bCs/>
          <w:lang w:eastAsia="es-MX"/>
        </w:rPr>
        <w:t xml:space="preserve">de cesión, modificación o prórroga de las concesiones </w:t>
      </w:r>
      <w:r w:rsidR="0082518F" w:rsidRPr="00303C65">
        <w:rPr>
          <w:rFonts w:ascii="ITC Avant Garde" w:hAnsi="ITC Avant Garde" w:cs="Tahoma"/>
          <w:bCs/>
          <w:lang w:eastAsia="es-MX"/>
        </w:rPr>
        <w:t>e</w:t>
      </w:r>
      <w:r w:rsidR="0071048A" w:rsidRPr="00303C65">
        <w:rPr>
          <w:rFonts w:ascii="ITC Avant Garde" w:hAnsi="ITC Avant Garde" w:cs="Tahoma"/>
          <w:bCs/>
          <w:lang w:eastAsia="es-MX"/>
        </w:rPr>
        <w:t>n materia de telecomunicaciones</w:t>
      </w:r>
      <w:r w:rsidR="0082518F" w:rsidRPr="00303C65">
        <w:rPr>
          <w:rFonts w:ascii="ITC Avant Garde" w:hAnsi="ITC Avant Garde" w:cs="Tahoma"/>
          <w:bCs/>
          <w:lang w:eastAsia="es-MX"/>
        </w:rPr>
        <w:t xml:space="preserve"> para somet</w:t>
      </w:r>
      <w:r w:rsidR="0071048A" w:rsidRPr="00303C65">
        <w:rPr>
          <w:rFonts w:ascii="ITC Avant Garde" w:hAnsi="ITC Avant Garde" w:cs="Tahoma"/>
          <w:bCs/>
          <w:lang w:eastAsia="es-MX"/>
        </w:rPr>
        <w:t>erlas a consider</w:t>
      </w:r>
      <w:r w:rsidR="009F21AA" w:rsidRPr="00303C65">
        <w:rPr>
          <w:rFonts w:ascii="ITC Avant Garde" w:hAnsi="ITC Avant Garde" w:cs="Tahoma"/>
          <w:bCs/>
          <w:lang w:eastAsia="es-MX"/>
        </w:rPr>
        <w:t>ación del Pleno.</w:t>
      </w:r>
    </w:p>
    <w:p w14:paraId="6E24C709" w14:textId="77777777" w:rsidR="00303C65" w:rsidRPr="00303C65" w:rsidRDefault="00FB6183"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 xml:space="preserve">En consecuencia, el Instituto está facultado para otorgar concesiones en materia de telecomunicaciones, así como resolver respecto de las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Ley, y las disposiciones administrativas en materia de telecomunicaciones y radiodifusión, en el ámbito de sus atribuciones, por lo que el Pleno, como órgano máximo de gobierno y </w:t>
      </w:r>
      <w:r w:rsidRPr="00303C65">
        <w:rPr>
          <w:rFonts w:ascii="ITC Avant Garde" w:hAnsi="ITC Avant Garde"/>
          <w:bCs/>
        </w:rPr>
        <w:lastRenderedPageBreak/>
        <w:t>decisión del Instituto, se encuentra plenamente facultado para resolver la Solicitud de Prórroga</w:t>
      </w:r>
      <w:r w:rsidR="00514F5F" w:rsidRPr="00303C65">
        <w:rPr>
          <w:rFonts w:ascii="ITC Avant Garde" w:hAnsi="ITC Avant Garde"/>
          <w:bCs/>
        </w:rPr>
        <w:t>, así como la Solicitud de Modificación</w:t>
      </w:r>
      <w:r w:rsidRPr="00303C65">
        <w:rPr>
          <w:rFonts w:ascii="ITC Avant Garde" w:hAnsi="ITC Avant Garde"/>
          <w:bCs/>
        </w:rPr>
        <w:t>.</w:t>
      </w:r>
    </w:p>
    <w:p w14:paraId="4F33C3A3" w14:textId="71373623" w:rsidR="00303C65" w:rsidRPr="00303C65" w:rsidRDefault="00CB4474"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
          <w:bCs/>
        </w:rPr>
        <w:t>Segundo</w:t>
      </w:r>
      <w:r w:rsidR="00A6521D" w:rsidRPr="00303C65">
        <w:rPr>
          <w:rFonts w:ascii="ITC Avant Garde" w:hAnsi="ITC Avant Garde"/>
          <w:b/>
          <w:bCs/>
        </w:rPr>
        <w:t>.-</w:t>
      </w:r>
      <w:r w:rsidR="00A6521D" w:rsidRPr="00303C65">
        <w:rPr>
          <w:rFonts w:ascii="ITC Avant Garde" w:hAnsi="ITC Avant Garde"/>
          <w:bCs/>
        </w:rPr>
        <w:t xml:space="preserve"> </w:t>
      </w:r>
      <w:r w:rsidR="00A6521D" w:rsidRPr="00303C65">
        <w:rPr>
          <w:rFonts w:ascii="ITC Avant Garde" w:hAnsi="ITC Avant Garde"/>
          <w:b/>
          <w:bCs/>
        </w:rPr>
        <w:t xml:space="preserve">Marco legal aplicable a la </w:t>
      </w:r>
      <w:r w:rsidR="00923F63" w:rsidRPr="00303C65">
        <w:rPr>
          <w:rFonts w:ascii="ITC Avant Garde" w:hAnsi="ITC Avant Garde"/>
          <w:b/>
          <w:bCs/>
        </w:rPr>
        <w:t>Solicitud de P</w:t>
      </w:r>
      <w:r w:rsidR="00A6521D" w:rsidRPr="00303C65">
        <w:rPr>
          <w:rFonts w:ascii="ITC Avant Garde" w:hAnsi="ITC Avant Garde"/>
          <w:b/>
          <w:bCs/>
        </w:rPr>
        <w:t>rórroga.</w:t>
      </w:r>
      <w:r w:rsidR="00A6521D" w:rsidRPr="00303C65">
        <w:rPr>
          <w:rFonts w:ascii="ITC Avant Garde" w:hAnsi="ITC Avant Garde"/>
          <w:bCs/>
        </w:rPr>
        <w:t xml:space="preserve"> </w:t>
      </w:r>
      <w:r w:rsidR="00FB6183" w:rsidRPr="00303C65">
        <w:rPr>
          <w:rFonts w:ascii="ITC Avant Garde" w:hAnsi="ITC Avant Garde"/>
          <w:bCs/>
        </w:rPr>
        <w:t>El artículo Sexto Transitorio del Decreto de Ley, establece que la atención, trámite y resolución de los asuntos y procedimientos que hayan iniciado previamente a la entrada en vigor del mismo, como es el caso que nos ocupa, se realizarán en los términos establecidos en el artículo Séptimo Transitorio del Decreto de Reforma Constitucional.</w:t>
      </w:r>
    </w:p>
    <w:p w14:paraId="63DE6F55" w14:textId="77777777" w:rsidR="00303C65" w:rsidRPr="00303C65" w:rsidRDefault="00FB6183"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 xml:space="preserve">Al respecto, el párrafo segundo del artículo Séptimo Transitorio del Decreto de Reforma Constitucional establece, entre otros aspectos, que los procedimientos iniciados con anterioridad a la integración del Instituto, continuarán su trámite ante dicho órgano constitucional en los términos de la legislación aplicable al momento de su inicio. </w:t>
      </w:r>
      <w:r w:rsidRPr="00303C65">
        <w:rPr>
          <w:rFonts w:ascii="ITC Avant Garde" w:hAnsi="ITC Avant Garde"/>
          <w:bCs/>
          <w:color w:val="000000"/>
          <w:lang w:eastAsia="es-MX"/>
        </w:rPr>
        <w:t xml:space="preserve">En ese sentido, destaca que la solicitud en comento debe ser atendida desde el punto de vista procesal, a la luz del marco legal aplicable al momento en que se presentó el trámite conducente, es decir, de conformidad con lo establecido en la Ley Federal de Telecomunicaciones (la “LFT”). </w:t>
      </w:r>
    </w:p>
    <w:p w14:paraId="36F3341B" w14:textId="77777777" w:rsidR="00303C65" w:rsidRPr="00303C65" w:rsidRDefault="00E843FC" w:rsidP="00303C65">
      <w:pPr>
        <w:autoSpaceDE w:val="0"/>
        <w:autoSpaceDN w:val="0"/>
        <w:adjustRightInd w:val="0"/>
        <w:spacing w:before="240" w:line="240" w:lineRule="auto"/>
        <w:jc w:val="both"/>
        <w:rPr>
          <w:rFonts w:ascii="ITC Avant Garde" w:hAnsi="ITC Avant Garde"/>
          <w:bCs/>
          <w:color w:val="000000"/>
          <w:lang w:eastAsia="es-MX"/>
        </w:rPr>
      </w:pPr>
      <w:r w:rsidRPr="00303C65">
        <w:rPr>
          <w:rFonts w:ascii="ITC Avant Garde" w:hAnsi="ITC Avant Garde"/>
          <w:bCs/>
          <w:color w:val="000000"/>
          <w:lang w:eastAsia="es-MX"/>
        </w:rPr>
        <w:t>Al respecto, e</w:t>
      </w:r>
      <w:r w:rsidR="00BF1160" w:rsidRPr="00303C65">
        <w:rPr>
          <w:rFonts w:ascii="ITC Avant Garde" w:hAnsi="ITC Avant Garde"/>
          <w:bCs/>
          <w:color w:val="000000"/>
          <w:lang w:eastAsia="es-MX"/>
        </w:rPr>
        <w:t>l artículo 22 de la LFT establecía que las asignaciones para el uso, aprovechamiento o explotación de bandas de frecuencia para uso oficial, ser</w:t>
      </w:r>
      <w:r w:rsidR="00CB0ED2" w:rsidRPr="00303C65">
        <w:rPr>
          <w:rFonts w:ascii="ITC Avant Garde" w:hAnsi="ITC Avant Garde"/>
          <w:bCs/>
          <w:color w:val="000000"/>
          <w:lang w:eastAsia="es-MX"/>
        </w:rPr>
        <w:t>ía</w:t>
      </w:r>
      <w:r w:rsidR="00BF1160" w:rsidRPr="00303C65">
        <w:rPr>
          <w:rFonts w:ascii="ITC Avant Garde" w:hAnsi="ITC Avant Garde"/>
          <w:bCs/>
          <w:color w:val="000000"/>
          <w:lang w:eastAsia="es-MX"/>
        </w:rPr>
        <w:t xml:space="preserve">n intransferibles y </w:t>
      </w:r>
      <w:r w:rsidR="00CB0ED2" w:rsidRPr="00303C65">
        <w:rPr>
          <w:rFonts w:ascii="ITC Avant Garde" w:hAnsi="ITC Avant Garde"/>
          <w:bCs/>
          <w:color w:val="000000"/>
          <w:lang w:eastAsia="es-MX"/>
        </w:rPr>
        <w:t>estaría</w:t>
      </w:r>
      <w:r w:rsidR="00BF1160" w:rsidRPr="00303C65">
        <w:rPr>
          <w:rFonts w:ascii="ITC Avant Garde" w:hAnsi="ITC Avant Garde"/>
          <w:bCs/>
          <w:color w:val="000000"/>
          <w:lang w:eastAsia="es-MX"/>
        </w:rPr>
        <w:t>n sujetas a las disposiciones que en materia de concesiones</w:t>
      </w:r>
      <w:r w:rsidR="00CB0ED2" w:rsidRPr="00303C65">
        <w:rPr>
          <w:rFonts w:ascii="ITC Avant Garde" w:hAnsi="ITC Avant Garde"/>
          <w:bCs/>
          <w:color w:val="000000"/>
          <w:lang w:eastAsia="es-MX"/>
        </w:rPr>
        <w:t xml:space="preserve"> preveía</w:t>
      </w:r>
      <w:r w:rsidR="00BF1160" w:rsidRPr="00303C65">
        <w:rPr>
          <w:rFonts w:ascii="ITC Avant Garde" w:hAnsi="ITC Avant Garde"/>
          <w:bCs/>
          <w:color w:val="000000"/>
          <w:lang w:eastAsia="es-MX"/>
        </w:rPr>
        <w:t xml:space="preserve"> dicha ley, con excepción de las referentes al procedimiento de licitación pública.</w:t>
      </w:r>
    </w:p>
    <w:p w14:paraId="6E73EFEF" w14:textId="77777777" w:rsidR="00303C65" w:rsidRPr="00303C65" w:rsidRDefault="007B4E69" w:rsidP="00303C65">
      <w:pPr>
        <w:autoSpaceDE w:val="0"/>
        <w:autoSpaceDN w:val="0"/>
        <w:adjustRightInd w:val="0"/>
        <w:spacing w:before="240" w:line="240" w:lineRule="auto"/>
        <w:jc w:val="both"/>
        <w:rPr>
          <w:rFonts w:ascii="ITC Avant Garde" w:hAnsi="ITC Avant Garde"/>
          <w:bCs/>
          <w:color w:val="000000"/>
          <w:lang w:eastAsia="es-MX"/>
        </w:rPr>
      </w:pPr>
      <w:r w:rsidRPr="00303C65">
        <w:rPr>
          <w:rFonts w:ascii="ITC Avant Garde" w:hAnsi="ITC Avant Garde"/>
          <w:bCs/>
          <w:color w:val="000000"/>
          <w:lang w:eastAsia="es-MX"/>
        </w:rPr>
        <w:t>En este sentido, el artículo 19 de la LFT disponía</w:t>
      </w:r>
      <w:r w:rsidR="009511B5" w:rsidRPr="00303C65">
        <w:rPr>
          <w:rFonts w:ascii="ITC Avant Garde" w:hAnsi="ITC Avant Garde"/>
          <w:bCs/>
          <w:color w:val="000000"/>
          <w:lang w:eastAsia="es-MX"/>
        </w:rPr>
        <w:t xml:space="preserve"> </w:t>
      </w:r>
      <w:r w:rsidR="006C2F94" w:rsidRPr="00303C65">
        <w:rPr>
          <w:rFonts w:ascii="ITC Avant Garde" w:hAnsi="ITC Avant Garde"/>
          <w:bCs/>
          <w:color w:val="000000"/>
          <w:lang w:eastAsia="es-MX"/>
        </w:rPr>
        <w:t>lo siguiente:</w:t>
      </w:r>
    </w:p>
    <w:p w14:paraId="5AAE64B5" w14:textId="77777777" w:rsidR="00303C65" w:rsidRPr="00303C65" w:rsidRDefault="006C2F94" w:rsidP="00303C65">
      <w:pPr>
        <w:spacing w:before="240" w:line="240" w:lineRule="auto"/>
        <w:ind w:left="567" w:right="616"/>
        <w:jc w:val="both"/>
        <w:rPr>
          <w:rFonts w:ascii="ITC Avant Garde" w:hAnsi="ITC Avant Garde"/>
          <w:bCs/>
          <w:color w:val="000000"/>
          <w:sz w:val="18"/>
          <w:szCs w:val="18"/>
          <w:lang w:eastAsia="es-MX"/>
        </w:rPr>
      </w:pPr>
      <w:r w:rsidRPr="00303C65">
        <w:rPr>
          <w:rFonts w:ascii="ITC Avant Garde" w:hAnsi="ITC Avant Garde"/>
          <w:bCs/>
          <w:color w:val="000000"/>
          <w:sz w:val="18"/>
          <w:szCs w:val="18"/>
          <w:lang w:eastAsia="es-MX"/>
        </w:rPr>
        <w:t>“</w:t>
      </w:r>
      <w:r w:rsidRPr="00303C65">
        <w:rPr>
          <w:rFonts w:ascii="ITC Avant Garde" w:hAnsi="ITC Avant Garde"/>
          <w:b/>
          <w:bCs/>
          <w:color w:val="000000"/>
          <w:sz w:val="18"/>
          <w:szCs w:val="18"/>
          <w:lang w:eastAsia="es-MX"/>
        </w:rPr>
        <w:t>Artículo 1</w:t>
      </w:r>
      <w:r w:rsidR="007B4E69" w:rsidRPr="00303C65">
        <w:rPr>
          <w:rFonts w:ascii="ITC Avant Garde" w:hAnsi="ITC Avant Garde"/>
          <w:b/>
          <w:bCs/>
          <w:color w:val="000000"/>
          <w:sz w:val="18"/>
          <w:szCs w:val="18"/>
          <w:lang w:eastAsia="es-MX"/>
        </w:rPr>
        <w:t>9</w:t>
      </w:r>
      <w:r w:rsidRPr="00303C65">
        <w:rPr>
          <w:rFonts w:ascii="ITC Avant Garde" w:hAnsi="ITC Avant Garde"/>
          <w:b/>
          <w:bCs/>
          <w:color w:val="000000"/>
          <w:sz w:val="18"/>
          <w:szCs w:val="18"/>
          <w:lang w:eastAsia="es-MX"/>
        </w:rPr>
        <w:t>.</w:t>
      </w:r>
      <w:r w:rsidRPr="00303C65">
        <w:rPr>
          <w:rFonts w:ascii="ITC Avant Garde" w:hAnsi="ITC Avant Garde"/>
          <w:bCs/>
          <w:color w:val="000000"/>
          <w:sz w:val="18"/>
          <w:szCs w:val="18"/>
          <w:lang w:eastAsia="es-MX"/>
        </w:rPr>
        <w:t xml:space="preserve"> </w:t>
      </w:r>
      <w:r w:rsidR="007B4E69" w:rsidRPr="00303C65">
        <w:rPr>
          <w:rFonts w:ascii="ITC Avant Garde" w:hAnsi="ITC Avant Garde"/>
          <w:bCs/>
          <w:color w:val="000000"/>
          <w:sz w:val="18"/>
          <w:szCs w:val="18"/>
          <w:lang w:eastAsia="es-MX"/>
        </w:rPr>
        <w:t>Las concesiones sobre bandas de frecuencias se otorgarán por un plazo hasta de 20 años y podrán ser prorrogadas hasta por plazos iguales a los originalmente establecidos, a juicio de la Secretaría.</w:t>
      </w:r>
    </w:p>
    <w:p w14:paraId="7864FA9C" w14:textId="77777777" w:rsidR="00303C65" w:rsidRPr="00303C65" w:rsidRDefault="007B4E69" w:rsidP="00303C65">
      <w:pPr>
        <w:autoSpaceDE w:val="0"/>
        <w:autoSpaceDN w:val="0"/>
        <w:adjustRightInd w:val="0"/>
        <w:spacing w:before="240" w:line="240" w:lineRule="auto"/>
        <w:ind w:left="567" w:right="615"/>
        <w:jc w:val="both"/>
        <w:rPr>
          <w:rFonts w:ascii="ITC Avant Garde" w:hAnsi="ITC Avant Garde"/>
          <w:bCs/>
          <w:color w:val="000000"/>
          <w:sz w:val="18"/>
          <w:szCs w:val="18"/>
          <w:lang w:eastAsia="es-MX"/>
        </w:rPr>
      </w:pPr>
      <w:r w:rsidRPr="00303C65">
        <w:rPr>
          <w:rFonts w:ascii="ITC Avant Garde" w:hAnsi="ITC Avant Garde"/>
          <w:b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r w:rsidR="00EC02ED" w:rsidRPr="00303C65">
        <w:rPr>
          <w:rFonts w:ascii="ITC Avant Garde" w:hAnsi="ITC Avant Garde"/>
          <w:bCs/>
          <w:color w:val="000000"/>
          <w:sz w:val="18"/>
          <w:szCs w:val="18"/>
          <w:lang w:eastAsia="es-MX"/>
        </w:rPr>
        <w:t>”</w:t>
      </w:r>
      <w:r w:rsidR="00BF1160" w:rsidRPr="00303C65">
        <w:rPr>
          <w:rFonts w:ascii="ITC Avant Garde" w:hAnsi="ITC Avant Garde"/>
          <w:bCs/>
          <w:color w:val="000000"/>
          <w:sz w:val="18"/>
          <w:szCs w:val="18"/>
          <w:lang w:eastAsia="es-MX"/>
        </w:rPr>
        <w:t xml:space="preserve"> </w:t>
      </w:r>
    </w:p>
    <w:p w14:paraId="7585A3E1" w14:textId="77777777" w:rsidR="00303C65" w:rsidRPr="00303C65" w:rsidRDefault="00102CF2" w:rsidP="00303C65">
      <w:pPr>
        <w:autoSpaceDE w:val="0"/>
        <w:autoSpaceDN w:val="0"/>
        <w:adjustRightInd w:val="0"/>
        <w:spacing w:before="240" w:line="240" w:lineRule="auto"/>
        <w:jc w:val="both"/>
        <w:rPr>
          <w:rFonts w:ascii="ITC Avant Garde" w:hAnsi="ITC Avant Garde"/>
          <w:bCs/>
          <w:color w:val="000000"/>
          <w:lang w:eastAsia="es-MX"/>
        </w:rPr>
      </w:pPr>
      <w:r w:rsidRPr="00303C65">
        <w:rPr>
          <w:rFonts w:ascii="ITC Avant Garde" w:hAnsi="ITC Avant Garde"/>
          <w:bCs/>
        </w:rPr>
        <w:t xml:space="preserve">En relación con lo anterior, es importante señalar que si bien el análisis que debe realizar el Instituto respecto a la Solicitud de Prórroga debe de llevarse a cabo en estricto apego a los términos y requisitos previstos en la LFT, lo establecido en las propias asignaciones y las disposiciones legales vigentes al momento de iniciar el trámite de mérito, también lo es que el Instituto, al resolver en definitiva dicho trámite, </w:t>
      </w:r>
      <w:r w:rsidRPr="00303C65">
        <w:rPr>
          <w:rFonts w:ascii="ITC Avant Garde" w:hAnsi="ITC Avant Garde"/>
          <w:bCs/>
          <w:color w:val="000000"/>
          <w:lang w:eastAsia="es-MX"/>
        </w:rPr>
        <w:t>debe de observar el actual régimen de concesionamiento previsto en la Ley.</w:t>
      </w:r>
    </w:p>
    <w:p w14:paraId="77078053" w14:textId="77777777" w:rsidR="00303C65" w:rsidRPr="00303C65" w:rsidRDefault="00E843FC"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Si bien es cierto que la Ley no contempla las asignaciones de bandas de frecuencias para uso oficial, esto no debe entenderse en el sentido de que las mism</w:t>
      </w:r>
      <w:r w:rsidR="007062CB" w:rsidRPr="00303C65">
        <w:rPr>
          <w:rFonts w:ascii="ITC Avant Garde" w:hAnsi="ITC Avant Garde"/>
          <w:bCs/>
        </w:rPr>
        <w:t>as</w:t>
      </w:r>
      <w:r w:rsidR="00555FD1" w:rsidRPr="00303C65">
        <w:rPr>
          <w:rFonts w:ascii="ITC Avant Garde" w:hAnsi="ITC Avant Garde"/>
          <w:bCs/>
        </w:rPr>
        <w:t xml:space="preserve"> escapan del alcance de la Ley</w:t>
      </w:r>
      <w:r w:rsidRPr="00303C65">
        <w:rPr>
          <w:rFonts w:ascii="ITC Avant Garde" w:hAnsi="ITC Avant Garde"/>
          <w:bCs/>
        </w:rPr>
        <w:t xml:space="preserve">. Al efecto, la LFT en su artículo 10 fracción III establecía que el Espectro para uso oficial eran aquellas bandas de frecuencia destinadas para el uso exclusivo de la administración pública federal, gobiernos estatales y municipales, organismos </w:t>
      </w:r>
      <w:r w:rsidRPr="00303C65">
        <w:rPr>
          <w:rFonts w:ascii="ITC Avant Garde" w:hAnsi="ITC Avant Garde"/>
          <w:bCs/>
        </w:rPr>
        <w:lastRenderedPageBreak/>
        <w:t xml:space="preserve">autónomos constitucionales y concesionarios de servicios públicos, en </w:t>
      </w:r>
      <w:r w:rsidR="00756586" w:rsidRPr="00303C65">
        <w:rPr>
          <w:rFonts w:ascii="ITC Avant Garde" w:hAnsi="ITC Avant Garde"/>
          <w:bCs/>
        </w:rPr>
        <w:t>e</w:t>
      </w:r>
      <w:r w:rsidRPr="00303C65">
        <w:rPr>
          <w:rFonts w:ascii="ITC Avant Garde" w:hAnsi="ITC Avant Garde"/>
          <w:bCs/>
        </w:rPr>
        <w:t xml:space="preserve">ste último caso, cuando fueran necesarias para la operación y seguridad del servicio de que se tratara, y eran otorgadas mediante asignación directa. Por su parte, los artículos 75 y 76 </w:t>
      </w:r>
      <w:proofErr w:type="gramStart"/>
      <w:r w:rsidRPr="00303C65">
        <w:rPr>
          <w:rFonts w:ascii="ITC Avant Garde" w:hAnsi="ITC Avant Garde"/>
          <w:bCs/>
        </w:rPr>
        <w:t>fracción</w:t>
      </w:r>
      <w:proofErr w:type="gramEnd"/>
      <w:r w:rsidRPr="00303C65">
        <w:rPr>
          <w:rFonts w:ascii="ITC Avant Garde" w:hAnsi="ITC Avant Garde"/>
          <w:bCs/>
        </w:rPr>
        <w:t xml:space="preserve"> II de la Ley establecen que las concesiones para usar, aprovechar y explotar bandas de frecuencias del espectro radioeléctrico de uso determinado, se otorgarán por el Instituto y que éstas de acuerdo a sus fines serán:</w:t>
      </w:r>
    </w:p>
    <w:p w14:paraId="394A3A26" w14:textId="77777777" w:rsidR="00303C65" w:rsidRPr="00303C65" w:rsidRDefault="00E843FC" w:rsidP="00303C65">
      <w:pPr>
        <w:autoSpaceDE w:val="0"/>
        <w:autoSpaceDN w:val="0"/>
        <w:adjustRightInd w:val="0"/>
        <w:spacing w:before="240" w:line="240" w:lineRule="auto"/>
        <w:ind w:left="567" w:right="615"/>
        <w:jc w:val="both"/>
        <w:rPr>
          <w:rFonts w:ascii="ITC Avant Garde" w:hAnsi="ITC Avant Garde"/>
          <w:bCs/>
          <w:sz w:val="18"/>
          <w:szCs w:val="18"/>
        </w:rPr>
      </w:pPr>
      <w:r w:rsidRPr="00303C65">
        <w:rPr>
          <w:rFonts w:ascii="ITC Avant Garde" w:hAnsi="ITC Avant Garde"/>
          <w:bCs/>
          <w:sz w:val="18"/>
          <w:szCs w:val="18"/>
        </w:rPr>
        <w:t>“II.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3C61B9DC" w14:textId="77777777" w:rsidR="00303C65" w:rsidRPr="00303C65" w:rsidRDefault="00E843FC" w:rsidP="00303C65">
      <w:pPr>
        <w:autoSpaceDE w:val="0"/>
        <w:autoSpaceDN w:val="0"/>
        <w:adjustRightInd w:val="0"/>
        <w:spacing w:before="240" w:line="240" w:lineRule="auto"/>
        <w:ind w:left="567" w:right="615"/>
        <w:jc w:val="both"/>
        <w:rPr>
          <w:rFonts w:ascii="ITC Avant Garde" w:hAnsi="ITC Avant Garde"/>
          <w:bCs/>
          <w:sz w:val="18"/>
          <w:szCs w:val="18"/>
        </w:rPr>
      </w:pPr>
      <w:r w:rsidRPr="00303C65">
        <w:rPr>
          <w:rFonts w:ascii="ITC Avant Garde" w:hAnsi="ITC Avant Garde"/>
          <w:bCs/>
          <w:sz w:val="18"/>
          <w:szCs w:val="18"/>
        </w:rPr>
        <w:t>[…]”</w:t>
      </w:r>
    </w:p>
    <w:p w14:paraId="5CBCBD2A" w14:textId="77777777" w:rsidR="00303C65" w:rsidRPr="00303C65" w:rsidRDefault="00DE30CD" w:rsidP="00303C65">
      <w:pPr>
        <w:autoSpaceDE w:val="0"/>
        <w:autoSpaceDN w:val="0"/>
        <w:adjustRightInd w:val="0"/>
        <w:spacing w:before="240" w:line="240" w:lineRule="auto"/>
        <w:jc w:val="both"/>
        <w:rPr>
          <w:rFonts w:ascii="ITC Avant Garde" w:hAnsi="ITC Avant Garde"/>
          <w:bCs/>
          <w:color w:val="000000"/>
          <w:lang w:eastAsia="es-MX"/>
        </w:rPr>
      </w:pPr>
      <w:r w:rsidRPr="00303C65">
        <w:rPr>
          <w:rFonts w:ascii="ITC Avant Garde" w:hAnsi="ITC Avant Garde"/>
          <w:bCs/>
          <w:color w:val="000000"/>
          <w:lang w:eastAsia="es-MX"/>
        </w:rPr>
        <w:t xml:space="preserve">Cabe señalar que el artículo 70 de la Ley señala que se requerirá concesión única para uso público, solamente cuando se necesite utilizar o aprovechar bandas de frecuencia del espectro radioeléctrico que no sean de uso libre o recursos orbitales. </w:t>
      </w:r>
    </w:p>
    <w:p w14:paraId="78276E1B" w14:textId="77777777" w:rsidR="00303C65" w:rsidRPr="00303C65" w:rsidRDefault="00DE30CD" w:rsidP="00303C65">
      <w:pPr>
        <w:autoSpaceDE w:val="0"/>
        <w:autoSpaceDN w:val="0"/>
        <w:adjustRightInd w:val="0"/>
        <w:spacing w:before="240" w:line="240" w:lineRule="auto"/>
        <w:jc w:val="both"/>
        <w:rPr>
          <w:rFonts w:ascii="ITC Avant Garde" w:hAnsi="ITC Avant Garde"/>
          <w:bCs/>
          <w:color w:val="000000"/>
          <w:lang w:eastAsia="es-MX"/>
        </w:rPr>
      </w:pPr>
      <w:r w:rsidRPr="00303C65">
        <w:rPr>
          <w:rFonts w:ascii="ITC Avant Garde" w:hAnsi="ITC Avant Garde"/>
          <w:bCs/>
          <w:color w:val="000000"/>
          <w:lang w:eastAsia="es-MX"/>
        </w:rPr>
        <w:t>Asimismo, el artículo 75 párrafo segundo de la Ley, señala que cuando la explotación de los servicios objeto de la concesión sobre el espectro radioeléctrico requiera de una concesión única, ésta se otorgará en el mismo acto administrativo, salvo que el concesionario ya cuente con una concesión.</w:t>
      </w:r>
    </w:p>
    <w:p w14:paraId="7CD602F9" w14:textId="77777777" w:rsidR="00303C65" w:rsidRPr="00303C65" w:rsidRDefault="00DE30CD" w:rsidP="00303C65">
      <w:pPr>
        <w:autoSpaceDE w:val="0"/>
        <w:autoSpaceDN w:val="0"/>
        <w:adjustRightInd w:val="0"/>
        <w:spacing w:before="240" w:line="240" w:lineRule="auto"/>
        <w:jc w:val="both"/>
        <w:rPr>
          <w:rFonts w:ascii="ITC Avant Garde" w:hAnsi="ITC Avant Garde"/>
          <w:bCs/>
          <w:color w:val="000000"/>
          <w:lang w:eastAsia="es-MX"/>
        </w:rPr>
      </w:pPr>
      <w:r w:rsidRPr="00303C65">
        <w:rPr>
          <w:rFonts w:ascii="ITC Avant Garde" w:hAnsi="ITC Avant Garde"/>
          <w:bCs/>
          <w:color w:val="000000"/>
          <w:lang w:eastAsia="es-MX"/>
        </w:rPr>
        <w:t xml:space="preserve">Por otra parte, en seguimiento a otras disposiciones aplicables y atendiendo a la fecha en que se presentó la Solicitud de Prórroga, debe acatarse lo establecido por la Secretaría de Hacienda y Crédito Público, a través de la Dirección General Adjunta de Legislación de Derechos, Productos y Aprovechamientos, de la Unidad de Legislación Tributaria de la Subsecretaría de Ingresos, </w:t>
      </w:r>
      <w:r w:rsidR="00756586" w:rsidRPr="00303C65">
        <w:rPr>
          <w:rFonts w:ascii="ITC Avant Garde" w:hAnsi="ITC Avant Garde"/>
          <w:bCs/>
          <w:color w:val="000000"/>
          <w:lang w:eastAsia="es-MX"/>
        </w:rPr>
        <w:t xml:space="preserve">quien </w:t>
      </w:r>
      <w:r w:rsidRPr="00303C65">
        <w:rPr>
          <w:rFonts w:ascii="ITC Avant Garde" w:hAnsi="ITC Avant Garde"/>
          <w:bCs/>
          <w:color w:val="000000"/>
          <w:lang w:eastAsia="es-MX"/>
        </w:rPr>
        <w:t xml:space="preserve">mediante oficio número 350-A-V-038, recibido el 22 de octubre de 2008 en la Comisión, indicó lo siguiente: </w:t>
      </w:r>
    </w:p>
    <w:p w14:paraId="738D0135" w14:textId="77777777" w:rsidR="00303C65" w:rsidRPr="00303C65" w:rsidRDefault="00DE30CD" w:rsidP="00303C65">
      <w:pPr>
        <w:autoSpaceDE w:val="0"/>
        <w:autoSpaceDN w:val="0"/>
        <w:adjustRightInd w:val="0"/>
        <w:spacing w:before="240" w:line="240" w:lineRule="auto"/>
        <w:ind w:left="567" w:right="615"/>
        <w:jc w:val="both"/>
        <w:rPr>
          <w:rFonts w:ascii="ITC Avant Garde" w:hAnsi="ITC Avant Garde"/>
          <w:bCs/>
          <w:color w:val="000000"/>
          <w:sz w:val="18"/>
          <w:lang w:eastAsia="es-MX"/>
        </w:rPr>
      </w:pPr>
      <w:r w:rsidRPr="00303C65">
        <w:rPr>
          <w:rFonts w:ascii="ITC Avant Garde" w:hAnsi="ITC Avant Garde"/>
          <w:bCs/>
          <w:color w:val="000000"/>
          <w:sz w:val="18"/>
          <w:lang w:eastAsia="es-MX"/>
        </w:rPr>
        <w:t>“[…] se considera procedente cobrar el derecho establecido en la fracción III del artículo 105 de la Ley Federal de Derechos, para los casos de autorización de prórrogas de los títulos de asignación de frecuencias o bandas de frecuencias de uso oficial.”</w:t>
      </w:r>
    </w:p>
    <w:p w14:paraId="29E69842" w14:textId="77777777" w:rsidR="00303C65" w:rsidRPr="00303C65" w:rsidRDefault="00102CF2" w:rsidP="00303C65">
      <w:pPr>
        <w:autoSpaceDE w:val="0"/>
        <w:autoSpaceDN w:val="0"/>
        <w:adjustRightInd w:val="0"/>
        <w:spacing w:before="240" w:line="240" w:lineRule="auto"/>
        <w:jc w:val="both"/>
        <w:rPr>
          <w:rFonts w:ascii="ITC Avant Garde" w:hAnsi="ITC Avant Garde"/>
        </w:rPr>
      </w:pPr>
      <w:r w:rsidRPr="00303C65">
        <w:rPr>
          <w:rFonts w:ascii="ITC Avant Garde" w:hAnsi="ITC Avant Garde"/>
          <w:bCs/>
        </w:rPr>
        <w:t>Finalmente, al resolver en definitiva dicho trámite y de considerar procedente la prórroga</w:t>
      </w:r>
      <w:r w:rsidR="00783E10" w:rsidRPr="00303C65">
        <w:rPr>
          <w:rFonts w:ascii="ITC Avant Garde" w:hAnsi="ITC Avant Garde"/>
          <w:bCs/>
        </w:rPr>
        <w:t xml:space="preserve"> de vigencia</w:t>
      </w:r>
      <w:r w:rsidRPr="00303C65">
        <w:rPr>
          <w:rFonts w:ascii="ITC Avant Garde" w:hAnsi="ITC Avant Garde"/>
          <w:bCs/>
        </w:rPr>
        <w:t>, deberá otorgarse un título de concesión de espectro radioeléctrico y un título de concesión única ambos para uso público, en apego a lo dispuesto por el nuevo régimen de concesionamiento previsto en la Ley.</w:t>
      </w:r>
    </w:p>
    <w:p w14:paraId="6814E9C9" w14:textId="13F49AE2" w:rsidR="00303C65" w:rsidRPr="00303C65" w:rsidRDefault="00CC1D22"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
          <w:bCs/>
        </w:rPr>
        <w:t xml:space="preserve">Tercero.- Naturaleza jurídica de Pemex. </w:t>
      </w:r>
      <w:r w:rsidRPr="00303C65">
        <w:rPr>
          <w:rFonts w:ascii="ITC Avant Garde" w:hAnsi="ITC Avant Garde"/>
          <w:bCs/>
        </w:rPr>
        <w:t>Como quedó establecido en el Antecedente I de la presente Resolución, al momento de presentar la Solicitud de Prórroga</w:t>
      </w:r>
      <w:r w:rsidR="008B756D" w:rsidRPr="00303C65">
        <w:rPr>
          <w:rFonts w:ascii="ITC Avant Garde" w:hAnsi="ITC Avant Garde"/>
          <w:bCs/>
        </w:rPr>
        <w:t xml:space="preserve"> y la Solicitud de Modificación</w:t>
      </w:r>
      <w:r w:rsidRPr="00303C65">
        <w:rPr>
          <w:rFonts w:ascii="ITC Avant Garde" w:hAnsi="ITC Avant Garde"/>
          <w:bCs/>
        </w:rPr>
        <w:t>, PEMEX era un organismo descentralizado de la Administración Pública Federal. Por lo que en atención a lo señalado por el artículo 10 fracción III de la LFT</w:t>
      </w:r>
      <w:r w:rsidR="0019012B" w:rsidRPr="00303C65">
        <w:rPr>
          <w:rFonts w:ascii="ITC Avant Garde" w:hAnsi="ITC Avant Garde"/>
          <w:bCs/>
        </w:rPr>
        <w:t xml:space="preserve">, PEMEX tenía la posibilidad de ser titular de una asignación de espectro </w:t>
      </w:r>
      <w:r w:rsidR="00CC31C9" w:rsidRPr="00303C65">
        <w:rPr>
          <w:rFonts w:ascii="ITC Avant Garde" w:hAnsi="ITC Avant Garde"/>
          <w:bCs/>
        </w:rPr>
        <w:t xml:space="preserve">radioeléctrico </w:t>
      </w:r>
      <w:r w:rsidR="0019012B" w:rsidRPr="00303C65">
        <w:rPr>
          <w:rFonts w:ascii="ITC Avant Garde" w:hAnsi="ITC Avant Garde"/>
          <w:bCs/>
        </w:rPr>
        <w:t xml:space="preserve">que le sería adjudicada de manera directa, dada su naturaleza jurídica. </w:t>
      </w:r>
    </w:p>
    <w:p w14:paraId="5E4C49E6" w14:textId="77777777" w:rsidR="00303C65" w:rsidRPr="00303C65" w:rsidRDefault="0019012B"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 xml:space="preserve">No obstante lo anterior, </w:t>
      </w:r>
      <w:r w:rsidR="00DC57A6" w:rsidRPr="00303C65">
        <w:rPr>
          <w:rFonts w:ascii="ITC Avant Garde" w:hAnsi="ITC Avant Garde"/>
          <w:bCs/>
        </w:rPr>
        <w:t>el 20 de diciembre de 2013 se publicó en el Diario Oficial de la Federaci</w:t>
      </w:r>
      <w:r w:rsidR="00F64301" w:rsidRPr="00303C65">
        <w:rPr>
          <w:rFonts w:ascii="ITC Avant Garde" w:hAnsi="ITC Avant Garde"/>
          <w:bCs/>
        </w:rPr>
        <w:t xml:space="preserve">ón el “Decreto por el que se reforman y adicionan diversas disposiciones de la </w:t>
      </w:r>
      <w:r w:rsidR="00F64301" w:rsidRPr="00303C65">
        <w:rPr>
          <w:rFonts w:ascii="ITC Avant Garde" w:hAnsi="ITC Avant Garde"/>
          <w:bCs/>
        </w:rPr>
        <w:lastRenderedPageBreak/>
        <w:t>Constitución Política de los Estados Unidos Mexicanos, en Materia de Energía”</w:t>
      </w:r>
      <w:r w:rsidR="003A1A6A" w:rsidRPr="00303C65">
        <w:rPr>
          <w:rFonts w:ascii="ITC Avant Garde" w:hAnsi="ITC Avant Garde"/>
          <w:bCs/>
        </w:rPr>
        <w:t xml:space="preserve">, por el que entre otros aspectos, se modificó el </w:t>
      </w:r>
      <w:r w:rsidR="008B756D" w:rsidRPr="00303C65">
        <w:rPr>
          <w:rFonts w:ascii="ITC Avant Garde" w:hAnsi="ITC Avant Garde"/>
          <w:bCs/>
        </w:rPr>
        <w:t>artículo 25</w:t>
      </w:r>
      <w:r w:rsidR="003A1A6A" w:rsidRPr="00303C65">
        <w:rPr>
          <w:rFonts w:ascii="ITC Avant Garde" w:hAnsi="ITC Avant Garde"/>
          <w:bCs/>
        </w:rPr>
        <w:t xml:space="preserve"> de la Constitución. El citado artículo en su</w:t>
      </w:r>
      <w:r w:rsidR="008B756D" w:rsidRPr="00303C65">
        <w:rPr>
          <w:rFonts w:ascii="ITC Avant Garde" w:hAnsi="ITC Avant Garde"/>
          <w:bCs/>
        </w:rPr>
        <w:t xml:space="preserve"> párrafo cuarto </w:t>
      </w:r>
      <w:r w:rsidR="003A1A6A" w:rsidRPr="00303C65">
        <w:rPr>
          <w:rFonts w:ascii="ITC Avant Garde" w:hAnsi="ITC Avant Garde"/>
          <w:bCs/>
        </w:rPr>
        <w:t xml:space="preserve">establece </w:t>
      </w:r>
      <w:r w:rsidR="00DC1499" w:rsidRPr="00303C65">
        <w:rPr>
          <w:rFonts w:ascii="ITC Avant Garde" w:hAnsi="ITC Avant Garde"/>
          <w:bCs/>
        </w:rPr>
        <w:t>lo siguiente:</w:t>
      </w:r>
    </w:p>
    <w:p w14:paraId="7393A18A" w14:textId="0E6BF2BF" w:rsidR="00303C65" w:rsidRPr="00303C65" w:rsidRDefault="00A060BA" w:rsidP="00303C65">
      <w:pPr>
        <w:autoSpaceDE w:val="0"/>
        <w:autoSpaceDN w:val="0"/>
        <w:adjustRightInd w:val="0"/>
        <w:spacing w:before="240" w:line="240" w:lineRule="auto"/>
        <w:ind w:left="851" w:right="615"/>
        <w:jc w:val="both"/>
        <w:rPr>
          <w:rFonts w:ascii="ITC Avant Garde" w:hAnsi="ITC Avant Garde"/>
          <w:bCs/>
          <w:sz w:val="18"/>
          <w:szCs w:val="18"/>
        </w:rPr>
      </w:pPr>
      <w:r w:rsidRPr="00303C65">
        <w:rPr>
          <w:rFonts w:ascii="ITC Avant Garde" w:hAnsi="ITC Avant Garde"/>
          <w:bCs/>
          <w:sz w:val="18"/>
          <w:szCs w:val="18"/>
        </w:rPr>
        <w:t>“[…]</w:t>
      </w:r>
    </w:p>
    <w:p w14:paraId="565E785E" w14:textId="77777777" w:rsidR="00303C65" w:rsidRPr="00303C65" w:rsidRDefault="00A060BA" w:rsidP="00303C65">
      <w:pPr>
        <w:autoSpaceDE w:val="0"/>
        <w:autoSpaceDN w:val="0"/>
        <w:adjustRightInd w:val="0"/>
        <w:spacing w:before="240" w:line="240" w:lineRule="auto"/>
        <w:ind w:left="851" w:right="615"/>
        <w:jc w:val="both"/>
        <w:rPr>
          <w:rFonts w:ascii="ITC Avant Garde" w:hAnsi="ITC Avant Garde"/>
          <w:bCs/>
        </w:rPr>
      </w:pPr>
      <w:r w:rsidRPr="00303C65">
        <w:rPr>
          <w:rFonts w:ascii="ITC Avant Garde" w:hAnsi="ITC Avant Garde"/>
          <w:b/>
          <w:bCs/>
          <w:sz w:val="18"/>
          <w:szCs w:val="18"/>
        </w:rPr>
        <w:t>El sector público tendrá a su cargo, de manera exclusiva</w:t>
      </w:r>
      <w:r w:rsidRPr="00303C65">
        <w:rPr>
          <w:rFonts w:ascii="ITC Avant Garde" w:hAnsi="ITC Avant Garde"/>
          <w:bCs/>
          <w:sz w:val="18"/>
          <w:szCs w:val="18"/>
        </w:rPr>
        <w:t xml:space="preserve">, las áreas estratégicas que se señalan en el artículo 28, párrafo cuarto de la Constitución, </w:t>
      </w:r>
      <w:r w:rsidRPr="00303C65">
        <w:rPr>
          <w:rFonts w:ascii="ITC Avant Garde" w:hAnsi="ITC Avant Garde"/>
          <w:b/>
          <w:bCs/>
          <w:sz w:val="18"/>
          <w:szCs w:val="18"/>
        </w:rPr>
        <w:t>manteniendo siempre el Gobierno Federal la propiedad y el control sobre los organismos y empresas productivas del Estado</w:t>
      </w:r>
      <w:r w:rsidRPr="00303C65">
        <w:rPr>
          <w:rFonts w:ascii="ITC Avant Garde" w:hAnsi="ITC Avant Garde"/>
          <w:bCs/>
          <w:sz w:val="18"/>
          <w:szCs w:val="18"/>
        </w:rPr>
        <w:t xml:space="preserve"> que en su caso se establezcan. Tratándose de la planeación y el control del sistema eléctrico nacional, y del servicio público de transmisión y distribución de energía eléctrica, así como de la </w:t>
      </w:r>
      <w:r w:rsidRPr="00303C65">
        <w:rPr>
          <w:rFonts w:ascii="ITC Avant Garde" w:hAnsi="ITC Avant Garde"/>
          <w:b/>
          <w:bCs/>
          <w:sz w:val="18"/>
          <w:szCs w:val="18"/>
        </w:rPr>
        <w:t>exploración y extracción de petróleo y demás hidrocarburos, la Nación llevará a cabo dichas actividades</w:t>
      </w:r>
      <w:r w:rsidRPr="00303C65">
        <w:rPr>
          <w:rFonts w:ascii="ITC Avant Garde" w:hAnsi="ITC Avant Garde"/>
          <w:bCs/>
          <w:sz w:val="18"/>
          <w:szCs w:val="18"/>
        </w:rPr>
        <w:t xml:space="preserve"> en términos de lo dispuesto por los párrafos sexto y séptimo del artículo 27 de esta Constitución. </w:t>
      </w:r>
      <w:r w:rsidRPr="00303C65">
        <w:rPr>
          <w:rFonts w:ascii="ITC Avant Garde" w:hAnsi="ITC Avant Garde"/>
          <w:b/>
          <w:bCs/>
          <w:sz w:val="18"/>
          <w:szCs w:val="18"/>
        </w:rPr>
        <w:t>En las actividades citadas la ley establecerá</w:t>
      </w:r>
      <w:r w:rsidRPr="00303C65">
        <w:rPr>
          <w:rFonts w:ascii="ITC Avant Garde" w:hAnsi="ITC Avant Garde"/>
          <w:bCs/>
          <w:sz w:val="18"/>
          <w:szCs w:val="18"/>
        </w:rPr>
        <w:t xml:space="preserve"> </w:t>
      </w:r>
      <w:r w:rsidRPr="00303C65">
        <w:rPr>
          <w:rFonts w:ascii="ITC Avant Garde" w:hAnsi="ITC Avant Garde"/>
          <w:b/>
          <w:bCs/>
          <w:sz w:val="18"/>
          <w:szCs w:val="18"/>
        </w:rPr>
        <w:t>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r w:rsidRPr="00303C65">
        <w:rPr>
          <w:rFonts w:ascii="ITC Avant Garde" w:hAnsi="ITC Avant Garde"/>
          <w:bCs/>
          <w:sz w:val="18"/>
          <w:szCs w:val="18"/>
        </w:rPr>
        <w:t>.” (Énfasis añadido)</w:t>
      </w:r>
    </w:p>
    <w:p w14:paraId="50DCD089" w14:textId="2FBBE575" w:rsidR="00303C65" w:rsidRPr="00303C65" w:rsidRDefault="003A1A6A"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Adicionalmente</w:t>
      </w:r>
      <w:r w:rsidR="00B31154" w:rsidRPr="00303C65">
        <w:rPr>
          <w:rFonts w:ascii="ITC Avant Garde" w:hAnsi="ITC Avant Garde"/>
          <w:bCs/>
        </w:rPr>
        <w:t xml:space="preserve">, el artículo Vigésimo Transitorio del </w:t>
      </w:r>
      <w:r w:rsidRPr="00303C65">
        <w:rPr>
          <w:rFonts w:ascii="ITC Avant Garde" w:hAnsi="ITC Avant Garde"/>
          <w:bCs/>
        </w:rPr>
        <w:t>Decreto</w:t>
      </w:r>
      <w:r w:rsidR="00B31154" w:rsidRPr="00303C65">
        <w:rPr>
          <w:rFonts w:ascii="ITC Avant Garde" w:hAnsi="ITC Avant Garde"/>
          <w:bCs/>
        </w:rPr>
        <w:t xml:space="preserve"> </w:t>
      </w:r>
      <w:r w:rsidRPr="00303C65">
        <w:rPr>
          <w:rFonts w:ascii="ITC Avant Garde" w:hAnsi="ITC Avant Garde"/>
          <w:bCs/>
        </w:rPr>
        <w:t>señalado en</w:t>
      </w:r>
      <w:r w:rsidR="004421DD" w:rsidRPr="00303C65">
        <w:rPr>
          <w:rFonts w:ascii="ITC Avant Garde" w:hAnsi="ITC Avant Garde"/>
          <w:bCs/>
        </w:rPr>
        <w:t xml:space="preserve"> el párrafo que antecede, estableció</w:t>
      </w:r>
      <w:r w:rsidRPr="00303C65">
        <w:rPr>
          <w:rFonts w:ascii="ITC Avant Garde" w:hAnsi="ITC Avant Garde"/>
          <w:bCs/>
        </w:rPr>
        <w:t xml:space="preserve"> </w:t>
      </w:r>
      <w:r w:rsidR="00413F16" w:rsidRPr="00303C65">
        <w:rPr>
          <w:rFonts w:ascii="ITC Avant Garde" w:hAnsi="ITC Avant Garde"/>
          <w:bCs/>
        </w:rPr>
        <w:t>que el Congreso de la Unión realizar</w:t>
      </w:r>
      <w:r w:rsidRPr="00303C65">
        <w:rPr>
          <w:rFonts w:ascii="ITC Avant Garde" w:hAnsi="ITC Avant Garde"/>
          <w:bCs/>
        </w:rPr>
        <w:t>ía</w:t>
      </w:r>
      <w:r w:rsidR="00413F16" w:rsidRPr="00303C65">
        <w:rPr>
          <w:rFonts w:ascii="ITC Avant Garde" w:hAnsi="ITC Avant Garde"/>
          <w:bCs/>
        </w:rPr>
        <w:t xml:space="preserve"> las adecuaciones al marco jurídico para regular a las empresas </w:t>
      </w:r>
      <w:r w:rsidR="009413A1" w:rsidRPr="00303C65">
        <w:rPr>
          <w:rFonts w:ascii="ITC Avant Garde" w:hAnsi="ITC Avant Garde"/>
          <w:bCs/>
        </w:rPr>
        <w:t xml:space="preserve">productivas del Estado, </w:t>
      </w:r>
      <w:r w:rsidR="004421DD" w:rsidRPr="00303C65">
        <w:rPr>
          <w:rFonts w:ascii="ITC Avant Garde" w:hAnsi="ITC Avant Garde"/>
          <w:bCs/>
        </w:rPr>
        <w:t>considerando,</w:t>
      </w:r>
      <w:r w:rsidR="009413A1" w:rsidRPr="00303C65">
        <w:rPr>
          <w:rFonts w:ascii="ITC Avant Garde" w:hAnsi="ITC Avant Garde"/>
          <w:bCs/>
        </w:rPr>
        <w:t xml:space="preserve"> entre otras</w:t>
      </w:r>
      <w:r w:rsidR="00355F84" w:rsidRPr="00303C65">
        <w:rPr>
          <w:rFonts w:ascii="ITC Avant Garde" w:hAnsi="ITC Avant Garde"/>
          <w:bCs/>
        </w:rPr>
        <w:t>, las siguientes características</w:t>
      </w:r>
      <w:r w:rsidR="009413A1" w:rsidRPr="00303C65">
        <w:rPr>
          <w:rFonts w:ascii="ITC Avant Garde" w:hAnsi="ITC Avant Garde"/>
          <w:bCs/>
        </w:rPr>
        <w:t>:</w:t>
      </w:r>
    </w:p>
    <w:p w14:paraId="1F5FEAEA" w14:textId="77777777" w:rsidR="00303C65" w:rsidRPr="00303C65" w:rsidRDefault="009413A1" w:rsidP="00303C65">
      <w:pPr>
        <w:autoSpaceDE w:val="0"/>
        <w:autoSpaceDN w:val="0"/>
        <w:adjustRightInd w:val="0"/>
        <w:spacing w:before="240" w:line="240" w:lineRule="auto"/>
        <w:ind w:left="567" w:right="615"/>
        <w:jc w:val="both"/>
        <w:rPr>
          <w:rFonts w:ascii="ITC Avant Garde" w:hAnsi="ITC Avant Garde"/>
          <w:bCs/>
          <w:sz w:val="18"/>
          <w:szCs w:val="18"/>
        </w:rPr>
      </w:pPr>
      <w:r w:rsidRPr="00303C65">
        <w:rPr>
          <w:rFonts w:ascii="ITC Avant Garde" w:hAnsi="ITC Avant Garde"/>
          <w:bCs/>
          <w:sz w:val="18"/>
          <w:szCs w:val="18"/>
        </w:rPr>
        <w:t>“</w:t>
      </w:r>
      <w:r w:rsidR="004421DD" w:rsidRPr="00303C65">
        <w:rPr>
          <w:rFonts w:ascii="ITC Avant Garde" w:hAnsi="ITC Avant Garde"/>
          <w:bCs/>
          <w:sz w:val="18"/>
          <w:szCs w:val="18"/>
        </w:rPr>
        <w:t>[…]</w:t>
      </w:r>
    </w:p>
    <w:p w14:paraId="1716EB15" w14:textId="4238FD73" w:rsidR="009413A1" w:rsidRPr="00303C65" w:rsidRDefault="009413A1" w:rsidP="00303C65">
      <w:pPr>
        <w:autoSpaceDE w:val="0"/>
        <w:autoSpaceDN w:val="0"/>
        <w:adjustRightInd w:val="0"/>
        <w:spacing w:before="240" w:line="240" w:lineRule="auto"/>
        <w:ind w:left="567" w:right="615"/>
        <w:jc w:val="both"/>
        <w:rPr>
          <w:rFonts w:ascii="ITC Avant Garde" w:hAnsi="ITC Avant Garde"/>
          <w:bCs/>
          <w:sz w:val="18"/>
          <w:szCs w:val="18"/>
        </w:rPr>
      </w:pPr>
      <w:r w:rsidRPr="00303C65">
        <w:rPr>
          <w:rFonts w:ascii="ITC Avant Garde" w:hAnsi="ITC Avant Garde"/>
          <w:bCs/>
          <w:sz w:val="18"/>
          <w:szCs w:val="18"/>
        </w:rPr>
        <w:t>I.</w:t>
      </w:r>
      <w:r w:rsidR="00696829" w:rsidRPr="00303C65">
        <w:rPr>
          <w:rFonts w:ascii="ITC Avant Garde" w:hAnsi="ITC Avant Garde"/>
          <w:bCs/>
          <w:sz w:val="18"/>
          <w:szCs w:val="18"/>
        </w:rPr>
        <w:t xml:space="preserve"> </w:t>
      </w:r>
      <w:r w:rsidRPr="00303C65">
        <w:rPr>
          <w:rFonts w:ascii="ITC Avant Garde" w:hAnsi="ITC Avant Garde"/>
          <w:b/>
          <w:bCs/>
          <w:sz w:val="18"/>
          <w:szCs w:val="18"/>
        </w:rPr>
        <w:t>Su objeto sea la creación de valor económico e incrementar los ingresos de la Nación</w:t>
      </w:r>
      <w:r w:rsidRPr="00303C65">
        <w:rPr>
          <w:rFonts w:ascii="ITC Avant Garde" w:hAnsi="ITC Avant Garde"/>
          <w:bCs/>
          <w:sz w:val="18"/>
          <w:szCs w:val="18"/>
        </w:rPr>
        <w:t>, con sentido de equidad y responsabilidad social y ambiental.</w:t>
      </w:r>
    </w:p>
    <w:p w14:paraId="654553E7" w14:textId="77777777" w:rsidR="009413A1" w:rsidRPr="00303C65" w:rsidRDefault="00355F84" w:rsidP="00303C65">
      <w:pPr>
        <w:autoSpaceDE w:val="0"/>
        <w:autoSpaceDN w:val="0"/>
        <w:adjustRightInd w:val="0"/>
        <w:spacing w:before="240" w:line="240" w:lineRule="auto"/>
        <w:ind w:left="567" w:right="615"/>
        <w:jc w:val="both"/>
        <w:rPr>
          <w:rFonts w:ascii="ITC Avant Garde" w:hAnsi="ITC Avant Garde"/>
          <w:bCs/>
          <w:sz w:val="18"/>
          <w:szCs w:val="18"/>
        </w:rPr>
      </w:pPr>
      <w:r w:rsidRPr="00303C65">
        <w:rPr>
          <w:rFonts w:ascii="ITC Avant Garde" w:hAnsi="ITC Avant Garde"/>
          <w:bCs/>
          <w:sz w:val="18"/>
          <w:szCs w:val="18"/>
        </w:rPr>
        <w:t>[</w:t>
      </w:r>
      <w:r w:rsidR="009413A1" w:rsidRPr="00303C65">
        <w:rPr>
          <w:rFonts w:ascii="ITC Avant Garde" w:hAnsi="ITC Avant Garde"/>
          <w:bCs/>
          <w:sz w:val="18"/>
          <w:szCs w:val="18"/>
        </w:rPr>
        <w:t>…</w:t>
      </w:r>
      <w:r w:rsidRPr="00303C65">
        <w:rPr>
          <w:rFonts w:ascii="ITC Avant Garde" w:hAnsi="ITC Avant Garde"/>
          <w:bCs/>
          <w:sz w:val="18"/>
          <w:szCs w:val="18"/>
        </w:rPr>
        <w:t>]</w:t>
      </w:r>
    </w:p>
    <w:p w14:paraId="2FB0A580" w14:textId="77777777" w:rsidR="009413A1" w:rsidRPr="00303C65" w:rsidRDefault="00355F84" w:rsidP="00303C65">
      <w:pPr>
        <w:autoSpaceDE w:val="0"/>
        <w:autoSpaceDN w:val="0"/>
        <w:adjustRightInd w:val="0"/>
        <w:spacing w:before="240" w:line="240" w:lineRule="auto"/>
        <w:ind w:left="567" w:right="615"/>
        <w:jc w:val="both"/>
        <w:rPr>
          <w:rFonts w:ascii="ITC Avant Garde" w:hAnsi="ITC Avant Garde"/>
          <w:bCs/>
          <w:sz w:val="18"/>
          <w:szCs w:val="18"/>
        </w:rPr>
      </w:pPr>
      <w:r w:rsidRPr="00303C65">
        <w:rPr>
          <w:rFonts w:ascii="ITC Avant Garde" w:hAnsi="ITC Avant Garde"/>
          <w:bCs/>
          <w:sz w:val="18"/>
          <w:szCs w:val="18"/>
        </w:rPr>
        <w:t>[</w:t>
      </w:r>
      <w:r w:rsidR="009413A1" w:rsidRPr="00303C65">
        <w:rPr>
          <w:rFonts w:ascii="ITC Avant Garde" w:hAnsi="ITC Avant Garde"/>
          <w:bCs/>
          <w:sz w:val="18"/>
          <w:szCs w:val="18"/>
        </w:rPr>
        <w:t>…</w:t>
      </w:r>
      <w:r w:rsidRPr="00303C65">
        <w:rPr>
          <w:rFonts w:ascii="ITC Avant Garde" w:hAnsi="ITC Avant Garde"/>
          <w:bCs/>
          <w:sz w:val="18"/>
          <w:szCs w:val="18"/>
        </w:rPr>
        <w:t>]</w:t>
      </w:r>
    </w:p>
    <w:p w14:paraId="1AB953B0" w14:textId="77777777" w:rsidR="00303C65" w:rsidRPr="00303C65" w:rsidRDefault="001D01DA" w:rsidP="00303C65">
      <w:pPr>
        <w:autoSpaceDE w:val="0"/>
        <w:autoSpaceDN w:val="0"/>
        <w:adjustRightInd w:val="0"/>
        <w:spacing w:before="240" w:line="240" w:lineRule="auto"/>
        <w:ind w:left="567" w:right="615"/>
        <w:jc w:val="both"/>
        <w:rPr>
          <w:rFonts w:ascii="ITC Avant Garde" w:hAnsi="ITC Avant Garde"/>
          <w:bCs/>
          <w:sz w:val="18"/>
          <w:szCs w:val="18"/>
        </w:rPr>
      </w:pPr>
      <w:r w:rsidRPr="00303C65">
        <w:rPr>
          <w:rFonts w:ascii="ITC Avant Garde" w:hAnsi="ITC Avant Garde"/>
          <w:bCs/>
          <w:sz w:val="18"/>
          <w:szCs w:val="18"/>
        </w:rPr>
        <w:t xml:space="preserve">IV. </w:t>
      </w:r>
      <w:r w:rsidR="009413A1" w:rsidRPr="00303C65">
        <w:rPr>
          <w:rFonts w:ascii="ITC Avant Garde" w:hAnsi="ITC Avant Garde"/>
          <w:b/>
          <w:bCs/>
          <w:sz w:val="18"/>
          <w:szCs w:val="18"/>
        </w:rPr>
        <w:t>Sus órganos de gobierno se ajusten a lo que disponga la ley y sus directores sean nombrados y removidos libremente por el Titular del Ejecutivo Federal</w:t>
      </w:r>
      <w:r w:rsidR="009413A1" w:rsidRPr="00303C65">
        <w:rPr>
          <w:rFonts w:ascii="ITC Avant Garde" w:hAnsi="ITC Avant Garde"/>
          <w:bCs/>
          <w:sz w:val="18"/>
          <w:szCs w:val="18"/>
        </w:rPr>
        <w:t xml:space="preserve"> o, en su caso, removidos por el Consejo de Administración. </w:t>
      </w:r>
      <w:r w:rsidR="009413A1" w:rsidRPr="00303C65">
        <w:rPr>
          <w:rFonts w:ascii="ITC Avant Garde" w:hAnsi="ITC Avant Garde"/>
          <w:b/>
          <w:bCs/>
          <w:sz w:val="18"/>
          <w:szCs w:val="18"/>
        </w:rPr>
        <w:t>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r w:rsidRPr="00303C65">
        <w:rPr>
          <w:rFonts w:ascii="ITC Avant Garde" w:hAnsi="ITC Avant Garde"/>
          <w:b/>
          <w:bCs/>
          <w:sz w:val="18"/>
          <w:szCs w:val="18"/>
        </w:rPr>
        <w:t xml:space="preserve"> </w:t>
      </w:r>
      <w:r w:rsidRPr="00303C65">
        <w:rPr>
          <w:rFonts w:ascii="ITC Avant Garde" w:hAnsi="ITC Avant Garde"/>
          <w:bCs/>
          <w:sz w:val="18"/>
          <w:szCs w:val="18"/>
        </w:rPr>
        <w:t>(Énfasis añadido)</w:t>
      </w:r>
    </w:p>
    <w:p w14:paraId="00A77DA6" w14:textId="77777777" w:rsidR="00303C65" w:rsidRPr="00303C65" w:rsidRDefault="00CA49F6"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 xml:space="preserve">El </w:t>
      </w:r>
      <w:r w:rsidR="00135CB2" w:rsidRPr="00303C65">
        <w:rPr>
          <w:rFonts w:ascii="ITC Avant Garde" w:hAnsi="ITC Avant Garde"/>
          <w:bCs/>
        </w:rPr>
        <w:t>11 de agosto de 2014, se publicó en el Diario Oficial de la Federación el “Decreto por el que expide la Ley de Petróleos Mexicanos y la Ley de la Comisión Federal de Electricidad, y se reforman y derogan diversas disposiciones de la Ley Federal de las Entidades Paraestatales; la Ley de Adquisiciones, Arrendamientos y Servicios de</w:t>
      </w:r>
      <w:r w:rsidR="00B31154" w:rsidRPr="00303C65">
        <w:rPr>
          <w:rFonts w:ascii="ITC Avant Garde" w:hAnsi="ITC Avant Garde"/>
          <w:bCs/>
        </w:rPr>
        <w:t>l</w:t>
      </w:r>
      <w:r w:rsidR="00135CB2" w:rsidRPr="00303C65">
        <w:rPr>
          <w:rFonts w:ascii="ITC Avant Garde" w:hAnsi="ITC Avant Garde"/>
          <w:bCs/>
        </w:rPr>
        <w:t xml:space="preserve"> Sector Público y la Ley de Obras Públicas y Servicios Relacionados con las Mismas”. </w:t>
      </w:r>
    </w:p>
    <w:p w14:paraId="78D7DD0D" w14:textId="77777777" w:rsidR="00303C65" w:rsidRPr="00303C65" w:rsidRDefault="00C777AE"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lastRenderedPageBreak/>
        <w:t>En los</w:t>
      </w:r>
      <w:r w:rsidR="00CA49F6" w:rsidRPr="00303C65">
        <w:rPr>
          <w:rFonts w:ascii="ITC Avant Garde" w:hAnsi="ITC Avant Garde"/>
          <w:bCs/>
        </w:rPr>
        <w:t xml:space="preserve"> </w:t>
      </w:r>
      <w:r w:rsidR="00696829" w:rsidRPr="00303C65">
        <w:rPr>
          <w:rFonts w:ascii="ITC Avant Garde" w:hAnsi="ITC Avant Garde"/>
          <w:bCs/>
        </w:rPr>
        <w:t>artículo</w:t>
      </w:r>
      <w:r w:rsidRPr="00303C65">
        <w:rPr>
          <w:rFonts w:ascii="ITC Avant Garde" w:hAnsi="ITC Avant Garde"/>
          <w:bCs/>
        </w:rPr>
        <w:t>s</w:t>
      </w:r>
      <w:r w:rsidR="00696829" w:rsidRPr="00303C65">
        <w:rPr>
          <w:rFonts w:ascii="ITC Avant Garde" w:hAnsi="ITC Avant Garde"/>
          <w:bCs/>
        </w:rPr>
        <w:t xml:space="preserve"> Primero</w:t>
      </w:r>
      <w:r w:rsidRPr="00303C65">
        <w:rPr>
          <w:rFonts w:ascii="ITC Avant Garde" w:hAnsi="ITC Avant Garde"/>
          <w:bCs/>
        </w:rPr>
        <w:t xml:space="preserve"> y Tercero</w:t>
      </w:r>
      <w:r w:rsidR="00696829" w:rsidRPr="00303C65">
        <w:rPr>
          <w:rFonts w:ascii="ITC Avant Garde" w:hAnsi="ITC Avant Garde"/>
          <w:bCs/>
        </w:rPr>
        <w:t xml:space="preserve"> Transitorio</w:t>
      </w:r>
      <w:r w:rsidRPr="00303C65">
        <w:rPr>
          <w:rFonts w:ascii="ITC Avant Garde" w:hAnsi="ITC Avant Garde"/>
          <w:bCs/>
        </w:rPr>
        <w:t>s</w:t>
      </w:r>
      <w:r w:rsidR="00696829" w:rsidRPr="00303C65">
        <w:rPr>
          <w:rFonts w:ascii="ITC Avant Garde" w:hAnsi="ITC Avant Garde"/>
          <w:bCs/>
        </w:rPr>
        <w:t xml:space="preserve"> de l</w:t>
      </w:r>
      <w:r w:rsidR="00B31154" w:rsidRPr="00303C65">
        <w:rPr>
          <w:rFonts w:ascii="ITC Avant Garde" w:hAnsi="ITC Avant Garde"/>
          <w:bCs/>
        </w:rPr>
        <w:t xml:space="preserve">a </w:t>
      </w:r>
      <w:r w:rsidR="00355F84" w:rsidRPr="00303C65">
        <w:rPr>
          <w:rFonts w:ascii="ITC Avant Garde" w:hAnsi="ITC Avant Garde"/>
          <w:bCs/>
        </w:rPr>
        <w:t>L</w:t>
      </w:r>
      <w:r w:rsidR="00B31154" w:rsidRPr="00303C65">
        <w:rPr>
          <w:rFonts w:ascii="ITC Avant Garde" w:hAnsi="ITC Avant Garde"/>
          <w:bCs/>
        </w:rPr>
        <w:t xml:space="preserve">ey de Petróleos Mexicanos </w:t>
      </w:r>
      <w:r w:rsidR="00696829" w:rsidRPr="00303C65">
        <w:rPr>
          <w:rFonts w:ascii="ITC Avant Garde" w:hAnsi="ITC Avant Garde"/>
          <w:bCs/>
        </w:rPr>
        <w:t xml:space="preserve">se </w:t>
      </w:r>
      <w:r w:rsidR="00EF3873" w:rsidRPr="00303C65">
        <w:rPr>
          <w:rFonts w:ascii="ITC Avant Garde" w:hAnsi="ITC Avant Garde"/>
          <w:bCs/>
        </w:rPr>
        <w:t>estableció</w:t>
      </w:r>
      <w:r w:rsidRPr="00303C65">
        <w:rPr>
          <w:rFonts w:ascii="ITC Avant Garde" w:hAnsi="ITC Avant Garde"/>
          <w:bCs/>
        </w:rPr>
        <w:t>: i)</w:t>
      </w:r>
      <w:r w:rsidR="00EF3873" w:rsidRPr="00303C65">
        <w:rPr>
          <w:rFonts w:ascii="ITC Avant Garde" w:hAnsi="ITC Avant Garde"/>
          <w:bCs/>
        </w:rPr>
        <w:t xml:space="preserve"> que </w:t>
      </w:r>
      <w:r w:rsidRPr="00303C65">
        <w:rPr>
          <w:rFonts w:ascii="ITC Avant Garde" w:hAnsi="ITC Avant Garde"/>
          <w:bCs/>
        </w:rPr>
        <w:t>el citado ordenamiento</w:t>
      </w:r>
      <w:r w:rsidR="00EF3873" w:rsidRPr="00303C65">
        <w:rPr>
          <w:rFonts w:ascii="ITC Avant Garde" w:hAnsi="ITC Avant Garde"/>
          <w:bCs/>
        </w:rPr>
        <w:t xml:space="preserve"> entraría en vigor el día siguiente a</w:t>
      </w:r>
      <w:r w:rsidR="00B77B8A" w:rsidRPr="00303C65">
        <w:rPr>
          <w:rFonts w:ascii="ITC Avant Garde" w:hAnsi="ITC Avant Garde"/>
          <w:bCs/>
        </w:rPr>
        <w:t xml:space="preserve"> aquél en</w:t>
      </w:r>
      <w:r w:rsidR="00EF3873" w:rsidRPr="00303C65">
        <w:rPr>
          <w:rFonts w:ascii="ITC Avant Garde" w:hAnsi="ITC Avant Garde"/>
          <w:bCs/>
        </w:rPr>
        <w:t xml:space="preserve"> que quedara designado el nuevo Consejo de Administración de P</w:t>
      </w:r>
      <w:r w:rsidR="00CA49F6" w:rsidRPr="00303C65">
        <w:rPr>
          <w:rFonts w:ascii="ITC Avant Garde" w:hAnsi="ITC Avant Garde"/>
          <w:bCs/>
        </w:rPr>
        <w:t>EMEX</w:t>
      </w:r>
      <w:r w:rsidRPr="00303C65">
        <w:rPr>
          <w:rFonts w:ascii="ITC Avant Garde" w:hAnsi="ITC Avant Garde"/>
          <w:bCs/>
        </w:rPr>
        <w:t xml:space="preserve">, y ii) que a partir de la entrada en vigor de dicha ley, PEMEX se transformaría en una empresa productiva del Estado, por lo que conservaría su personalidad jurídica, </w:t>
      </w:r>
      <w:r w:rsidRPr="00303C65">
        <w:rPr>
          <w:rFonts w:ascii="ITC Avant Garde" w:hAnsi="ITC Avant Garde"/>
          <w:b/>
          <w:bCs/>
        </w:rPr>
        <w:t>así como la titularidad de todos los bienes, derechos y obligaciones que le correspondieran</w:t>
      </w:r>
      <w:r w:rsidR="000772DA" w:rsidRPr="00303C65">
        <w:rPr>
          <w:rFonts w:ascii="ITC Avant Garde" w:hAnsi="ITC Avant Garde"/>
          <w:bCs/>
        </w:rPr>
        <w:t>.</w:t>
      </w:r>
    </w:p>
    <w:p w14:paraId="49765D39" w14:textId="77777777" w:rsidR="00303C65" w:rsidRPr="00303C65" w:rsidRDefault="00C777AE"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Así, e</w:t>
      </w:r>
      <w:r w:rsidR="00355F84" w:rsidRPr="00303C65">
        <w:rPr>
          <w:rFonts w:ascii="ITC Avant Garde" w:hAnsi="ITC Avant Garde"/>
          <w:bCs/>
        </w:rPr>
        <w:t>l</w:t>
      </w:r>
      <w:r w:rsidR="00696829" w:rsidRPr="00303C65">
        <w:rPr>
          <w:rFonts w:ascii="ITC Avant Garde" w:hAnsi="ITC Avant Garde"/>
          <w:bCs/>
        </w:rPr>
        <w:t xml:space="preserve"> 7 de octubre de 2014</w:t>
      </w:r>
      <w:r w:rsidR="00355F84" w:rsidRPr="00303C65">
        <w:rPr>
          <w:rFonts w:ascii="ITC Avant Garde" w:hAnsi="ITC Avant Garde"/>
          <w:bCs/>
        </w:rPr>
        <w:t xml:space="preserve">, </w:t>
      </w:r>
      <w:r w:rsidR="00696829" w:rsidRPr="00303C65">
        <w:rPr>
          <w:rFonts w:ascii="ITC Avant Garde" w:hAnsi="ITC Avant Garde"/>
          <w:bCs/>
        </w:rPr>
        <w:t>mediante Acuerdo CA-104/2014 quedó instalado el nuevo Consejo de Administración</w:t>
      </w:r>
      <w:r w:rsidRPr="00303C65">
        <w:rPr>
          <w:rFonts w:ascii="ITC Avant Garde" w:hAnsi="ITC Avant Garde"/>
          <w:bCs/>
        </w:rPr>
        <w:t xml:space="preserve"> de PEMEX, por lo que</w:t>
      </w:r>
      <w:r w:rsidR="009311E8" w:rsidRPr="00303C65">
        <w:rPr>
          <w:rFonts w:ascii="ITC Avant Garde" w:hAnsi="ITC Avant Garde"/>
          <w:bCs/>
        </w:rPr>
        <w:t xml:space="preserve"> </w:t>
      </w:r>
      <w:r w:rsidR="00EF3873" w:rsidRPr="00303C65">
        <w:rPr>
          <w:rFonts w:ascii="ITC Avant Garde" w:hAnsi="ITC Avant Garde"/>
          <w:bCs/>
        </w:rPr>
        <w:t xml:space="preserve">el 8 de octubre de 2014 entró en vigor </w:t>
      </w:r>
      <w:r w:rsidR="00355F84" w:rsidRPr="00303C65">
        <w:rPr>
          <w:rFonts w:ascii="ITC Avant Garde" w:hAnsi="ITC Avant Garde"/>
          <w:bCs/>
        </w:rPr>
        <w:t>l</w:t>
      </w:r>
      <w:r w:rsidR="00EF3873" w:rsidRPr="00303C65">
        <w:rPr>
          <w:rFonts w:ascii="ITC Avant Garde" w:hAnsi="ITC Avant Garde"/>
          <w:bCs/>
        </w:rPr>
        <w:t xml:space="preserve">a </w:t>
      </w:r>
      <w:r w:rsidRPr="00303C65">
        <w:rPr>
          <w:rFonts w:ascii="ITC Avant Garde" w:hAnsi="ITC Avant Garde"/>
          <w:bCs/>
        </w:rPr>
        <w:t>L</w:t>
      </w:r>
      <w:r w:rsidR="00EF3873" w:rsidRPr="00303C65">
        <w:rPr>
          <w:rFonts w:ascii="ITC Avant Garde" w:hAnsi="ITC Avant Garde"/>
          <w:bCs/>
        </w:rPr>
        <w:t>ey de Petr</w:t>
      </w:r>
      <w:r w:rsidR="009311E8" w:rsidRPr="00303C65">
        <w:rPr>
          <w:rFonts w:ascii="ITC Avant Garde" w:hAnsi="ITC Avant Garde"/>
          <w:bCs/>
        </w:rPr>
        <w:t xml:space="preserve">óleos Mexicanos </w:t>
      </w:r>
      <w:r w:rsidRPr="00303C65">
        <w:rPr>
          <w:rFonts w:ascii="ITC Avant Garde" w:hAnsi="ITC Avant Garde"/>
          <w:bCs/>
        </w:rPr>
        <w:t>y</w:t>
      </w:r>
      <w:r w:rsidR="00C95C9C" w:rsidRPr="00303C65">
        <w:rPr>
          <w:rFonts w:ascii="ITC Avant Garde" w:hAnsi="ITC Avant Garde"/>
          <w:bCs/>
        </w:rPr>
        <w:t>,</w:t>
      </w:r>
      <w:r w:rsidRPr="00303C65">
        <w:rPr>
          <w:rFonts w:ascii="ITC Avant Garde" w:hAnsi="ITC Avant Garde"/>
          <w:bCs/>
        </w:rPr>
        <w:t xml:space="preserve"> consecuentemente, PEMEX cambió su naturaleza jurídica de organismo descentralizado a Empresa Productiva del Estado</w:t>
      </w:r>
      <w:r w:rsidR="008F3E58" w:rsidRPr="00303C65">
        <w:rPr>
          <w:rFonts w:ascii="ITC Avant Garde" w:hAnsi="ITC Avant Garde"/>
          <w:bCs/>
        </w:rPr>
        <w:t>, conservando la titularidad de todos sus bienes, derechos y obligaciones, entre los que se encuentra la Asignación.</w:t>
      </w:r>
    </w:p>
    <w:p w14:paraId="136DF8FD" w14:textId="77777777" w:rsidR="00303C65" w:rsidRPr="00303C65" w:rsidRDefault="00D819DA"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 xml:space="preserve">Al respecto, no pasa desapercibido </w:t>
      </w:r>
      <w:r w:rsidR="00C95C9C" w:rsidRPr="00303C65">
        <w:rPr>
          <w:rFonts w:ascii="ITC Avant Garde" w:hAnsi="ITC Avant Garde"/>
          <w:bCs/>
        </w:rPr>
        <w:t xml:space="preserve">para esta autoridad </w:t>
      </w:r>
      <w:r w:rsidRPr="00303C65">
        <w:rPr>
          <w:rFonts w:ascii="ITC Avant Garde" w:hAnsi="ITC Avant Garde"/>
          <w:bCs/>
        </w:rPr>
        <w:t xml:space="preserve">que </w:t>
      </w:r>
      <w:r w:rsidR="008F3E58" w:rsidRPr="00303C65">
        <w:rPr>
          <w:rFonts w:ascii="ITC Avant Garde" w:hAnsi="ITC Avant Garde"/>
          <w:bCs/>
        </w:rPr>
        <w:t>las empresas productivas del Estado</w:t>
      </w:r>
      <w:r w:rsidRPr="00303C65">
        <w:rPr>
          <w:rFonts w:ascii="ITC Avant Garde" w:hAnsi="ITC Avant Garde"/>
          <w:bCs/>
        </w:rPr>
        <w:t xml:space="preserve"> no se </w:t>
      </w:r>
      <w:r w:rsidR="008F3E58" w:rsidRPr="00303C65">
        <w:rPr>
          <w:rFonts w:ascii="ITC Avant Garde" w:hAnsi="ITC Avant Garde"/>
          <w:bCs/>
        </w:rPr>
        <w:t>encontraban previstas</w:t>
      </w:r>
      <w:r w:rsidRPr="00303C65">
        <w:rPr>
          <w:rFonts w:ascii="ITC Avant Garde" w:hAnsi="ITC Avant Garde"/>
          <w:bCs/>
        </w:rPr>
        <w:t xml:space="preserve"> en el artículo 10</w:t>
      </w:r>
      <w:r w:rsidR="00A20E6F" w:rsidRPr="00303C65">
        <w:rPr>
          <w:rFonts w:ascii="ITC Avant Garde" w:hAnsi="ITC Avant Garde"/>
          <w:bCs/>
        </w:rPr>
        <w:t>,</w:t>
      </w:r>
      <w:r w:rsidRPr="00303C65">
        <w:rPr>
          <w:rFonts w:ascii="ITC Avant Garde" w:hAnsi="ITC Avant Garde"/>
          <w:bCs/>
        </w:rPr>
        <w:t xml:space="preserve"> fracción III de la LFT</w:t>
      </w:r>
      <w:r w:rsidR="00A8106E" w:rsidRPr="00303C65">
        <w:rPr>
          <w:rFonts w:ascii="ITC Avant Garde" w:hAnsi="ITC Avant Garde"/>
          <w:bCs/>
        </w:rPr>
        <w:t xml:space="preserve">, que como ya se ha dicho </w:t>
      </w:r>
      <w:r w:rsidR="003270D1" w:rsidRPr="00303C65">
        <w:rPr>
          <w:rFonts w:ascii="ITC Avant Garde" w:hAnsi="ITC Avant Garde"/>
          <w:bCs/>
        </w:rPr>
        <w:t>era el marco legal vigente al momento de la Solicitud de Prórroga</w:t>
      </w:r>
      <w:r w:rsidRPr="00303C65">
        <w:rPr>
          <w:rFonts w:ascii="ITC Avant Garde" w:hAnsi="ITC Avant Garde"/>
          <w:bCs/>
        </w:rPr>
        <w:t xml:space="preserve">. Sin embargo, el artículo 3 </w:t>
      </w:r>
      <w:proofErr w:type="gramStart"/>
      <w:r w:rsidRPr="00303C65">
        <w:rPr>
          <w:rFonts w:ascii="ITC Avant Garde" w:hAnsi="ITC Avant Garde"/>
          <w:bCs/>
        </w:rPr>
        <w:t>fracción</w:t>
      </w:r>
      <w:proofErr w:type="gramEnd"/>
      <w:r w:rsidRPr="00303C65">
        <w:rPr>
          <w:rFonts w:ascii="ITC Avant Garde" w:hAnsi="ITC Avant Garde"/>
          <w:bCs/>
        </w:rPr>
        <w:t xml:space="preserve"> XIX de la Ley, al definir al Ejecutivo Federal, señala que comprende a la Administración Pública Federal, sus dependencias y entidades</w:t>
      </w:r>
      <w:r w:rsidR="00991C7A" w:rsidRPr="00303C65">
        <w:rPr>
          <w:rFonts w:ascii="ITC Avant Garde" w:hAnsi="ITC Avant Garde"/>
          <w:bCs/>
        </w:rPr>
        <w:t>,</w:t>
      </w:r>
      <w:r w:rsidRPr="00303C65">
        <w:rPr>
          <w:rFonts w:ascii="ITC Avant Garde" w:hAnsi="ITC Avant Garde"/>
          <w:bCs/>
        </w:rPr>
        <w:t xml:space="preserve"> según corresponda.</w:t>
      </w:r>
    </w:p>
    <w:p w14:paraId="7C80E300" w14:textId="77777777" w:rsidR="00303C65" w:rsidRPr="00303C65" w:rsidRDefault="00117037" w:rsidP="00303C65">
      <w:pPr>
        <w:autoSpaceDE w:val="0"/>
        <w:autoSpaceDN w:val="0"/>
        <w:adjustRightInd w:val="0"/>
        <w:spacing w:before="240" w:line="240" w:lineRule="auto"/>
        <w:jc w:val="both"/>
        <w:rPr>
          <w:rFonts w:ascii="ITC Avant Garde" w:hAnsi="ITC Avant Garde"/>
          <w:bCs/>
          <w:lang w:val="es-ES_tradnl"/>
        </w:rPr>
      </w:pPr>
      <w:r w:rsidRPr="00303C65">
        <w:rPr>
          <w:rFonts w:ascii="ITC Avant Garde" w:hAnsi="ITC Avant Garde"/>
          <w:bCs/>
        </w:rPr>
        <w:t>En ese sentido, resulta importante destacar lo dispuesto en el artículo 2 de la Ley de Petróleos Mexicanos, que establece que</w:t>
      </w:r>
      <w:r w:rsidR="00A27F5A" w:rsidRPr="00303C65">
        <w:rPr>
          <w:rFonts w:ascii="ITC Avant Garde" w:hAnsi="ITC Avant Garde"/>
          <w:bCs/>
        </w:rPr>
        <w:t>:</w:t>
      </w:r>
      <w:r w:rsidRPr="00303C65">
        <w:rPr>
          <w:rFonts w:ascii="ITC Avant Garde" w:hAnsi="ITC Avant Garde"/>
          <w:bCs/>
        </w:rPr>
        <w:t xml:space="preserve"> “</w:t>
      </w:r>
      <w:r w:rsidRPr="00303C65">
        <w:rPr>
          <w:rFonts w:ascii="ITC Avant Garde" w:hAnsi="ITC Avant Garde"/>
          <w:bCs/>
          <w:lang w:val="es-ES_tradnl"/>
        </w:rPr>
        <w:t>Petróleos Mexicanos es una empresa productiva del Estado, de propiedad exclusiva del</w:t>
      </w:r>
      <w:r w:rsidR="00A27F5A" w:rsidRPr="00303C65">
        <w:rPr>
          <w:rFonts w:ascii="ITC Avant Garde" w:hAnsi="ITC Avant Garde"/>
          <w:bCs/>
          <w:lang w:val="es-ES_tradnl"/>
        </w:rPr>
        <w:t xml:space="preserve"> </w:t>
      </w:r>
      <w:r w:rsidRPr="00303C65">
        <w:rPr>
          <w:rFonts w:ascii="ITC Avant Garde" w:hAnsi="ITC Avant Garde"/>
          <w:bCs/>
          <w:lang w:val="es-ES_tradnl"/>
        </w:rPr>
        <w:t>Gobierno Federal</w:t>
      </w:r>
      <w:r w:rsidR="00A27F5A" w:rsidRPr="00303C65">
        <w:rPr>
          <w:rFonts w:ascii="ITC Avant Garde" w:hAnsi="ITC Avant Garde"/>
          <w:bCs/>
          <w:lang w:val="es-ES_tradnl"/>
        </w:rPr>
        <w:t xml:space="preserve"> [</w:t>
      </w:r>
      <w:r w:rsidRPr="00303C65">
        <w:rPr>
          <w:rFonts w:ascii="ITC Avant Garde" w:hAnsi="ITC Avant Garde"/>
          <w:bCs/>
          <w:lang w:val="es-ES_tradnl"/>
        </w:rPr>
        <w:t>…</w:t>
      </w:r>
      <w:r w:rsidR="00A27F5A" w:rsidRPr="00303C65">
        <w:rPr>
          <w:rFonts w:ascii="ITC Avant Garde" w:hAnsi="ITC Avant Garde"/>
          <w:bCs/>
          <w:lang w:val="es-ES_tradnl"/>
        </w:rPr>
        <w:t>]</w:t>
      </w:r>
      <w:r w:rsidRPr="00303C65">
        <w:rPr>
          <w:rFonts w:ascii="ITC Avant Garde" w:hAnsi="ITC Avant Garde"/>
          <w:bCs/>
          <w:lang w:val="es-ES_tradnl"/>
        </w:rPr>
        <w:t>”</w:t>
      </w:r>
      <w:r w:rsidR="00387615" w:rsidRPr="00303C65">
        <w:rPr>
          <w:rFonts w:ascii="ITC Avant Garde" w:hAnsi="ITC Avant Garde"/>
          <w:bCs/>
          <w:lang w:val="es-ES_tradnl"/>
        </w:rPr>
        <w:t>.</w:t>
      </w:r>
      <w:r w:rsidRPr="00303C65">
        <w:rPr>
          <w:rFonts w:ascii="ITC Avant Garde" w:hAnsi="ITC Avant Garde"/>
          <w:bCs/>
          <w:lang w:val="es-ES_tradnl"/>
        </w:rPr>
        <w:t xml:space="preserve"> </w:t>
      </w:r>
      <w:r w:rsidR="00387615" w:rsidRPr="00303C65">
        <w:rPr>
          <w:rFonts w:ascii="ITC Avant Garde" w:hAnsi="ITC Avant Garde"/>
          <w:bCs/>
          <w:lang w:val="es-ES_tradnl"/>
        </w:rPr>
        <w:t>D</w:t>
      </w:r>
      <w:r w:rsidRPr="00303C65">
        <w:rPr>
          <w:rFonts w:ascii="ITC Avant Garde" w:hAnsi="ITC Avant Garde"/>
          <w:bCs/>
          <w:lang w:val="es-ES_tradnl"/>
        </w:rPr>
        <w:t>e esta forma, es claro que PEMEX es un órgano del estado cuyo control es ejercido directamente por el Gobierno Federal, a través de los mecanismos que la propia ley prevé</w:t>
      </w:r>
      <w:r w:rsidR="00A20E6F" w:rsidRPr="00303C65">
        <w:rPr>
          <w:rFonts w:ascii="ITC Avant Garde" w:hAnsi="ITC Avant Garde"/>
          <w:bCs/>
          <w:lang w:val="es-ES_tradnl"/>
        </w:rPr>
        <w:t xml:space="preserve">. </w:t>
      </w:r>
    </w:p>
    <w:p w14:paraId="210A297D" w14:textId="77777777" w:rsidR="00303C65" w:rsidRPr="00303C65" w:rsidRDefault="00387615" w:rsidP="00303C65">
      <w:pPr>
        <w:autoSpaceDE w:val="0"/>
        <w:autoSpaceDN w:val="0"/>
        <w:adjustRightInd w:val="0"/>
        <w:spacing w:before="240" w:line="240" w:lineRule="auto"/>
        <w:jc w:val="both"/>
        <w:rPr>
          <w:rFonts w:ascii="ITC Avant Garde" w:hAnsi="ITC Avant Garde"/>
          <w:bCs/>
          <w:lang w:val="es-ES_tradnl"/>
        </w:rPr>
      </w:pPr>
      <w:r w:rsidRPr="00303C65">
        <w:rPr>
          <w:rFonts w:ascii="ITC Avant Garde" w:hAnsi="ITC Avant Garde"/>
          <w:bCs/>
          <w:lang w:val="es-ES_tradnl"/>
        </w:rPr>
        <w:t>A</w:t>
      </w:r>
      <w:r w:rsidR="00117037" w:rsidRPr="00303C65">
        <w:rPr>
          <w:rFonts w:ascii="ITC Avant Garde" w:hAnsi="ITC Avant Garde"/>
          <w:bCs/>
          <w:lang w:val="es-ES_tradnl"/>
        </w:rPr>
        <w:t xml:space="preserve"> fin de </w:t>
      </w:r>
      <w:r w:rsidR="00A20E6F" w:rsidRPr="00303C65">
        <w:rPr>
          <w:rFonts w:ascii="ITC Avant Garde" w:hAnsi="ITC Avant Garde"/>
          <w:bCs/>
          <w:lang w:val="es-ES_tradnl"/>
        </w:rPr>
        <w:t>contar con mayores elementos que permitan a este Instituto afirmar que PEMEX se encuentra en el supuesto previsto en el artículo 10, fracción III de la abrogada LFT</w:t>
      </w:r>
      <w:r w:rsidR="006A2CDA" w:rsidRPr="00303C65">
        <w:rPr>
          <w:rFonts w:ascii="ITC Avant Garde" w:hAnsi="ITC Avant Garde"/>
          <w:bCs/>
          <w:lang w:val="es-ES_tradnl"/>
        </w:rPr>
        <w:t xml:space="preserve"> y</w:t>
      </w:r>
      <w:r w:rsidR="007601AE" w:rsidRPr="00303C65">
        <w:rPr>
          <w:rFonts w:ascii="ITC Avant Garde" w:hAnsi="ITC Avant Garde"/>
          <w:bCs/>
          <w:lang w:val="es-ES_tradnl"/>
        </w:rPr>
        <w:t>,</w:t>
      </w:r>
      <w:r w:rsidR="006A2CDA" w:rsidRPr="00303C65">
        <w:rPr>
          <w:rFonts w:ascii="ITC Avant Garde" w:hAnsi="ITC Avant Garde"/>
          <w:bCs/>
          <w:lang w:val="es-ES_tradnl"/>
        </w:rPr>
        <w:t xml:space="preserve"> por consecuencia</w:t>
      </w:r>
      <w:r w:rsidR="00A27F5A" w:rsidRPr="00303C65">
        <w:rPr>
          <w:rFonts w:ascii="ITC Avant Garde" w:hAnsi="ITC Avant Garde"/>
          <w:bCs/>
          <w:lang w:val="es-ES_tradnl"/>
        </w:rPr>
        <w:t>,</w:t>
      </w:r>
      <w:r w:rsidR="006A2CDA" w:rsidRPr="00303C65">
        <w:rPr>
          <w:rFonts w:ascii="ITC Avant Garde" w:hAnsi="ITC Avant Garde"/>
          <w:bCs/>
          <w:lang w:val="es-ES_tradnl"/>
        </w:rPr>
        <w:t xml:space="preserve"> en el </w:t>
      </w:r>
      <w:r w:rsidR="006A2CDA" w:rsidRPr="00303C65">
        <w:rPr>
          <w:rFonts w:ascii="ITC Avant Garde" w:hAnsi="ITC Avant Garde"/>
          <w:bCs/>
        </w:rPr>
        <w:t>76 fracción II de la Ley</w:t>
      </w:r>
      <w:r w:rsidR="007601AE" w:rsidRPr="00303C65">
        <w:rPr>
          <w:rFonts w:ascii="ITC Avant Garde" w:hAnsi="ITC Avant Garde"/>
          <w:bCs/>
          <w:lang w:val="es-ES_tradnl"/>
        </w:rPr>
        <w:t xml:space="preserve">, </w:t>
      </w:r>
      <w:r w:rsidRPr="00303C65">
        <w:rPr>
          <w:rFonts w:ascii="ITC Avant Garde" w:hAnsi="ITC Avant Garde"/>
          <w:bCs/>
          <w:lang w:val="es-ES_tradnl"/>
        </w:rPr>
        <w:t>cobra relevancia la integración de</w:t>
      </w:r>
      <w:r w:rsidR="00710B97" w:rsidRPr="00303C65">
        <w:rPr>
          <w:rFonts w:ascii="ITC Avant Garde" w:hAnsi="ITC Avant Garde"/>
          <w:bCs/>
          <w:lang w:val="es-ES_tradnl"/>
        </w:rPr>
        <w:t xml:space="preserve"> su</w:t>
      </w:r>
      <w:r w:rsidR="007601AE" w:rsidRPr="00303C65">
        <w:rPr>
          <w:rFonts w:ascii="ITC Avant Garde" w:hAnsi="ITC Avant Garde"/>
          <w:bCs/>
          <w:lang w:val="es-ES_tradnl"/>
        </w:rPr>
        <w:t xml:space="preserve"> actual</w:t>
      </w:r>
      <w:r w:rsidR="00710B97" w:rsidRPr="00303C65">
        <w:rPr>
          <w:rFonts w:ascii="ITC Avant Garde" w:hAnsi="ITC Avant Garde"/>
          <w:bCs/>
          <w:lang w:val="es-ES_tradnl"/>
        </w:rPr>
        <w:t xml:space="preserve"> Consejo de Administración, el cual, en términos del artículo 15 de la Ley de Petróleos Mexicanos se compone de la siguiente manera:</w:t>
      </w:r>
    </w:p>
    <w:p w14:paraId="28273D66" w14:textId="77777777" w:rsidR="00303C65" w:rsidRPr="00303C65" w:rsidRDefault="00710B97" w:rsidP="00303C65">
      <w:pPr>
        <w:autoSpaceDE w:val="0"/>
        <w:autoSpaceDN w:val="0"/>
        <w:adjustRightInd w:val="0"/>
        <w:spacing w:before="240" w:line="240" w:lineRule="auto"/>
        <w:jc w:val="both"/>
        <w:rPr>
          <w:rFonts w:ascii="ITC Avant Garde" w:hAnsi="ITC Avant Garde"/>
          <w:bCs/>
          <w:lang w:val="es-ES_tradnl"/>
        </w:rPr>
      </w:pPr>
      <w:r w:rsidRPr="00303C65">
        <w:rPr>
          <w:rFonts w:ascii="ITC Avant Garde" w:hAnsi="ITC Avant Garde"/>
          <w:bCs/>
          <w:lang w:val="es-ES_tradnl"/>
        </w:rPr>
        <w:t>i) El titular de la Secretaría de Energía, quien lo presidirá y tendrá voto de calidad y el titular de la</w:t>
      </w:r>
      <w:r w:rsidR="00A27F5A" w:rsidRPr="00303C65">
        <w:rPr>
          <w:rFonts w:ascii="ITC Avant Garde" w:hAnsi="ITC Avant Garde"/>
          <w:bCs/>
          <w:lang w:val="es-ES_tradnl"/>
        </w:rPr>
        <w:t xml:space="preserve"> </w:t>
      </w:r>
      <w:r w:rsidRPr="00303C65">
        <w:rPr>
          <w:rFonts w:ascii="ITC Avant Garde" w:hAnsi="ITC Avant Garde"/>
          <w:bCs/>
          <w:lang w:val="es-ES_tradnl"/>
        </w:rPr>
        <w:t>Secretaría de Hacienda y Crédito Público;</w:t>
      </w:r>
    </w:p>
    <w:p w14:paraId="1EB696A1" w14:textId="77777777" w:rsidR="00303C65" w:rsidRPr="00303C65" w:rsidRDefault="00710B97" w:rsidP="00303C65">
      <w:pPr>
        <w:autoSpaceDE w:val="0"/>
        <w:autoSpaceDN w:val="0"/>
        <w:adjustRightInd w:val="0"/>
        <w:spacing w:before="240" w:line="240" w:lineRule="auto"/>
        <w:jc w:val="both"/>
        <w:rPr>
          <w:rFonts w:ascii="ITC Avant Garde" w:hAnsi="ITC Avant Garde"/>
          <w:bCs/>
          <w:lang w:val="es-ES_tradnl"/>
        </w:rPr>
      </w:pPr>
      <w:r w:rsidRPr="00303C65">
        <w:rPr>
          <w:rFonts w:ascii="ITC Avant Garde" w:hAnsi="ITC Avant Garde"/>
          <w:bCs/>
          <w:lang w:val="es-ES_tradnl"/>
        </w:rPr>
        <w:t xml:space="preserve">ii) Tres consejeros del Gobierno Federal designados por el Ejecutivo Federal, y </w:t>
      </w:r>
    </w:p>
    <w:p w14:paraId="47AFCC58" w14:textId="77777777" w:rsidR="00303C65" w:rsidRPr="00303C65" w:rsidRDefault="00710B97" w:rsidP="00303C65">
      <w:pPr>
        <w:autoSpaceDE w:val="0"/>
        <w:autoSpaceDN w:val="0"/>
        <w:adjustRightInd w:val="0"/>
        <w:spacing w:before="240" w:line="240" w:lineRule="auto"/>
        <w:jc w:val="both"/>
        <w:rPr>
          <w:rFonts w:ascii="ITC Avant Garde" w:hAnsi="ITC Avant Garde"/>
          <w:bCs/>
          <w:lang w:val="es-ES_tradnl"/>
        </w:rPr>
      </w:pPr>
      <w:r w:rsidRPr="00303C65">
        <w:rPr>
          <w:rFonts w:ascii="ITC Avant Garde" w:hAnsi="ITC Avant Garde"/>
          <w:bCs/>
          <w:lang w:val="es-ES_tradnl"/>
        </w:rPr>
        <w:t>iii) Cinco consejeros independientes, designados por el Ejecutivo Federal y ratificados por el Senado</w:t>
      </w:r>
      <w:r w:rsidR="00A27F5A" w:rsidRPr="00303C65">
        <w:rPr>
          <w:rFonts w:ascii="ITC Avant Garde" w:hAnsi="ITC Avant Garde"/>
          <w:bCs/>
          <w:lang w:val="es-ES_tradnl"/>
        </w:rPr>
        <w:t xml:space="preserve"> </w:t>
      </w:r>
      <w:r w:rsidRPr="00303C65">
        <w:rPr>
          <w:rFonts w:ascii="ITC Avant Garde" w:hAnsi="ITC Avant Garde"/>
          <w:bCs/>
          <w:lang w:val="es-ES_tradnl"/>
        </w:rPr>
        <w:t>de la República, quienes ejercerán sus funciones de tiempo parcial y no tendrán el carácter de</w:t>
      </w:r>
      <w:r w:rsidR="00A27F5A" w:rsidRPr="00303C65">
        <w:rPr>
          <w:rFonts w:ascii="ITC Avant Garde" w:hAnsi="ITC Avant Garde"/>
          <w:bCs/>
          <w:lang w:val="es-ES_tradnl"/>
        </w:rPr>
        <w:t xml:space="preserve"> </w:t>
      </w:r>
      <w:r w:rsidRPr="00303C65">
        <w:rPr>
          <w:rFonts w:ascii="ITC Avant Garde" w:hAnsi="ITC Avant Garde"/>
          <w:bCs/>
          <w:lang w:val="es-ES_tradnl"/>
        </w:rPr>
        <w:t>servidores públicos</w:t>
      </w:r>
      <w:r w:rsidR="00A27F5A" w:rsidRPr="00303C65">
        <w:rPr>
          <w:rFonts w:ascii="ITC Avant Garde" w:hAnsi="ITC Avant Garde"/>
          <w:bCs/>
          <w:lang w:val="es-ES_tradnl"/>
        </w:rPr>
        <w:t>.</w:t>
      </w:r>
    </w:p>
    <w:p w14:paraId="1818C22F" w14:textId="77777777" w:rsidR="00303C65" w:rsidRPr="00303C65" w:rsidRDefault="00710B97" w:rsidP="00303C65">
      <w:pPr>
        <w:autoSpaceDE w:val="0"/>
        <w:autoSpaceDN w:val="0"/>
        <w:adjustRightInd w:val="0"/>
        <w:spacing w:before="240" w:line="240" w:lineRule="auto"/>
        <w:jc w:val="both"/>
        <w:rPr>
          <w:rFonts w:ascii="ITC Avant Garde" w:hAnsi="ITC Avant Garde"/>
          <w:bCs/>
          <w:lang w:val="es-ES_tradnl"/>
        </w:rPr>
      </w:pPr>
      <w:r w:rsidRPr="00303C65">
        <w:rPr>
          <w:rFonts w:ascii="ITC Avant Garde" w:hAnsi="ITC Avant Garde"/>
          <w:bCs/>
          <w:lang w:val="es-ES_tradnl"/>
        </w:rPr>
        <w:t xml:space="preserve">Como puede observarse, en su totalidad el Consejo de Administración de PEMEX se integra con personas designadas por el Ejecutivo Federal, </w:t>
      </w:r>
      <w:r w:rsidR="00A27F5A" w:rsidRPr="00303C65">
        <w:rPr>
          <w:rFonts w:ascii="ITC Avant Garde" w:hAnsi="ITC Avant Garde"/>
          <w:bCs/>
          <w:lang w:val="es-ES_tradnl"/>
        </w:rPr>
        <w:t>y</w:t>
      </w:r>
      <w:r w:rsidRPr="00303C65">
        <w:rPr>
          <w:rFonts w:ascii="ITC Avant Garde" w:hAnsi="ITC Avant Garde"/>
          <w:bCs/>
          <w:lang w:val="es-ES_tradnl"/>
        </w:rPr>
        <w:t xml:space="preserve"> en el caso de los incisos i) y ii)</w:t>
      </w:r>
      <w:r w:rsidR="0038363B" w:rsidRPr="00303C65">
        <w:rPr>
          <w:rFonts w:ascii="ITC Avant Garde" w:hAnsi="ITC Avant Garde"/>
          <w:bCs/>
          <w:lang w:val="es-ES_tradnl"/>
        </w:rPr>
        <w:t xml:space="preserve">, se tratan de servidores públicos del Gobierno Federal, respecto de los cuales existe </w:t>
      </w:r>
      <w:r w:rsidR="0038363B" w:rsidRPr="00303C65">
        <w:rPr>
          <w:rFonts w:ascii="ITC Avant Garde" w:hAnsi="ITC Avant Garde"/>
          <w:bCs/>
          <w:lang w:val="es-ES_tradnl"/>
        </w:rPr>
        <w:lastRenderedPageBreak/>
        <w:t>una relaci</w:t>
      </w:r>
      <w:r w:rsidR="006A2CDA" w:rsidRPr="00303C65">
        <w:rPr>
          <w:rFonts w:ascii="ITC Avant Garde" w:hAnsi="ITC Avant Garde"/>
          <w:bCs/>
          <w:lang w:val="es-ES_tradnl"/>
        </w:rPr>
        <w:t>ón de supra</w:t>
      </w:r>
      <w:r w:rsidR="0038363B" w:rsidRPr="00303C65">
        <w:rPr>
          <w:rFonts w:ascii="ITC Avant Garde" w:hAnsi="ITC Avant Garde"/>
          <w:bCs/>
          <w:lang w:val="es-ES_tradnl"/>
        </w:rPr>
        <w:t>-subordinación con el Presidente de la República. En el ú</w:t>
      </w:r>
      <w:r w:rsidR="00A27F5A" w:rsidRPr="00303C65">
        <w:rPr>
          <w:rFonts w:ascii="ITC Avant Garde" w:hAnsi="ITC Avant Garde"/>
          <w:bCs/>
          <w:lang w:val="es-ES_tradnl"/>
        </w:rPr>
        <w:t>lti</w:t>
      </w:r>
      <w:r w:rsidR="0038363B" w:rsidRPr="00303C65">
        <w:rPr>
          <w:rFonts w:ascii="ITC Avant Garde" w:hAnsi="ITC Avant Garde"/>
          <w:bCs/>
          <w:lang w:val="es-ES_tradnl"/>
        </w:rPr>
        <w:t xml:space="preserve">mo caso, si bien la ley los excluye del carácter de servidores públicos, también se trata de personas designadas por el Ejecutivo Federal, pero con la intervención de la Cámara de Senadores. </w:t>
      </w:r>
    </w:p>
    <w:p w14:paraId="51AD7990" w14:textId="77777777" w:rsidR="00303C65" w:rsidRPr="00303C65" w:rsidRDefault="00117037"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 xml:space="preserve">Finalmente, </w:t>
      </w:r>
      <w:r w:rsidR="00BF4E48" w:rsidRPr="00303C65">
        <w:rPr>
          <w:rFonts w:ascii="ITC Avant Garde" w:hAnsi="ITC Avant Garde"/>
          <w:bCs/>
        </w:rPr>
        <w:t xml:space="preserve">la exposición de motivos de la iniciativa </w:t>
      </w:r>
      <w:r w:rsidR="00F70F1D" w:rsidRPr="00303C65">
        <w:rPr>
          <w:rFonts w:ascii="ITC Avant Garde" w:hAnsi="ITC Avant Garde"/>
          <w:bCs/>
        </w:rPr>
        <w:t xml:space="preserve">que </w:t>
      </w:r>
      <w:r w:rsidR="00430700" w:rsidRPr="00303C65">
        <w:rPr>
          <w:rFonts w:ascii="ITC Avant Garde" w:hAnsi="ITC Avant Garde"/>
          <w:bCs/>
        </w:rPr>
        <w:t>dio origen a la L</w:t>
      </w:r>
      <w:r w:rsidR="00F70F1D" w:rsidRPr="00303C65">
        <w:rPr>
          <w:rFonts w:ascii="ITC Avant Garde" w:hAnsi="ITC Avant Garde"/>
          <w:bCs/>
        </w:rPr>
        <w:t>ey de P</w:t>
      </w:r>
      <w:r w:rsidR="00430700" w:rsidRPr="00303C65">
        <w:rPr>
          <w:rFonts w:ascii="ITC Avant Garde" w:hAnsi="ITC Avant Garde"/>
          <w:bCs/>
        </w:rPr>
        <w:t>etróleos Mexicanos, señala lo siguiente:</w:t>
      </w:r>
    </w:p>
    <w:p w14:paraId="10DB7987" w14:textId="77777777" w:rsidR="00303C65" w:rsidRPr="00303C65" w:rsidRDefault="00AA6B6F" w:rsidP="00303C65">
      <w:pPr>
        <w:autoSpaceDE w:val="0"/>
        <w:autoSpaceDN w:val="0"/>
        <w:adjustRightInd w:val="0"/>
        <w:spacing w:before="240" w:line="240" w:lineRule="auto"/>
        <w:ind w:left="567" w:right="615"/>
        <w:jc w:val="both"/>
        <w:rPr>
          <w:rFonts w:ascii="ITC Avant Garde" w:hAnsi="ITC Avant Garde"/>
          <w:bCs/>
          <w:sz w:val="18"/>
          <w:szCs w:val="18"/>
        </w:rPr>
      </w:pPr>
      <w:r w:rsidRPr="00303C65">
        <w:rPr>
          <w:rFonts w:ascii="ITC Avant Garde" w:hAnsi="ITC Avant Garde"/>
          <w:bCs/>
          <w:sz w:val="18"/>
          <w:szCs w:val="18"/>
        </w:rPr>
        <w:t>“[…]</w:t>
      </w:r>
    </w:p>
    <w:p w14:paraId="66FAE100" w14:textId="77777777" w:rsidR="00303C65" w:rsidRPr="00303C65" w:rsidRDefault="000F2E05" w:rsidP="00303C65">
      <w:pPr>
        <w:autoSpaceDE w:val="0"/>
        <w:autoSpaceDN w:val="0"/>
        <w:adjustRightInd w:val="0"/>
        <w:spacing w:before="240" w:line="240" w:lineRule="auto"/>
        <w:ind w:left="567" w:right="615"/>
        <w:jc w:val="both"/>
        <w:rPr>
          <w:rFonts w:ascii="ITC Avant Garde" w:hAnsi="ITC Avant Garde"/>
          <w:bCs/>
          <w:sz w:val="18"/>
          <w:szCs w:val="18"/>
          <w:lang w:val="es-ES_tradnl"/>
        </w:rPr>
      </w:pPr>
      <w:r w:rsidRPr="00303C65">
        <w:rPr>
          <w:rFonts w:ascii="ITC Avant Garde" w:hAnsi="ITC Avant Garde"/>
          <w:bCs/>
          <w:sz w:val="18"/>
          <w:szCs w:val="18"/>
          <w:lang w:val="es-ES_tradnl"/>
        </w:rPr>
        <w:t>Al estar sujetas a la Ley Federal de las Entidades Paraestatales, les son aplicables restricciones respecto a su organización, su régimen presupuestario y de deuda, entre otros, sin tomar en cuenta sus necesidades operativas particulares. Evidentemente, ese r</w:t>
      </w:r>
      <w:r w:rsidR="00A27F5A" w:rsidRPr="00303C65">
        <w:rPr>
          <w:rFonts w:ascii="ITC Avant Garde" w:hAnsi="ITC Avant Garde"/>
          <w:bCs/>
          <w:sz w:val="18"/>
          <w:szCs w:val="18"/>
          <w:lang w:val="es-ES_tradnl"/>
        </w:rPr>
        <w:t>í</w:t>
      </w:r>
      <w:r w:rsidRPr="00303C65">
        <w:rPr>
          <w:rFonts w:ascii="ITC Avant Garde" w:hAnsi="ITC Avant Garde"/>
          <w:bCs/>
          <w:sz w:val="18"/>
          <w:szCs w:val="18"/>
          <w:lang w:val="es-ES_tradnl"/>
        </w:rPr>
        <w:t>gido esquema no obedece a las necesidades que enfrentan las empresas pues las coloca en un plano de desigualdad respecto a sus pares privados que s</w:t>
      </w:r>
      <w:r w:rsidR="00AA6B6F" w:rsidRPr="00303C65">
        <w:rPr>
          <w:rFonts w:ascii="ITC Avant Garde" w:hAnsi="ITC Avant Garde"/>
          <w:bCs/>
          <w:sz w:val="18"/>
          <w:szCs w:val="18"/>
          <w:lang w:val="es-ES_tradnl"/>
        </w:rPr>
        <w:t>í</w:t>
      </w:r>
      <w:r w:rsidRPr="00303C65">
        <w:rPr>
          <w:rFonts w:ascii="ITC Avant Garde" w:hAnsi="ITC Avant Garde"/>
          <w:bCs/>
          <w:sz w:val="18"/>
          <w:szCs w:val="18"/>
          <w:lang w:val="es-ES_tradnl"/>
        </w:rPr>
        <w:t xml:space="preserve"> gozan de amplia flexibilidad para enfrentar los complejos y variables mercados industriales de bienes y servicios.</w:t>
      </w:r>
    </w:p>
    <w:p w14:paraId="4D52D7AB" w14:textId="77777777" w:rsidR="00303C65" w:rsidRPr="00303C65" w:rsidRDefault="000F2E05" w:rsidP="00303C65">
      <w:pPr>
        <w:autoSpaceDE w:val="0"/>
        <w:autoSpaceDN w:val="0"/>
        <w:adjustRightInd w:val="0"/>
        <w:spacing w:before="240" w:line="240" w:lineRule="auto"/>
        <w:ind w:left="567" w:right="615"/>
        <w:jc w:val="both"/>
        <w:rPr>
          <w:rFonts w:ascii="ITC Avant Garde" w:hAnsi="ITC Avant Garde"/>
          <w:bCs/>
          <w:sz w:val="18"/>
          <w:szCs w:val="18"/>
          <w:lang w:val="es-ES_tradnl"/>
        </w:rPr>
      </w:pPr>
      <w:r w:rsidRPr="00303C65">
        <w:rPr>
          <w:rFonts w:ascii="ITC Avant Garde" w:hAnsi="ITC Avant Garde"/>
          <w:bCs/>
          <w:sz w:val="18"/>
          <w:szCs w:val="18"/>
          <w:lang w:val="es-ES_tradnl"/>
        </w:rPr>
        <w:t xml:space="preserve">En este sentido, se plantea que Petróleos Mexicanos y la Comisión Federal de Electricidad, como empresas productivas del Estado, </w:t>
      </w:r>
      <w:r w:rsidRPr="00303C65">
        <w:rPr>
          <w:rFonts w:ascii="ITC Avant Garde" w:hAnsi="ITC Avant Garde"/>
          <w:bCs/>
          <w:sz w:val="18"/>
          <w:szCs w:val="18"/>
          <w:u w:val="single"/>
          <w:lang w:val="es-ES_tradnl"/>
        </w:rPr>
        <w:t>se organizarán y funcionarán conforme a sus propias leyes, bajo un régimen especial y particular para cada una de ellas en las distintas materias que se prevén más adelante</w:t>
      </w:r>
      <w:r w:rsidRPr="00303C65">
        <w:rPr>
          <w:rFonts w:ascii="ITC Avant Garde" w:hAnsi="ITC Avant Garde"/>
          <w:bCs/>
          <w:sz w:val="18"/>
          <w:szCs w:val="18"/>
          <w:lang w:val="es-ES_tradnl"/>
        </w:rPr>
        <w:t xml:space="preserve">. En adición a lo anterior, se dispone que </w:t>
      </w:r>
      <w:r w:rsidRPr="00303C65">
        <w:rPr>
          <w:rFonts w:ascii="ITC Avant Garde" w:hAnsi="ITC Avant Garde"/>
          <w:bCs/>
          <w:sz w:val="18"/>
          <w:szCs w:val="18"/>
          <w:u w:val="single"/>
          <w:lang w:val="es-ES_tradnl"/>
        </w:rPr>
        <w:t>las empresas referidas son de propiedad exclusiva del Gobierno Federal</w:t>
      </w:r>
      <w:r w:rsidRPr="00303C65">
        <w:rPr>
          <w:rFonts w:ascii="ITC Avant Garde" w:hAnsi="ITC Avant Garde"/>
          <w:bCs/>
          <w:sz w:val="18"/>
          <w:szCs w:val="18"/>
          <w:lang w:val="es-ES_tradnl"/>
        </w:rPr>
        <w:t>, con personalidad jurídica y patrimonio propio, autonom</w:t>
      </w:r>
      <w:r w:rsidR="00A27F5A" w:rsidRPr="00303C65">
        <w:rPr>
          <w:rFonts w:ascii="ITC Avant Garde" w:hAnsi="ITC Avant Garde"/>
          <w:bCs/>
          <w:sz w:val="18"/>
          <w:szCs w:val="18"/>
          <w:lang w:val="es-ES_tradnl"/>
        </w:rPr>
        <w:t>í</w:t>
      </w:r>
      <w:r w:rsidRPr="00303C65">
        <w:rPr>
          <w:rFonts w:ascii="ITC Avant Garde" w:hAnsi="ITC Avant Garde"/>
          <w:bCs/>
          <w:sz w:val="18"/>
          <w:szCs w:val="18"/>
          <w:lang w:val="es-ES_tradnl"/>
        </w:rPr>
        <w:t>a técnica, operativa y de gestión, conforme a los principios establecidos en la reforma constitucional.</w:t>
      </w:r>
    </w:p>
    <w:p w14:paraId="760FB13A" w14:textId="77777777" w:rsidR="00303C65" w:rsidRPr="00303C65" w:rsidRDefault="00AA6B6F" w:rsidP="00303C65">
      <w:pPr>
        <w:autoSpaceDE w:val="0"/>
        <w:autoSpaceDN w:val="0"/>
        <w:adjustRightInd w:val="0"/>
        <w:spacing w:before="240" w:line="240" w:lineRule="auto"/>
        <w:ind w:left="567" w:right="615"/>
        <w:jc w:val="both"/>
        <w:rPr>
          <w:rFonts w:ascii="ITC Avant Garde" w:hAnsi="ITC Avant Garde"/>
          <w:bCs/>
          <w:sz w:val="18"/>
          <w:szCs w:val="18"/>
        </w:rPr>
      </w:pPr>
      <w:r w:rsidRPr="00303C65">
        <w:rPr>
          <w:rFonts w:ascii="ITC Avant Garde" w:hAnsi="ITC Avant Garde"/>
          <w:bCs/>
          <w:sz w:val="18"/>
          <w:szCs w:val="18"/>
        </w:rPr>
        <w:t>[…]</w:t>
      </w:r>
    </w:p>
    <w:p w14:paraId="7E46B751" w14:textId="77777777" w:rsidR="00303C65" w:rsidRPr="00303C65" w:rsidRDefault="00535889" w:rsidP="00303C65">
      <w:pPr>
        <w:autoSpaceDE w:val="0"/>
        <w:autoSpaceDN w:val="0"/>
        <w:adjustRightInd w:val="0"/>
        <w:spacing w:before="240" w:line="240" w:lineRule="auto"/>
        <w:ind w:left="567" w:right="615"/>
        <w:jc w:val="both"/>
        <w:rPr>
          <w:rFonts w:ascii="ITC Avant Garde" w:hAnsi="ITC Avant Garde"/>
          <w:bCs/>
          <w:sz w:val="18"/>
          <w:szCs w:val="18"/>
        </w:rPr>
      </w:pPr>
      <w:r w:rsidRPr="00303C65">
        <w:rPr>
          <w:rFonts w:ascii="ITC Avant Garde" w:hAnsi="ITC Avant Garde"/>
          <w:bCs/>
          <w:sz w:val="18"/>
          <w:szCs w:val="18"/>
          <w:lang w:val="es-ES_tradnl"/>
        </w:rPr>
        <w:t>En materia de bienes, el r</w:t>
      </w:r>
      <w:r w:rsidR="00AA6B6F" w:rsidRPr="00303C65">
        <w:rPr>
          <w:rFonts w:ascii="ITC Avant Garde" w:hAnsi="ITC Avant Garde"/>
          <w:bCs/>
          <w:sz w:val="18"/>
          <w:szCs w:val="18"/>
          <w:lang w:val="es-ES_tradnl"/>
        </w:rPr>
        <w:t>é</w:t>
      </w:r>
      <w:r w:rsidRPr="00303C65">
        <w:rPr>
          <w:rFonts w:ascii="ITC Avant Garde" w:hAnsi="ITC Avant Garde"/>
          <w:bCs/>
          <w:sz w:val="18"/>
          <w:szCs w:val="18"/>
          <w:lang w:val="es-ES_tradnl"/>
        </w:rPr>
        <w:t>g</w:t>
      </w:r>
      <w:r w:rsidR="00AA6B6F" w:rsidRPr="00303C65">
        <w:rPr>
          <w:rFonts w:ascii="ITC Avant Garde" w:hAnsi="ITC Avant Garde"/>
          <w:bCs/>
          <w:sz w:val="18"/>
          <w:szCs w:val="18"/>
          <w:lang w:val="es-ES_tradnl"/>
        </w:rPr>
        <w:t>i</w:t>
      </w:r>
      <w:r w:rsidRPr="00303C65">
        <w:rPr>
          <w:rFonts w:ascii="ITC Avant Garde" w:hAnsi="ITC Avant Garde"/>
          <w:bCs/>
          <w:sz w:val="18"/>
          <w:szCs w:val="18"/>
          <w:lang w:val="es-ES_tradnl"/>
        </w:rPr>
        <w:t>men especial está encaminado a dotar de flexibilidad y celeridad en la administración patrimonial de las empresas estatales, acercándolas a un marco jur</w:t>
      </w:r>
      <w:r w:rsidR="00AA6B6F" w:rsidRPr="00303C65">
        <w:rPr>
          <w:rFonts w:ascii="ITC Avant Garde" w:hAnsi="ITC Avant Garde"/>
          <w:bCs/>
          <w:sz w:val="18"/>
          <w:szCs w:val="18"/>
          <w:lang w:val="es-ES_tradnl"/>
        </w:rPr>
        <w:t>í</w:t>
      </w:r>
      <w:r w:rsidRPr="00303C65">
        <w:rPr>
          <w:rFonts w:ascii="ITC Avant Garde" w:hAnsi="ITC Avant Garde"/>
          <w:bCs/>
          <w:sz w:val="18"/>
          <w:szCs w:val="18"/>
          <w:lang w:val="es-ES_tradnl"/>
        </w:rPr>
        <w:t>dico aplicable a cualquier empresa privada, pero reconociendo el carácter público que se ha mencionado, por lo que se hacen las previsiones correspondientes.”</w:t>
      </w:r>
    </w:p>
    <w:p w14:paraId="0F64977B" w14:textId="77777777" w:rsidR="00303C65" w:rsidRPr="00303C65" w:rsidRDefault="006A2CDA"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 xml:space="preserve">Por lo anterior, existen elementos para considerar </w:t>
      </w:r>
      <w:r w:rsidR="007601AE" w:rsidRPr="00303C65">
        <w:rPr>
          <w:rFonts w:ascii="ITC Avant Garde" w:hAnsi="ITC Avant Garde"/>
          <w:bCs/>
        </w:rPr>
        <w:t xml:space="preserve">que </w:t>
      </w:r>
      <w:r w:rsidR="000F2E05" w:rsidRPr="00303C65">
        <w:rPr>
          <w:rFonts w:ascii="ITC Avant Garde" w:hAnsi="ITC Avant Garde"/>
          <w:bCs/>
          <w:lang w:val="es-ES_tradnl"/>
        </w:rPr>
        <w:t>aú</w:t>
      </w:r>
      <w:r w:rsidR="007601AE" w:rsidRPr="00303C65">
        <w:rPr>
          <w:rFonts w:ascii="ITC Avant Garde" w:hAnsi="ITC Avant Garde"/>
          <w:bCs/>
          <w:lang w:val="es-ES_tradnl"/>
        </w:rPr>
        <w:t xml:space="preserve">n bajo su nueva naturaleza de empresa productiva del Estado, PEMEX se ubica en el </w:t>
      </w:r>
      <w:r w:rsidR="007550F6" w:rsidRPr="00303C65">
        <w:rPr>
          <w:rFonts w:ascii="ITC Avant Garde" w:hAnsi="ITC Avant Garde"/>
          <w:bCs/>
          <w:lang w:val="es-ES_tradnl"/>
        </w:rPr>
        <w:t>ámbito del Ejecutivo Federal para efectos de lo di</w:t>
      </w:r>
      <w:r w:rsidR="00AA6B6F" w:rsidRPr="00303C65">
        <w:rPr>
          <w:rFonts w:ascii="ITC Avant Garde" w:hAnsi="ITC Avant Garde"/>
          <w:bCs/>
          <w:lang w:val="es-ES_tradnl"/>
        </w:rPr>
        <w:t>s</w:t>
      </w:r>
      <w:r w:rsidR="007550F6" w:rsidRPr="00303C65">
        <w:rPr>
          <w:rFonts w:ascii="ITC Avant Garde" w:hAnsi="ITC Avant Garde"/>
          <w:bCs/>
          <w:lang w:val="es-ES_tradnl"/>
        </w:rPr>
        <w:t xml:space="preserve">puesto </w:t>
      </w:r>
      <w:r w:rsidR="00AA6B6F" w:rsidRPr="00303C65">
        <w:rPr>
          <w:rFonts w:ascii="ITC Avant Garde" w:hAnsi="ITC Avant Garde"/>
          <w:bCs/>
          <w:lang w:val="es-ES_tradnl"/>
        </w:rPr>
        <w:t>por</w:t>
      </w:r>
      <w:r w:rsidR="007550F6" w:rsidRPr="00303C65">
        <w:rPr>
          <w:rFonts w:ascii="ITC Avant Garde" w:hAnsi="ITC Avant Garde"/>
          <w:bCs/>
          <w:lang w:val="es-ES_tradnl"/>
        </w:rPr>
        <w:t xml:space="preserve"> el artículo 10, fracción III de la abrogada LFT</w:t>
      </w:r>
      <w:r w:rsidR="000F2E05" w:rsidRPr="00303C65">
        <w:rPr>
          <w:rFonts w:ascii="ITC Avant Garde" w:hAnsi="ITC Avant Garde"/>
          <w:bCs/>
          <w:lang w:val="es-ES_tradnl"/>
        </w:rPr>
        <w:t>,</w:t>
      </w:r>
      <w:r w:rsidR="007550F6" w:rsidRPr="00303C65">
        <w:rPr>
          <w:rFonts w:ascii="ITC Avant Garde" w:hAnsi="ITC Avant Garde"/>
          <w:bCs/>
          <w:lang w:val="es-ES_tradnl"/>
        </w:rPr>
        <w:t xml:space="preserve"> y por consecuencia en el </w:t>
      </w:r>
      <w:r w:rsidR="007550F6" w:rsidRPr="00303C65">
        <w:rPr>
          <w:rFonts w:ascii="ITC Avant Garde" w:hAnsi="ITC Avant Garde"/>
          <w:bCs/>
        </w:rPr>
        <w:t>76</w:t>
      </w:r>
      <w:r w:rsidR="000F2E05" w:rsidRPr="00303C65">
        <w:rPr>
          <w:rFonts w:ascii="ITC Avant Garde" w:hAnsi="ITC Avant Garde"/>
          <w:bCs/>
        </w:rPr>
        <w:t>,</w:t>
      </w:r>
      <w:r w:rsidR="007550F6" w:rsidRPr="00303C65">
        <w:rPr>
          <w:rFonts w:ascii="ITC Avant Garde" w:hAnsi="ITC Avant Garde"/>
          <w:bCs/>
        </w:rPr>
        <w:t xml:space="preserve"> fracción II de la Ley, </w:t>
      </w:r>
      <w:r w:rsidR="00CC31C9" w:rsidRPr="00303C65">
        <w:rPr>
          <w:rFonts w:ascii="ITC Avant Garde" w:hAnsi="ITC Avant Garde"/>
          <w:bCs/>
        </w:rPr>
        <w:t>mismo que establece, entre otros aspectos y como ya quedó señalado, que las concesiones para uso público confieren el derecho, entre otros, a los Poderes de la Unión para proveer servicios de telecomunicaciones y radiodifusión para el cumplimiento de sus fines y atribuciones.</w:t>
      </w:r>
    </w:p>
    <w:p w14:paraId="0C814C55" w14:textId="77777777" w:rsidR="00303C65" w:rsidRPr="00303C65" w:rsidRDefault="00C64E07"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Asimismo</w:t>
      </w:r>
      <w:r w:rsidR="00CC31C9" w:rsidRPr="00303C65">
        <w:rPr>
          <w:rFonts w:ascii="ITC Avant Garde" w:hAnsi="ITC Avant Garde"/>
          <w:bCs/>
        </w:rPr>
        <w:t xml:space="preserve">, </w:t>
      </w:r>
      <w:r w:rsidRPr="00303C65">
        <w:rPr>
          <w:rFonts w:ascii="ITC Avant Garde" w:hAnsi="ITC Avant Garde"/>
          <w:bCs/>
        </w:rPr>
        <w:t xml:space="preserve">en relación con lo señalado, </w:t>
      </w:r>
      <w:r w:rsidR="00CC31C9" w:rsidRPr="00303C65">
        <w:rPr>
          <w:rFonts w:ascii="ITC Avant Garde" w:hAnsi="ITC Avant Garde"/>
          <w:bCs/>
        </w:rPr>
        <w:t xml:space="preserve">el artículo 56 segundo párrafo de la Ley establece que el Instituto garantizará la disponibilidad de bandas de frecuencias del espectro radioeléctrico al Ejecutivo Federal para sus necesidades, funciones, fines y objetivos a su cargo. </w:t>
      </w:r>
    </w:p>
    <w:p w14:paraId="471B0E8B" w14:textId="013C9734" w:rsidR="00303C65" w:rsidRPr="00303C65" w:rsidRDefault="0014776F" w:rsidP="00303C65">
      <w:pPr>
        <w:autoSpaceDE w:val="0"/>
        <w:autoSpaceDN w:val="0"/>
        <w:adjustRightInd w:val="0"/>
        <w:spacing w:before="240" w:line="240" w:lineRule="auto"/>
        <w:jc w:val="both"/>
        <w:rPr>
          <w:rFonts w:ascii="ITC Avant Garde" w:hAnsi="ITC Avant Garde"/>
          <w:bCs/>
          <w:color w:val="000000"/>
          <w:lang w:val="es-ES" w:eastAsia="es-MX"/>
        </w:rPr>
      </w:pPr>
      <w:r w:rsidRPr="00303C65">
        <w:rPr>
          <w:rFonts w:ascii="ITC Avant Garde" w:hAnsi="ITC Avant Garde"/>
          <w:b/>
          <w:bCs/>
        </w:rPr>
        <w:t>Cuart</w:t>
      </w:r>
      <w:r w:rsidR="000D1A00" w:rsidRPr="00303C65">
        <w:rPr>
          <w:rFonts w:ascii="ITC Avant Garde" w:hAnsi="ITC Avant Garde"/>
          <w:b/>
          <w:bCs/>
        </w:rPr>
        <w:t>o</w:t>
      </w:r>
      <w:r w:rsidR="00CA1E6F" w:rsidRPr="00303C65">
        <w:rPr>
          <w:rFonts w:ascii="ITC Avant Garde" w:hAnsi="ITC Avant Garde"/>
          <w:b/>
          <w:bCs/>
        </w:rPr>
        <w:t xml:space="preserve">.- </w:t>
      </w:r>
      <w:r w:rsidR="00B048BA" w:rsidRPr="00303C65">
        <w:rPr>
          <w:rFonts w:ascii="ITC Avant Garde" w:hAnsi="ITC Avant Garde"/>
          <w:b/>
          <w:bCs/>
        </w:rPr>
        <w:t xml:space="preserve">Análisis de la Solicitud de </w:t>
      </w:r>
      <w:r w:rsidR="001A6B6F" w:rsidRPr="00303C65">
        <w:rPr>
          <w:rFonts w:ascii="ITC Avant Garde" w:hAnsi="ITC Avant Garde"/>
          <w:b/>
          <w:bCs/>
        </w:rPr>
        <w:t>Prórroga</w:t>
      </w:r>
      <w:r w:rsidR="00B048BA" w:rsidRPr="00303C65">
        <w:rPr>
          <w:rFonts w:ascii="ITC Avant Garde" w:hAnsi="ITC Avant Garde"/>
          <w:b/>
          <w:bCs/>
        </w:rPr>
        <w:t>.</w:t>
      </w:r>
      <w:r w:rsidR="001A6B6F" w:rsidRPr="00303C65">
        <w:rPr>
          <w:rFonts w:ascii="ITC Avant Garde" w:hAnsi="ITC Avant Garde"/>
          <w:bCs/>
        </w:rPr>
        <w:t xml:space="preserve"> </w:t>
      </w:r>
      <w:r w:rsidR="00220626" w:rsidRPr="00303C65">
        <w:rPr>
          <w:rFonts w:ascii="ITC Avant Garde" w:eastAsia="Times New Roman" w:hAnsi="ITC Avant Garde"/>
          <w:bCs/>
          <w:lang w:val="es-ES" w:eastAsia="es-ES"/>
        </w:rPr>
        <w:t>Por lo que hace al</w:t>
      </w:r>
      <w:r w:rsidR="009903A5" w:rsidRPr="00303C65">
        <w:rPr>
          <w:rFonts w:ascii="ITC Avant Garde" w:eastAsia="Times New Roman" w:hAnsi="ITC Avant Garde"/>
          <w:bCs/>
          <w:lang w:val="es-ES" w:eastAsia="es-ES"/>
        </w:rPr>
        <w:t xml:space="preserve"> primer</w:t>
      </w:r>
      <w:r w:rsidR="00220626" w:rsidRPr="00303C65">
        <w:rPr>
          <w:rFonts w:ascii="ITC Avant Garde" w:eastAsia="Times New Roman" w:hAnsi="ITC Avant Garde"/>
          <w:bCs/>
          <w:lang w:val="es-ES" w:eastAsia="es-ES"/>
        </w:rPr>
        <w:t xml:space="preserve"> requisito de procedencia señalado en el artículo 1</w:t>
      </w:r>
      <w:r w:rsidR="00AA4CE0" w:rsidRPr="00303C65">
        <w:rPr>
          <w:rFonts w:ascii="ITC Avant Garde" w:eastAsia="Times New Roman" w:hAnsi="ITC Avant Garde"/>
          <w:bCs/>
          <w:lang w:val="es-ES" w:eastAsia="es-ES"/>
        </w:rPr>
        <w:t>9</w:t>
      </w:r>
      <w:r w:rsidR="00220626" w:rsidRPr="00303C65">
        <w:rPr>
          <w:rFonts w:ascii="ITC Avant Garde" w:eastAsia="Times New Roman" w:hAnsi="ITC Avant Garde"/>
          <w:bCs/>
          <w:lang w:val="es-ES" w:eastAsia="es-ES"/>
        </w:rPr>
        <w:t xml:space="preserve"> de la L</w:t>
      </w:r>
      <w:r w:rsidR="00AA4CE0" w:rsidRPr="00303C65">
        <w:rPr>
          <w:rFonts w:ascii="ITC Avant Garde" w:eastAsia="Times New Roman" w:hAnsi="ITC Avant Garde"/>
          <w:bCs/>
          <w:lang w:val="es-ES" w:eastAsia="es-ES"/>
        </w:rPr>
        <w:t>FT</w:t>
      </w:r>
      <w:r w:rsidR="00220626" w:rsidRPr="00303C65">
        <w:rPr>
          <w:rFonts w:ascii="ITC Avant Garde" w:eastAsia="Times New Roman" w:hAnsi="ITC Avant Garde"/>
          <w:bCs/>
          <w:lang w:val="es-ES" w:eastAsia="es-ES"/>
        </w:rPr>
        <w:t xml:space="preserve">, relativo a que </w:t>
      </w:r>
      <w:r w:rsidR="00974DEF" w:rsidRPr="00303C65">
        <w:rPr>
          <w:rFonts w:ascii="ITC Avant Garde" w:eastAsia="Times New Roman" w:hAnsi="ITC Avant Garde"/>
          <w:bCs/>
          <w:lang w:val="es-ES" w:eastAsia="es-ES"/>
        </w:rPr>
        <w:t>PEMEX</w:t>
      </w:r>
      <w:r w:rsidR="003D72ED" w:rsidRPr="00303C65">
        <w:rPr>
          <w:rFonts w:ascii="ITC Avant Garde" w:eastAsia="Times New Roman" w:hAnsi="ITC Avant Garde"/>
          <w:bCs/>
          <w:lang w:val="es-ES" w:eastAsia="es-ES"/>
        </w:rPr>
        <w:t>, en su carácter de asignatario,</w:t>
      </w:r>
      <w:r w:rsidR="00A270C8" w:rsidRPr="00303C65">
        <w:rPr>
          <w:rFonts w:ascii="ITC Avant Garde" w:hAnsi="ITC Avant Garde"/>
          <w:bCs/>
          <w:color w:val="000000"/>
          <w:lang w:val="es-ES" w:eastAsia="es-MX"/>
        </w:rPr>
        <w:t xml:space="preserve"> hubiere cumplido con las condiciones previstas en la Asignación </w:t>
      </w:r>
      <w:r w:rsidR="00D45295" w:rsidRPr="00303C65">
        <w:rPr>
          <w:rFonts w:ascii="ITC Avant Garde" w:hAnsi="ITC Avant Garde"/>
          <w:bCs/>
          <w:color w:val="000000"/>
          <w:lang w:val="es-ES" w:eastAsia="es-MX"/>
        </w:rPr>
        <w:t>cuya vigencia</w:t>
      </w:r>
      <w:r w:rsidR="00A270C8" w:rsidRPr="00303C65">
        <w:rPr>
          <w:rFonts w:ascii="ITC Avant Garde" w:hAnsi="ITC Avant Garde"/>
          <w:bCs/>
          <w:color w:val="000000"/>
          <w:lang w:val="es-ES" w:eastAsia="es-MX"/>
        </w:rPr>
        <w:t xml:space="preserve"> se </w:t>
      </w:r>
      <w:r w:rsidR="009903A5" w:rsidRPr="00303C65">
        <w:rPr>
          <w:rFonts w:ascii="ITC Avant Garde" w:hAnsi="ITC Avant Garde"/>
          <w:bCs/>
          <w:color w:val="000000"/>
          <w:lang w:val="es-ES" w:eastAsia="es-MX"/>
        </w:rPr>
        <w:t xml:space="preserve">pretende </w:t>
      </w:r>
      <w:r w:rsidR="00A270C8" w:rsidRPr="00303C65">
        <w:rPr>
          <w:rFonts w:ascii="ITC Avant Garde" w:hAnsi="ITC Avant Garde"/>
          <w:bCs/>
          <w:color w:val="000000"/>
          <w:lang w:val="es-ES" w:eastAsia="es-MX"/>
        </w:rPr>
        <w:t>prorrogar</w:t>
      </w:r>
      <w:r w:rsidR="00355981" w:rsidRPr="00303C65">
        <w:rPr>
          <w:rFonts w:ascii="ITC Avant Garde" w:hAnsi="ITC Avant Garde"/>
          <w:bCs/>
          <w:color w:val="000000"/>
          <w:lang w:val="es-ES" w:eastAsia="es-MX"/>
        </w:rPr>
        <w:t xml:space="preserve">, la </w:t>
      </w:r>
      <w:r w:rsidR="000978F9" w:rsidRPr="00303C65">
        <w:rPr>
          <w:rFonts w:ascii="ITC Avant Garde" w:hAnsi="ITC Avant Garde"/>
          <w:bCs/>
          <w:color w:val="000000"/>
          <w:lang w:val="es-ES" w:eastAsia="es-MX"/>
        </w:rPr>
        <w:t xml:space="preserve">entonces </w:t>
      </w:r>
      <w:r w:rsidR="00355981" w:rsidRPr="00303C65">
        <w:rPr>
          <w:rFonts w:ascii="ITC Avant Garde" w:hAnsi="ITC Avant Garde"/>
          <w:bCs/>
          <w:color w:val="000000"/>
          <w:lang w:val="es-ES" w:eastAsia="es-MX"/>
        </w:rPr>
        <w:t>Unidad de Servicios</w:t>
      </w:r>
      <w:r w:rsidR="000978F9" w:rsidRPr="00303C65">
        <w:rPr>
          <w:rFonts w:ascii="ITC Avant Garde" w:hAnsi="ITC Avant Garde"/>
          <w:bCs/>
          <w:color w:val="000000"/>
          <w:lang w:val="es-ES" w:eastAsia="es-MX"/>
        </w:rPr>
        <w:t xml:space="preserve"> a la Industria</w:t>
      </w:r>
      <w:r w:rsidR="00355981" w:rsidRPr="00303C65">
        <w:rPr>
          <w:rFonts w:ascii="ITC Avant Garde" w:hAnsi="ITC Avant Garde"/>
          <w:bCs/>
          <w:color w:val="000000"/>
          <w:lang w:val="es-ES" w:eastAsia="es-MX"/>
        </w:rPr>
        <w:t xml:space="preserve"> </w:t>
      </w:r>
      <w:r w:rsidR="000978F9" w:rsidRPr="00303C65">
        <w:rPr>
          <w:rFonts w:ascii="ITC Avant Garde" w:hAnsi="ITC Avant Garde"/>
          <w:bCs/>
          <w:color w:val="000000"/>
          <w:lang w:val="es-ES" w:eastAsia="es-MX"/>
        </w:rPr>
        <w:t>de la Comisión</w:t>
      </w:r>
      <w:r w:rsidR="002C5EED" w:rsidRPr="00303C65">
        <w:rPr>
          <w:rFonts w:ascii="ITC Avant Garde" w:hAnsi="ITC Avant Garde"/>
          <w:bCs/>
          <w:color w:val="000000"/>
          <w:lang w:val="es-ES" w:eastAsia="es-MX"/>
        </w:rPr>
        <w:t>,</w:t>
      </w:r>
      <w:r w:rsidR="000978F9" w:rsidRPr="00303C65">
        <w:rPr>
          <w:rFonts w:ascii="ITC Avant Garde" w:hAnsi="ITC Avant Garde"/>
          <w:bCs/>
          <w:color w:val="000000"/>
          <w:lang w:val="es-ES" w:eastAsia="es-MX"/>
        </w:rPr>
        <w:t xml:space="preserve"> </w:t>
      </w:r>
      <w:r w:rsidR="00355981" w:rsidRPr="00303C65">
        <w:rPr>
          <w:rFonts w:ascii="ITC Avant Garde" w:hAnsi="ITC Avant Garde"/>
          <w:bCs/>
          <w:color w:val="000000"/>
          <w:lang w:val="es-ES" w:eastAsia="es-MX"/>
        </w:rPr>
        <w:t xml:space="preserve">a través de la Dirección General de </w:t>
      </w:r>
      <w:r w:rsidR="000978F9" w:rsidRPr="00303C65">
        <w:rPr>
          <w:rFonts w:ascii="ITC Avant Garde" w:hAnsi="ITC Avant Garde"/>
          <w:bCs/>
          <w:color w:val="000000"/>
          <w:lang w:val="es-ES" w:eastAsia="es-MX"/>
        </w:rPr>
        <w:t>Redes</w:t>
      </w:r>
      <w:r w:rsidR="003202B0" w:rsidRPr="00303C65">
        <w:rPr>
          <w:rFonts w:ascii="ITC Avant Garde" w:hAnsi="ITC Avant Garde"/>
          <w:bCs/>
          <w:color w:val="000000"/>
          <w:lang w:val="es-ES" w:eastAsia="es-MX"/>
        </w:rPr>
        <w:t>,</w:t>
      </w:r>
      <w:r w:rsidR="000978F9" w:rsidRPr="00303C65">
        <w:rPr>
          <w:rFonts w:ascii="ITC Avant Garde" w:hAnsi="ITC Avant Garde"/>
          <w:bCs/>
          <w:color w:val="000000"/>
          <w:lang w:val="es-ES" w:eastAsia="es-MX"/>
        </w:rPr>
        <w:t xml:space="preserve"> Espectro y Servicios “A”</w:t>
      </w:r>
      <w:r w:rsidR="002C5EED" w:rsidRPr="00303C65">
        <w:rPr>
          <w:rFonts w:ascii="ITC Avant Garde" w:hAnsi="ITC Avant Garde"/>
          <w:bCs/>
          <w:color w:val="000000"/>
          <w:lang w:val="es-ES" w:eastAsia="es-MX"/>
        </w:rPr>
        <w:t>,</w:t>
      </w:r>
      <w:r w:rsidR="00355981" w:rsidRPr="00303C65">
        <w:rPr>
          <w:rFonts w:ascii="ITC Avant Garde" w:hAnsi="ITC Avant Garde"/>
          <w:bCs/>
          <w:color w:val="000000"/>
          <w:lang w:val="es-ES" w:eastAsia="es-MX"/>
        </w:rPr>
        <w:t xml:space="preserve"> con oficio </w:t>
      </w:r>
      <w:r w:rsidR="000978F9" w:rsidRPr="00303C65">
        <w:rPr>
          <w:rFonts w:ascii="ITC Avant Garde" w:hAnsi="ITC Avant Garde"/>
          <w:bCs/>
          <w:color w:val="000000"/>
          <w:lang w:val="es-ES" w:eastAsia="es-MX"/>
        </w:rPr>
        <w:lastRenderedPageBreak/>
        <w:t>C</w:t>
      </w:r>
      <w:r w:rsidR="00355981" w:rsidRPr="00303C65">
        <w:rPr>
          <w:rFonts w:ascii="ITC Avant Garde" w:hAnsi="ITC Avant Garde"/>
          <w:bCs/>
          <w:color w:val="000000"/>
          <w:lang w:val="es-ES" w:eastAsia="es-MX"/>
        </w:rPr>
        <w:t>FT/</w:t>
      </w:r>
      <w:r w:rsidR="000978F9" w:rsidRPr="00303C65">
        <w:rPr>
          <w:rFonts w:ascii="ITC Avant Garde" w:hAnsi="ITC Avant Garde"/>
          <w:bCs/>
          <w:color w:val="000000"/>
          <w:lang w:val="es-ES" w:eastAsia="es-MX"/>
        </w:rPr>
        <w:t>D0</w:t>
      </w:r>
      <w:r w:rsidR="00355981" w:rsidRPr="00303C65">
        <w:rPr>
          <w:rFonts w:ascii="ITC Avant Garde" w:hAnsi="ITC Avant Garde"/>
          <w:bCs/>
          <w:color w:val="000000"/>
          <w:lang w:val="es-ES" w:eastAsia="es-MX"/>
        </w:rPr>
        <w:t>3/US</w:t>
      </w:r>
      <w:r w:rsidR="000978F9" w:rsidRPr="00303C65">
        <w:rPr>
          <w:rFonts w:ascii="ITC Avant Garde" w:hAnsi="ITC Avant Garde"/>
          <w:bCs/>
          <w:color w:val="000000"/>
          <w:lang w:val="es-ES" w:eastAsia="es-MX"/>
        </w:rPr>
        <w:t>I</w:t>
      </w:r>
      <w:r w:rsidR="00355981" w:rsidRPr="00303C65">
        <w:rPr>
          <w:rFonts w:ascii="ITC Avant Garde" w:hAnsi="ITC Avant Garde"/>
          <w:bCs/>
          <w:color w:val="000000"/>
          <w:lang w:val="es-ES" w:eastAsia="es-MX"/>
        </w:rPr>
        <w:t>/DG</w:t>
      </w:r>
      <w:r w:rsidR="000978F9" w:rsidRPr="00303C65">
        <w:rPr>
          <w:rFonts w:ascii="ITC Avant Garde" w:hAnsi="ITC Avant Garde"/>
          <w:bCs/>
          <w:color w:val="000000"/>
          <w:lang w:val="es-ES" w:eastAsia="es-MX"/>
        </w:rPr>
        <w:t>A</w:t>
      </w:r>
      <w:r w:rsidR="00355981" w:rsidRPr="00303C65">
        <w:rPr>
          <w:rFonts w:ascii="ITC Avant Garde" w:hAnsi="ITC Avant Garde"/>
          <w:bCs/>
          <w:color w:val="000000"/>
          <w:lang w:val="es-ES" w:eastAsia="es-MX"/>
        </w:rPr>
        <w:t>/</w:t>
      </w:r>
      <w:r w:rsidR="000978F9" w:rsidRPr="00303C65">
        <w:rPr>
          <w:rFonts w:ascii="ITC Avant Garde" w:hAnsi="ITC Avant Garde"/>
          <w:bCs/>
          <w:color w:val="000000"/>
          <w:lang w:val="es-ES" w:eastAsia="es-MX"/>
        </w:rPr>
        <w:t>0063</w:t>
      </w:r>
      <w:r w:rsidR="00355981" w:rsidRPr="00303C65">
        <w:rPr>
          <w:rFonts w:ascii="ITC Avant Garde" w:hAnsi="ITC Avant Garde"/>
          <w:bCs/>
          <w:color w:val="000000"/>
          <w:lang w:val="es-ES" w:eastAsia="es-MX"/>
        </w:rPr>
        <w:t>/201</w:t>
      </w:r>
      <w:r w:rsidR="000978F9" w:rsidRPr="00303C65">
        <w:rPr>
          <w:rFonts w:ascii="ITC Avant Garde" w:hAnsi="ITC Avant Garde"/>
          <w:bCs/>
          <w:color w:val="000000"/>
          <w:lang w:val="es-ES" w:eastAsia="es-MX"/>
        </w:rPr>
        <w:t>1</w:t>
      </w:r>
      <w:r w:rsidR="00355981" w:rsidRPr="00303C65">
        <w:rPr>
          <w:rFonts w:ascii="ITC Avant Garde" w:hAnsi="ITC Avant Garde"/>
          <w:bCs/>
          <w:color w:val="000000"/>
          <w:lang w:val="es-ES" w:eastAsia="es-MX"/>
        </w:rPr>
        <w:t xml:space="preserve"> de fecha </w:t>
      </w:r>
      <w:r w:rsidR="000978F9" w:rsidRPr="00303C65">
        <w:rPr>
          <w:rFonts w:ascii="ITC Avant Garde" w:hAnsi="ITC Avant Garde"/>
          <w:bCs/>
          <w:color w:val="000000"/>
          <w:lang w:val="es-ES" w:eastAsia="es-MX"/>
        </w:rPr>
        <w:t>18 de enero de 2011</w:t>
      </w:r>
      <w:r w:rsidR="00355981" w:rsidRPr="00303C65">
        <w:rPr>
          <w:rFonts w:ascii="ITC Avant Garde" w:hAnsi="ITC Avant Garde"/>
          <w:bCs/>
          <w:color w:val="000000"/>
          <w:lang w:val="es-ES" w:eastAsia="es-MX"/>
        </w:rPr>
        <w:t xml:space="preserve">, solicitó a la </w:t>
      </w:r>
      <w:r w:rsidR="000978F9" w:rsidRPr="00303C65">
        <w:rPr>
          <w:rFonts w:ascii="ITC Avant Garde" w:hAnsi="ITC Avant Garde"/>
          <w:bCs/>
          <w:color w:val="000000"/>
          <w:lang w:val="es-ES" w:eastAsia="es-MX"/>
        </w:rPr>
        <w:t xml:space="preserve">entonces </w:t>
      </w:r>
      <w:r w:rsidR="00355981" w:rsidRPr="00303C65">
        <w:rPr>
          <w:rFonts w:ascii="ITC Avant Garde" w:hAnsi="ITC Avant Garde"/>
          <w:bCs/>
          <w:color w:val="000000"/>
          <w:lang w:val="es-ES" w:eastAsia="es-MX"/>
        </w:rPr>
        <w:t xml:space="preserve">Unidad de </w:t>
      </w:r>
      <w:r w:rsidR="000978F9" w:rsidRPr="00303C65">
        <w:rPr>
          <w:rFonts w:ascii="ITC Avant Garde" w:hAnsi="ITC Avant Garde"/>
          <w:bCs/>
          <w:color w:val="000000"/>
          <w:lang w:val="es-ES" w:eastAsia="es-MX"/>
        </w:rPr>
        <w:t>Supervisión y Verificación</w:t>
      </w:r>
      <w:r w:rsidR="00AD2CF2" w:rsidRPr="00303C65">
        <w:rPr>
          <w:rFonts w:ascii="ITC Avant Garde" w:hAnsi="ITC Avant Garde"/>
          <w:bCs/>
          <w:color w:val="000000"/>
          <w:lang w:val="es-ES" w:eastAsia="es-MX"/>
        </w:rPr>
        <w:t xml:space="preserve"> de la Comisión</w:t>
      </w:r>
      <w:r w:rsidR="00355981" w:rsidRPr="00303C65">
        <w:rPr>
          <w:rFonts w:ascii="ITC Avant Garde" w:hAnsi="ITC Avant Garde"/>
          <w:bCs/>
          <w:color w:val="000000"/>
          <w:lang w:val="es-ES" w:eastAsia="es-MX"/>
        </w:rPr>
        <w:t xml:space="preserve"> </w:t>
      </w:r>
      <w:r w:rsidR="002F109E" w:rsidRPr="00303C65">
        <w:rPr>
          <w:rFonts w:ascii="ITC Avant Garde" w:hAnsi="ITC Avant Garde"/>
          <w:bCs/>
          <w:color w:val="000000"/>
          <w:lang w:val="es-ES" w:eastAsia="es-MX"/>
        </w:rPr>
        <w:t>determinar el cu</w:t>
      </w:r>
      <w:r w:rsidR="00355981" w:rsidRPr="00303C65">
        <w:rPr>
          <w:rFonts w:ascii="ITC Avant Garde" w:hAnsi="ITC Avant Garde"/>
          <w:bCs/>
          <w:color w:val="000000"/>
          <w:lang w:val="es-ES" w:eastAsia="es-MX"/>
        </w:rPr>
        <w:t>mplimiento de obligaciones derivadas de la Asignación.</w:t>
      </w:r>
    </w:p>
    <w:p w14:paraId="372DD85C" w14:textId="77777777" w:rsidR="00303C65" w:rsidRPr="00303C65" w:rsidRDefault="007A1BE3" w:rsidP="00303C65">
      <w:pPr>
        <w:autoSpaceDE w:val="0"/>
        <w:autoSpaceDN w:val="0"/>
        <w:adjustRightInd w:val="0"/>
        <w:spacing w:before="240" w:line="240" w:lineRule="auto"/>
        <w:jc w:val="both"/>
        <w:rPr>
          <w:rFonts w:ascii="ITC Avant Garde" w:eastAsia="Times New Roman" w:hAnsi="ITC Avant Garde"/>
          <w:bCs/>
          <w:lang w:val="es-ES" w:eastAsia="es-ES"/>
        </w:rPr>
      </w:pPr>
      <w:r w:rsidRPr="00303C65">
        <w:rPr>
          <w:rFonts w:ascii="ITC Avant Garde" w:eastAsia="Times New Roman" w:hAnsi="ITC Avant Garde"/>
          <w:bCs/>
          <w:lang w:val="es-ES" w:eastAsia="es-ES"/>
        </w:rPr>
        <w:t xml:space="preserve">Al respecto, la Unidad de </w:t>
      </w:r>
      <w:r w:rsidR="00AD2CF2" w:rsidRPr="00303C65">
        <w:rPr>
          <w:rFonts w:ascii="ITC Avant Garde" w:hAnsi="ITC Avant Garde"/>
          <w:bCs/>
          <w:color w:val="000000"/>
          <w:lang w:val="es-ES" w:eastAsia="es-MX"/>
        </w:rPr>
        <w:t>Supervisión y Verificación</w:t>
      </w:r>
      <w:r w:rsidR="002F109E" w:rsidRPr="00303C65">
        <w:rPr>
          <w:rFonts w:ascii="ITC Avant Garde" w:hAnsi="ITC Avant Garde"/>
          <w:bCs/>
          <w:color w:val="000000"/>
          <w:lang w:val="es-ES" w:eastAsia="es-MX"/>
        </w:rPr>
        <w:t>,</w:t>
      </w:r>
      <w:r w:rsidR="00894C00" w:rsidRPr="00303C65">
        <w:rPr>
          <w:rFonts w:ascii="ITC Avant Garde" w:hAnsi="ITC Avant Garde"/>
          <w:bCs/>
        </w:rPr>
        <w:t xml:space="preserve"> </w:t>
      </w:r>
      <w:r w:rsidR="00890723" w:rsidRPr="00303C65">
        <w:rPr>
          <w:rFonts w:ascii="ITC Avant Garde" w:eastAsia="Times New Roman" w:hAnsi="ITC Avant Garde"/>
          <w:bCs/>
          <w:lang w:val="es-ES" w:eastAsia="es-ES"/>
        </w:rPr>
        <w:t xml:space="preserve">mediante el oficio </w:t>
      </w:r>
      <w:r w:rsidR="00AD2CF2" w:rsidRPr="00303C65">
        <w:rPr>
          <w:rFonts w:ascii="ITC Avant Garde" w:eastAsia="Times New Roman" w:hAnsi="ITC Avant Garde"/>
          <w:bCs/>
          <w:lang w:val="es-ES" w:eastAsia="es-ES"/>
        </w:rPr>
        <w:t>CFT/D04/USV/620/2013</w:t>
      </w:r>
      <w:r w:rsidR="00890723" w:rsidRPr="00303C65">
        <w:rPr>
          <w:rFonts w:ascii="ITC Avant Garde" w:eastAsia="Times New Roman" w:hAnsi="ITC Avant Garde"/>
          <w:bCs/>
          <w:lang w:val="es-ES" w:eastAsia="es-ES"/>
        </w:rPr>
        <w:t xml:space="preserve"> notificado el </w:t>
      </w:r>
      <w:r w:rsidR="00AD2CF2" w:rsidRPr="00303C65">
        <w:rPr>
          <w:rFonts w:ascii="ITC Avant Garde" w:eastAsia="Times New Roman" w:hAnsi="ITC Avant Garde"/>
          <w:bCs/>
          <w:lang w:val="es-ES" w:eastAsia="es-ES"/>
        </w:rPr>
        <w:t>27</w:t>
      </w:r>
      <w:r w:rsidR="00890723" w:rsidRPr="00303C65">
        <w:rPr>
          <w:rFonts w:ascii="ITC Avant Garde" w:eastAsia="Times New Roman" w:hAnsi="ITC Avant Garde"/>
          <w:bCs/>
          <w:lang w:val="es-ES" w:eastAsia="es-ES"/>
        </w:rPr>
        <w:t xml:space="preserve"> de </w:t>
      </w:r>
      <w:r w:rsidR="00AD2CF2" w:rsidRPr="00303C65">
        <w:rPr>
          <w:rFonts w:ascii="ITC Avant Garde" w:eastAsia="Times New Roman" w:hAnsi="ITC Avant Garde"/>
          <w:bCs/>
          <w:lang w:val="es-ES" w:eastAsia="es-ES"/>
        </w:rPr>
        <w:t xml:space="preserve">agosto </w:t>
      </w:r>
      <w:r w:rsidR="00890723" w:rsidRPr="00303C65">
        <w:rPr>
          <w:rFonts w:ascii="ITC Avant Garde" w:eastAsia="Times New Roman" w:hAnsi="ITC Avant Garde"/>
          <w:bCs/>
          <w:lang w:val="es-ES" w:eastAsia="es-ES"/>
        </w:rPr>
        <w:t>de 201</w:t>
      </w:r>
      <w:r w:rsidR="00AD2CF2" w:rsidRPr="00303C65">
        <w:rPr>
          <w:rFonts w:ascii="ITC Avant Garde" w:eastAsia="Times New Roman" w:hAnsi="ITC Avant Garde"/>
          <w:bCs/>
          <w:lang w:val="es-ES" w:eastAsia="es-ES"/>
        </w:rPr>
        <w:t>3</w:t>
      </w:r>
      <w:r w:rsidR="00890723" w:rsidRPr="00303C65">
        <w:rPr>
          <w:rFonts w:ascii="ITC Avant Garde" w:eastAsia="Times New Roman" w:hAnsi="ITC Avant Garde"/>
          <w:bCs/>
          <w:lang w:val="es-ES" w:eastAsia="es-ES"/>
        </w:rPr>
        <w:t xml:space="preserve"> a la Unidad de Servicios</w:t>
      </w:r>
      <w:r w:rsidR="00AD2CF2" w:rsidRPr="00303C65">
        <w:rPr>
          <w:rFonts w:ascii="ITC Avant Garde" w:eastAsia="Times New Roman" w:hAnsi="ITC Avant Garde"/>
          <w:bCs/>
          <w:lang w:val="es-ES" w:eastAsia="es-ES"/>
        </w:rPr>
        <w:t xml:space="preserve"> a la Industria</w:t>
      </w:r>
      <w:r w:rsidR="00890723" w:rsidRPr="00303C65">
        <w:rPr>
          <w:rFonts w:ascii="ITC Avant Garde" w:eastAsia="Times New Roman" w:hAnsi="ITC Avant Garde"/>
          <w:bCs/>
          <w:lang w:val="es-ES" w:eastAsia="es-ES"/>
        </w:rPr>
        <w:t xml:space="preserve">, </w:t>
      </w:r>
      <w:r w:rsidRPr="00303C65">
        <w:rPr>
          <w:rFonts w:ascii="ITC Avant Garde" w:eastAsia="Times New Roman" w:hAnsi="ITC Avant Garde"/>
          <w:bCs/>
          <w:lang w:val="es-ES" w:eastAsia="es-ES"/>
        </w:rPr>
        <w:t xml:space="preserve">emitió </w:t>
      </w:r>
      <w:r w:rsidR="002F109E" w:rsidRPr="00303C65">
        <w:rPr>
          <w:rFonts w:ascii="ITC Avant Garde" w:eastAsia="Times New Roman" w:hAnsi="ITC Avant Garde"/>
          <w:bCs/>
          <w:lang w:val="es-ES" w:eastAsia="es-ES"/>
        </w:rPr>
        <w:t>el dictamen correspondiente</w:t>
      </w:r>
      <w:r w:rsidR="00890723" w:rsidRPr="00303C65">
        <w:rPr>
          <w:rFonts w:ascii="ITC Avant Garde" w:eastAsia="Times New Roman" w:hAnsi="ITC Avant Garde"/>
          <w:bCs/>
          <w:lang w:val="es-ES" w:eastAsia="es-ES"/>
        </w:rPr>
        <w:t xml:space="preserve">, </w:t>
      </w:r>
      <w:r w:rsidR="00894C00" w:rsidRPr="00303C65">
        <w:rPr>
          <w:rFonts w:ascii="ITC Avant Garde" w:eastAsia="Times New Roman" w:hAnsi="ITC Avant Garde"/>
          <w:bCs/>
          <w:lang w:val="es-ES" w:eastAsia="es-ES"/>
        </w:rPr>
        <w:t>manifest</w:t>
      </w:r>
      <w:r w:rsidR="009A3E6C" w:rsidRPr="00303C65">
        <w:rPr>
          <w:rFonts w:ascii="ITC Avant Garde" w:eastAsia="Times New Roman" w:hAnsi="ITC Avant Garde"/>
          <w:bCs/>
          <w:lang w:val="es-ES" w:eastAsia="es-ES"/>
        </w:rPr>
        <w:t>ando</w:t>
      </w:r>
      <w:r w:rsidR="00080D10" w:rsidRPr="00303C65">
        <w:rPr>
          <w:rFonts w:ascii="ITC Avant Garde" w:eastAsia="Times New Roman" w:hAnsi="ITC Avant Garde"/>
          <w:bCs/>
          <w:lang w:val="es-ES" w:eastAsia="es-ES"/>
        </w:rPr>
        <w:t xml:space="preserve"> </w:t>
      </w:r>
      <w:r w:rsidR="009A3E6C" w:rsidRPr="00303C65">
        <w:rPr>
          <w:rFonts w:ascii="ITC Avant Garde" w:eastAsia="Times New Roman" w:hAnsi="ITC Avant Garde"/>
          <w:bCs/>
          <w:lang w:val="es-ES" w:eastAsia="es-ES"/>
        </w:rPr>
        <w:t>que PEMEX se encontraba</w:t>
      </w:r>
      <w:r w:rsidR="002F109E" w:rsidRPr="00303C65">
        <w:rPr>
          <w:rFonts w:ascii="ITC Avant Garde" w:eastAsia="Times New Roman" w:hAnsi="ITC Avant Garde"/>
          <w:bCs/>
          <w:lang w:val="es-ES" w:eastAsia="es-ES"/>
        </w:rPr>
        <w:t>, a esa fecha,</w:t>
      </w:r>
      <w:r w:rsidR="009A3E6C" w:rsidRPr="00303C65">
        <w:rPr>
          <w:rFonts w:ascii="ITC Avant Garde" w:eastAsia="Times New Roman" w:hAnsi="ITC Avant Garde"/>
          <w:bCs/>
          <w:lang w:val="es-ES" w:eastAsia="es-ES"/>
        </w:rPr>
        <w:t xml:space="preserve"> al corriente en el cumplimiento de obligaciones</w:t>
      </w:r>
      <w:r w:rsidR="002F109E" w:rsidRPr="00303C65">
        <w:rPr>
          <w:rFonts w:ascii="ITC Avant Garde" w:eastAsia="Times New Roman" w:hAnsi="ITC Avant Garde"/>
          <w:bCs/>
          <w:lang w:val="es-ES" w:eastAsia="es-ES"/>
        </w:rPr>
        <w:t xml:space="preserve"> monetarias</w:t>
      </w:r>
      <w:r w:rsidR="009A3E6C" w:rsidRPr="00303C65">
        <w:rPr>
          <w:rFonts w:ascii="ITC Avant Garde" w:eastAsia="Times New Roman" w:hAnsi="ITC Avant Garde"/>
          <w:bCs/>
          <w:lang w:val="es-ES" w:eastAsia="es-ES"/>
        </w:rPr>
        <w:t>.</w:t>
      </w:r>
    </w:p>
    <w:p w14:paraId="3CD11AFA" w14:textId="77777777" w:rsidR="00303C65" w:rsidRPr="00303C65" w:rsidRDefault="000A16B7" w:rsidP="00303C65">
      <w:pPr>
        <w:autoSpaceDE w:val="0"/>
        <w:autoSpaceDN w:val="0"/>
        <w:adjustRightInd w:val="0"/>
        <w:spacing w:before="240" w:line="240" w:lineRule="auto"/>
        <w:jc w:val="both"/>
        <w:rPr>
          <w:rFonts w:ascii="ITC Avant Garde" w:hAnsi="ITC Avant Garde"/>
          <w:bCs/>
        </w:rPr>
      </w:pPr>
      <w:r w:rsidRPr="00303C65">
        <w:rPr>
          <w:rFonts w:ascii="ITC Avant Garde" w:eastAsia="Times New Roman" w:hAnsi="ITC Avant Garde"/>
          <w:bCs/>
          <w:lang w:val="es-ES" w:eastAsia="es-ES"/>
        </w:rPr>
        <w:t xml:space="preserve">Por lo que se refiere </w:t>
      </w:r>
      <w:r w:rsidRPr="00303C65">
        <w:rPr>
          <w:rFonts w:ascii="ITC Avant Garde" w:hAnsi="ITC Avant Garde"/>
          <w:bCs/>
        </w:rPr>
        <w:t xml:space="preserve">al segundo requisito establecido en </w:t>
      </w:r>
      <w:r w:rsidRPr="00303C65">
        <w:rPr>
          <w:rFonts w:ascii="ITC Avant Garde" w:eastAsia="Times New Roman" w:hAnsi="ITC Avant Garde"/>
          <w:bCs/>
          <w:lang w:val="es-ES" w:eastAsia="es-ES"/>
        </w:rPr>
        <w:t>el artículo 19 de la LFT</w:t>
      </w:r>
      <w:r w:rsidRPr="00303C65">
        <w:rPr>
          <w:rFonts w:ascii="ITC Avant Garde" w:hAnsi="ITC Avant Garde"/>
          <w:bCs/>
        </w:rPr>
        <w:t xml:space="preserve">, el cual </w:t>
      </w:r>
      <w:r w:rsidR="00BE2E8A" w:rsidRPr="00303C65">
        <w:rPr>
          <w:rFonts w:ascii="ITC Avant Garde" w:hAnsi="ITC Avant Garde"/>
          <w:bCs/>
        </w:rPr>
        <w:t>señala</w:t>
      </w:r>
      <w:r w:rsidR="007B4186" w:rsidRPr="00303C65">
        <w:rPr>
          <w:rFonts w:ascii="ITC Avant Garde" w:hAnsi="ITC Avant Garde"/>
          <w:bCs/>
        </w:rPr>
        <w:t>ba</w:t>
      </w:r>
      <w:r w:rsidR="00BE2E8A" w:rsidRPr="00303C65">
        <w:rPr>
          <w:rFonts w:ascii="ITC Avant Garde" w:hAnsi="ITC Avant Garde"/>
          <w:bCs/>
        </w:rPr>
        <w:t xml:space="preserve"> que la solicitud </w:t>
      </w:r>
      <w:r w:rsidR="007B4186" w:rsidRPr="00303C65">
        <w:rPr>
          <w:rFonts w:ascii="ITC Avant Garde" w:hAnsi="ITC Avant Garde"/>
          <w:bCs/>
        </w:rPr>
        <w:t xml:space="preserve">de prórroga </w:t>
      </w:r>
      <w:r w:rsidR="00BE2E8A" w:rsidRPr="00303C65">
        <w:rPr>
          <w:rFonts w:ascii="ITC Avant Garde" w:hAnsi="ITC Avant Garde"/>
          <w:bCs/>
        </w:rPr>
        <w:t>debía presentarse</w:t>
      </w:r>
      <w:r w:rsidR="009D55EF" w:rsidRPr="00303C65">
        <w:rPr>
          <w:rFonts w:ascii="ITC Avant Garde" w:hAnsi="ITC Avant Garde"/>
          <w:bCs/>
        </w:rPr>
        <w:t xml:space="preserve"> antes del inicio de la última quinta parte del plazo de vigencia de la Asignación; </w:t>
      </w:r>
      <w:r w:rsidR="007B4186" w:rsidRPr="00303C65">
        <w:rPr>
          <w:rFonts w:ascii="ITC Avant Garde" w:hAnsi="ITC Avant Garde"/>
          <w:bCs/>
        </w:rPr>
        <w:t>la Unidad de Concesiones y Servicios</w:t>
      </w:r>
      <w:r w:rsidR="00CC1D22" w:rsidRPr="00303C65">
        <w:rPr>
          <w:rFonts w:ascii="ITC Avant Garde" w:hAnsi="ITC Avant Garde"/>
          <w:bCs/>
        </w:rPr>
        <w:t>,</w:t>
      </w:r>
      <w:r w:rsidR="007B4186" w:rsidRPr="00303C65">
        <w:rPr>
          <w:rFonts w:ascii="ITC Avant Garde" w:hAnsi="ITC Avant Garde"/>
          <w:bCs/>
        </w:rPr>
        <w:t xml:space="preserve"> a través de la Dirección General de Concesiones de Telecomunicaciones, </w:t>
      </w:r>
      <w:r w:rsidR="009D55EF" w:rsidRPr="00303C65">
        <w:rPr>
          <w:rFonts w:ascii="ITC Avant Garde" w:eastAsia="Times New Roman" w:hAnsi="ITC Avant Garde"/>
          <w:bCs/>
          <w:lang w:val="es-ES" w:eastAsia="es-ES"/>
        </w:rPr>
        <w:t xml:space="preserve">con la finalidad de establecer con exactitud la fecha límite en que </w:t>
      </w:r>
      <w:r w:rsidR="00FF59BB" w:rsidRPr="00303C65">
        <w:rPr>
          <w:rFonts w:ascii="ITC Avant Garde" w:eastAsia="Times New Roman" w:hAnsi="ITC Avant Garde"/>
          <w:bCs/>
          <w:lang w:val="es-ES" w:eastAsia="es-ES"/>
        </w:rPr>
        <w:t>PEMEX</w:t>
      </w:r>
      <w:r w:rsidR="009D55EF" w:rsidRPr="00303C65">
        <w:rPr>
          <w:rFonts w:ascii="ITC Avant Garde" w:eastAsia="Times New Roman" w:hAnsi="ITC Avant Garde"/>
          <w:bCs/>
          <w:lang w:val="es-ES" w:eastAsia="es-ES"/>
        </w:rPr>
        <w:t xml:space="preserve"> deb</w:t>
      </w:r>
      <w:r w:rsidR="007B4186" w:rsidRPr="00303C65">
        <w:rPr>
          <w:rFonts w:ascii="ITC Avant Garde" w:eastAsia="Times New Roman" w:hAnsi="ITC Avant Garde"/>
          <w:bCs/>
          <w:lang w:val="es-ES" w:eastAsia="es-ES"/>
        </w:rPr>
        <w:t>ía</w:t>
      </w:r>
      <w:r w:rsidR="009D55EF" w:rsidRPr="00303C65">
        <w:rPr>
          <w:rFonts w:ascii="ITC Avant Garde" w:eastAsia="Times New Roman" w:hAnsi="ITC Avant Garde"/>
          <w:bCs/>
          <w:lang w:val="es-ES" w:eastAsia="es-ES"/>
        </w:rPr>
        <w:t xml:space="preserve"> presentar la </w:t>
      </w:r>
      <w:r w:rsidR="009D55EF" w:rsidRPr="00303C65">
        <w:rPr>
          <w:rFonts w:ascii="ITC Avant Garde" w:hAnsi="ITC Avant Garde"/>
          <w:bCs/>
        </w:rPr>
        <w:t xml:space="preserve">Solicitud de Prórroga, </w:t>
      </w:r>
      <w:r w:rsidR="007B4186" w:rsidRPr="00303C65">
        <w:rPr>
          <w:rFonts w:ascii="ITC Avant Garde" w:hAnsi="ITC Avant Garde"/>
          <w:bCs/>
        </w:rPr>
        <w:t xml:space="preserve">llevó a cabo </w:t>
      </w:r>
      <w:r w:rsidR="00CF1932" w:rsidRPr="00303C65">
        <w:rPr>
          <w:rFonts w:ascii="ITC Avant Garde" w:hAnsi="ITC Avant Garde"/>
          <w:bCs/>
        </w:rPr>
        <w:t>el</w:t>
      </w:r>
      <w:r w:rsidR="007B4186" w:rsidRPr="00303C65">
        <w:rPr>
          <w:rFonts w:ascii="ITC Avant Garde" w:hAnsi="ITC Avant Garde"/>
          <w:bCs/>
        </w:rPr>
        <w:t xml:space="preserve"> cálculo</w:t>
      </w:r>
      <w:r w:rsidR="00CF1932" w:rsidRPr="00303C65">
        <w:rPr>
          <w:rFonts w:ascii="ITC Avant Garde" w:hAnsi="ITC Avant Garde"/>
          <w:bCs/>
        </w:rPr>
        <w:t xml:space="preserve"> </w:t>
      </w:r>
      <w:r w:rsidR="000B1C9A" w:rsidRPr="00303C65">
        <w:rPr>
          <w:rFonts w:ascii="ITC Avant Garde" w:hAnsi="ITC Avant Garde"/>
          <w:bCs/>
        </w:rPr>
        <w:t>siguiente:</w:t>
      </w:r>
    </w:p>
    <w:p w14:paraId="78C9B4CA" w14:textId="77777777" w:rsidR="00303C65" w:rsidRPr="00303C65" w:rsidRDefault="001609A7"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L</w:t>
      </w:r>
      <w:r w:rsidR="00F6784B" w:rsidRPr="00303C65">
        <w:rPr>
          <w:rFonts w:ascii="ITC Avant Garde" w:hAnsi="ITC Avant Garde"/>
          <w:bCs/>
        </w:rPr>
        <w:t xml:space="preserve">a vigencia de la </w:t>
      </w:r>
      <w:r w:rsidR="00F6784B" w:rsidRPr="00303C65">
        <w:rPr>
          <w:rFonts w:ascii="ITC Avant Garde" w:eastAsia="Times New Roman" w:hAnsi="ITC Avant Garde"/>
          <w:bCs/>
          <w:lang w:val="es-ES" w:eastAsia="es-ES"/>
        </w:rPr>
        <w:t xml:space="preserve">Asignación </w:t>
      </w:r>
      <w:r w:rsidR="007B4186" w:rsidRPr="00303C65">
        <w:rPr>
          <w:rFonts w:ascii="ITC Avant Garde" w:eastAsia="Times New Roman" w:hAnsi="ITC Avant Garde"/>
          <w:bCs/>
          <w:lang w:val="es-ES" w:eastAsia="es-ES"/>
        </w:rPr>
        <w:t>fue</w:t>
      </w:r>
      <w:r w:rsidR="00F6784B" w:rsidRPr="00303C65">
        <w:rPr>
          <w:rFonts w:ascii="ITC Avant Garde" w:eastAsia="Times New Roman" w:hAnsi="ITC Avant Garde"/>
          <w:bCs/>
          <w:lang w:val="es-ES" w:eastAsia="es-ES"/>
        </w:rPr>
        <w:t xml:space="preserve"> </w:t>
      </w:r>
      <w:r w:rsidR="00A44B80" w:rsidRPr="00303C65">
        <w:rPr>
          <w:rFonts w:ascii="ITC Avant Garde" w:eastAsia="Times New Roman" w:hAnsi="ITC Avant Garde"/>
          <w:bCs/>
          <w:lang w:val="es-ES" w:eastAsia="es-ES"/>
        </w:rPr>
        <w:t>de 4</w:t>
      </w:r>
      <w:r w:rsidR="007B4186" w:rsidRPr="00303C65">
        <w:rPr>
          <w:rFonts w:ascii="ITC Avant Garde" w:eastAsia="Times New Roman" w:hAnsi="ITC Avant Garde"/>
          <w:bCs/>
          <w:lang w:val="es-ES" w:eastAsia="es-ES"/>
        </w:rPr>
        <w:t xml:space="preserve"> </w:t>
      </w:r>
      <w:r w:rsidR="00B13FCB" w:rsidRPr="00303C65">
        <w:rPr>
          <w:rFonts w:ascii="ITC Avant Garde" w:eastAsia="Times New Roman" w:hAnsi="ITC Avant Garde"/>
          <w:bCs/>
          <w:lang w:val="es-ES" w:eastAsia="es-ES"/>
        </w:rPr>
        <w:t xml:space="preserve">(cuatro) </w:t>
      </w:r>
      <w:r w:rsidR="007B4186" w:rsidRPr="00303C65">
        <w:rPr>
          <w:rFonts w:ascii="ITC Avant Garde" w:eastAsia="Times New Roman" w:hAnsi="ITC Avant Garde"/>
          <w:bCs/>
          <w:lang w:val="es-ES" w:eastAsia="es-ES"/>
        </w:rPr>
        <w:t xml:space="preserve">años </w:t>
      </w:r>
      <w:r w:rsidR="000B1C9A" w:rsidRPr="00303C65">
        <w:rPr>
          <w:rFonts w:ascii="ITC Avant Garde" w:eastAsia="Times New Roman" w:hAnsi="ITC Avant Garde"/>
          <w:bCs/>
          <w:lang w:val="es-ES" w:eastAsia="es-ES"/>
        </w:rPr>
        <w:t xml:space="preserve">contados </w:t>
      </w:r>
      <w:r w:rsidR="007B4186" w:rsidRPr="00303C65">
        <w:rPr>
          <w:rFonts w:ascii="ITC Avant Garde" w:eastAsia="Times New Roman" w:hAnsi="ITC Avant Garde"/>
          <w:bCs/>
          <w:lang w:val="es-ES" w:eastAsia="es-ES"/>
        </w:rPr>
        <w:t>a partir d</w:t>
      </w:r>
      <w:r w:rsidR="00F6784B" w:rsidRPr="00303C65">
        <w:rPr>
          <w:rFonts w:ascii="ITC Avant Garde" w:eastAsia="Times New Roman" w:hAnsi="ITC Avant Garde"/>
          <w:bCs/>
          <w:lang w:val="es-ES" w:eastAsia="es-ES"/>
        </w:rPr>
        <w:t xml:space="preserve">el </w:t>
      </w:r>
      <w:r w:rsidR="00A44B80" w:rsidRPr="00303C65">
        <w:rPr>
          <w:rFonts w:ascii="ITC Avant Garde" w:eastAsia="Times New Roman" w:hAnsi="ITC Avant Garde"/>
          <w:bCs/>
          <w:lang w:val="es-ES" w:eastAsia="es-ES"/>
        </w:rPr>
        <w:t>21 de septiembre de 2007</w:t>
      </w:r>
      <w:r w:rsidR="007B4186" w:rsidRPr="00303C65">
        <w:rPr>
          <w:rFonts w:ascii="ITC Avant Garde" w:eastAsia="Times New Roman" w:hAnsi="ITC Avant Garde"/>
          <w:bCs/>
          <w:lang w:val="es-ES" w:eastAsia="es-ES"/>
        </w:rPr>
        <w:t>,</w:t>
      </w:r>
      <w:r w:rsidR="00F6784B" w:rsidRPr="00303C65">
        <w:rPr>
          <w:rFonts w:ascii="ITC Avant Garde" w:eastAsia="Times New Roman" w:hAnsi="ITC Avant Garde"/>
          <w:bCs/>
          <w:lang w:val="es-ES" w:eastAsia="es-ES"/>
        </w:rPr>
        <w:t xml:space="preserve"> mismos que vencieron el </w:t>
      </w:r>
      <w:r w:rsidR="00A44B80" w:rsidRPr="00303C65">
        <w:rPr>
          <w:rFonts w:ascii="ITC Avant Garde" w:eastAsia="Times New Roman" w:hAnsi="ITC Avant Garde"/>
          <w:bCs/>
          <w:lang w:val="es-ES" w:eastAsia="es-ES"/>
        </w:rPr>
        <w:t>21 de septiembre de 2011</w:t>
      </w:r>
      <w:r w:rsidR="00F6784B" w:rsidRPr="00303C65">
        <w:rPr>
          <w:rFonts w:ascii="ITC Avant Garde" w:eastAsia="Times New Roman" w:hAnsi="ITC Avant Garde"/>
          <w:bCs/>
          <w:lang w:val="es-ES" w:eastAsia="es-ES"/>
        </w:rPr>
        <w:t xml:space="preserve">, por lo que a la fecha de </w:t>
      </w:r>
      <w:r w:rsidR="009D55EF" w:rsidRPr="00303C65">
        <w:rPr>
          <w:rFonts w:ascii="ITC Avant Garde" w:eastAsia="Times New Roman" w:hAnsi="ITC Avant Garde"/>
          <w:bCs/>
          <w:lang w:val="es-ES" w:eastAsia="es-ES"/>
        </w:rPr>
        <w:t>vencimiento se le resta</w:t>
      </w:r>
      <w:r w:rsidRPr="00303C65">
        <w:rPr>
          <w:rFonts w:ascii="ITC Avant Garde" w:eastAsia="Times New Roman" w:hAnsi="ITC Avant Garde"/>
          <w:bCs/>
          <w:lang w:val="es-ES" w:eastAsia="es-ES"/>
        </w:rPr>
        <w:t xml:space="preserve">n 292 días que corresponden a </w:t>
      </w:r>
      <w:r w:rsidR="00F6784B" w:rsidRPr="00303C65">
        <w:rPr>
          <w:rFonts w:ascii="ITC Avant Garde" w:eastAsia="Times New Roman" w:hAnsi="ITC Avant Garde"/>
          <w:bCs/>
          <w:lang w:val="es-ES" w:eastAsia="es-ES"/>
        </w:rPr>
        <w:t>la úl</w:t>
      </w:r>
      <w:r w:rsidRPr="00303C65">
        <w:rPr>
          <w:rFonts w:ascii="ITC Avant Garde" w:eastAsia="Times New Roman" w:hAnsi="ITC Avant Garde"/>
          <w:bCs/>
          <w:lang w:val="es-ES" w:eastAsia="es-ES"/>
        </w:rPr>
        <w:t>tima quinta parte del plazo de</w:t>
      </w:r>
      <w:r w:rsidR="00F6784B" w:rsidRPr="00303C65">
        <w:rPr>
          <w:rFonts w:ascii="ITC Avant Garde" w:eastAsia="Times New Roman" w:hAnsi="ITC Avant Garde"/>
          <w:bCs/>
          <w:lang w:val="es-ES" w:eastAsia="es-ES"/>
        </w:rPr>
        <w:t xml:space="preserve"> vigencia</w:t>
      </w:r>
      <w:r w:rsidR="009D55EF" w:rsidRPr="00303C65">
        <w:rPr>
          <w:rFonts w:ascii="ITC Avant Garde" w:eastAsia="Times New Roman" w:hAnsi="ITC Avant Garde"/>
          <w:bCs/>
          <w:lang w:val="es-ES" w:eastAsia="es-ES"/>
        </w:rPr>
        <w:t>,</w:t>
      </w:r>
      <w:r w:rsidR="00F6784B" w:rsidRPr="00303C65">
        <w:rPr>
          <w:rFonts w:ascii="ITC Avant Garde" w:eastAsia="Times New Roman" w:hAnsi="ITC Avant Garde"/>
          <w:bCs/>
          <w:lang w:val="es-ES" w:eastAsia="es-ES"/>
        </w:rPr>
        <w:t xml:space="preserve"> </w:t>
      </w:r>
      <w:r w:rsidR="009D55EF" w:rsidRPr="00303C65">
        <w:rPr>
          <w:rFonts w:ascii="ITC Avant Garde" w:eastAsia="Times New Roman" w:hAnsi="ITC Avant Garde"/>
          <w:bCs/>
          <w:lang w:val="es-ES" w:eastAsia="es-ES"/>
        </w:rPr>
        <w:t xml:space="preserve">lo que da como resultado el </w:t>
      </w:r>
      <w:r w:rsidR="00A44B80" w:rsidRPr="00303C65">
        <w:rPr>
          <w:rFonts w:ascii="ITC Avant Garde" w:eastAsia="Times New Roman" w:hAnsi="ITC Avant Garde"/>
          <w:bCs/>
          <w:lang w:val="es-ES" w:eastAsia="es-ES"/>
        </w:rPr>
        <w:t>3 de diciembre de 2010</w:t>
      </w:r>
      <w:r w:rsidR="009D55EF" w:rsidRPr="00303C65">
        <w:rPr>
          <w:rFonts w:ascii="ITC Avant Garde" w:eastAsia="Times New Roman" w:hAnsi="ITC Avant Garde"/>
          <w:bCs/>
          <w:lang w:val="es-ES" w:eastAsia="es-ES"/>
        </w:rPr>
        <w:t xml:space="preserve">; </w:t>
      </w:r>
      <w:r w:rsidR="007B4186" w:rsidRPr="00303C65">
        <w:rPr>
          <w:rFonts w:ascii="ITC Avant Garde" w:eastAsia="Times New Roman" w:hAnsi="ITC Avant Garde"/>
          <w:bCs/>
          <w:lang w:val="es-ES" w:eastAsia="es-ES"/>
        </w:rPr>
        <w:t>en ese sentido</w:t>
      </w:r>
      <w:r w:rsidR="00A17A41" w:rsidRPr="00303C65">
        <w:rPr>
          <w:rFonts w:ascii="ITC Avant Garde" w:eastAsia="Times New Roman" w:hAnsi="ITC Avant Garde"/>
          <w:bCs/>
          <w:lang w:val="es-ES" w:eastAsia="es-ES"/>
        </w:rPr>
        <w:t>,</w:t>
      </w:r>
      <w:r w:rsidR="007B4186" w:rsidRPr="00303C65">
        <w:rPr>
          <w:rFonts w:ascii="ITC Avant Garde" w:eastAsia="Times New Roman" w:hAnsi="ITC Avant Garde"/>
          <w:bCs/>
          <w:lang w:val="es-ES" w:eastAsia="es-ES"/>
        </w:rPr>
        <w:t xml:space="preserve"> y toda vez que la </w:t>
      </w:r>
      <w:r w:rsidR="007B4186" w:rsidRPr="00303C65">
        <w:rPr>
          <w:rFonts w:ascii="ITC Avant Garde" w:hAnsi="ITC Avant Garde"/>
          <w:bCs/>
        </w:rPr>
        <w:t xml:space="preserve">Solicitud de Prórroga se </w:t>
      </w:r>
      <w:r w:rsidR="007B4186" w:rsidRPr="00303C65">
        <w:rPr>
          <w:rFonts w:ascii="ITC Avant Garde" w:eastAsia="Times New Roman" w:hAnsi="ITC Avant Garde"/>
          <w:bCs/>
          <w:lang w:val="es-ES" w:eastAsia="es-ES"/>
        </w:rPr>
        <w:t xml:space="preserve">presentó el </w:t>
      </w:r>
      <w:r w:rsidR="00A44B80" w:rsidRPr="00303C65">
        <w:rPr>
          <w:rFonts w:ascii="ITC Avant Garde" w:eastAsia="Times New Roman" w:hAnsi="ITC Avant Garde"/>
          <w:bCs/>
          <w:lang w:val="es-ES" w:eastAsia="es-ES"/>
        </w:rPr>
        <w:t>20 de octubre de 2010</w:t>
      </w:r>
      <w:r w:rsidR="00E02AAE" w:rsidRPr="00303C65">
        <w:rPr>
          <w:rFonts w:ascii="ITC Avant Garde" w:eastAsia="Times New Roman" w:hAnsi="ITC Avant Garde"/>
          <w:bCs/>
          <w:lang w:val="es-ES" w:eastAsia="es-ES"/>
        </w:rPr>
        <w:t>, y fue ratificada por el Subdirector de Infraestructura Tecnológica de PEMEX como ya se señaló en el Antecedente IV de la presente Resolución</w:t>
      </w:r>
      <w:r w:rsidR="00A17A41" w:rsidRPr="00303C65">
        <w:rPr>
          <w:rFonts w:ascii="ITC Avant Garde" w:eastAsia="Times New Roman" w:hAnsi="ITC Avant Garde"/>
          <w:bCs/>
          <w:lang w:val="es-ES" w:eastAsia="es-ES"/>
        </w:rPr>
        <w:t>,</w:t>
      </w:r>
      <w:r w:rsidR="009D55EF" w:rsidRPr="00303C65">
        <w:rPr>
          <w:rFonts w:ascii="ITC Avant Garde" w:eastAsia="Times New Roman" w:hAnsi="ITC Avant Garde"/>
          <w:bCs/>
          <w:lang w:val="es-ES" w:eastAsia="es-ES"/>
        </w:rPr>
        <w:t xml:space="preserve"> se concluye que </w:t>
      </w:r>
      <w:r w:rsidR="000A16B7" w:rsidRPr="00303C65">
        <w:rPr>
          <w:rFonts w:ascii="ITC Avant Garde" w:hAnsi="ITC Avant Garde"/>
          <w:bCs/>
        </w:rPr>
        <w:t>la misma</w:t>
      </w:r>
      <w:r w:rsidR="007B4186" w:rsidRPr="00303C65">
        <w:rPr>
          <w:rFonts w:ascii="ITC Avant Garde" w:eastAsia="Times New Roman" w:hAnsi="ITC Avant Garde"/>
          <w:bCs/>
          <w:lang w:val="es-ES" w:eastAsia="es-ES"/>
        </w:rPr>
        <w:t xml:space="preserve"> fue presentada dentro del plazo establecido para tales efectos</w:t>
      </w:r>
      <w:r w:rsidR="000A16B7" w:rsidRPr="00303C65">
        <w:rPr>
          <w:rFonts w:ascii="ITC Avant Garde" w:eastAsia="Times New Roman" w:hAnsi="ITC Avant Garde"/>
          <w:bCs/>
          <w:lang w:val="es-ES" w:eastAsia="es-ES"/>
        </w:rPr>
        <w:t xml:space="preserve">, por lo que se </w:t>
      </w:r>
      <w:r w:rsidR="000A16B7" w:rsidRPr="00303C65">
        <w:rPr>
          <w:rFonts w:ascii="ITC Avant Garde" w:hAnsi="ITC Avant Garde"/>
          <w:bCs/>
        </w:rPr>
        <w:t>tiene por cumplido dicho requisito.</w:t>
      </w:r>
    </w:p>
    <w:p w14:paraId="728F6EE9" w14:textId="77777777" w:rsidR="00303C65" w:rsidRPr="00303C65" w:rsidRDefault="000A16B7" w:rsidP="00303C65">
      <w:pPr>
        <w:autoSpaceDE w:val="0"/>
        <w:autoSpaceDN w:val="0"/>
        <w:adjustRightInd w:val="0"/>
        <w:spacing w:before="240" w:line="240" w:lineRule="auto"/>
        <w:jc w:val="both"/>
        <w:rPr>
          <w:rFonts w:ascii="ITC Avant Garde" w:eastAsia="Times New Roman" w:hAnsi="ITC Avant Garde"/>
          <w:bCs/>
          <w:lang w:val="es-ES" w:eastAsia="es-ES"/>
        </w:rPr>
      </w:pPr>
      <w:r w:rsidRPr="00303C65">
        <w:rPr>
          <w:rFonts w:ascii="ITC Avant Garde" w:eastAsia="Times New Roman" w:hAnsi="ITC Avant Garde"/>
          <w:bCs/>
          <w:lang w:val="es-ES" w:eastAsia="es-ES"/>
        </w:rPr>
        <w:t xml:space="preserve">En cuanto al tercer y último requisito establecido en el ordenamiento </w:t>
      </w:r>
      <w:r w:rsidR="00B13FCB" w:rsidRPr="00303C65">
        <w:rPr>
          <w:rFonts w:ascii="ITC Avant Garde" w:eastAsia="Times New Roman" w:hAnsi="ITC Avant Garde"/>
          <w:bCs/>
          <w:lang w:val="es-ES" w:eastAsia="es-ES"/>
        </w:rPr>
        <w:t>antes señalado, éste se cumplirá una vez que PEMEX acepte de manera expresa e indubitable las</w:t>
      </w:r>
      <w:r w:rsidRPr="00303C65">
        <w:rPr>
          <w:rFonts w:ascii="ITC Avant Garde" w:eastAsia="Times New Roman" w:hAnsi="ITC Avant Garde"/>
          <w:bCs/>
          <w:lang w:val="es-ES" w:eastAsia="es-ES"/>
        </w:rPr>
        <w:t xml:space="preserve"> nuevas condiciones que </w:t>
      </w:r>
      <w:r w:rsidR="00B13FCB" w:rsidRPr="00303C65">
        <w:rPr>
          <w:rFonts w:ascii="ITC Avant Garde" w:eastAsia="Times New Roman" w:hAnsi="ITC Avant Garde"/>
          <w:bCs/>
          <w:lang w:val="es-ES" w:eastAsia="es-ES"/>
        </w:rPr>
        <w:t xml:space="preserve">al efecto </w:t>
      </w:r>
      <w:r w:rsidRPr="00303C65">
        <w:rPr>
          <w:rFonts w:ascii="ITC Avant Garde" w:eastAsia="Times New Roman" w:hAnsi="ITC Avant Garde"/>
          <w:bCs/>
          <w:lang w:val="es-ES" w:eastAsia="es-ES"/>
        </w:rPr>
        <w:t>establezca el Instituto</w:t>
      </w:r>
      <w:r w:rsidR="00E47515" w:rsidRPr="00303C65">
        <w:rPr>
          <w:rFonts w:ascii="ITC Avant Garde" w:eastAsia="Times New Roman" w:hAnsi="ITC Avant Garde"/>
          <w:bCs/>
          <w:lang w:val="es-ES" w:eastAsia="es-ES"/>
        </w:rPr>
        <w:t xml:space="preserve">. </w:t>
      </w:r>
      <w:r w:rsidR="00E47515" w:rsidRPr="00303C65">
        <w:rPr>
          <w:rFonts w:ascii="ITC Avant Garde" w:hAnsi="ITC Avant Garde"/>
          <w:bCs/>
          <w:color w:val="000000"/>
          <w:lang w:eastAsia="es-MX"/>
        </w:rPr>
        <w:t>Entre las nuevas condiciones que deberá aceptar PEMEX</w:t>
      </w:r>
      <w:r w:rsidR="00A17A41" w:rsidRPr="00303C65">
        <w:rPr>
          <w:rFonts w:ascii="ITC Avant Garde" w:hAnsi="ITC Avant Garde"/>
          <w:bCs/>
          <w:color w:val="000000"/>
          <w:lang w:eastAsia="es-MX"/>
        </w:rPr>
        <w:t>,</w:t>
      </w:r>
      <w:r w:rsidR="00E47515" w:rsidRPr="00303C65">
        <w:rPr>
          <w:rFonts w:ascii="ITC Avant Garde" w:hAnsi="ITC Avant Garde"/>
          <w:bCs/>
          <w:color w:val="000000"/>
          <w:lang w:eastAsia="es-MX"/>
        </w:rPr>
        <w:t xml:space="preserve"> se encuentran los términos y las cond</w:t>
      </w:r>
      <w:r w:rsidR="00A17A41" w:rsidRPr="00303C65">
        <w:rPr>
          <w:rFonts w:ascii="ITC Avant Garde" w:hAnsi="ITC Avant Garde"/>
          <w:bCs/>
          <w:color w:val="000000"/>
          <w:lang w:eastAsia="es-MX"/>
        </w:rPr>
        <w:t xml:space="preserve">iciones técnico-operativas del título de concesión de espectro radioeléctrico </w:t>
      </w:r>
      <w:r w:rsidR="00E47515" w:rsidRPr="00303C65">
        <w:rPr>
          <w:rFonts w:ascii="ITC Avant Garde" w:hAnsi="ITC Avant Garde"/>
          <w:bCs/>
          <w:color w:val="000000"/>
          <w:lang w:eastAsia="es-MX"/>
        </w:rPr>
        <w:t xml:space="preserve">y el otorgamiento de la concesión única </w:t>
      </w:r>
      <w:r w:rsidR="00A17A41" w:rsidRPr="00303C65">
        <w:rPr>
          <w:rFonts w:ascii="ITC Avant Garde" w:hAnsi="ITC Avant Garde"/>
          <w:bCs/>
          <w:color w:val="000000"/>
          <w:lang w:eastAsia="es-MX"/>
        </w:rPr>
        <w:t xml:space="preserve">ambos </w:t>
      </w:r>
      <w:r w:rsidR="00E47515" w:rsidRPr="00303C65">
        <w:rPr>
          <w:rFonts w:ascii="ITC Avant Garde" w:hAnsi="ITC Avant Garde"/>
          <w:bCs/>
          <w:color w:val="000000"/>
          <w:lang w:eastAsia="es-MX"/>
        </w:rPr>
        <w:t>para uso público</w:t>
      </w:r>
      <w:r w:rsidR="00A17A41" w:rsidRPr="00303C65">
        <w:rPr>
          <w:rFonts w:ascii="ITC Avant Garde" w:hAnsi="ITC Avant Garde"/>
          <w:bCs/>
          <w:color w:val="000000"/>
          <w:lang w:eastAsia="es-MX"/>
        </w:rPr>
        <w:t>, que en su caso otorgue el Instituto</w:t>
      </w:r>
      <w:r w:rsidR="00E47515" w:rsidRPr="00303C65">
        <w:rPr>
          <w:rFonts w:ascii="ITC Avant Garde" w:eastAsia="Times New Roman" w:hAnsi="ITC Avant Garde"/>
          <w:bCs/>
          <w:lang w:val="es-ES" w:eastAsia="es-ES"/>
        </w:rPr>
        <w:t>.</w:t>
      </w:r>
    </w:p>
    <w:p w14:paraId="7CC3A903" w14:textId="77777777" w:rsidR="00303C65" w:rsidRPr="00303C65" w:rsidRDefault="000A16B7" w:rsidP="00303C65">
      <w:pPr>
        <w:autoSpaceDE w:val="0"/>
        <w:autoSpaceDN w:val="0"/>
        <w:adjustRightInd w:val="0"/>
        <w:spacing w:before="240" w:line="240" w:lineRule="auto"/>
        <w:jc w:val="both"/>
        <w:rPr>
          <w:rFonts w:ascii="ITC Avant Garde" w:hAnsi="ITC Avant Garde"/>
        </w:rPr>
      </w:pPr>
      <w:r w:rsidRPr="00303C65">
        <w:rPr>
          <w:rFonts w:ascii="ITC Avant Garde" w:hAnsi="ITC Avant Garde"/>
        </w:rPr>
        <w:t xml:space="preserve">En este sentido, se estima conveniente que en el supuesto de que en la presente Resolución se autorice la prórroga de vigencia, ésta deberá estar sujeta a la condición suspensiva relativa a que </w:t>
      </w:r>
      <w:r w:rsidR="003F40CC" w:rsidRPr="00303C65">
        <w:rPr>
          <w:rFonts w:ascii="ITC Avant Garde" w:hAnsi="ITC Avant Garde"/>
        </w:rPr>
        <w:t>P</w:t>
      </w:r>
      <w:r w:rsidR="00C851F2" w:rsidRPr="00303C65">
        <w:rPr>
          <w:rFonts w:ascii="ITC Avant Garde" w:hAnsi="ITC Avant Garde"/>
        </w:rPr>
        <w:t xml:space="preserve">EMEX </w:t>
      </w:r>
      <w:r w:rsidRPr="00303C65">
        <w:rPr>
          <w:rFonts w:ascii="ITC Avant Garde" w:hAnsi="ITC Avant Garde"/>
        </w:rPr>
        <w:t>acepte las nuevas condiciones</w:t>
      </w:r>
      <w:r w:rsidR="00CC1D22" w:rsidRPr="00303C65">
        <w:rPr>
          <w:rFonts w:ascii="ITC Avant Garde" w:hAnsi="ITC Avant Garde"/>
        </w:rPr>
        <w:t>.</w:t>
      </w:r>
      <w:r w:rsidRPr="00303C65">
        <w:rPr>
          <w:rFonts w:ascii="ITC Avant Garde" w:hAnsi="ITC Avant Garde"/>
        </w:rPr>
        <w:t xml:space="preserve"> </w:t>
      </w:r>
      <w:r w:rsidR="00CC1D22" w:rsidRPr="00303C65">
        <w:rPr>
          <w:rFonts w:ascii="ITC Avant Garde" w:hAnsi="ITC Avant Garde"/>
        </w:rPr>
        <w:t>P</w:t>
      </w:r>
      <w:r w:rsidRPr="00303C65">
        <w:rPr>
          <w:rFonts w:ascii="ITC Avant Garde" w:hAnsi="ITC Avant Garde"/>
        </w:rPr>
        <w:t xml:space="preserve">ara tal efecto, la Unidad de Concesiones y Servicios deberá someter a consideración del solicitante los proyectos de los </w:t>
      </w:r>
      <w:r w:rsidRPr="00303C65">
        <w:rPr>
          <w:rFonts w:ascii="ITC Avant Garde" w:hAnsi="ITC Avant Garde"/>
          <w:bCs/>
        </w:rPr>
        <w:t xml:space="preserve">títulos antes mencionados </w:t>
      </w:r>
      <w:r w:rsidRPr="00303C65">
        <w:rPr>
          <w:rFonts w:ascii="ITC Avant Garde" w:hAnsi="ITC Avant Garde"/>
        </w:rPr>
        <w:t>con la finalidad de recabar su aceptación.</w:t>
      </w:r>
    </w:p>
    <w:p w14:paraId="6ED062A6" w14:textId="77777777" w:rsidR="00303C65" w:rsidRPr="00303C65" w:rsidRDefault="000A16B7" w:rsidP="00303C65">
      <w:pPr>
        <w:autoSpaceDE w:val="0"/>
        <w:autoSpaceDN w:val="0"/>
        <w:adjustRightInd w:val="0"/>
        <w:spacing w:before="240" w:line="240" w:lineRule="auto"/>
        <w:jc w:val="both"/>
        <w:rPr>
          <w:rFonts w:ascii="ITC Avant Garde" w:hAnsi="ITC Avant Garde"/>
        </w:rPr>
      </w:pPr>
      <w:r w:rsidRPr="00303C65">
        <w:rPr>
          <w:rFonts w:ascii="ITC Avant Garde" w:hAnsi="ITC Avant Garde"/>
        </w:rPr>
        <w:t xml:space="preserve">Lo anterior, en el entendido que de no recibirse la aceptación lisa y llana correspondiente por parte de </w:t>
      </w:r>
      <w:r w:rsidR="00C851F2" w:rsidRPr="00303C65">
        <w:rPr>
          <w:rFonts w:ascii="ITC Avant Garde" w:hAnsi="ITC Avant Garde"/>
        </w:rPr>
        <w:t>PEMEX</w:t>
      </w:r>
      <w:r w:rsidRPr="00303C65">
        <w:rPr>
          <w:rFonts w:ascii="ITC Avant Garde" w:hAnsi="ITC Avant Garde"/>
        </w:rPr>
        <w:t>, la prórroga que en su caso se emita en la presente Resolución no surtirá efectos.</w:t>
      </w:r>
    </w:p>
    <w:p w14:paraId="35A43035" w14:textId="77777777" w:rsidR="00303C65" w:rsidRPr="00303C65" w:rsidRDefault="00A53BDA" w:rsidP="00303C65">
      <w:pPr>
        <w:autoSpaceDE w:val="0"/>
        <w:autoSpaceDN w:val="0"/>
        <w:adjustRightInd w:val="0"/>
        <w:spacing w:before="240" w:line="240" w:lineRule="auto"/>
        <w:jc w:val="both"/>
        <w:rPr>
          <w:rFonts w:ascii="ITC Avant Garde" w:eastAsia="Times New Roman" w:hAnsi="ITC Avant Garde"/>
          <w:bCs/>
          <w:lang w:val="es-ES" w:eastAsia="es-ES"/>
        </w:rPr>
      </w:pPr>
      <w:r w:rsidRPr="00303C65">
        <w:rPr>
          <w:rFonts w:ascii="ITC Avant Garde" w:eastAsia="Times New Roman" w:hAnsi="ITC Avant Garde"/>
          <w:bCs/>
          <w:lang w:val="es-ES" w:eastAsia="es-ES"/>
        </w:rPr>
        <w:t xml:space="preserve">Por lo que hace </w:t>
      </w:r>
      <w:r w:rsidR="00650524" w:rsidRPr="00303C65">
        <w:rPr>
          <w:rFonts w:ascii="ITC Avant Garde" w:eastAsia="Times New Roman" w:hAnsi="ITC Avant Garde"/>
          <w:bCs/>
          <w:lang w:val="es-ES" w:eastAsia="es-ES"/>
        </w:rPr>
        <w:t>al pago de derechos</w:t>
      </w:r>
      <w:r w:rsidR="002636D3" w:rsidRPr="00303C65">
        <w:rPr>
          <w:rFonts w:ascii="ITC Avant Garde" w:eastAsia="Times New Roman" w:hAnsi="ITC Avant Garde"/>
          <w:bCs/>
          <w:lang w:val="es-ES" w:eastAsia="es-ES"/>
        </w:rPr>
        <w:t xml:space="preserve"> por la Solicitud de Prórroga</w:t>
      </w:r>
      <w:r w:rsidR="00D54EE1" w:rsidRPr="00303C65">
        <w:rPr>
          <w:rFonts w:ascii="ITC Avant Garde" w:eastAsia="Times New Roman" w:hAnsi="ITC Avant Garde"/>
          <w:bCs/>
          <w:lang w:val="es-ES" w:eastAsia="es-ES"/>
        </w:rPr>
        <w:t xml:space="preserve">, de conformidad con lo </w:t>
      </w:r>
      <w:r w:rsidR="002636D3" w:rsidRPr="00303C65">
        <w:rPr>
          <w:rFonts w:ascii="ITC Avant Garde" w:eastAsia="Times New Roman" w:hAnsi="ITC Avant Garde"/>
          <w:bCs/>
          <w:lang w:val="es-ES" w:eastAsia="es-ES"/>
        </w:rPr>
        <w:t>señalado</w:t>
      </w:r>
      <w:r w:rsidR="00D54EE1" w:rsidRPr="00303C65">
        <w:rPr>
          <w:rFonts w:ascii="ITC Avant Garde" w:eastAsia="Times New Roman" w:hAnsi="ITC Avant Garde"/>
          <w:bCs/>
          <w:lang w:val="es-ES" w:eastAsia="es-ES"/>
        </w:rPr>
        <w:t xml:space="preserve"> por</w:t>
      </w:r>
      <w:r w:rsidR="00650524" w:rsidRPr="00303C65">
        <w:rPr>
          <w:rFonts w:ascii="ITC Avant Garde" w:eastAsia="Times New Roman" w:hAnsi="ITC Avant Garde"/>
          <w:bCs/>
          <w:lang w:val="es-ES" w:eastAsia="es-ES"/>
        </w:rPr>
        <w:t xml:space="preserve"> </w:t>
      </w:r>
      <w:r w:rsidR="00D54EE1" w:rsidRPr="00303C65">
        <w:rPr>
          <w:rFonts w:ascii="ITC Avant Garde" w:eastAsia="Times New Roman" w:hAnsi="ITC Avant Garde"/>
          <w:bCs/>
          <w:lang w:val="es-ES" w:eastAsia="es-ES"/>
        </w:rPr>
        <w:t xml:space="preserve">la Secretaría de Hacienda y Crédito Público </w:t>
      </w:r>
      <w:r w:rsidR="00C851F2" w:rsidRPr="00303C65">
        <w:rPr>
          <w:rFonts w:ascii="ITC Avant Garde" w:eastAsia="Times New Roman" w:hAnsi="ITC Avant Garde"/>
          <w:bCs/>
          <w:lang w:val="es-ES" w:eastAsia="es-ES"/>
        </w:rPr>
        <w:t xml:space="preserve">y que </w:t>
      </w:r>
      <w:r w:rsidR="002636D3" w:rsidRPr="00303C65">
        <w:rPr>
          <w:rFonts w:ascii="ITC Avant Garde" w:eastAsia="Times New Roman" w:hAnsi="ITC Avant Garde"/>
          <w:bCs/>
          <w:lang w:val="es-ES" w:eastAsia="es-ES"/>
        </w:rPr>
        <w:t xml:space="preserve">se menciona </w:t>
      </w:r>
      <w:r w:rsidR="00C851F2" w:rsidRPr="00303C65">
        <w:rPr>
          <w:rFonts w:ascii="ITC Avant Garde" w:eastAsia="Times New Roman" w:hAnsi="ITC Avant Garde"/>
          <w:bCs/>
          <w:lang w:val="es-ES" w:eastAsia="es-ES"/>
        </w:rPr>
        <w:t xml:space="preserve">en el </w:t>
      </w:r>
      <w:r w:rsidR="00D54EE1" w:rsidRPr="00303C65">
        <w:rPr>
          <w:rFonts w:ascii="ITC Avant Garde" w:eastAsia="Times New Roman" w:hAnsi="ITC Avant Garde"/>
          <w:bCs/>
          <w:lang w:val="es-ES" w:eastAsia="es-ES"/>
        </w:rPr>
        <w:t xml:space="preserve">Considerando Segundo de la presente Resolución, al momento de presentar la Solicitud </w:t>
      </w:r>
      <w:r w:rsidR="00D54EE1" w:rsidRPr="00303C65">
        <w:rPr>
          <w:rFonts w:ascii="ITC Avant Garde" w:eastAsia="Times New Roman" w:hAnsi="ITC Avant Garde"/>
          <w:bCs/>
          <w:lang w:val="es-ES" w:eastAsia="es-ES"/>
        </w:rPr>
        <w:lastRenderedPageBreak/>
        <w:t xml:space="preserve">de Prórroga, se consideraba un único pago por la autorización de prórrogas del título de asignación de frecuencias o bandas de frecuencias de uso oficial, </w:t>
      </w:r>
      <w:r w:rsidR="000B0966" w:rsidRPr="00303C65">
        <w:rPr>
          <w:rFonts w:ascii="ITC Avant Garde" w:eastAsia="Times New Roman" w:hAnsi="ITC Avant Garde"/>
          <w:bCs/>
          <w:lang w:val="es-ES" w:eastAsia="es-ES"/>
        </w:rPr>
        <w:t xml:space="preserve">mismo que fue cubierto </w:t>
      </w:r>
      <w:r w:rsidR="00D54EE1" w:rsidRPr="00303C65">
        <w:rPr>
          <w:rFonts w:ascii="ITC Avant Garde" w:eastAsia="Times New Roman" w:hAnsi="ITC Avant Garde"/>
          <w:bCs/>
          <w:lang w:val="es-ES" w:eastAsia="es-ES"/>
        </w:rPr>
        <w:t xml:space="preserve">por </w:t>
      </w:r>
      <w:r w:rsidR="003F40CC" w:rsidRPr="00303C65">
        <w:rPr>
          <w:rFonts w:ascii="ITC Avant Garde" w:eastAsia="Times New Roman" w:hAnsi="ITC Avant Garde"/>
          <w:bCs/>
          <w:lang w:val="es-ES" w:eastAsia="es-ES"/>
        </w:rPr>
        <w:t>P</w:t>
      </w:r>
      <w:r w:rsidR="00C851F2" w:rsidRPr="00303C65">
        <w:rPr>
          <w:rFonts w:ascii="ITC Avant Garde" w:eastAsia="Times New Roman" w:hAnsi="ITC Avant Garde"/>
          <w:bCs/>
          <w:lang w:val="es-ES" w:eastAsia="es-ES"/>
        </w:rPr>
        <w:t xml:space="preserve">EMEX </w:t>
      </w:r>
      <w:r w:rsidR="000B0966" w:rsidRPr="00303C65">
        <w:rPr>
          <w:rFonts w:ascii="ITC Avant Garde" w:eastAsia="Times New Roman" w:hAnsi="ITC Avant Garde"/>
          <w:bCs/>
          <w:lang w:val="es-ES" w:eastAsia="es-ES"/>
        </w:rPr>
        <w:t xml:space="preserve">al presentar </w:t>
      </w:r>
      <w:r w:rsidR="00865850" w:rsidRPr="00303C65">
        <w:rPr>
          <w:rFonts w:ascii="ITC Avant Garde" w:eastAsia="Times New Roman" w:hAnsi="ITC Avant Garde"/>
          <w:bCs/>
          <w:lang w:val="es-ES" w:eastAsia="es-ES"/>
        </w:rPr>
        <w:t xml:space="preserve">adjunto a </w:t>
      </w:r>
      <w:r w:rsidR="000B0966" w:rsidRPr="00303C65">
        <w:rPr>
          <w:rFonts w:ascii="ITC Avant Garde" w:eastAsia="Times New Roman" w:hAnsi="ITC Avant Garde"/>
          <w:bCs/>
          <w:lang w:val="es-ES" w:eastAsia="es-ES"/>
        </w:rPr>
        <w:t xml:space="preserve">dicha solicitud </w:t>
      </w:r>
      <w:r w:rsidR="00D54EE1" w:rsidRPr="00303C65">
        <w:rPr>
          <w:rFonts w:ascii="ITC Avant Garde" w:eastAsia="Times New Roman" w:hAnsi="ITC Avant Garde"/>
          <w:bCs/>
          <w:lang w:val="es-ES" w:eastAsia="es-ES"/>
        </w:rPr>
        <w:t>el comprobante de pago con número de folio</w:t>
      </w:r>
      <w:r w:rsidR="00A17A41" w:rsidRPr="00303C65">
        <w:rPr>
          <w:rFonts w:ascii="ITC Avant Garde" w:eastAsia="Times New Roman" w:hAnsi="ITC Avant Garde"/>
          <w:bCs/>
          <w:lang w:val="es-ES" w:eastAsia="es-ES"/>
        </w:rPr>
        <w:t xml:space="preserve"> 665100006079</w:t>
      </w:r>
      <w:r w:rsidR="00006BAB" w:rsidRPr="00303C65">
        <w:rPr>
          <w:rFonts w:ascii="ITC Avant Garde" w:eastAsia="Times New Roman" w:hAnsi="ITC Avant Garde"/>
          <w:bCs/>
          <w:lang w:val="es-ES" w:eastAsia="es-ES"/>
        </w:rPr>
        <w:t>.</w:t>
      </w:r>
      <w:r w:rsidR="00A17A41" w:rsidRPr="00303C65">
        <w:rPr>
          <w:rFonts w:ascii="ITC Avant Garde" w:eastAsia="Times New Roman" w:hAnsi="ITC Avant Garde"/>
          <w:bCs/>
          <w:lang w:val="es-ES" w:eastAsia="es-ES"/>
        </w:rPr>
        <w:t xml:space="preserve"> </w:t>
      </w:r>
    </w:p>
    <w:p w14:paraId="6DA1A071" w14:textId="575A1353" w:rsidR="00303C65" w:rsidRPr="00303C65" w:rsidRDefault="0014776F" w:rsidP="00303C65">
      <w:pPr>
        <w:autoSpaceDE w:val="0"/>
        <w:autoSpaceDN w:val="0"/>
        <w:adjustRightInd w:val="0"/>
        <w:spacing w:before="240" w:line="240" w:lineRule="auto"/>
        <w:jc w:val="both"/>
        <w:rPr>
          <w:rFonts w:ascii="ITC Avant Garde" w:eastAsia="Times New Roman" w:hAnsi="ITC Avant Garde"/>
          <w:bCs/>
          <w:lang w:val="es-ES" w:eastAsia="es-ES"/>
        </w:rPr>
      </w:pPr>
      <w:r w:rsidRPr="00303C65">
        <w:rPr>
          <w:rFonts w:ascii="ITC Avant Garde" w:eastAsia="Times New Roman" w:hAnsi="ITC Avant Garde"/>
          <w:b/>
          <w:bCs/>
          <w:lang w:val="es-ES" w:eastAsia="es-ES"/>
        </w:rPr>
        <w:t>Quint</w:t>
      </w:r>
      <w:r w:rsidR="000D1A00" w:rsidRPr="00303C65">
        <w:rPr>
          <w:rFonts w:ascii="ITC Avant Garde" w:eastAsia="Times New Roman" w:hAnsi="ITC Avant Garde"/>
          <w:b/>
          <w:bCs/>
          <w:lang w:val="es-ES" w:eastAsia="es-ES"/>
        </w:rPr>
        <w:t>o.- Análisis de la Solicitud de Modificación</w:t>
      </w:r>
      <w:r w:rsidR="005335D6" w:rsidRPr="00303C65">
        <w:rPr>
          <w:rFonts w:ascii="ITC Avant Garde" w:eastAsia="Times New Roman" w:hAnsi="ITC Avant Garde"/>
          <w:b/>
          <w:bCs/>
          <w:lang w:val="es-ES" w:eastAsia="es-ES"/>
        </w:rPr>
        <w:t xml:space="preserve"> y su Alcance</w:t>
      </w:r>
      <w:r w:rsidR="007C3EE2" w:rsidRPr="00303C65">
        <w:rPr>
          <w:rFonts w:ascii="ITC Avant Garde" w:eastAsia="Times New Roman" w:hAnsi="ITC Avant Garde"/>
          <w:b/>
          <w:bCs/>
          <w:lang w:val="es-ES" w:eastAsia="es-ES"/>
        </w:rPr>
        <w:t xml:space="preserve">. </w:t>
      </w:r>
      <w:r w:rsidR="007C3EE2" w:rsidRPr="00303C65">
        <w:rPr>
          <w:rFonts w:ascii="ITC Avant Garde" w:eastAsia="Times New Roman" w:hAnsi="ITC Avant Garde"/>
          <w:bCs/>
          <w:lang w:val="es-ES" w:eastAsia="es-ES"/>
        </w:rPr>
        <w:t>Por lo que hace a</w:t>
      </w:r>
      <w:r w:rsidR="007C3EE2" w:rsidRPr="00303C65">
        <w:rPr>
          <w:rFonts w:ascii="ITC Avant Garde" w:eastAsia="Times New Roman" w:hAnsi="ITC Avant Garde"/>
          <w:b/>
          <w:bCs/>
          <w:lang w:val="es-ES" w:eastAsia="es-ES"/>
        </w:rPr>
        <w:t xml:space="preserve"> </w:t>
      </w:r>
      <w:r w:rsidR="007C3EE2" w:rsidRPr="00303C65">
        <w:rPr>
          <w:rFonts w:ascii="ITC Avant Garde" w:eastAsia="Times New Roman" w:hAnsi="ITC Avant Garde"/>
          <w:bCs/>
          <w:lang w:val="es-ES" w:eastAsia="es-ES"/>
        </w:rPr>
        <w:t>la</w:t>
      </w:r>
      <w:r w:rsidR="008B3013" w:rsidRPr="00303C65">
        <w:rPr>
          <w:rFonts w:ascii="ITC Avant Garde" w:eastAsia="Times New Roman" w:hAnsi="ITC Avant Garde"/>
          <w:bCs/>
          <w:lang w:val="es-ES" w:eastAsia="es-ES"/>
        </w:rPr>
        <w:t xml:space="preserve"> Solicitud de Modific</w:t>
      </w:r>
      <w:r w:rsidR="002B7666" w:rsidRPr="00303C65">
        <w:rPr>
          <w:rFonts w:ascii="ITC Avant Garde" w:eastAsia="Times New Roman" w:hAnsi="ITC Avant Garde"/>
          <w:bCs/>
          <w:lang w:val="es-ES" w:eastAsia="es-ES"/>
        </w:rPr>
        <w:t>ación</w:t>
      </w:r>
      <w:r w:rsidR="000623E8" w:rsidRPr="00303C65">
        <w:rPr>
          <w:rFonts w:ascii="ITC Avant Garde" w:eastAsia="Times New Roman" w:hAnsi="ITC Avant Garde"/>
          <w:bCs/>
          <w:lang w:val="es-ES" w:eastAsia="es-ES"/>
        </w:rPr>
        <w:t>,</w:t>
      </w:r>
      <w:r w:rsidR="007C3EE2" w:rsidRPr="00303C65">
        <w:rPr>
          <w:rFonts w:ascii="ITC Avant Garde" w:eastAsia="Times New Roman" w:hAnsi="ITC Avant Garde"/>
          <w:bCs/>
          <w:lang w:val="es-ES" w:eastAsia="es-ES"/>
        </w:rPr>
        <w:t xml:space="preserve"> en la misma</w:t>
      </w:r>
      <w:r w:rsidR="002B7666" w:rsidRPr="00303C65">
        <w:rPr>
          <w:rFonts w:ascii="ITC Avant Garde" w:eastAsia="Times New Roman" w:hAnsi="ITC Avant Garde"/>
          <w:bCs/>
          <w:lang w:val="es-ES" w:eastAsia="es-ES"/>
        </w:rPr>
        <w:t xml:space="preserve"> se mencion</w:t>
      </w:r>
      <w:r w:rsidR="00B83A93" w:rsidRPr="00303C65">
        <w:rPr>
          <w:rFonts w:ascii="ITC Avant Garde" w:eastAsia="Times New Roman" w:hAnsi="ITC Avant Garde"/>
          <w:bCs/>
          <w:lang w:val="es-ES" w:eastAsia="es-ES"/>
        </w:rPr>
        <w:t>ó</w:t>
      </w:r>
      <w:r w:rsidR="002B7666" w:rsidRPr="00303C65">
        <w:rPr>
          <w:rFonts w:ascii="ITC Avant Garde" w:eastAsia="Times New Roman" w:hAnsi="ITC Avant Garde"/>
          <w:bCs/>
          <w:lang w:val="es-ES" w:eastAsia="es-ES"/>
        </w:rPr>
        <w:t xml:space="preserve"> la necesidad de </w:t>
      </w:r>
      <w:r w:rsidR="00C04AAB" w:rsidRPr="00303C65">
        <w:rPr>
          <w:rFonts w:ascii="ITC Avant Garde" w:eastAsia="Times New Roman" w:hAnsi="ITC Avant Garde"/>
          <w:bCs/>
          <w:lang w:val="es-ES" w:eastAsia="es-ES"/>
        </w:rPr>
        <w:t>ampliar la cobertura de los servicios de la red privada móvil de radiocomunicación especializada de flotillas</w:t>
      </w:r>
      <w:r w:rsidR="00781E83" w:rsidRPr="00303C65">
        <w:rPr>
          <w:rFonts w:ascii="ITC Avant Garde" w:eastAsia="Times New Roman" w:hAnsi="ITC Avant Garde"/>
          <w:bCs/>
          <w:lang w:val="es-ES" w:eastAsia="es-ES"/>
        </w:rPr>
        <w:t xml:space="preserve"> que se tiene autorizada al amparo de la Asignación</w:t>
      </w:r>
      <w:r w:rsidR="00C04AAB" w:rsidRPr="00303C65">
        <w:rPr>
          <w:rFonts w:ascii="ITC Avant Garde" w:eastAsia="Times New Roman" w:hAnsi="ITC Avant Garde"/>
          <w:bCs/>
          <w:lang w:val="es-ES" w:eastAsia="es-ES"/>
        </w:rPr>
        <w:t xml:space="preserve">, </w:t>
      </w:r>
      <w:r w:rsidR="004411D6" w:rsidRPr="00303C65">
        <w:rPr>
          <w:rFonts w:ascii="ITC Avant Garde" w:eastAsia="Times New Roman" w:hAnsi="ITC Avant Garde"/>
          <w:bCs/>
          <w:lang w:val="es-ES" w:eastAsia="es-ES"/>
        </w:rPr>
        <w:t xml:space="preserve">por lo que </w:t>
      </w:r>
      <w:r w:rsidR="00781E83" w:rsidRPr="00303C65">
        <w:rPr>
          <w:rFonts w:ascii="ITC Avant Garde" w:eastAsia="Times New Roman" w:hAnsi="ITC Avant Garde"/>
          <w:bCs/>
          <w:lang w:val="es-ES" w:eastAsia="es-ES"/>
        </w:rPr>
        <w:t xml:space="preserve">PEMEX </w:t>
      </w:r>
      <w:r w:rsidR="00B83A93" w:rsidRPr="00303C65">
        <w:rPr>
          <w:rFonts w:ascii="ITC Avant Garde" w:eastAsia="Times New Roman" w:hAnsi="ITC Avant Garde"/>
          <w:bCs/>
          <w:lang w:val="es-ES" w:eastAsia="es-ES"/>
        </w:rPr>
        <w:t>señaló que requería</w:t>
      </w:r>
      <w:r w:rsidR="004411D6" w:rsidRPr="00303C65">
        <w:rPr>
          <w:rFonts w:ascii="ITC Avant Garde" w:eastAsia="Times New Roman" w:hAnsi="ITC Avant Garde"/>
          <w:bCs/>
          <w:lang w:val="es-ES" w:eastAsia="es-ES"/>
        </w:rPr>
        <w:t xml:space="preserve"> adicionar los siguientes 12 (doce)</w:t>
      </w:r>
      <w:r w:rsidR="00C04AAB" w:rsidRPr="00303C65">
        <w:rPr>
          <w:rFonts w:ascii="ITC Avant Garde" w:eastAsia="Times New Roman" w:hAnsi="ITC Avant Garde"/>
          <w:bCs/>
          <w:lang w:val="es-ES" w:eastAsia="es-ES"/>
        </w:rPr>
        <w:t xml:space="preserve"> sitios de repetición: </w:t>
      </w:r>
      <w:r w:rsidR="00DF465E" w:rsidRPr="00303C65">
        <w:rPr>
          <w:rFonts w:ascii="ITC Avant Garde" w:eastAsia="Times New Roman" w:hAnsi="ITC Avant Garde"/>
          <w:bCs/>
          <w:lang w:val="es-ES" w:eastAsia="es-ES"/>
        </w:rPr>
        <w:t xml:space="preserve">Agua </w:t>
      </w:r>
      <w:r w:rsidR="00B83A93" w:rsidRPr="00303C65">
        <w:rPr>
          <w:rFonts w:ascii="ITC Avant Garde" w:eastAsia="Times New Roman" w:hAnsi="ITC Avant Garde"/>
          <w:bCs/>
          <w:lang w:val="es-ES" w:eastAsia="es-ES"/>
        </w:rPr>
        <w:t>F</w:t>
      </w:r>
      <w:r w:rsidR="00DF465E" w:rsidRPr="00303C65">
        <w:rPr>
          <w:rFonts w:ascii="ITC Avant Garde" w:eastAsia="Times New Roman" w:hAnsi="ITC Avant Garde"/>
          <w:bCs/>
          <w:lang w:val="es-ES" w:eastAsia="es-ES"/>
        </w:rPr>
        <w:t xml:space="preserve">ría, en el Estado de Puebla; </w:t>
      </w:r>
      <w:r w:rsidR="007C3EE2" w:rsidRPr="00303C65">
        <w:rPr>
          <w:rFonts w:ascii="ITC Avant Garde" w:eastAsia="Times New Roman" w:hAnsi="ITC Avant Garde"/>
          <w:bCs/>
          <w:lang w:val="es-ES" w:eastAsia="es-ES"/>
        </w:rPr>
        <w:t xml:space="preserve">Castillo de Teayo, </w:t>
      </w:r>
      <w:r w:rsidR="00DF465E" w:rsidRPr="00303C65">
        <w:rPr>
          <w:rFonts w:ascii="ITC Avant Garde" w:eastAsia="Times New Roman" w:hAnsi="ITC Avant Garde"/>
          <w:bCs/>
          <w:lang w:val="es-ES" w:eastAsia="es-ES"/>
        </w:rPr>
        <w:t xml:space="preserve">El Raudal, Juan Casiano, </w:t>
      </w:r>
      <w:r w:rsidR="007C3EE2" w:rsidRPr="00303C65">
        <w:rPr>
          <w:rFonts w:ascii="ITC Avant Garde" w:eastAsia="Times New Roman" w:hAnsi="ITC Avant Garde"/>
          <w:bCs/>
          <w:lang w:val="es-ES" w:eastAsia="es-ES"/>
        </w:rPr>
        <w:t>La Camelia, Polutla, San Andrés</w:t>
      </w:r>
      <w:r w:rsidR="00DF465E" w:rsidRPr="00303C65">
        <w:rPr>
          <w:rFonts w:ascii="ITC Avant Garde" w:eastAsia="Times New Roman" w:hAnsi="ITC Avant Garde"/>
          <w:bCs/>
          <w:lang w:val="es-ES" w:eastAsia="es-ES"/>
        </w:rPr>
        <w:t xml:space="preserve">, San Pablo, Texisco </w:t>
      </w:r>
      <w:r w:rsidR="007C3EE2" w:rsidRPr="00303C65">
        <w:rPr>
          <w:rFonts w:ascii="ITC Avant Garde" w:eastAsia="Times New Roman" w:hAnsi="ITC Avant Garde"/>
          <w:bCs/>
          <w:lang w:val="es-ES" w:eastAsia="es-ES"/>
        </w:rPr>
        <w:t xml:space="preserve">y </w:t>
      </w:r>
      <w:r w:rsidR="00DF465E" w:rsidRPr="00303C65">
        <w:rPr>
          <w:rFonts w:ascii="ITC Avant Garde" w:eastAsia="Times New Roman" w:hAnsi="ITC Avant Garde"/>
          <w:bCs/>
          <w:lang w:val="es-ES" w:eastAsia="es-ES"/>
        </w:rPr>
        <w:t>Toronjas</w:t>
      </w:r>
      <w:r w:rsidR="00B83A93" w:rsidRPr="00303C65">
        <w:rPr>
          <w:rFonts w:ascii="ITC Avant Garde" w:eastAsia="Times New Roman" w:hAnsi="ITC Avant Garde"/>
          <w:bCs/>
          <w:lang w:val="es-ES" w:eastAsia="es-ES"/>
        </w:rPr>
        <w:t>, todas</w:t>
      </w:r>
      <w:r w:rsidR="00DF465E" w:rsidRPr="00303C65">
        <w:rPr>
          <w:rFonts w:ascii="ITC Avant Garde" w:eastAsia="Times New Roman" w:hAnsi="ITC Avant Garde"/>
          <w:bCs/>
          <w:lang w:val="es-ES" w:eastAsia="es-ES"/>
        </w:rPr>
        <w:t xml:space="preserve"> </w:t>
      </w:r>
      <w:r w:rsidR="007C3EE2" w:rsidRPr="00303C65">
        <w:rPr>
          <w:rFonts w:ascii="ITC Avant Garde" w:eastAsia="Times New Roman" w:hAnsi="ITC Avant Garde"/>
          <w:bCs/>
          <w:lang w:val="es-ES" w:eastAsia="es-ES"/>
        </w:rPr>
        <w:t>en el Estado de Veracruz de Ignacio de la Llave;</w:t>
      </w:r>
      <w:r w:rsidR="00C04AAB" w:rsidRPr="00303C65">
        <w:rPr>
          <w:rFonts w:ascii="ITC Avant Garde" w:eastAsia="Times New Roman" w:hAnsi="ITC Avant Garde"/>
          <w:bCs/>
          <w:lang w:val="es-ES" w:eastAsia="es-ES"/>
        </w:rPr>
        <w:t xml:space="preserve"> Pirineos</w:t>
      </w:r>
      <w:r w:rsidR="00B83A93" w:rsidRPr="00303C65">
        <w:rPr>
          <w:rFonts w:ascii="ITC Avant Garde" w:eastAsia="Times New Roman" w:hAnsi="ITC Avant Garde"/>
          <w:bCs/>
          <w:lang w:val="es-ES" w:eastAsia="es-ES"/>
        </w:rPr>
        <w:t>,</w:t>
      </w:r>
      <w:r w:rsidR="000623E8" w:rsidRPr="00303C65">
        <w:rPr>
          <w:rFonts w:ascii="ITC Avant Garde" w:eastAsia="Times New Roman" w:hAnsi="ITC Avant Garde"/>
          <w:bCs/>
          <w:lang w:val="es-ES" w:eastAsia="es-ES"/>
        </w:rPr>
        <w:t xml:space="preserve"> en el Estado de Coahuila y</w:t>
      </w:r>
      <w:r w:rsidR="00C04AAB" w:rsidRPr="00303C65">
        <w:rPr>
          <w:rFonts w:ascii="ITC Avant Garde" w:eastAsia="Times New Roman" w:hAnsi="ITC Avant Garde"/>
          <w:bCs/>
          <w:lang w:val="es-ES" w:eastAsia="es-ES"/>
        </w:rPr>
        <w:t xml:space="preserve"> Providencia </w:t>
      </w:r>
      <w:r w:rsidR="000623E8" w:rsidRPr="00303C65">
        <w:rPr>
          <w:rFonts w:ascii="ITC Avant Garde" w:eastAsia="Times New Roman" w:hAnsi="ITC Avant Garde"/>
          <w:bCs/>
          <w:lang w:val="es-ES" w:eastAsia="es-ES"/>
        </w:rPr>
        <w:t>en el Estado de Tamaulipas</w:t>
      </w:r>
      <w:r w:rsidR="00B83A93" w:rsidRPr="00303C65">
        <w:rPr>
          <w:rFonts w:ascii="ITC Avant Garde" w:eastAsia="Times New Roman" w:hAnsi="ITC Avant Garde"/>
          <w:bCs/>
          <w:lang w:val="es-ES" w:eastAsia="es-ES"/>
        </w:rPr>
        <w:t>;</w:t>
      </w:r>
      <w:r w:rsidR="004411D6" w:rsidRPr="00303C65">
        <w:rPr>
          <w:rFonts w:ascii="ITC Avant Garde" w:eastAsia="Times New Roman" w:hAnsi="ITC Avant Garde"/>
          <w:bCs/>
          <w:lang w:val="es-ES" w:eastAsia="es-ES"/>
        </w:rPr>
        <w:t xml:space="preserve"> </w:t>
      </w:r>
      <w:r w:rsidR="000623E8" w:rsidRPr="00303C65">
        <w:rPr>
          <w:rFonts w:ascii="ITC Avant Garde" w:eastAsia="Times New Roman" w:hAnsi="ITC Avant Garde"/>
          <w:bCs/>
          <w:lang w:val="es-ES" w:eastAsia="es-ES"/>
        </w:rPr>
        <w:t>asimismo</w:t>
      </w:r>
      <w:r w:rsidR="00B83A93" w:rsidRPr="00303C65">
        <w:rPr>
          <w:rFonts w:ascii="ITC Avant Garde" w:eastAsia="Times New Roman" w:hAnsi="ITC Avant Garde"/>
          <w:bCs/>
          <w:lang w:val="es-ES" w:eastAsia="es-ES"/>
        </w:rPr>
        <w:t>, solicitó</w:t>
      </w:r>
      <w:r w:rsidR="004411D6" w:rsidRPr="00303C65">
        <w:rPr>
          <w:rFonts w:ascii="ITC Avant Garde" w:eastAsia="Times New Roman" w:hAnsi="ITC Avant Garde"/>
          <w:bCs/>
          <w:lang w:val="es-ES" w:eastAsia="es-ES"/>
        </w:rPr>
        <w:t xml:space="preserve"> agregar</w:t>
      </w:r>
      <w:r w:rsidR="002B7666" w:rsidRPr="00303C65">
        <w:rPr>
          <w:rFonts w:ascii="ITC Avant Garde" w:eastAsia="Times New Roman" w:hAnsi="ITC Avant Garde"/>
          <w:bCs/>
          <w:lang w:val="es-ES" w:eastAsia="es-ES"/>
        </w:rPr>
        <w:t xml:space="preserve"> 330</w:t>
      </w:r>
      <w:r w:rsidR="00B83A93" w:rsidRPr="00303C65">
        <w:rPr>
          <w:rFonts w:ascii="ITC Avant Garde" w:eastAsia="Times New Roman" w:hAnsi="ITC Avant Garde"/>
          <w:bCs/>
          <w:lang w:val="es-ES" w:eastAsia="es-ES"/>
        </w:rPr>
        <w:t xml:space="preserve"> (trescientos treinta)</w:t>
      </w:r>
      <w:r w:rsidR="002B7666" w:rsidRPr="00303C65">
        <w:rPr>
          <w:rFonts w:ascii="ITC Avant Garde" w:eastAsia="Times New Roman" w:hAnsi="ITC Avant Garde"/>
          <w:bCs/>
          <w:lang w:val="es-ES" w:eastAsia="es-ES"/>
        </w:rPr>
        <w:t xml:space="preserve"> radios móviles y 1</w:t>
      </w:r>
      <w:r w:rsidR="00B83A93" w:rsidRPr="00303C65">
        <w:rPr>
          <w:rFonts w:ascii="ITC Avant Garde" w:eastAsia="Times New Roman" w:hAnsi="ITC Avant Garde"/>
          <w:bCs/>
          <w:lang w:val="es-ES" w:eastAsia="es-ES"/>
        </w:rPr>
        <w:t>,</w:t>
      </w:r>
      <w:r w:rsidR="002B7666" w:rsidRPr="00303C65">
        <w:rPr>
          <w:rFonts w:ascii="ITC Avant Garde" w:eastAsia="Times New Roman" w:hAnsi="ITC Avant Garde"/>
          <w:bCs/>
          <w:lang w:val="es-ES" w:eastAsia="es-ES"/>
        </w:rPr>
        <w:t xml:space="preserve">850 </w:t>
      </w:r>
      <w:r w:rsidR="00B83A93" w:rsidRPr="00303C65">
        <w:rPr>
          <w:rFonts w:ascii="ITC Avant Garde" w:eastAsia="Times New Roman" w:hAnsi="ITC Avant Garde"/>
          <w:bCs/>
          <w:lang w:val="es-ES" w:eastAsia="es-ES"/>
        </w:rPr>
        <w:t xml:space="preserve">(un mil ochocientos cincuenta) </w:t>
      </w:r>
      <w:r w:rsidR="002B7666" w:rsidRPr="00303C65">
        <w:rPr>
          <w:rFonts w:ascii="ITC Avant Garde" w:eastAsia="Times New Roman" w:hAnsi="ITC Avant Garde"/>
          <w:bCs/>
          <w:lang w:val="es-ES" w:eastAsia="es-ES"/>
        </w:rPr>
        <w:t>radios portátiles</w:t>
      </w:r>
      <w:r w:rsidR="004411D6" w:rsidRPr="00303C65">
        <w:rPr>
          <w:rFonts w:ascii="ITC Avant Garde" w:eastAsia="Times New Roman" w:hAnsi="ITC Avant Garde"/>
          <w:bCs/>
          <w:lang w:val="es-ES" w:eastAsia="es-ES"/>
        </w:rPr>
        <w:t xml:space="preserve">. </w:t>
      </w:r>
    </w:p>
    <w:p w14:paraId="2BD0754C" w14:textId="77777777" w:rsidR="00303C65" w:rsidRPr="00303C65" w:rsidRDefault="00D8512E" w:rsidP="00303C65">
      <w:pPr>
        <w:autoSpaceDE w:val="0"/>
        <w:autoSpaceDN w:val="0"/>
        <w:adjustRightInd w:val="0"/>
        <w:spacing w:before="240" w:line="240" w:lineRule="auto"/>
        <w:jc w:val="both"/>
        <w:rPr>
          <w:rFonts w:ascii="ITC Avant Garde" w:eastAsia="Times New Roman" w:hAnsi="ITC Avant Garde"/>
          <w:bCs/>
          <w:lang w:val="es-ES" w:eastAsia="es-ES"/>
        </w:rPr>
      </w:pPr>
      <w:r w:rsidRPr="00303C65">
        <w:rPr>
          <w:rFonts w:ascii="ITC Avant Garde" w:eastAsia="Times New Roman" w:hAnsi="ITC Avant Garde"/>
          <w:bCs/>
          <w:lang w:val="es-ES" w:eastAsia="es-ES"/>
        </w:rPr>
        <w:t xml:space="preserve">En ese sentido, y </w:t>
      </w:r>
      <w:r w:rsidR="005D0417" w:rsidRPr="00303C65">
        <w:rPr>
          <w:rFonts w:ascii="ITC Avant Garde" w:eastAsia="Times New Roman" w:hAnsi="ITC Avant Garde"/>
          <w:bCs/>
          <w:lang w:val="es-ES" w:eastAsia="es-ES"/>
        </w:rPr>
        <w:t>derivado del análisis a la Solicitud de Modificación y de las reuniones de trabajo sostenidas por</w:t>
      </w:r>
      <w:r w:rsidR="00E855BE" w:rsidRPr="00303C65">
        <w:rPr>
          <w:rFonts w:ascii="ITC Avant Garde" w:eastAsia="Times New Roman" w:hAnsi="ITC Avant Garde"/>
          <w:bCs/>
          <w:lang w:val="es-ES" w:eastAsia="es-ES"/>
        </w:rPr>
        <w:t xml:space="preserve"> personal de</w:t>
      </w:r>
      <w:r w:rsidR="005D0417" w:rsidRPr="00303C65">
        <w:rPr>
          <w:rFonts w:ascii="ITC Avant Garde" w:eastAsia="Times New Roman" w:hAnsi="ITC Avant Garde"/>
          <w:bCs/>
          <w:lang w:val="es-ES" w:eastAsia="es-ES"/>
        </w:rPr>
        <w:t xml:space="preserve"> Pemex y personal del Instituto, se determinó que los sitios</w:t>
      </w:r>
      <w:r w:rsidRPr="00303C65">
        <w:rPr>
          <w:rFonts w:ascii="ITC Avant Garde" w:eastAsia="Times New Roman" w:hAnsi="ITC Avant Garde"/>
          <w:bCs/>
          <w:lang w:val="es-ES" w:eastAsia="es-ES"/>
        </w:rPr>
        <w:t>: Polutla, San Andrés y Texisco</w:t>
      </w:r>
      <w:r w:rsidR="00E855BE" w:rsidRPr="00303C65">
        <w:rPr>
          <w:rFonts w:ascii="ITC Avant Garde" w:eastAsia="Times New Roman" w:hAnsi="ITC Avant Garde"/>
          <w:bCs/>
          <w:lang w:val="es-ES" w:eastAsia="es-ES"/>
        </w:rPr>
        <w:t>, en el Estado de Veracruz de Ignacio de la Llave y Providencia, en el Estado de Tamaulipas,</w:t>
      </w:r>
      <w:r w:rsidRPr="00303C65">
        <w:rPr>
          <w:rFonts w:ascii="ITC Avant Garde" w:eastAsia="Times New Roman" w:hAnsi="ITC Avant Garde"/>
          <w:bCs/>
          <w:lang w:val="es-ES" w:eastAsia="es-ES"/>
        </w:rPr>
        <w:t xml:space="preserve"> ya </w:t>
      </w:r>
      <w:r w:rsidR="00F058A2" w:rsidRPr="00303C65">
        <w:rPr>
          <w:rFonts w:ascii="ITC Avant Garde" w:eastAsia="Times New Roman" w:hAnsi="ITC Avant Garde"/>
          <w:bCs/>
          <w:lang w:val="es-ES" w:eastAsia="es-ES"/>
        </w:rPr>
        <w:t>forma</w:t>
      </w:r>
      <w:r w:rsidR="00E855BE" w:rsidRPr="00303C65">
        <w:rPr>
          <w:rFonts w:ascii="ITC Avant Garde" w:eastAsia="Times New Roman" w:hAnsi="ITC Avant Garde"/>
          <w:bCs/>
          <w:lang w:val="es-ES" w:eastAsia="es-ES"/>
        </w:rPr>
        <w:t>ban</w:t>
      </w:r>
      <w:r w:rsidR="00F058A2" w:rsidRPr="00303C65">
        <w:rPr>
          <w:rFonts w:ascii="ITC Avant Garde" w:eastAsia="Times New Roman" w:hAnsi="ITC Avant Garde"/>
          <w:bCs/>
          <w:lang w:val="es-ES" w:eastAsia="es-ES"/>
        </w:rPr>
        <w:t xml:space="preserve"> p</w:t>
      </w:r>
      <w:r w:rsidR="005D0417" w:rsidRPr="00303C65">
        <w:rPr>
          <w:rFonts w:ascii="ITC Avant Garde" w:eastAsia="Times New Roman" w:hAnsi="ITC Avant Garde"/>
          <w:bCs/>
          <w:lang w:val="es-ES" w:eastAsia="es-ES"/>
        </w:rPr>
        <w:t xml:space="preserve">arte de la red autorizada en la </w:t>
      </w:r>
      <w:r w:rsidRPr="00303C65">
        <w:rPr>
          <w:rFonts w:ascii="ITC Avant Garde" w:eastAsia="Times New Roman" w:hAnsi="ITC Avant Garde"/>
          <w:bCs/>
          <w:lang w:val="es-ES" w:eastAsia="es-ES"/>
        </w:rPr>
        <w:t xml:space="preserve">Asignación, </w:t>
      </w:r>
      <w:r w:rsidR="005D0417" w:rsidRPr="00303C65">
        <w:rPr>
          <w:rFonts w:ascii="ITC Avant Garde" w:eastAsia="Times New Roman" w:hAnsi="ITC Avant Garde"/>
          <w:bCs/>
          <w:lang w:val="es-ES" w:eastAsia="es-ES"/>
        </w:rPr>
        <w:t xml:space="preserve">por lo </w:t>
      </w:r>
      <w:r w:rsidR="00F877B0" w:rsidRPr="00303C65">
        <w:rPr>
          <w:rFonts w:ascii="ITC Avant Garde" w:eastAsia="Times New Roman" w:hAnsi="ITC Avant Garde"/>
          <w:bCs/>
          <w:lang w:val="es-ES" w:eastAsia="es-ES"/>
        </w:rPr>
        <w:t>que</w:t>
      </w:r>
      <w:r w:rsidR="005D0417" w:rsidRPr="00303C65">
        <w:rPr>
          <w:rFonts w:ascii="ITC Avant Garde" w:eastAsia="Times New Roman" w:hAnsi="ITC Avant Garde"/>
          <w:bCs/>
          <w:lang w:val="es-ES" w:eastAsia="es-ES"/>
        </w:rPr>
        <w:t xml:space="preserve">, </w:t>
      </w:r>
      <w:r w:rsidR="00DB2250" w:rsidRPr="00303C65">
        <w:rPr>
          <w:rFonts w:ascii="ITC Avant Garde" w:eastAsia="Times New Roman" w:hAnsi="ITC Avant Garde"/>
          <w:bCs/>
          <w:lang w:val="es-ES" w:eastAsia="es-ES"/>
        </w:rPr>
        <w:t>los mismos no se contemplar</w:t>
      </w:r>
      <w:r w:rsidR="00E855BE" w:rsidRPr="00303C65">
        <w:rPr>
          <w:rFonts w:ascii="ITC Avant Garde" w:eastAsia="Times New Roman" w:hAnsi="ITC Avant Garde"/>
          <w:bCs/>
          <w:lang w:val="es-ES" w:eastAsia="es-ES"/>
        </w:rPr>
        <w:t>ían</w:t>
      </w:r>
      <w:r w:rsidR="005D0417" w:rsidRPr="00303C65">
        <w:rPr>
          <w:rFonts w:ascii="ITC Avant Garde" w:eastAsia="Times New Roman" w:hAnsi="ITC Avant Garde"/>
          <w:bCs/>
          <w:lang w:val="es-ES" w:eastAsia="es-ES"/>
        </w:rPr>
        <w:t xml:space="preserve"> en </w:t>
      </w:r>
      <w:r w:rsidR="00E855BE" w:rsidRPr="00303C65">
        <w:rPr>
          <w:rFonts w:ascii="ITC Avant Garde" w:eastAsia="Times New Roman" w:hAnsi="ITC Avant Garde"/>
          <w:bCs/>
          <w:lang w:val="es-ES" w:eastAsia="es-ES"/>
        </w:rPr>
        <w:t xml:space="preserve">el análisis final respecto a </w:t>
      </w:r>
      <w:r w:rsidR="005D0417" w:rsidRPr="00303C65">
        <w:rPr>
          <w:rFonts w:ascii="ITC Avant Garde" w:eastAsia="Times New Roman" w:hAnsi="ITC Avant Garde"/>
          <w:bCs/>
          <w:lang w:val="es-ES" w:eastAsia="es-ES"/>
        </w:rPr>
        <w:t xml:space="preserve">la </w:t>
      </w:r>
      <w:r w:rsidR="00E855BE" w:rsidRPr="00303C65">
        <w:rPr>
          <w:rFonts w:ascii="ITC Avant Garde" w:eastAsia="Times New Roman" w:hAnsi="ITC Avant Garde"/>
          <w:bCs/>
          <w:lang w:val="es-ES" w:eastAsia="es-ES"/>
        </w:rPr>
        <w:t>Solicitud de Modificación</w:t>
      </w:r>
      <w:r w:rsidR="005D0417" w:rsidRPr="00303C65">
        <w:rPr>
          <w:rFonts w:ascii="ITC Avant Garde" w:eastAsia="Times New Roman" w:hAnsi="ITC Avant Garde"/>
          <w:bCs/>
          <w:lang w:val="es-ES" w:eastAsia="es-ES"/>
        </w:rPr>
        <w:t xml:space="preserve"> </w:t>
      </w:r>
    </w:p>
    <w:p w14:paraId="22C521F0" w14:textId="77777777" w:rsidR="00303C65" w:rsidRPr="00303C65" w:rsidRDefault="00E844E4" w:rsidP="00303C65">
      <w:pPr>
        <w:autoSpaceDE w:val="0"/>
        <w:autoSpaceDN w:val="0"/>
        <w:adjustRightInd w:val="0"/>
        <w:spacing w:before="240" w:line="240" w:lineRule="auto"/>
        <w:jc w:val="both"/>
        <w:rPr>
          <w:rFonts w:ascii="ITC Avant Garde" w:eastAsia="Times New Roman" w:hAnsi="ITC Avant Garde"/>
          <w:bCs/>
          <w:lang w:val="es-ES" w:eastAsia="es-ES"/>
        </w:rPr>
      </w:pPr>
      <w:r w:rsidRPr="00303C65">
        <w:rPr>
          <w:rFonts w:ascii="ITC Avant Garde" w:eastAsia="Times New Roman" w:hAnsi="ITC Avant Garde"/>
          <w:bCs/>
          <w:lang w:val="es-ES" w:eastAsia="es-ES"/>
        </w:rPr>
        <w:t>Adicionalmente</w:t>
      </w:r>
      <w:r w:rsidR="0058370A" w:rsidRPr="00303C65">
        <w:rPr>
          <w:rFonts w:ascii="ITC Avant Garde" w:eastAsia="Times New Roman" w:hAnsi="ITC Avant Garde"/>
          <w:bCs/>
          <w:lang w:val="es-ES" w:eastAsia="es-ES"/>
        </w:rPr>
        <w:t>,</w:t>
      </w:r>
      <w:r w:rsidR="005335D6" w:rsidRPr="00303C65">
        <w:rPr>
          <w:rFonts w:ascii="ITC Avant Garde" w:eastAsia="Times New Roman" w:hAnsi="ITC Avant Garde"/>
          <w:bCs/>
          <w:lang w:val="es-ES" w:eastAsia="es-ES"/>
        </w:rPr>
        <w:t xml:space="preserve"> como </w:t>
      </w:r>
      <w:r w:rsidR="00D45295" w:rsidRPr="00303C65">
        <w:rPr>
          <w:rFonts w:ascii="ITC Avant Garde" w:eastAsia="Times New Roman" w:hAnsi="ITC Avant Garde"/>
          <w:bCs/>
          <w:lang w:val="es-ES" w:eastAsia="es-ES"/>
        </w:rPr>
        <w:t xml:space="preserve">se </w:t>
      </w:r>
      <w:r w:rsidR="005335D6" w:rsidRPr="00303C65">
        <w:rPr>
          <w:rFonts w:ascii="ITC Avant Garde" w:eastAsia="Times New Roman" w:hAnsi="ITC Avant Garde"/>
          <w:bCs/>
          <w:lang w:val="es-ES" w:eastAsia="es-ES"/>
        </w:rPr>
        <w:t xml:space="preserve">señaló en el Antecedente XII de la presente Resolución, </w:t>
      </w:r>
      <w:r w:rsidR="0058370A" w:rsidRPr="00303C65">
        <w:rPr>
          <w:rFonts w:ascii="ITC Avant Garde" w:eastAsia="Times New Roman" w:hAnsi="ITC Avant Garde"/>
          <w:bCs/>
          <w:lang w:val="es-ES" w:eastAsia="es-ES"/>
        </w:rPr>
        <w:t>la S</w:t>
      </w:r>
      <w:r w:rsidR="004D4F86" w:rsidRPr="00303C65">
        <w:rPr>
          <w:rFonts w:ascii="ITC Avant Garde" w:eastAsia="Times New Roman" w:hAnsi="ITC Avant Garde"/>
          <w:bCs/>
          <w:lang w:val="es-ES" w:eastAsia="es-ES"/>
        </w:rPr>
        <w:t>uplente por Ausencia del Titular de la Su</w:t>
      </w:r>
      <w:r w:rsidR="0058370A" w:rsidRPr="00303C65">
        <w:rPr>
          <w:rFonts w:ascii="ITC Avant Garde" w:eastAsia="Times New Roman" w:hAnsi="ITC Avant Garde"/>
          <w:bCs/>
          <w:lang w:val="es-ES" w:eastAsia="es-ES"/>
        </w:rPr>
        <w:t>bdirec</w:t>
      </w:r>
      <w:r w:rsidR="004D4F86" w:rsidRPr="00303C65">
        <w:rPr>
          <w:rFonts w:ascii="ITC Avant Garde" w:eastAsia="Times New Roman" w:hAnsi="ITC Avant Garde"/>
          <w:bCs/>
          <w:lang w:val="es-ES" w:eastAsia="es-ES"/>
        </w:rPr>
        <w:t>ción</w:t>
      </w:r>
      <w:r w:rsidR="0058370A" w:rsidRPr="00303C65">
        <w:rPr>
          <w:rFonts w:ascii="ITC Avant Garde" w:eastAsia="Times New Roman" w:hAnsi="ITC Avant Garde"/>
          <w:bCs/>
          <w:lang w:val="es-ES" w:eastAsia="es-ES"/>
        </w:rPr>
        <w:t xml:space="preserve"> de Servicios de Tecnologías de Información de PEMEX solicitó </w:t>
      </w:r>
      <w:r w:rsidR="008F68B5" w:rsidRPr="00303C65">
        <w:rPr>
          <w:rFonts w:ascii="ITC Avant Garde" w:eastAsia="Times New Roman" w:hAnsi="ITC Avant Garde"/>
          <w:bCs/>
          <w:lang w:val="es-ES" w:eastAsia="es-ES"/>
        </w:rPr>
        <w:t>al Ins</w:t>
      </w:r>
      <w:r w:rsidR="004D4F86" w:rsidRPr="00303C65">
        <w:rPr>
          <w:rFonts w:ascii="ITC Avant Garde" w:eastAsia="Times New Roman" w:hAnsi="ITC Avant Garde"/>
          <w:bCs/>
          <w:lang w:val="es-ES" w:eastAsia="es-ES"/>
        </w:rPr>
        <w:t xml:space="preserve">tituto que se </w:t>
      </w:r>
      <w:r w:rsidR="008F68B5" w:rsidRPr="00303C65">
        <w:rPr>
          <w:rFonts w:ascii="ITC Avant Garde" w:eastAsia="Times New Roman" w:hAnsi="ITC Avant Garde"/>
          <w:bCs/>
          <w:lang w:val="es-ES" w:eastAsia="es-ES"/>
        </w:rPr>
        <w:t>c</w:t>
      </w:r>
      <w:r w:rsidR="0058370A" w:rsidRPr="00303C65">
        <w:rPr>
          <w:rFonts w:ascii="ITC Avant Garde" w:eastAsia="Times New Roman" w:hAnsi="ITC Avant Garde"/>
          <w:bCs/>
          <w:lang w:val="es-ES" w:eastAsia="es-ES"/>
        </w:rPr>
        <w:t>onsider</w:t>
      </w:r>
      <w:r w:rsidR="004D4F86" w:rsidRPr="00303C65">
        <w:rPr>
          <w:rFonts w:ascii="ITC Avant Garde" w:eastAsia="Times New Roman" w:hAnsi="ITC Avant Garde"/>
          <w:bCs/>
          <w:lang w:val="es-ES" w:eastAsia="es-ES"/>
        </w:rPr>
        <w:t>ara</w:t>
      </w:r>
      <w:r w:rsidR="0058370A" w:rsidRPr="00303C65">
        <w:rPr>
          <w:rFonts w:ascii="ITC Avant Garde" w:eastAsia="Times New Roman" w:hAnsi="ITC Avant Garde"/>
          <w:bCs/>
          <w:lang w:val="es-ES" w:eastAsia="es-ES"/>
        </w:rPr>
        <w:t xml:space="preserve"> </w:t>
      </w:r>
      <w:r w:rsidR="00DE0DC7" w:rsidRPr="00303C65">
        <w:rPr>
          <w:rFonts w:ascii="ITC Avant Garde" w:eastAsia="Times New Roman" w:hAnsi="ITC Avant Garde"/>
          <w:bCs/>
          <w:lang w:val="es-ES" w:eastAsia="es-ES"/>
        </w:rPr>
        <w:t>las siguientes precisiones</w:t>
      </w:r>
      <w:r w:rsidR="005335D6" w:rsidRPr="00303C65">
        <w:rPr>
          <w:rFonts w:ascii="ITC Avant Garde" w:eastAsia="Times New Roman" w:hAnsi="ITC Avant Garde"/>
          <w:bCs/>
          <w:lang w:val="es-ES" w:eastAsia="es-ES"/>
        </w:rPr>
        <w:t xml:space="preserve"> con respecto a </w:t>
      </w:r>
      <w:r w:rsidR="0058370A" w:rsidRPr="00303C65">
        <w:rPr>
          <w:rFonts w:ascii="ITC Avant Garde" w:eastAsia="Times New Roman" w:hAnsi="ITC Avant Garde"/>
          <w:bCs/>
          <w:lang w:val="es-ES" w:eastAsia="es-ES"/>
        </w:rPr>
        <w:t>la Solicitud de Modificación</w:t>
      </w:r>
      <w:r w:rsidR="005335D6" w:rsidRPr="00303C65">
        <w:rPr>
          <w:rFonts w:ascii="ITC Avant Garde" w:eastAsia="Times New Roman" w:hAnsi="ITC Avant Garde"/>
          <w:bCs/>
          <w:lang w:val="es-ES" w:eastAsia="es-ES"/>
        </w:rPr>
        <w:t>:</w:t>
      </w:r>
    </w:p>
    <w:p w14:paraId="3474FFE3" w14:textId="7730B60E" w:rsidR="004D4F86" w:rsidRPr="00303C65" w:rsidRDefault="004D4F86" w:rsidP="00303C65">
      <w:pPr>
        <w:pStyle w:val="Prrafodelista"/>
        <w:autoSpaceDE w:val="0"/>
        <w:autoSpaceDN w:val="0"/>
        <w:adjustRightInd w:val="0"/>
        <w:spacing w:before="240" w:after="200"/>
        <w:ind w:left="778"/>
        <w:jc w:val="both"/>
        <w:rPr>
          <w:rFonts w:ascii="ITC Avant Garde" w:hAnsi="ITC Avant Garde"/>
          <w:bCs/>
          <w:sz w:val="18"/>
          <w:szCs w:val="18"/>
        </w:rPr>
      </w:pPr>
      <w:r w:rsidRPr="00303C65">
        <w:rPr>
          <w:rFonts w:ascii="ITC Avant Garde" w:hAnsi="ITC Avant Garde"/>
          <w:bCs/>
          <w:sz w:val="18"/>
          <w:szCs w:val="18"/>
        </w:rPr>
        <w:t>“[…]</w:t>
      </w:r>
    </w:p>
    <w:p w14:paraId="07896DD4" w14:textId="77777777" w:rsidR="0058370A" w:rsidRPr="00303C65" w:rsidRDefault="0058370A" w:rsidP="00303C65">
      <w:pPr>
        <w:pStyle w:val="Prrafodelista"/>
        <w:numPr>
          <w:ilvl w:val="0"/>
          <w:numId w:val="25"/>
        </w:numPr>
        <w:autoSpaceDE w:val="0"/>
        <w:autoSpaceDN w:val="0"/>
        <w:adjustRightInd w:val="0"/>
        <w:spacing w:before="240" w:after="200"/>
        <w:jc w:val="both"/>
        <w:rPr>
          <w:rFonts w:ascii="ITC Avant Garde" w:hAnsi="ITC Avant Garde"/>
          <w:bCs/>
          <w:sz w:val="18"/>
          <w:szCs w:val="18"/>
        </w:rPr>
      </w:pPr>
      <w:r w:rsidRPr="00303C65">
        <w:rPr>
          <w:rFonts w:ascii="ITC Avant Garde" w:hAnsi="ITC Avant Garde"/>
          <w:bCs/>
          <w:sz w:val="18"/>
          <w:szCs w:val="18"/>
        </w:rPr>
        <w:t xml:space="preserve">De 15 pares de frecuencias asignadas a Reynosa, solo se requerirá que se </w:t>
      </w:r>
      <w:r w:rsidR="004D4F86" w:rsidRPr="00303C65">
        <w:rPr>
          <w:rFonts w:ascii="ITC Avant Garde" w:hAnsi="ITC Avant Garde"/>
          <w:bCs/>
          <w:sz w:val="18"/>
          <w:szCs w:val="18"/>
        </w:rPr>
        <w:t>nos</w:t>
      </w:r>
      <w:r w:rsidRPr="00303C65">
        <w:rPr>
          <w:rFonts w:ascii="ITC Avant Garde" w:hAnsi="ITC Avant Garde"/>
          <w:bCs/>
          <w:sz w:val="18"/>
          <w:szCs w:val="18"/>
        </w:rPr>
        <w:t xml:space="preserve"> asignen 14 pares de frecuencia, co-localizados como Reynosa1 y Reynosa2</w:t>
      </w:r>
      <w:r w:rsidR="00B57634" w:rsidRPr="00303C65">
        <w:rPr>
          <w:rFonts w:ascii="ITC Avant Garde" w:hAnsi="ITC Avant Garde"/>
          <w:bCs/>
          <w:sz w:val="18"/>
          <w:szCs w:val="18"/>
        </w:rPr>
        <w:t>.</w:t>
      </w:r>
    </w:p>
    <w:p w14:paraId="3E4700A2" w14:textId="77777777" w:rsidR="0058370A" w:rsidRPr="00303C65" w:rsidRDefault="00B57634" w:rsidP="00303C65">
      <w:pPr>
        <w:pStyle w:val="Prrafodelista"/>
        <w:numPr>
          <w:ilvl w:val="0"/>
          <w:numId w:val="25"/>
        </w:numPr>
        <w:autoSpaceDE w:val="0"/>
        <w:autoSpaceDN w:val="0"/>
        <w:adjustRightInd w:val="0"/>
        <w:spacing w:before="240" w:after="200"/>
        <w:jc w:val="both"/>
        <w:rPr>
          <w:rFonts w:ascii="ITC Avant Garde" w:hAnsi="ITC Avant Garde"/>
          <w:bCs/>
          <w:sz w:val="18"/>
          <w:szCs w:val="18"/>
        </w:rPr>
      </w:pPr>
      <w:r w:rsidRPr="00303C65">
        <w:rPr>
          <w:rFonts w:ascii="ITC Avant Garde" w:hAnsi="ITC Avant Garde"/>
          <w:bCs/>
          <w:sz w:val="18"/>
          <w:szCs w:val="18"/>
        </w:rPr>
        <w:t xml:space="preserve">Se requiere se </w:t>
      </w:r>
      <w:r w:rsidR="0058370A" w:rsidRPr="00303C65">
        <w:rPr>
          <w:rFonts w:ascii="ITC Avant Garde" w:hAnsi="ITC Avant Garde"/>
          <w:bCs/>
          <w:sz w:val="18"/>
          <w:szCs w:val="18"/>
        </w:rPr>
        <w:t>unifique el sitio de Culebra</w:t>
      </w:r>
      <w:r w:rsidRPr="00303C65">
        <w:rPr>
          <w:rFonts w:ascii="ITC Avant Garde" w:hAnsi="ITC Avant Garde"/>
          <w:bCs/>
          <w:sz w:val="18"/>
          <w:szCs w:val="18"/>
        </w:rPr>
        <w:t xml:space="preserve"> con el sitio de Culebra</w:t>
      </w:r>
      <w:r w:rsidR="0058370A" w:rsidRPr="00303C65">
        <w:rPr>
          <w:rFonts w:ascii="ITC Avant Garde" w:hAnsi="ITC Avant Garde"/>
          <w:bCs/>
          <w:sz w:val="18"/>
          <w:szCs w:val="18"/>
        </w:rPr>
        <w:t>1, en donde se deberá asignar 7 pares de frecuencia</w:t>
      </w:r>
      <w:r w:rsidRPr="00303C65">
        <w:rPr>
          <w:rFonts w:ascii="ITC Avant Garde" w:hAnsi="ITC Avant Garde"/>
          <w:bCs/>
          <w:sz w:val="18"/>
          <w:szCs w:val="18"/>
        </w:rPr>
        <w:t>.</w:t>
      </w:r>
    </w:p>
    <w:p w14:paraId="44F01D8B" w14:textId="77777777" w:rsidR="0058370A" w:rsidRPr="00303C65" w:rsidRDefault="00B57634" w:rsidP="00303C65">
      <w:pPr>
        <w:pStyle w:val="Prrafodelista"/>
        <w:numPr>
          <w:ilvl w:val="0"/>
          <w:numId w:val="25"/>
        </w:numPr>
        <w:autoSpaceDE w:val="0"/>
        <w:autoSpaceDN w:val="0"/>
        <w:adjustRightInd w:val="0"/>
        <w:spacing w:before="240" w:after="200"/>
        <w:jc w:val="both"/>
        <w:rPr>
          <w:rFonts w:ascii="ITC Avant Garde" w:hAnsi="ITC Avant Garde"/>
          <w:bCs/>
          <w:sz w:val="18"/>
          <w:szCs w:val="18"/>
        </w:rPr>
      </w:pPr>
      <w:r w:rsidRPr="00303C65">
        <w:rPr>
          <w:rFonts w:ascii="ITC Avant Garde" w:hAnsi="ITC Avant Garde"/>
          <w:bCs/>
          <w:sz w:val="18"/>
          <w:szCs w:val="18"/>
        </w:rPr>
        <w:t>Se requiere que n</w:t>
      </w:r>
      <w:r w:rsidR="0058370A" w:rsidRPr="00303C65">
        <w:rPr>
          <w:rFonts w:ascii="ITC Avant Garde" w:hAnsi="ITC Avant Garde"/>
          <w:bCs/>
          <w:sz w:val="18"/>
          <w:szCs w:val="18"/>
        </w:rPr>
        <w:t xml:space="preserve">o se consideren los sitios de </w:t>
      </w:r>
      <w:r w:rsidRPr="00303C65">
        <w:rPr>
          <w:rFonts w:ascii="ITC Avant Garde" w:hAnsi="ITC Avant Garde"/>
          <w:bCs/>
          <w:sz w:val="18"/>
          <w:szCs w:val="18"/>
        </w:rPr>
        <w:t>Ranchería, Presidio y Matamoros, debido a la proyección que se tiene en PEMEX.</w:t>
      </w:r>
    </w:p>
    <w:p w14:paraId="2A5674E1" w14:textId="77777777" w:rsidR="00303C65" w:rsidRPr="00303C65" w:rsidRDefault="00B57634" w:rsidP="00303C65">
      <w:pPr>
        <w:pStyle w:val="Prrafodelista"/>
        <w:autoSpaceDE w:val="0"/>
        <w:autoSpaceDN w:val="0"/>
        <w:adjustRightInd w:val="0"/>
        <w:spacing w:before="240" w:after="200"/>
        <w:ind w:left="778"/>
        <w:jc w:val="both"/>
        <w:rPr>
          <w:rFonts w:ascii="ITC Avant Garde" w:hAnsi="ITC Avant Garde"/>
          <w:bCs/>
          <w:sz w:val="18"/>
          <w:szCs w:val="18"/>
        </w:rPr>
      </w:pPr>
      <w:r w:rsidRPr="00303C65">
        <w:rPr>
          <w:rFonts w:ascii="ITC Avant Garde" w:hAnsi="ITC Avant Garde"/>
          <w:bCs/>
          <w:sz w:val="18"/>
          <w:szCs w:val="18"/>
        </w:rPr>
        <w:t xml:space="preserve">[...].” </w:t>
      </w:r>
      <w:proofErr w:type="gramStart"/>
      <w:r w:rsidRPr="00303C65">
        <w:rPr>
          <w:rFonts w:ascii="ITC Avant Garde" w:hAnsi="ITC Avant Garde"/>
          <w:bCs/>
          <w:sz w:val="18"/>
          <w:szCs w:val="18"/>
        </w:rPr>
        <w:t>sic</w:t>
      </w:r>
      <w:proofErr w:type="gramEnd"/>
      <w:r w:rsidRPr="00303C65">
        <w:rPr>
          <w:rFonts w:ascii="ITC Avant Garde" w:hAnsi="ITC Avant Garde"/>
          <w:bCs/>
          <w:sz w:val="18"/>
          <w:szCs w:val="18"/>
        </w:rPr>
        <w:t>.</w:t>
      </w:r>
    </w:p>
    <w:p w14:paraId="0063D419" w14:textId="77777777" w:rsidR="00303C65" w:rsidRPr="00303C65" w:rsidRDefault="008F68B5"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Con respecto a la promoción presentada por la Suplente por Ausencia del Titular de la Subdirección de Servicios de Tecnologías de Información, se debe mencionar que el artículo 12 de la Ley de Petróleos Mexicanos establece que esa Empresa Productiva del Estado será dirigida y administrada, entre otros, por un Consejo de Administración que será el órgano supremo de administración y será responsable, entre otros aspectos, de aprobar y expedir el estatuto orgánico de PEMEX.</w:t>
      </w:r>
    </w:p>
    <w:p w14:paraId="10BEC8AD" w14:textId="77777777" w:rsidR="00303C65" w:rsidRPr="00303C65" w:rsidRDefault="008F68B5"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lastRenderedPageBreak/>
        <w:t>Al respecto, en la Sesión 915 Extraordinaria del Consejo de Administración de PEMEX, celebrada el 14 de diciembre de 2016, con Acuerdo CA-137/2016 se autorizó la modificación a la estructura orgánica básica de la Dirección Corporativa de Procesos de Negocio y Tecnología de Información</w:t>
      </w:r>
      <w:r w:rsidR="00152EA3" w:rsidRPr="00303C65">
        <w:rPr>
          <w:rFonts w:ascii="ITC Avant Garde" w:hAnsi="ITC Avant Garde"/>
          <w:bCs/>
        </w:rPr>
        <w:t>,</w:t>
      </w:r>
      <w:r w:rsidRPr="00303C65">
        <w:rPr>
          <w:rFonts w:ascii="ITC Avant Garde" w:hAnsi="ITC Avant Garde"/>
          <w:bCs/>
        </w:rPr>
        <w:t xml:space="preserve"> así como la denominación de la misma, y de diversas áreas adscritas a ésta. </w:t>
      </w:r>
      <w:r w:rsidR="002A52BA" w:rsidRPr="00303C65">
        <w:rPr>
          <w:rFonts w:ascii="ITC Avant Garde" w:hAnsi="ITC Avant Garde"/>
          <w:bCs/>
        </w:rPr>
        <w:t>La Dirección Corporativa de Procesos de Negocio y Tecnología de lnformación cambió su nombre a Dirección Corporativa de Tecnologías de Información.</w:t>
      </w:r>
    </w:p>
    <w:p w14:paraId="6B1A3471" w14:textId="77777777" w:rsidR="00303C65" w:rsidRPr="00303C65" w:rsidRDefault="002A52BA"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Se debe destacar que de esta Dirección Corporativa dependía la Subdirección de Infraestructura Tecnológica, que fue la unidad administrativa que ratificó la Solicitud de Prórroga, tal y como quedó señalado en el Antecedente IV de la presente R</w:t>
      </w:r>
      <w:r w:rsidR="00694E90" w:rsidRPr="00303C65">
        <w:rPr>
          <w:rFonts w:ascii="ITC Avant Garde" w:hAnsi="ITC Avant Garde"/>
          <w:bCs/>
        </w:rPr>
        <w:t xml:space="preserve">esolución y </w:t>
      </w:r>
      <w:r w:rsidR="00D45295" w:rsidRPr="00303C65">
        <w:rPr>
          <w:rFonts w:ascii="ITC Avant Garde" w:hAnsi="ITC Avant Garde"/>
          <w:bCs/>
        </w:rPr>
        <w:t xml:space="preserve">a la que </w:t>
      </w:r>
      <w:r w:rsidR="00694E90" w:rsidRPr="00303C65">
        <w:rPr>
          <w:rFonts w:ascii="ITC Avant Garde" w:hAnsi="ITC Avant Garde"/>
          <w:bCs/>
        </w:rPr>
        <w:t>hoy se denomin</w:t>
      </w:r>
      <w:r w:rsidR="00D45295" w:rsidRPr="00303C65">
        <w:rPr>
          <w:rFonts w:ascii="ITC Avant Garde" w:hAnsi="ITC Avant Garde"/>
          <w:bCs/>
        </w:rPr>
        <w:t>a</w:t>
      </w:r>
      <w:r w:rsidR="00694E90" w:rsidRPr="00303C65">
        <w:rPr>
          <w:rFonts w:ascii="ITC Avant Garde" w:hAnsi="ITC Avant Garde"/>
          <w:bCs/>
        </w:rPr>
        <w:t xml:space="preserve"> Subdirección de Servicios de Tecnologías de Información.</w:t>
      </w:r>
    </w:p>
    <w:p w14:paraId="05AEFF18" w14:textId="022546CF" w:rsidR="00E844E4" w:rsidRPr="00303C65" w:rsidRDefault="00694E90" w:rsidP="00303C65">
      <w:pPr>
        <w:autoSpaceDE w:val="0"/>
        <w:autoSpaceDN w:val="0"/>
        <w:adjustRightInd w:val="0"/>
        <w:spacing w:before="240" w:line="240" w:lineRule="auto"/>
        <w:jc w:val="both"/>
        <w:rPr>
          <w:rFonts w:ascii="ITC Avant Garde" w:eastAsia="Times New Roman" w:hAnsi="ITC Avant Garde"/>
          <w:bCs/>
          <w:lang w:val="es-ES" w:eastAsia="es-ES"/>
        </w:rPr>
      </w:pPr>
      <w:r w:rsidRPr="00303C65">
        <w:rPr>
          <w:rFonts w:ascii="ITC Avant Garde" w:hAnsi="ITC Avant Garde"/>
          <w:bCs/>
        </w:rPr>
        <w:t xml:space="preserve">En atención a los cambios señalados, </w:t>
      </w:r>
      <w:r w:rsidR="008F68B5" w:rsidRPr="00303C65">
        <w:rPr>
          <w:rFonts w:ascii="ITC Avant Garde" w:hAnsi="ITC Avant Garde"/>
          <w:bCs/>
        </w:rPr>
        <w:t>con Acuerdo CA-139/2016</w:t>
      </w:r>
      <w:r w:rsidRPr="00303C65">
        <w:rPr>
          <w:rFonts w:ascii="ITC Avant Garde" w:hAnsi="ITC Avant Garde"/>
          <w:bCs/>
        </w:rPr>
        <w:t>,</w:t>
      </w:r>
      <w:r w:rsidR="008F68B5" w:rsidRPr="00303C65">
        <w:rPr>
          <w:rFonts w:ascii="ITC Avant Garde" w:hAnsi="ITC Avant Garde"/>
          <w:bCs/>
        </w:rPr>
        <w:t xml:space="preserve"> el Consejo de Administración de PEMEX nombró </w:t>
      </w:r>
      <w:r w:rsidRPr="00303C65">
        <w:rPr>
          <w:rFonts w:ascii="ITC Avant Garde" w:hAnsi="ITC Avant Garde"/>
          <w:bCs/>
        </w:rPr>
        <w:t xml:space="preserve">al </w:t>
      </w:r>
      <w:r w:rsidR="008F68B5" w:rsidRPr="00303C65">
        <w:rPr>
          <w:rFonts w:ascii="ITC Avant Garde" w:hAnsi="ITC Avant Garde"/>
          <w:bCs/>
        </w:rPr>
        <w:t xml:space="preserve">Director Corporativo de Tecnologías de Información, y éste a su vez, designó </w:t>
      </w:r>
      <w:r w:rsidRPr="00303C65">
        <w:rPr>
          <w:rFonts w:ascii="ITC Avant Garde" w:hAnsi="ITC Avant Garde"/>
          <w:bCs/>
        </w:rPr>
        <w:t xml:space="preserve">a la </w:t>
      </w:r>
      <w:r w:rsidR="008F68B5" w:rsidRPr="00303C65">
        <w:rPr>
          <w:rFonts w:ascii="ITC Avant Garde" w:hAnsi="ITC Avant Garde"/>
          <w:bCs/>
        </w:rPr>
        <w:t>Suplente por Ausencia del Titular de la Subdirección de Servicios de Tecnologías de Información, quien con oficio</w:t>
      </w:r>
      <w:r w:rsidR="008F68B5" w:rsidRPr="00303C65">
        <w:rPr>
          <w:rFonts w:ascii="ITC Avant Garde" w:eastAsia="Times New Roman" w:hAnsi="ITC Avant Garde"/>
          <w:bCs/>
          <w:lang w:val="es-ES" w:eastAsia="es-ES"/>
        </w:rPr>
        <w:t xml:space="preserve"> DCTI-SSTI-86-2017, manifestó diversas consideraciones adicionales respecto a la Solicitud de Modificación</w:t>
      </w:r>
      <w:r w:rsidR="00E844E4" w:rsidRPr="00303C65">
        <w:rPr>
          <w:rFonts w:ascii="ITC Avant Garde" w:eastAsia="Times New Roman" w:hAnsi="ITC Avant Garde"/>
          <w:bCs/>
          <w:lang w:val="es-ES" w:eastAsia="es-ES"/>
        </w:rPr>
        <w:t>, por lo que también se consideraron en el análisis de la citada solicitud.</w:t>
      </w:r>
    </w:p>
    <w:p w14:paraId="1F083C37" w14:textId="77777777" w:rsidR="00303C65" w:rsidRPr="00303C65" w:rsidRDefault="007E3C85" w:rsidP="00303C65">
      <w:pPr>
        <w:autoSpaceDE w:val="0"/>
        <w:autoSpaceDN w:val="0"/>
        <w:adjustRightInd w:val="0"/>
        <w:spacing w:before="240" w:line="240" w:lineRule="auto"/>
        <w:jc w:val="both"/>
        <w:rPr>
          <w:rFonts w:ascii="ITC Avant Garde" w:eastAsia="Times New Roman" w:hAnsi="ITC Avant Garde"/>
          <w:color w:val="000000"/>
          <w:lang w:eastAsia="es-MX"/>
        </w:rPr>
      </w:pPr>
      <w:r w:rsidRPr="00303C65">
        <w:rPr>
          <w:rFonts w:ascii="ITC Avant Garde" w:hAnsi="ITC Avant Garde"/>
          <w:bCs/>
        </w:rPr>
        <w:t>Con relación al pago de la Solicitud de Modificación, d</w:t>
      </w:r>
      <w:r w:rsidR="004411D6" w:rsidRPr="00303C65">
        <w:rPr>
          <w:rFonts w:ascii="ITC Avant Garde" w:eastAsia="Times New Roman" w:hAnsi="ITC Avant Garde"/>
          <w:bCs/>
          <w:lang w:val="es-ES" w:eastAsia="es-ES"/>
        </w:rPr>
        <w:t xml:space="preserve">e conformidad con el artículo 105 </w:t>
      </w:r>
      <w:proofErr w:type="gramStart"/>
      <w:r w:rsidR="004411D6" w:rsidRPr="00303C65">
        <w:rPr>
          <w:rFonts w:ascii="ITC Avant Garde" w:eastAsia="Times New Roman" w:hAnsi="ITC Avant Garde"/>
          <w:bCs/>
          <w:lang w:val="es-ES" w:eastAsia="es-ES"/>
        </w:rPr>
        <w:t>fracción</w:t>
      </w:r>
      <w:proofErr w:type="gramEnd"/>
      <w:r w:rsidR="004411D6" w:rsidRPr="00303C65">
        <w:rPr>
          <w:rFonts w:ascii="ITC Avant Garde" w:eastAsia="Times New Roman" w:hAnsi="ITC Avant Garde"/>
          <w:bCs/>
          <w:lang w:val="es-ES" w:eastAsia="es-ES"/>
        </w:rPr>
        <w:t xml:space="preserve"> III de la Ley Federal de Derechos vigente al momento de presentar la</w:t>
      </w:r>
      <w:r w:rsidRPr="00303C65">
        <w:rPr>
          <w:rFonts w:ascii="ITC Avant Garde" w:eastAsia="Times New Roman" w:hAnsi="ITC Avant Garde"/>
          <w:bCs/>
          <w:lang w:val="es-ES" w:eastAsia="es-ES"/>
        </w:rPr>
        <w:t xml:space="preserve"> misma</w:t>
      </w:r>
      <w:r w:rsidR="004411D6" w:rsidRPr="00303C65">
        <w:rPr>
          <w:rFonts w:ascii="ITC Avant Garde" w:eastAsia="Times New Roman" w:hAnsi="ITC Avant Garde"/>
          <w:bCs/>
          <w:lang w:val="es-ES" w:eastAsia="es-ES"/>
        </w:rPr>
        <w:t>, PEMEX presentó el</w:t>
      </w:r>
      <w:r w:rsidR="00A17A41" w:rsidRPr="00303C65">
        <w:rPr>
          <w:rFonts w:ascii="ITC Avant Garde" w:eastAsia="Times New Roman" w:hAnsi="ITC Avant Garde"/>
          <w:bCs/>
          <w:lang w:val="es-ES" w:eastAsia="es-ES"/>
        </w:rPr>
        <w:t xml:space="preserve"> </w:t>
      </w:r>
      <w:r w:rsidR="004411D6" w:rsidRPr="00303C65">
        <w:rPr>
          <w:rFonts w:ascii="ITC Avant Garde" w:eastAsia="Times New Roman" w:hAnsi="ITC Avant Garde"/>
          <w:bCs/>
          <w:lang w:val="es-ES" w:eastAsia="es-ES"/>
        </w:rPr>
        <w:t>pago</w:t>
      </w:r>
      <w:r w:rsidR="00A17A41" w:rsidRPr="00303C65">
        <w:rPr>
          <w:rFonts w:ascii="ITC Avant Garde" w:eastAsia="Times New Roman" w:hAnsi="ITC Avant Garde"/>
          <w:bCs/>
          <w:lang w:val="es-ES" w:eastAsia="es-ES"/>
        </w:rPr>
        <w:t xml:space="preserve"> </w:t>
      </w:r>
      <w:r w:rsidR="004411D6" w:rsidRPr="00303C65">
        <w:rPr>
          <w:rFonts w:ascii="ITC Avant Garde" w:eastAsia="Times New Roman" w:hAnsi="ITC Avant Garde"/>
          <w:bCs/>
          <w:lang w:val="es-ES" w:eastAsia="es-ES"/>
        </w:rPr>
        <w:t xml:space="preserve">correspondiente con </w:t>
      </w:r>
      <w:r w:rsidR="00A17A41" w:rsidRPr="00303C65">
        <w:rPr>
          <w:rFonts w:ascii="ITC Avant Garde" w:eastAsia="Times New Roman" w:hAnsi="ITC Avant Garde"/>
          <w:bCs/>
          <w:lang w:val="es-ES" w:eastAsia="es-ES"/>
        </w:rPr>
        <w:t xml:space="preserve">número </w:t>
      </w:r>
      <w:r w:rsidR="004411D6" w:rsidRPr="00303C65">
        <w:rPr>
          <w:rFonts w:ascii="ITC Avant Garde" w:eastAsia="Times New Roman" w:hAnsi="ITC Avant Garde"/>
          <w:bCs/>
          <w:lang w:val="es-ES" w:eastAsia="es-ES"/>
        </w:rPr>
        <w:t xml:space="preserve">de folio </w:t>
      </w:r>
      <w:r w:rsidR="004F30C9" w:rsidRPr="00303C65">
        <w:rPr>
          <w:rFonts w:ascii="ITC Avant Garde" w:eastAsia="Times New Roman" w:hAnsi="ITC Avant Garde"/>
          <w:bCs/>
          <w:lang w:val="es-ES" w:eastAsia="es-ES"/>
        </w:rPr>
        <w:t>665110006448.</w:t>
      </w:r>
    </w:p>
    <w:p w14:paraId="298AA263" w14:textId="77777777" w:rsidR="00303C65" w:rsidRPr="00303C65" w:rsidRDefault="007E3C85" w:rsidP="00303C65">
      <w:pPr>
        <w:spacing w:before="240" w:line="240" w:lineRule="auto"/>
        <w:jc w:val="both"/>
        <w:rPr>
          <w:rFonts w:ascii="ITC Avant Garde" w:eastAsia="Times New Roman" w:hAnsi="ITC Avant Garde"/>
          <w:color w:val="000000"/>
          <w:lang w:eastAsia="es-MX"/>
        </w:rPr>
      </w:pPr>
      <w:r w:rsidRPr="00303C65">
        <w:rPr>
          <w:rFonts w:ascii="ITC Avant Garde" w:eastAsia="Times New Roman" w:hAnsi="ITC Avant Garde"/>
          <w:color w:val="000000"/>
          <w:lang w:eastAsia="es-MX"/>
        </w:rPr>
        <w:t>En conclusión, se determina procedente la Solicitud de Modificación</w:t>
      </w:r>
      <w:r w:rsidR="005335D6" w:rsidRPr="00303C65">
        <w:rPr>
          <w:rFonts w:ascii="ITC Avant Garde" w:eastAsia="Times New Roman" w:hAnsi="ITC Avant Garde"/>
          <w:color w:val="000000"/>
          <w:lang w:eastAsia="es-MX"/>
        </w:rPr>
        <w:t xml:space="preserve"> y su Alcance presentados</w:t>
      </w:r>
      <w:r w:rsidRPr="00303C65">
        <w:rPr>
          <w:rFonts w:ascii="ITC Avant Garde" w:eastAsia="Times New Roman" w:hAnsi="ITC Avant Garde"/>
          <w:color w:val="000000"/>
          <w:lang w:eastAsia="es-MX"/>
        </w:rPr>
        <w:t xml:space="preserve"> por PEMEX, con excepción</w:t>
      </w:r>
      <w:r w:rsidR="005335D6" w:rsidRPr="00303C65">
        <w:rPr>
          <w:rFonts w:ascii="ITC Avant Garde" w:eastAsia="Times New Roman" w:hAnsi="ITC Avant Garde"/>
          <w:color w:val="000000"/>
          <w:lang w:eastAsia="es-MX"/>
        </w:rPr>
        <w:t xml:space="preserve"> de los siguientes 4 (cuatro) sitios:</w:t>
      </w:r>
      <w:r w:rsidRPr="00303C65">
        <w:rPr>
          <w:rFonts w:ascii="ITC Avant Garde" w:eastAsia="Times New Roman" w:hAnsi="ITC Avant Garde"/>
          <w:color w:val="000000"/>
          <w:lang w:eastAsia="es-MX"/>
        </w:rPr>
        <w:t xml:space="preserve"> </w:t>
      </w:r>
      <w:r w:rsidR="005335D6" w:rsidRPr="00303C65">
        <w:rPr>
          <w:rFonts w:ascii="ITC Avant Garde" w:eastAsia="Times New Roman" w:hAnsi="ITC Avant Garde"/>
          <w:bCs/>
          <w:lang w:val="es-ES" w:eastAsia="es-ES"/>
        </w:rPr>
        <w:t xml:space="preserve">Polutla, San Andrés y Texisco, en el Estado de Veracruz de Ignacio de la Llave y Providencia, en el Estado de Tamaulipas, ya que los mismos ya formaban parte de la red autorizada en la Asignación. </w:t>
      </w:r>
    </w:p>
    <w:p w14:paraId="67FE9F03" w14:textId="76DA2356" w:rsidR="00303C65" w:rsidRPr="00303C65" w:rsidRDefault="0014776F" w:rsidP="00303C65">
      <w:pPr>
        <w:autoSpaceDE w:val="0"/>
        <w:autoSpaceDN w:val="0"/>
        <w:adjustRightInd w:val="0"/>
        <w:spacing w:before="240" w:line="240" w:lineRule="auto"/>
        <w:jc w:val="both"/>
        <w:rPr>
          <w:rFonts w:ascii="ITC Avant Garde" w:hAnsi="ITC Avant Garde"/>
          <w:b/>
          <w:bCs/>
        </w:rPr>
      </w:pPr>
      <w:r w:rsidRPr="00303C65">
        <w:rPr>
          <w:rFonts w:ascii="ITC Avant Garde" w:hAnsi="ITC Avant Garde"/>
          <w:b/>
          <w:bCs/>
        </w:rPr>
        <w:t>Sext</w:t>
      </w:r>
      <w:r w:rsidR="00285985" w:rsidRPr="00303C65">
        <w:rPr>
          <w:rFonts w:ascii="ITC Avant Garde" w:hAnsi="ITC Avant Garde"/>
          <w:b/>
          <w:bCs/>
        </w:rPr>
        <w:t>o.- Opinio</w:t>
      </w:r>
      <w:r w:rsidR="00B473DA" w:rsidRPr="00303C65">
        <w:rPr>
          <w:rFonts w:ascii="ITC Avant Garde" w:hAnsi="ITC Avant Garde"/>
          <w:b/>
          <w:bCs/>
        </w:rPr>
        <w:t>n</w:t>
      </w:r>
      <w:r w:rsidR="00285985" w:rsidRPr="00303C65">
        <w:rPr>
          <w:rFonts w:ascii="ITC Avant Garde" w:hAnsi="ITC Avant Garde"/>
          <w:b/>
          <w:bCs/>
        </w:rPr>
        <w:t>es</w:t>
      </w:r>
      <w:r w:rsidR="00B473DA" w:rsidRPr="00303C65">
        <w:rPr>
          <w:rFonts w:ascii="ITC Avant Garde" w:hAnsi="ITC Avant Garde"/>
          <w:b/>
          <w:bCs/>
        </w:rPr>
        <w:t xml:space="preserve"> técnica</w:t>
      </w:r>
      <w:r w:rsidR="00285985" w:rsidRPr="00303C65">
        <w:rPr>
          <w:rFonts w:ascii="ITC Avant Garde" w:hAnsi="ITC Avant Garde"/>
          <w:b/>
          <w:bCs/>
        </w:rPr>
        <w:t>s</w:t>
      </w:r>
      <w:r w:rsidR="005335D6" w:rsidRPr="00303C65">
        <w:rPr>
          <w:rFonts w:ascii="ITC Avant Garde" w:hAnsi="ITC Avant Garde"/>
          <w:b/>
          <w:bCs/>
        </w:rPr>
        <w:t xml:space="preserve"> con respecto a la Solicitud de Prórroga, a la Solicitud de Modificación y su Alcance</w:t>
      </w:r>
      <w:r w:rsidR="00285985" w:rsidRPr="00303C65">
        <w:rPr>
          <w:rFonts w:ascii="ITC Avant Garde" w:hAnsi="ITC Avant Garde"/>
          <w:b/>
          <w:bCs/>
        </w:rPr>
        <w:t>.</w:t>
      </w:r>
      <w:r w:rsidR="00B473DA" w:rsidRPr="00303C65">
        <w:rPr>
          <w:rFonts w:ascii="ITC Avant Garde" w:hAnsi="ITC Avant Garde"/>
          <w:b/>
          <w:bCs/>
        </w:rPr>
        <w:t xml:space="preserve"> </w:t>
      </w:r>
      <w:r w:rsidR="008B3013" w:rsidRPr="00303C65">
        <w:rPr>
          <w:rFonts w:ascii="ITC Avant Garde" w:eastAsia="Times New Roman" w:hAnsi="ITC Avant Garde"/>
          <w:bCs/>
          <w:lang w:val="es-ES" w:eastAsia="es-ES"/>
        </w:rPr>
        <w:t>Por lo que se refiere a</w:t>
      </w:r>
      <w:r w:rsidR="00BA3161" w:rsidRPr="00303C65">
        <w:rPr>
          <w:rFonts w:ascii="ITC Avant Garde" w:eastAsia="Times New Roman" w:hAnsi="ITC Avant Garde"/>
          <w:bCs/>
          <w:lang w:val="es-ES" w:eastAsia="es-ES"/>
        </w:rPr>
        <w:t>l dictamen emitido</w:t>
      </w:r>
      <w:r w:rsidR="008B3013" w:rsidRPr="00303C65">
        <w:rPr>
          <w:rFonts w:ascii="ITC Avant Garde" w:eastAsia="Times New Roman" w:hAnsi="ITC Avant Garde"/>
          <w:bCs/>
          <w:lang w:val="es-ES" w:eastAsia="es-ES"/>
        </w:rPr>
        <w:t xml:space="preserve"> por la Dirección General de Planeación del Espectro, mismo que es parte de la opinión formulada por la Unidad de Espectro Radioeléctrico y que se señala en el Antecedente </w:t>
      </w:r>
      <w:r w:rsidR="005A41F8" w:rsidRPr="00303C65">
        <w:rPr>
          <w:rFonts w:ascii="ITC Avant Garde" w:eastAsia="Times New Roman" w:hAnsi="ITC Avant Garde"/>
          <w:bCs/>
          <w:lang w:val="es-ES" w:eastAsia="es-ES"/>
        </w:rPr>
        <w:t>X</w:t>
      </w:r>
      <w:r w:rsidR="00577BC3" w:rsidRPr="00303C65">
        <w:rPr>
          <w:rFonts w:ascii="ITC Avant Garde" w:eastAsia="Times New Roman" w:hAnsi="ITC Avant Garde"/>
          <w:bCs/>
          <w:lang w:val="es-ES" w:eastAsia="es-ES"/>
        </w:rPr>
        <w:t>II</w:t>
      </w:r>
      <w:r w:rsidR="00600D2E" w:rsidRPr="00303C65">
        <w:rPr>
          <w:rFonts w:ascii="ITC Avant Garde" w:eastAsia="Times New Roman" w:hAnsi="ITC Avant Garde"/>
          <w:bCs/>
          <w:lang w:val="es-ES" w:eastAsia="es-ES"/>
        </w:rPr>
        <w:t>I</w:t>
      </w:r>
      <w:r w:rsidR="008B3013" w:rsidRPr="00303C65">
        <w:rPr>
          <w:rFonts w:ascii="ITC Avant Garde" w:eastAsia="Times New Roman" w:hAnsi="ITC Avant Garde"/>
          <w:bCs/>
          <w:lang w:val="es-ES" w:eastAsia="es-ES"/>
        </w:rPr>
        <w:t xml:space="preserve"> de la presente Resolución, se </w:t>
      </w:r>
      <w:r w:rsidR="001F2F99" w:rsidRPr="00303C65">
        <w:rPr>
          <w:rFonts w:ascii="ITC Avant Garde" w:eastAsia="Times New Roman" w:hAnsi="ITC Avant Garde"/>
          <w:bCs/>
          <w:lang w:val="es-ES" w:eastAsia="es-ES"/>
        </w:rPr>
        <w:t>llevó a cabo</w:t>
      </w:r>
      <w:r w:rsidR="008B3013" w:rsidRPr="00303C65">
        <w:rPr>
          <w:rFonts w:ascii="ITC Avant Garde" w:eastAsia="Times New Roman" w:hAnsi="ITC Avant Garde"/>
          <w:bCs/>
          <w:lang w:val="es-ES" w:eastAsia="es-ES"/>
        </w:rPr>
        <w:t xml:space="preserve"> el análisis siguiente:</w:t>
      </w:r>
    </w:p>
    <w:p w14:paraId="2FAE6030" w14:textId="77777777" w:rsidR="00303C65" w:rsidRPr="00303C65" w:rsidRDefault="00F96049"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Arial"/>
          <w:iCs/>
          <w:sz w:val="18"/>
          <w:szCs w:val="18"/>
        </w:rPr>
        <w:t>“</w:t>
      </w:r>
      <w:r w:rsidR="00853AB3" w:rsidRPr="00303C65">
        <w:rPr>
          <w:rFonts w:ascii="ITC Avant Garde" w:hAnsi="ITC Avant Garde" w:cs="Arial"/>
          <w:b/>
          <w:iCs/>
          <w:sz w:val="18"/>
          <w:szCs w:val="18"/>
        </w:rPr>
        <w:t>3. Otros Instrumentos Aplicables</w:t>
      </w:r>
    </w:p>
    <w:p w14:paraId="43705222" w14:textId="2E272B21" w:rsidR="00853AB3" w:rsidRPr="00303C65" w:rsidRDefault="00853AB3" w:rsidP="00303C65">
      <w:pPr>
        <w:numPr>
          <w:ilvl w:val="0"/>
          <w:numId w:val="18"/>
        </w:numPr>
        <w:autoSpaceDE w:val="0"/>
        <w:autoSpaceDN w:val="0"/>
        <w:adjustRightInd w:val="0"/>
        <w:spacing w:before="240" w:line="240" w:lineRule="auto"/>
        <w:ind w:left="567" w:right="615" w:firstLine="0"/>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Protocolo entre la Secretaría de Comunicaciones y Transportes de los Estados Unidos Mexicanos y el Departamento de Estado de los Estados Unidos de América relativo a la adjudicación, asignación y uso de radiofrecuencias en las bandas de 806-824/851-869 MHz y 896-901/935-940 MHz para servicios terrenales de radiocomunicación excepto difusión, a lo largo de la frontera común.</w:t>
      </w:r>
    </w:p>
    <w:p w14:paraId="470BCBC7" w14:textId="77777777" w:rsidR="00853AB3" w:rsidRPr="00303C65" w:rsidRDefault="00853AB3"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Firmado en Williamsburg, Virginia, el 16 de junio de 1994.</w:t>
      </w:r>
    </w:p>
    <w:p w14:paraId="37C234DB" w14:textId="77777777" w:rsidR="00303C65" w:rsidRPr="00303C65" w:rsidRDefault="00853AB3"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Enmendado en Washington, D.C., el 8 de junio de 2012.</w:t>
      </w:r>
    </w:p>
    <w:p w14:paraId="31FD5B61" w14:textId="77777777" w:rsidR="00303C65" w:rsidRPr="00303C65" w:rsidRDefault="00853AB3"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En este documento se establece un plan común para la utilización de estas bandas de frecuencias dentro de una distancia de 110 kilómetros a cada lado de la franja fronteriza para proporcionar una distribución equitativa de los canales disponibles, incluyendo aquellos canales de ayuda mutua para aplicaciones de seguridad pública en la zona de compartición.</w:t>
      </w:r>
    </w:p>
    <w:p w14:paraId="35492104" w14:textId="77777777" w:rsidR="00303C65" w:rsidRPr="00303C65" w:rsidRDefault="00853AB3" w:rsidP="00303C65">
      <w:pPr>
        <w:numPr>
          <w:ilvl w:val="0"/>
          <w:numId w:val="18"/>
        </w:numPr>
        <w:autoSpaceDE w:val="0"/>
        <w:autoSpaceDN w:val="0"/>
        <w:adjustRightInd w:val="0"/>
        <w:spacing w:before="240" w:line="240" w:lineRule="auto"/>
        <w:ind w:left="567" w:right="615" w:firstLine="0"/>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lastRenderedPageBreak/>
        <w:t>El 8 de julio de 2015, el Pleno del Instituto Federal de Telecomunicaciones, tomó conocimiento del Informe presentado sobre el Plan para la banda 806-824/851-869 MHz</w:t>
      </w:r>
      <w:r w:rsidRPr="00303C65" w:rsidDel="00F147D7">
        <w:rPr>
          <w:rFonts w:ascii="ITC Avant Garde" w:hAnsi="ITC Avant Garde" w:cs="Tahoma"/>
          <w:bCs/>
          <w:sz w:val="18"/>
          <w:szCs w:val="18"/>
          <w:lang w:eastAsia="es-MX"/>
        </w:rPr>
        <w:t xml:space="preserve"> </w:t>
      </w:r>
      <w:r w:rsidRPr="00303C65">
        <w:rPr>
          <w:rFonts w:ascii="ITC Avant Garde" w:hAnsi="ITC Avant Garde" w:cs="Tahoma"/>
          <w:bCs/>
          <w:sz w:val="18"/>
          <w:szCs w:val="18"/>
          <w:lang w:eastAsia="es-MX"/>
        </w:rPr>
        <w:t>(Plan para la banda 800 MHz) y de las distintas acciones que se realizan en materia de reordenamiento de esta banda y convino, mediante el Acuerdo P/IFT/080715/208, que se continúe con los trabajos de reorganización del espectro radioeléctrico en los términos presentados.</w:t>
      </w:r>
    </w:p>
    <w:p w14:paraId="297F8645" w14:textId="5FA76E8E" w:rsidR="00853AB3" w:rsidRPr="00303C65" w:rsidRDefault="00853AB3"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Estas acciones tienen como finalidad que esta porción del espectro sea utilizada de una manera óptima, para lo cual se definió lo siguiente:</w:t>
      </w:r>
    </w:p>
    <w:p w14:paraId="1C4EC73B" w14:textId="77777777" w:rsidR="00853AB3" w:rsidRPr="00303C65" w:rsidRDefault="00853AB3" w:rsidP="00303C65">
      <w:pPr>
        <w:numPr>
          <w:ilvl w:val="0"/>
          <w:numId w:val="19"/>
        </w:numPr>
        <w:autoSpaceDE w:val="0"/>
        <w:autoSpaceDN w:val="0"/>
        <w:adjustRightInd w:val="0"/>
        <w:spacing w:before="240" w:line="240" w:lineRule="auto"/>
        <w:ind w:left="993" w:right="615" w:hanging="142"/>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Segmento 806-814/851-859 MHz: Provisión de servicios de banda angosta de uso público, limitado a aplicaciones de misión crítica.</w:t>
      </w:r>
    </w:p>
    <w:p w14:paraId="610B5C76" w14:textId="77777777" w:rsidR="00303C65" w:rsidRPr="00303C65" w:rsidRDefault="00853AB3" w:rsidP="00303C65">
      <w:pPr>
        <w:numPr>
          <w:ilvl w:val="1"/>
          <w:numId w:val="18"/>
        </w:numPr>
        <w:autoSpaceDE w:val="0"/>
        <w:autoSpaceDN w:val="0"/>
        <w:adjustRightInd w:val="0"/>
        <w:spacing w:before="240" w:line="240" w:lineRule="auto"/>
        <w:ind w:left="993" w:right="615" w:hanging="142"/>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Segmento 814-824/859-869 MHz: Provisión del servicio móvil de banda ancha de uso comercial.</w:t>
      </w:r>
    </w:p>
    <w:p w14:paraId="35F8F8EB" w14:textId="77777777" w:rsidR="00303C65" w:rsidRPr="00303C65" w:rsidRDefault="00853AB3" w:rsidP="00303C65">
      <w:pPr>
        <w:numPr>
          <w:ilvl w:val="0"/>
          <w:numId w:val="18"/>
        </w:numPr>
        <w:autoSpaceDE w:val="0"/>
        <w:autoSpaceDN w:val="0"/>
        <w:adjustRightInd w:val="0"/>
        <w:spacing w:before="240" w:line="240" w:lineRule="auto"/>
        <w:ind w:left="567" w:right="615" w:firstLine="0"/>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w:t>
      </w:r>
      <w:r w:rsidR="005C6635" w:rsidRPr="00303C65">
        <w:rPr>
          <w:rFonts w:ascii="ITC Avant Garde" w:hAnsi="ITC Avant Garde" w:cs="Tahoma"/>
          <w:bCs/>
          <w:sz w:val="18"/>
          <w:szCs w:val="18"/>
          <w:lang w:eastAsia="es-MX"/>
        </w:rPr>
        <w:t>/851-869 MHz. publicado en el Diario Oficial de la Federación el 13 de</w:t>
      </w:r>
      <w:r w:rsidRPr="00303C65">
        <w:rPr>
          <w:rFonts w:ascii="ITC Avant Garde" w:hAnsi="ITC Avant Garde" w:cs="Tahoma"/>
          <w:bCs/>
          <w:sz w:val="18"/>
          <w:szCs w:val="18"/>
          <w:lang w:eastAsia="es-MX"/>
        </w:rPr>
        <w:t xml:space="preserve"> septiembre de 2016.</w:t>
      </w:r>
    </w:p>
    <w:p w14:paraId="54FFF5A9" w14:textId="77777777" w:rsidR="00303C65" w:rsidRPr="00303C65" w:rsidRDefault="00853AB3"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En dicho acuerdo se aprueba el Plan de la Banda 806-824/851-869 MHz, así como el cambio de bandas de frecuencias a los usuarios titulares de derechos sobre el uso, aprovechamiento y explotaciones de la Banda de frecuencias 806-824/851-869 MHz, en términos del considerando tercero del Acuerdo en mención y como se establece en el esquema de reordenamiento incluido en el Plan de la Banda.</w:t>
      </w:r>
    </w:p>
    <w:p w14:paraId="231E5E19" w14:textId="77777777" w:rsidR="00303C65" w:rsidRPr="00303C65" w:rsidRDefault="00853AB3"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Arial"/>
          <w:b/>
          <w:iCs/>
          <w:sz w:val="18"/>
          <w:szCs w:val="18"/>
        </w:rPr>
        <w:t>4. Acciones de Planificación</w:t>
      </w:r>
    </w:p>
    <w:p w14:paraId="0641BE34" w14:textId="77777777" w:rsidR="00303C65" w:rsidRPr="00303C65" w:rsidRDefault="00853AB3"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El espectro radioeléctrico se considera un recurso extremadamente escaso y de un valor estratégico sin precedentes en el contexto económico y tecnológico actual, de tal forma que es primordial garantizar su uso eficaz y eficiente. Por tal motivo, la gestión, administración y planificación del espectro se revela como una labor estratégica, con una enorme incidencia en los aspectos social y económico del país.</w:t>
      </w:r>
    </w:p>
    <w:p w14:paraId="32D4086C" w14:textId="77777777" w:rsidR="00303C65" w:rsidRPr="00303C65" w:rsidRDefault="00853AB3"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En este sentido el Instituto se ha enfocado a la tarea de implementar una revisión integral de los procedimientos y herramientas asociados a la gestión, administración y planificación del espectro radioeléctrico, así como del uso que se da en nuestro país a las bandas de frecuencias relevantes con el objeto de establecer una distribución óptima del espectro radioeléctrico, de tal modo que se logren acomodar los servicios y aplicaciones que mayor impacto tengan en beneficio del interés público, tomando ventaja de los últimos avances tecnológicos y del desarrollo de estándares armonizados a nivel mundial y regional.</w:t>
      </w:r>
    </w:p>
    <w:p w14:paraId="2D9C3FDA"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Por tal motivo, se considera ineludible que algunos segmentos de frecuencias se sujeten a un proceso de reordenamiento en el mediano plazo, mediante el análisis y examinación minuciosa de diversos aspectos como: el uso actual que se tiene en México; la constante demanda de uso en la banda; las diversas oportunidades para los servicios existentes y proyectados; las tendencias y avances tecnológicos en materia de radiocomunicaciones; las economías de escala existentes para las diferentes tecnologías en este segmento; la flexibilidad y uso dinámico del espectro radioeléctrico; las tendencias internacionales sobre el uso de la banda; las mejores prácticas internacionales en materia de planificación espectral; las recomendaciones de la Unión Internacional de Telecomunicaciones (UIT), entre otros.</w:t>
      </w:r>
    </w:p>
    <w:p w14:paraId="66BCBBFE"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Ahora bien, en lo que respecta al uso actual de la banda de frecuencia que nos atañe, esta emplea un esquema de Duplexaje por División de Frecuencias (FDD) y se encuentra particionada en dos segmentos. El primer segmento 806</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821/851</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866 MHz que cuenta con un uso compartido entre tres tipos de servicios: i) Servicio M</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vil de Radiocomunicaci</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n Especializada de Flotillas (SMREF), también conocido como radio troncalizado para uso comercial; ii) SMREF para uso público (tanto para aplicaciones generales como de misión crítica), y iii) Servicio Local Móvil (telefonía inalámbrica de banda angosta). El segundo segmento de 821</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824/866</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869 MHz es empleado por el SMREF para aplicaciones de seguridad p</w:t>
      </w:r>
      <w:r w:rsidRPr="00303C65">
        <w:rPr>
          <w:rFonts w:ascii="ITC Avant Garde" w:eastAsia="Times New Roman" w:hAnsi="ITC Avant Garde" w:cs="ITC Avant Garde"/>
          <w:sz w:val="18"/>
          <w:szCs w:val="18"/>
          <w:lang w:eastAsia="es-ES"/>
        </w:rPr>
        <w:t>ú</w:t>
      </w:r>
      <w:r w:rsidRPr="00303C65">
        <w:rPr>
          <w:rFonts w:ascii="ITC Avant Garde" w:eastAsia="Times New Roman" w:hAnsi="ITC Avant Garde" w:cstheme="minorHAnsi"/>
          <w:sz w:val="18"/>
          <w:szCs w:val="18"/>
          <w:lang w:eastAsia="es-ES"/>
        </w:rPr>
        <w:t>blica y de seguridad privada.</w:t>
      </w:r>
    </w:p>
    <w:p w14:paraId="13755D96"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 xml:space="preserve">En este sentido, el estado de ocupación de esta banda de frecuencias es en extremo complejo debido a la diversidad de los usuarios y las áreas de cobertura que fueron otorgadas en su momento de manera heterogénea. Es por ello que en el ejercicio de una administración </w:t>
      </w:r>
      <w:r w:rsidRPr="00303C65">
        <w:rPr>
          <w:rFonts w:ascii="ITC Avant Garde" w:eastAsia="Times New Roman" w:hAnsi="ITC Avant Garde" w:cstheme="minorHAnsi"/>
          <w:sz w:val="18"/>
          <w:szCs w:val="18"/>
          <w:lang w:eastAsia="es-ES"/>
        </w:rPr>
        <w:lastRenderedPageBreak/>
        <w:t>eficiente de espectro radioeléctrico y a efecto de lograr un balance óptimo de este recurso en la distribución de la banda de frecuencias, se deben considerar segmentos específicos para servicios móviles de banda ancha y segmentos específicos para servicios móviles de banda angosta.</w:t>
      </w:r>
    </w:p>
    <w:p w14:paraId="7FD255A0"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Por este motivo, dentro de las labores de planificación espectral desempeñadas por el Instituto, se considera fundamental contar con espectro radioeléctrico disponible para aplicaciones de misión crítica, ya que dependen del uso del espectro radioeléctrico al ser el único medio de comunicación disponible, en este tipo de situaciones, que coadyuve a la seguridad en sus operaciones, la fiabilidad de sus comunicaciones, la interoperabilidad de sus equipos y la rapidez del establecimiento de comunicaciones en sus campos de actuación.</w:t>
      </w:r>
    </w:p>
    <w:p w14:paraId="01F4D503"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Por consiguiente, las aplicaciones del SMREF han alcanzado gran relevancia respecto a las actividades de misión crítica, las cuales prevén y/o enfrentan perturbaciones del funcionamiento de la sociedad que supone una amenaza importante y generalizada para la vida humana, la salud, los bienes o el medio ambiente, ya sea provocada por un accidente, por la naturaleza o por el hombre, tanto de aparición súbita como resultado de un proceso de generación complejo de largo plazo. Bajo esta misma consideración, están las aplicaciones para el seguimiento y control de procesos asociados a actividades estratégicas del Estado, como la extracción, procesamiento y conducción de hidrocarburos, así como a la generación, transmisión y distribución de energía eléctrica.</w:t>
      </w:r>
    </w:p>
    <w:p w14:paraId="17547F80"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Por otra parte, desde el punto de vista de las economías de escala, el segmento 806-814/851-859 MHz tiene un alto grado de armonización a nivel internacional para servicios de radio troncalizado; esto conlleva a grandes beneficios como la reducción de costos de fabricación de los equipos, la disminución de los precios a los usuarios finales, el desarrollo de redes compatibles que presten servicios eficaces y el fomento de la interoperabilidad de equipos.</w:t>
      </w:r>
    </w:p>
    <w:p w14:paraId="2752E4F5"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En este sentido, de acuerdo con lo descrito previamente en materia de planificación del espectro, se prevé que el segmento 806-814/851</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859 MHz sea empleado para el servicio de radio troncalizado para aplicaciones de misi</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n cr</w:t>
      </w:r>
      <w:r w:rsidRPr="00303C65">
        <w:rPr>
          <w:rFonts w:ascii="ITC Avant Garde" w:eastAsia="Times New Roman" w:hAnsi="ITC Avant Garde" w:cs="ITC Avant Garde"/>
          <w:sz w:val="18"/>
          <w:szCs w:val="18"/>
          <w:lang w:eastAsia="es-ES"/>
        </w:rPr>
        <w:t>í</w:t>
      </w:r>
      <w:r w:rsidRPr="00303C65">
        <w:rPr>
          <w:rFonts w:ascii="ITC Avant Garde" w:eastAsia="Times New Roman" w:hAnsi="ITC Avant Garde" w:cstheme="minorHAnsi"/>
          <w:sz w:val="18"/>
          <w:szCs w:val="18"/>
          <w:lang w:eastAsia="es-ES"/>
        </w:rPr>
        <w:t>tica, en virtud de su impacto en la seguridad de la vida humana, as</w:t>
      </w:r>
      <w:r w:rsidRPr="00303C65">
        <w:rPr>
          <w:rFonts w:ascii="ITC Avant Garde" w:eastAsia="Times New Roman" w:hAnsi="ITC Avant Garde" w:cs="ITC Avant Garde"/>
          <w:sz w:val="18"/>
          <w:szCs w:val="18"/>
          <w:lang w:eastAsia="es-ES"/>
        </w:rPr>
        <w:t>í</w:t>
      </w:r>
      <w:r w:rsidRPr="00303C65">
        <w:rPr>
          <w:rFonts w:ascii="ITC Avant Garde" w:eastAsia="Times New Roman" w:hAnsi="ITC Avant Garde" w:cstheme="minorHAnsi"/>
          <w:sz w:val="18"/>
          <w:szCs w:val="18"/>
          <w:lang w:eastAsia="es-ES"/>
        </w:rPr>
        <w:t xml:space="preserve"> como para garantizar la adecuada operaci</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n de infraestructura en sectores estrat</w:t>
      </w:r>
      <w:r w:rsidRPr="00303C65">
        <w:rPr>
          <w:rFonts w:ascii="ITC Avant Garde" w:eastAsia="Times New Roman" w:hAnsi="ITC Avant Garde" w:cs="ITC Avant Garde"/>
          <w:sz w:val="18"/>
          <w:szCs w:val="18"/>
          <w:lang w:eastAsia="es-ES"/>
        </w:rPr>
        <w:t>é</w:t>
      </w:r>
      <w:r w:rsidRPr="00303C65">
        <w:rPr>
          <w:rFonts w:ascii="ITC Avant Garde" w:eastAsia="Times New Roman" w:hAnsi="ITC Avant Garde" w:cstheme="minorHAnsi"/>
          <w:sz w:val="18"/>
          <w:szCs w:val="18"/>
          <w:lang w:eastAsia="es-ES"/>
        </w:rPr>
        <w:t>gicos.</w:t>
      </w:r>
    </w:p>
    <w:p w14:paraId="02BBA964"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Aunado a lo anterior, el segmento 806-814/851</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859 MHz se incluy</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 xml:space="preserve"> en el Programa Anual de Uso y Aprovechamiento de Bandas de Frecuencias (PABF) 2016, publicado en el Diario Oficial de la Federaci</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n el 21 de enero de 2016, con el objeto de informar sobre la disponibilidad de espectro que pudiera ser objeto a una concesión de uso público para el despliegue de redes de radio troncalizado para aplicaciones de misión crítica en todo el país.</w:t>
      </w:r>
    </w:p>
    <w:p w14:paraId="57E3B96C"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Por otra parte, en lo que respecta a los servicios de banda ancha móvil, el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14:paraId="70300415"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Cabe mencionar que el avance de los servicios de banda ancha móvil forma parte de una infraestructura fundamental de la tecnología inalámbrica, que impacta directamente en la competitividad nacional de los países en la economía digital mundial.</w:t>
      </w:r>
    </w:p>
    <w:p w14:paraId="5A630FCC"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Es por ello que el sector de Radiocomunicaciones de la Unión Internacional de Telecomunicaciones (UIT) realiza grandes esfuerzos para determinar las bandas del espectro que se consideran útiles para la provisión de servicios móviles de banda ancha, identificándolas como bandas destinadas para las Telecomunicaciones Móviles Internacionales (o IMT, por sus siglas en inglés).</w:t>
      </w:r>
    </w:p>
    <w:p w14:paraId="3811922C"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En concordancia con lo anterior, el Instituto lleva a cabo un estudio continuo sobre el uso que se da en nuestro país a bandas del espectro radioeléctrico que han sido identificadas por la UIT para las IMT, con el fin de propiciar el uso eficiente del espectro radioeléctrico para la prestación de servicios móviles de banda ancha.</w:t>
      </w:r>
    </w:p>
    <w:p w14:paraId="3FEBA716"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Específicamente, el espectro comprendido por la banda 698</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960 MHz ha sido identificado por la UIT para su utilizaci</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n por las administraciones de la Regi</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n 2 que deseen introducir las IMT, esto debido a que sus caracter</w:t>
      </w:r>
      <w:r w:rsidRPr="00303C65">
        <w:rPr>
          <w:rFonts w:ascii="ITC Avant Garde" w:eastAsia="Times New Roman" w:hAnsi="ITC Avant Garde" w:cs="ITC Avant Garde"/>
          <w:sz w:val="18"/>
          <w:szCs w:val="18"/>
          <w:lang w:eastAsia="es-ES"/>
        </w:rPr>
        <w:t>í</w:t>
      </w:r>
      <w:r w:rsidRPr="00303C65">
        <w:rPr>
          <w:rFonts w:ascii="ITC Avant Garde" w:eastAsia="Times New Roman" w:hAnsi="ITC Avant Garde" w:cstheme="minorHAnsi"/>
          <w:sz w:val="18"/>
          <w:szCs w:val="18"/>
          <w:lang w:eastAsia="es-ES"/>
        </w:rPr>
        <w:t>sticas f</w:t>
      </w:r>
      <w:r w:rsidRPr="00303C65">
        <w:rPr>
          <w:rFonts w:ascii="ITC Avant Garde" w:eastAsia="Times New Roman" w:hAnsi="ITC Avant Garde" w:cs="ITC Avant Garde"/>
          <w:sz w:val="18"/>
          <w:szCs w:val="18"/>
          <w:lang w:eastAsia="es-ES"/>
        </w:rPr>
        <w:t>í</w:t>
      </w:r>
      <w:r w:rsidRPr="00303C65">
        <w:rPr>
          <w:rFonts w:ascii="ITC Avant Garde" w:eastAsia="Times New Roman" w:hAnsi="ITC Avant Garde" w:cstheme="minorHAnsi"/>
          <w:sz w:val="18"/>
          <w:szCs w:val="18"/>
          <w:lang w:eastAsia="es-ES"/>
        </w:rPr>
        <w:t>sicas, sus condiciones de propagaci</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 xml:space="preserve">n y la cantidad de espectro contiguo permiten la prestación de servicios móviles de banda ancha con niveles de </w:t>
      </w:r>
      <w:r w:rsidRPr="00303C65">
        <w:rPr>
          <w:rFonts w:ascii="ITC Avant Garde" w:eastAsia="Times New Roman" w:hAnsi="ITC Avant Garde" w:cstheme="minorHAnsi"/>
          <w:sz w:val="18"/>
          <w:szCs w:val="18"/>
          <w:lang w:eastAsia="es-ES"/>
        </w:rPr>
        <w:lastRenderedPageBreak/>
        <w:t>cobertura y calidad que posibilitan el uso eficiente de los dispositivos móviles. Es por esto que la banda 698</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960 MHz se ha convertido en una de las bandas con mayor impulso y armonización para su utilización por tecnologías móviles de banda ancha.</w:t>
      </w:r>
    </w:p>
    <w:p w14:paraId="1597B28F"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Ahora bien, desde el punto de vista de los trabajos de estandarización, el 3GPP (3rd Generation Partnership Project) ha incluido el segmento 814</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824/859</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869 MHz dentro de sus estándares para tecnologías de banda ancha móvil, los cuales aprovechan ventajas como la de contar con espectro contiguo para tales aplicaciones y la flexibilidad en las opciones de segmentación de la banda.</w:t>
      </w:r>
    </w:p>
    <w:p w14:paraId="48BCDCF5"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Es por esto que se prevé que el segmento 814-824/859</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869 MHz sea empleado para la introducci</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n de las IMT en la banda, con el objetivo de promover el acceso a los servicios de banda ancha m</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vil, as</w:t>
      </w:r>
      <w:r w:rsidRPr="00303C65">
        <w:rPr>
          <w:rFonts w:ascii="ITC Avant Garde" w:eastAsia="Times New Roman" w:hAnsi="ITC Avant Garde" w:cs="ITC Avant Garde"/>
          <w:sz w:val="18"/>
          <w:szCs w:val="18"/>
          <w:lang w:eastAsia="es-ES"/>
        </w:rPr>
        <w:t>í</w:t>
      </w:r>
      <w:r w:rsidRPr="00303C65">
        <w:rPr>
          <w:rFonts w:ascii="ITC Avant Garde" w:eastAsia="Times New Roman" w:hAnsi="ITC Avant Garde" w:cstheme="minorHAnsi"/>
          <w:sz w:val="18"/>
          <w:szCs w:val="18"/>
          <w:lang w:eastAsia="es-ES"/>
        </w:rPr>
        <w:t xml:space="preserve"> como fomentar el uso eficaz del espectro radioel</w:t>
      </w:r>
      <w:r w:rsidRPr="00303C65">
        <w:rPr>
          <w:rFonts w:ascii="ITC Avant Garde" w:eastAsia="Times New Roman" w:hAnsi="ITC Avant Garde" w:cs="ITC Avant Garde"/>
          <w:sz w:val="18"/>
          <w:szCs w:val="18"/>
          <w:lang w:eastAsia="es-ES"/>
        </w:rPr>
        <w:t>é</w:t>
      </w:r>
      <w:r w:rsidRPr="00303C65">
        <w:rPr>
          <w:rFonts w:ascii="ITC Avant Garde" w:eastAsia="Times New Roman" w:hAnsi="ITC Avant Garde" w:cstheme="minorHAnsi"/>
          <w:sz w:val="18"/>
          <w:szCs w:val="18"/>
          <w:lang w:eastAsia="es-ES"/>
        </w:rPr>
        <w:t xml:space="preserve">ctrico. </w:t>
      </w:r>
    </w:p>
    <w:p w14:paraId="07BEAB13"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lang w:eastAsia="es-ES"/>
        </w:rPr>
      </w:pPr>
      <w:r w:rsidRPr="00303C65">
        <w:rPr>
          <w:rFonts w:ascii="ITC Avant Garde" w:eastAsia="Times New Roman" w:hAnsi="ITC Avant Garde" w:cstheme="minorHAnsi"/>
          <w:sz w:val="18"/>
          <w:szCs w:val="18"/>
          <w:lang w:eastAsia="es-ES"/>
        </w:rPr>
        <w:t>En virtud de todo lo expuesto anteriormente, dentro de las labores que se están llevando a cabo en este Instituto en materia de planificación del espectro, se prevé que el segmento 806-814/851</w:t>
      </w:r>
      <w:r w:rsidRPr="00303C65">
        <w:rPr>
          <w:rFonts w:ascii="Cambria Math" w:eastAsia="Times New Roman" w:hAnsi="Cambria Math" w:cs="Cambria Math"/>
          <w:sz w:val="18"/>
          <w:szCs w:val="18"/>
          <w:lang w:eastAsia="es-ES"/>
        </w:rPr>
        <w:t>‐</w:t>
      </w:r>
      <w:r w:rsidRPr="00303C65">
        <w:rPr>
          <w:rFonts w:ascii="ITC Avant Garde" w:eastAsia="Times New Roman" w:hAnsi="ITC Avant Garde" w:cstheme="minorHAnsi"/>
          <w:sz w:val="18"/>
          <w:szCs w:val="18"/>
          <w:lang w:eastAsia="es-ES"/>
        </w:rPr>
        <w:t>859 MHz sea empleado para el servicio de radio troncalizado para aplicaciones de misi</w:t>
      </w:r>
      <w:r w:rsidRPr="00303C65">
        <w:rPr>
          <w:rFonts w:ascii="ITC Avant Garde" w:eastAsia="Times New Roman" w:hAnsi="ITC Avant Garde" w:cs="ITC Avant Garde"/>
          <w:sz w:val="18"/>
          <w:szCs w:val="18"/>
          <w:lang w:eastAsia="es-ES"/>
        </w:rPr>
        <w:t>ó</w:t>
      </w:r>
      <w:r w:rsidRPr="00303C65">
        <w:rPr>
          <w:rFonts w:ascii="ITC Avant Garde" w:eastAsia="Times New Roman" w:hAnsi="ITC Avant Garde" w:cstheme="minorHAnsi"/>
          <w:sz w:val="18"/>
          <w:szCs w:val="18"/>
          <w:lang w:eastAsia="es-ES"/>
        </w:rPr>
        <w:t>n cr</w:t>
      </w:r>
      <w:r w:rsidRPr="00303C65">
        <w:rPr>
          <w:rFonts w:ascii="ITC Avant Garde" w:eastAsia="Times New Roman" w:hAnsi="ITC Avant Garde" w:cs="ITC Avant Garde"/>
          <w:sz w:val="18"/>
          <w:szCs w:val="18"/>
          <w:lang w:eastAsia="es-ES"/>
        </w:rPr>
        <w:t>í</w:t>
      </w:r>
      <w:r w:rsidRPr="00303C65">
        <w:rPr>
          <w:rFonts w:ascii="ITC Avant Garde" w:eastAsia="Times New Roman" w:hAnsi="ITC Avant Garde" w:cstheme="minorHAnsi"/>
          <w:sz w:val="18"/>
          <w:szCs w:val="18"/>
          <w:lang w:eastAsia="es-ES"/>
        </w:rPr>
        <w:t xml:space="preserve">tica conforme lo establecido en el Plan de la Banda 806-824/851-869 MHz. En tal sentido, el uso solicitado es compatible con el uso planificado exclusivamente en el segmento </w:t>
      </w:r>
      <w:r w:rsidRPr="00303C65">
        <w:rPr>
          <w:rFonts w:ascii="ITC Avant Garde" w:eastAsia="Times New Roman" w:hAnsi="ITC Avant Garde" w:cstheme="minorHAnsi"/>
          <w:b/>
          <w:sz w:val="18"/>
          <w:szCs w:val="18"/>
          <w:lang w:eastAsia="es-ES"/>
        </w:rPr>
        <w:t>806-814/851</w:t>
      </w:r>
      <w:r w:rsidRPr="00303C65">
        <w:rPr>
          <w:rFonts w:ascii="Cambria Math" w:eastAsia="Times New Roman" w:hAnsi="Cambria Math" w:cs="Cambria Math"/>
          <w:b/>
          <w:sz w:val="18"/>
          <w:szCs w:val="18"/>
          <w:lang w:eastAsia="es-ES"/>
        </w:rPr>
        <w:t>‐</w:t>
      </w:r>
      <w:r w:rsidRPr="00303C65">
        <w:rPr>
          <w:rFonts w:ascii="ITC Avant Garde" w:eastAsia="Times New Roman" w:hAnsi="ITC Avant Garde" w:cstheme="minorHAnsi"/>
          <w:b/>
          <w:sz w:val="18"/>
          <w:szCs w:val="18"/>
          <w:lang w:eastAsia="es-ES"/>
        </w:rPr>
        <w:t>859 MHz.</w:t>
      </w:r>
      <w:r w:rsidRPr="00303C65">
        <w:rPr>
          <w:rFonts w:ascii="ITC Avant Garde" w:eastAsia="Times New Roman" w:hAnsi="ITC Avant Garde" w:cstheme="minorHAnsi"/>
          <w:sz w:val="18"/>
          <w:szCs w:val="18"/>
          <w:lang w:eastAsia="es-ES"/>
        </w:rPr>
        <w:t xml:space="preserve"> </w:t>
      </w:r>
    </w:p>
    <w:p w14:paraId="2B62C696"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u w:val="single"/>
          <w:lang w:eastAsia="es-ES"/>
        </w:rPr>
      </w:pPr>
      <w:r w:rsidRPr="00303C65">
        <w:rPr>
          <w:rFonts w:ascii="ITC Avant Garde" w:eastAsia="Times New Roman" w:hAnsi="ITC Avant Garde" w:cstheme="minorHAnsi"/>
          <w:sz w:val="18"/>
          <w:szCs w:val="18"/>
          <w:u w:val="single"/>
          <w:lang w:eastAsia="es-ES"/>
        </w:rPr>
        <w:t>Por otro lado, el uso previsto para el segmento 814</w:t>
      </w:r>
      <w:r w:rsidRPr="00303C65">
        <w:rPr>
          <w:rFonts w:ascii="Cambria Math" w:eastAsia="Times New Roman" w:hAnsi="Cambria Math" w:cs="Cambria Math"/>
          <w:sz w:val="18"/>
          <w:szCs w:val="18"/>
          <w:u w:val="single"/>
          <w:lang w:eastAsia="es-ES"/>
        </w:rPr>
        <w:t>‐</w:t>
      </w:r>
      <w:r w:rsidRPr="00303C65">
        <w:rPr>
          <w:rFonts w:ascii="ITC Avant Garde" w:eastAsia="Times New Roman" w:hAnsi="ITC Avant Garde" w:cstheme="minorHAnsi"/>
          <w:sz w:val="18"/>
          <w:szCs w:val="18"/>
          <w:u w:val="single"/>
          <w:lang w:eastAsia="es-ES"/>
        </w:rPr>
        <w:t>824/859</w:t>
      </w:r>
      <w:r w:rsidRPr="00303C65">
        <w:rPr>
          <w:rFonts w:ascii="Cambria Math" w:eastAsia="Times New Roman" w:hAnsi="Cambria Math" w:cs="Cambria Math"/>
          <w:sz w:val="18"/>
          <w:szCs w:val="18"/>
          <w:u w:val="single"/>
          <w:lang w:eastAsia="es-ES"/>
        </w:rPr>
        <w:t>‐</w:t>
      </w:r>
      <w:r w:rsidRPr="00303C65">
        <w:rPr>
          <w:rFonts w:ascii="ITC Avant Garde" w:eastAsia="Times New Roman" w:hAnsi="ITC Avant Garde" w:cstheme="minorHAnsi"/>
          <w:sz w:val="18"/>
          <w:szCs w:val="18"/>
          <w:u w:val="single"/>
          <w:lang w:eastAsia="es-ES"/>
        </w:rPr>
        <w:t>869 MHz no es consistente con la planificación de la banda para la operación del servicio solicitado por lo que no se considera procedente, la solicitud. No obstante, de ser procedente la prórroga, se propone que las frecuencias asignadas en el segmento 814</w:t>
      </w:r>
      <w:r w:rsidRPr="00303C65">
        <w:rPr>
          <w:rFonts w:ascii="Cambria Math" w:eastAsia="Times New Roman" w:hAnsi="Cambria Math" w:cs="Cambria Math"/>
          <w:sz w:val="18"/>
          <w:szCs w:val="18"/>
          <w:u w:val="single"/>
          <w:lang w:eastAsia="es-ES"/>
        </w:rPr>
        <w:t>‐</w:t>
      </w:r>
      <w:r w:rsidRPr="00303C65">
        <w:rPr>
          <w:rFonts w:ascii="ITC Avant Garde" w:eastAsia="Times New Roman" w:hAnsi="ITC Avant Garde" w:cstheme="minorHAnsi"/>
          <w:sz w:val="18"/>
          <w:szCs w:val="18"/>
          <w:u w:val="single"/>
          <w:lang w:eastAsia="es-ES"/>
        </w:rPr>
        <w:t>824/859</w:t>
      </w:r>
      <w:r w:rsidRPr="00303C65">
        <w:rPr>
          <w:rFonts w:ascii="Cambria Math" w:eastAsia="Times New Roman" w:hAnsi="Cambria Math" w:cs="Cambria Math"/>
          <w:sz w:val="18"/>
          <w:szCs w:val="18"/>
          <w:u w:val="single"/>
          <w:lang w:eastAsia="es-ES"/>
        </w:rPr>
        <w:t>‐</w:t>
      </w:r>
      <w:r w:rsidRPr="00303C65">
        <w:rPr>
          <w:rFonts w:ascii="ITC Avant Garde" w:eastAsia="Times New Roman" w:hAnsi="ITC Avant Garde" w:cstheme="minorHAnsi"/>
          <w:sz w:val="18"/>
          <w:szCs w:val="18"/>
          <w:u w:val="single"/>
          <w:lang w:eastAsia="es-ES"/>
        </w:rPr>
        <w:t xml:space="preserve">869 MHz sean sustituidas por el mismo número de frecuencias en el segmento </w:t>
      </w:r>
      <w:r w:rsidRPr="00303C65">
        <w:rPr>
          <w:rFonts w:ascii="ITC Avant Garde" w:eastAsia="Times New Roman" w:hAnsi="ITC Avant Garde" w:cstheme="minorHAnsi"/>
          <w:b/>
          <w:sz w:val="18"/>
          <w:szCs w:val="18"/>
          <w:u w:val="single"/>
          <w:lang w:eastAsia="es-ES"/>
        </w:rPr>
        <w:t>806-814/851</w:t>
      </w:r>
      <w:r w:rsidRPr="00303C65">
        <w:rPr>
          <w:rFonts w:ascii="Cambria Math" w:eastAsia="Times New Roman" w:hAnsi="Cambria Math" w:cs="Cambria Math"/>
          <w:b/>
          <w:sz w:val="18"/>
          <w:szCs w:val="18"/>
          <w:u w:val="single"/>
          <w:lang w:eastAsia="es-ES"/>
        </w:rPr>
        <w:t>‐</w:t>
      </w:r>
      <w:r w:rsidRPr="00303C65">
        <w:rPr>
          <w:rFonts w:ascii="ITC Avant Garde" w:eastAsia="Times New Roman" w:hAnsi="ITC Avant Garde" w:cstheme="minorHAnsi"/>
          <w:b/>
          <w:sz w:val="18"/>
          <w:szCs w:val="18"/>
          <w:u w:val="single"/>
          <w:lang w:eastAsia="es-ES"/>
        </w:rPr>
        <w:t>859 MHz</w:t>
      </w:r>
      <w:r w:rsidRPr="00303C65">
        <w:rPr>
          <w:rFonts w:ascii="ITC Avant Garde" w:eastAsia="Times New Roman" w:hAnsi="ITC Avant Garde" w:cstheme="minorHAnsi"/>
          <w:sz w:val="18"/>
          <w:szCs w:val="18"/>
          <w:u w:val="single"/>
          <w:lang w:eastAsia="es-ES"/>
        </w:rPr>
        <w:t xml:space="preserve"> con el objeto de mantener la continuidad en los servicios que se prestan actualmente. </w:t>
      </w:r>
    </w:p>
    <w:p w14:paraId="6959A89F"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u w:val="single"/>
          <w:lang w:eastAsia="es-ES"/>
        </w:rPr>
      </w:pPr>
      <w:r w:rsidRPr="00303C65">
        <w:rPr>
          <w:rFonts w:ascii="ITC Avant Garde" w:eastAsia="Times New Roman" w:hAnsi="ITC Avant Garde" w:cstheme="minorHAnsi"/>
          <w:sz w:val="18"/>
          <w:szCs w:val="18"/>
          <w:u w:val="single"/>
          <w:lang w:eastAsia="es-ES"/>
        </w:rPr>
        <w:t xml:space="preserve">Adicionalmente, es importante señalar que conforme al protocolo vigente de la banda de frecuencias objeto del presente análisis, el uso en México del SMREF dentro de los </w:t>
      </w:r>
      <w:r w:rsidRPr="00303C65">
        <w:rPr>
          <w:rFonts w:ascii="ITC Avant Garde" w:eastAsia="Times New Roman" w:hAnsi="ITC Avant Garde" w:cstheme="minorHAnsi"/>
          <w:b/>
          <w:sz w:val="18"/>
          <w:szCs w:val="18"/>
          <w:u w:val="single"/>
          <w:lang w:eastAsia="es-ES"/>
        </w:rPr>
        <w:t>110 km</w:t>
      </w:r>
      <w:r w:rsidRPr="00303C65">
        <w:rPr>
          <w:rFonts w:ascii="ITC Avant Garde" w:eastAsia="Times New Roman" w:hAnsi="ITC Avant Garde" w:cstheme="minorHAnsi"/>
          <w:sz w:val="18"/>
          <w:szCs w:val="18"/>
          <w:u w:val="single"/>
          <w:lang w:eastAsia="es-ES"/>
        </w:rPr>
        <w:t xml:space="preserve"> de la zona compartida con Estados Unidos, deberá ser exclusivamente en el segmento </w:t>
      </w:r>
      <w:r w:rsidRPr="00303C65">
        <w:rPr>
          <w:rFonts w:ascii="ITC Avant Garde" w:eastAsia="Times New Roman" w:hAnsi="ITC Avant Garde" w:cstheme="minorHAnsi"/>
          <w:b/>
          <w:sz w:val="18"/>
          <w:szCs w:val="18"/>
          <w:u w:val="single"/>
          <w:lang w:eastAsia="es-ES"/>
        </w:rPr>
        <w:t>812.25-814/857.25-859 MHz</w:t>
      </w:r>
      <w:r w:rsidRPr="00303C65">
        <w:rPr>
          <w:rFonts w:ascii="ITC Avant Garde" w:eastAsia="Times New Roman" w:hAnsi="ITC Avant Garde" w:cstheme="minorHAnsi"/>
          <w:sz w:val="18"/>
          <w:szCs w:val="18"/>
          <w:u w:val="single"/>
          <w:lang w:eastAsia="es-ES"/>
        </w:rPr>
        <w:t xml:space="preserve">. </w:t>
      </w:r>
    </w:p>
    <w:p w14:paraId="2D2F3CFA" w14:textId="77777777" w:rsidR="00303C65" w:rsidRPr="00303C65" w:rsidRDefault="005814DB" w:rsidP="00303C65">
      <w:pPr>
        <w:spacing w:before="240" w:line="240" w:lineRule="auto"/>
        <w:ind w:left="567" w:right="615"/>
        <w:contextualSpacing/>
        <w:jc w:val="both"/>
        <w:rPr>
          <w:rFonts w:ascii="ITC Avant Garde" w:eastAsia="Times New Roman" w:hAnsi="ITC Avant Garde" w:cstheme="minorHAnsi"/>
          <w:sz w:val="18"/>
          <w:szCs w:val="18"/>
          <w:highlight w:val="yellow"/>
          <w:lang w:eastAsia="es-ES"/>
        </w:rPr>
      </w:pPr>
      <w:r w:rsidRPr="00303C65">
        <w:rPr>
          <w:rFonts w:ascii="ITC Avant Garde" w:eastAsia="Times New Roman" w:hAnsi="ITC Avant Garde" w:cstheme="minorHAnsi"/>
          <w:sz w:val="18"/>
          <w:szCs w:val="18"/>
          <w:lang w:eastAsia="es-ES"/>
        </w:rPr>
        <w:t>Aunado a lo anterior, con el objeto de propiciar el uso óptimo del espectro radioeléctrico, se recomienda que la operación del SMREF sea a través de perfiles tecnológicos de última generación, los cuales tengan la capacidad de utilizar menores anchos de banda de canal que maximicen el uso del espectro radioeléctrico.</w:t>
      </w:r>
    </w:p>
    <w:p w14:paraId="29416EA7" w14:textId="2FA6CDBB" w:rsidR="00853AB3" w:rsidRPr="00303C65" w:rsidRDefault="00853AB3" w:rsidP="00303C65">
      <w:pPr>
        <w:spacing w:before="240" w:line="240" w:lineRule="auto"/>
        <w:ind w:left="567" w:right="615"/>
        <w:contextualSpacing/>
        <w:jc w:val="both"/>
        <w:rPr>
          <w:rFonts w:ascii="ITC Avant Garde" w:eastAsia="Times New Roman" w:hAnsi="ITC Avant Garde" w:cstheme="minorHAnsi"/>
          <w:b/>
          <w:sz w:val="18"/>
          <w:szCs w:val="18"/>
          <w:lang w:eastAsia="es-ES"/>
        </w:rPr>
      </w:pPr>
      <w:r w:rsidRPr="00303C65">
        <w:rPr>
          <w:rFonts w:ascii="ITC Avant Garde" w:eastAsia="Times New Roman" w:hAnsi="ITC Avant Garde" w:cstheme="minorHAnsi"/>
          <w:b/>
          <w:sz w:val="18"/>
          <w:szCs w:val="18"/>
          <w:lang w:eastAsia="es-ES"/>
        </w:rPr>
        <w:t>5. Reordenamiento de la Banda: 806-824/851-869 MHz</w:t>
      </w:r>
    </w:p>
    <w:p w14:paraId="0E39F8E7" w14:textId="77777777" w:rsidR="00303C65" w:rsidRPr="00303C65" w:rsidRDefault="00853AB3"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Arial"/>
          <w:b/>
          <w:iCs/>
          <w:sz w:val="18"/>
          <w:szCs w:val="18"/>
        </w:rPr>
        <w:t>5.1</w:t>
      </w:r>
      <w:r w:rsidR="00CC43ED" w:rsidRPr="00303C65">
        <w:rPr>
          <w:rFonts w:ascii="ITC Avant Garde" w:hAnsi="ITC Avant Garde" w:cs="Arial"/>
          <w:b/>
          <w:iCs/>
          <w:sz w:val="18"/>
          <w:szCs w:val="18"/>
        </w:rPr>
        <w:t>.</w:t>
      </w:r>
      <w:r w:rsidRPr="00303C65">
        <w:rPr>
          <w:rFonts w:ascii="ITC Avant Garde" w:hAnsi="ITC Avant Garde" w:cs="Arial"/>
          <w:b/>
          <w:iCs/>
          <w:sz w:val="18"/>
          <w:szCs w:val="18"/>
        </w:rPr>
        <w:t xml:space="preserve"> Acciones de Optimización del Espectro</w:t>
      </w:r>
    </w:p>
    <w:p w14:paraId="015B5474" w14:textId="77777777" w:rsidR="00303C65" w:rsidRPr="00303C65" w:rsidRDefault="00DE74F5"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 xml:space="preserve">Es primordial garantizar el uso eficaz y eficiente del espectro radioeléctrico, por lo que se considera fundamental que el país cuente con espectro disponible para nuevas aplicaciones y para la utilización creciente de las aplicaciones existentes. </w:t>
      </w:r>
    </w:p>
    <w:p w14:paraId="155F1A48" w14:textId="77777777" w:rsidR="00303C65" w:rsidRPr="00303C65" w:rsidRDefault="00DE74F5"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 xml:space="preserve">Con el objeto de lograr esto, la reorganización resulta una actividad necesaria. Es así que la UIT a través de su recomendación UIT-R SM. 1603-1 establece </w:t>
      </w:r>
      <w:r w:rsidR="00CC43ED" w:rsidRPr="00303C65">
        <w:rPr>
          <w:rFonts w:ascii="ITC Avant Garde" w:hAnsi="ITC Avant Garde" w:cs="Tahoma"/>
          <w:bCs/>
          <w:sz w:val="18"/>
          <w:szCs w:val="18"/>
          <w:lang w:eastAsia="es-MX"/>
        </w:rPr>
        <w:t>que `</w:t>
      </w:r>
      <w:r w:rsidRPr="00303C65">
        <w:rPr>
          <w:rFonts w:ascii="ITC Avant Garde" w:hAnsi="ITC Avant Garde" w:cs="Tahoma"/>
          <w:bCs/>
          <w:sz w:val="18"/>
          <w:szCs w:val="18"/>
          <w:lang w:eastAsia="es-MX"/>
        </w:rPr>
        <w:t>La reorganización del espectro es 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CC43ED" w:rsidRPr="00303C65">
        <w:rPr>
          <w:rFonts w:ascii="ITC Avant Garde" w:hAnsi="ITC Avant Garde" w:cs="Tahoma"/>
          <w:bCs/>
          <w:sz w:val="18"/>
          <w:szCs w:val="18"/>
          <w:lang w:eastAsia="es-MX"/>
        </w:rPr>
        <w:t>´</w:t>
      </w:r>
      <w:r w:rsidRPr="00303C65">
        <w:rPr>
          <w:rFonts w:ascii="ITC Avant Garde" w:hAnsi="ITC Avant Garde" w:cs="Tahoma"/>
          <w:bCs/>
          <w:sz w:val="18"/>
          <w:szCs w:val="18"/>
          <w:lang w:eastAsia="es-MX"/>
        </w:rPr>
        <w:t>.</w:t>
      </w:r>
    </w:p>
    <w:p w14:paraId="55A6DE1A" w14:textId="77777777" w:rsidR="00303C65" w:rsidRPr="00303C65" w:rsidRDefault="00DE74F5"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En este sentido, en las bandas de frecuencias que estén sujetas a una reorganización, se tendrán que considerar cambios sustanciales como el uso de la banda de frecuencias para fines distintos a los originalmente establecidos, la determinación de espectro para nuevas aplicaciones, aumentar la disponibilidad de espectro para el uso de las aplicaciones existentes, evitar que haya un uso atomizado del espectro, llevar a cabo una adecuada organización del espectro, entre otros. Asimismo, en estos procesos es de vital importancia considerar la importancia de la interacción de diversas medidas tanto técnicas como administrativas.</w:t>
      </w:r>
    </w:p>
    <w:p w14:paraId="00BC2FD5" w14:textId="77777777" w:rsidR="00303C65" w:rsidRPr="00303C65" w:rsidRDefault="00DE74F5"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 xml:space="preserve">Cabe destacar que para poder determinar la viabilidad de reorganizar una banda de frecuencias, se debe analizar el uso que se le da a este recurso para identificar si este es el más óptimo, y evaluar la posibilidad de diseñar e implementar estrategias que sugieran un mejor uso y la explotación adecuada del mismo. </w:t>
      </w:r>
    </w:p>
    <w:p w14:paraId="64C6CDA1" w14:textId="77777777" w:rsidR="00303C65" w:rsidRPr="00303C65" w:rsidRDefault="00DE74F5"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lastRenderedPageBreak/>
        <w:t xml:space="preserve">Particularmente en la banda 806-824/851-869 MHz, resulta necesario llevar a cabo diversas acciones de optimización del espectro radioeléctrico conforme lo establecido en el </w:t>
      </w:r>
      <w:r w:rsidRPr="00303C65">
        <w:rPr>
          <w:rFonts w:ascii="ITC Avant Garde" w:hAnsi="ITC Avant Garde" w:cs="Tahoma"/>
          <w:b/>
          <w:bCs/>
          <w:sz w:val="18"/>
          <w:szCs w:val="18"/>
          <w:lang w:eastAsia="es-MX"/>
        </w:rPr>
        <w:t>Plan de la banda  806-824/851-869 MHz</w:t>
      </w:r>
      <w:r w:rsidRPr="00303C65">
        <w:rPr>
          <w:rFonts w:ascii="ITC Avant Garde" w:hAnsi="ITC Avant Garde" w:cs="Tahoma"/>
          <w:bCs/>
          <w:sz w:val="18"/>
          <w:szCs w:val="18"/>
          <w:lang w:eastAsia="es-MX"/>
        </w:rPr>
        <w:t xml:space="preserve"> </w:t>
      </w:r>
      <w:r w:rsidR="00424BD5" w:rsidRPr="00303C65">
        <w:rPr>
          <w:rStyle w:val="Refdenotaalpie"/>
          <w:rFonts w:ascii="ITC Avant Garde" w:hAnsi="ITC Avant Garde" w:cs="Tahoma"/>
          <w:bCs/>
          <w:sz w:val="18"/>
          <w:szCs w:val="18"/>
          <w:lang w:eastAsia="es-MX"/>
        </w:rPr>
        <w:footnoteReference w:id="1"/>
      </w:r>
      <w:r w:rsidRPr="00303C65">
        <w:rPr>
          <w:rFonts w:ascii="ITC Avant Garde" w:hAnsi="ITC Avant Garde" w:cs="Tahoma"/>
          <w:bCs/>
          <w:sz w:val="18"/>
          <w:szCs w:val="18"/>
          <w:lang w:eastAsia="es-MX"/>
        </w:rPr>
        <w:t>, en el cual se determina que el segmento 806-814/851-859 MHz será utilizado para la provisión del servicio de banda angosta de uso público limitado a aplicaciones de misión crítica, mientras que el segmento 814-824/859-869 MHz será destinado para la provisión del servicio móvil de banda ancha para uso comercial.</w:t>
      </w:r>
    </w:p>
    <w:p w14:paraId="523E7F29" w14:textId="77777777" w:rsidR="00303C65" w:rsidRPr="00303C65" w:rsidRDefault="00DE74F5"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 xml:space="preserve">Para el caso que nos ocupa y en lo que respecta al SMREF, es importante resaltar que existen estándares desarrollados para la banda de frecuencias en comento, que permiten brindar un funcionamiento óptimo de la tecnología bajo la utilización de anchos de banda de canal más pequeños, lo que abre la posibilidad de adicionar funcionalidades para este tipo de aplicaciones, como por ejemplo, la provisión de servicios para una mayor cantidad de usuarios. </w:t>
      </w:r>
    </w:p>
    <w:p w14:paraId="3CB182C9" w14:textId="77777777" w:rsidR="00303C65" w:rsidRPr="00303C65" w:rsidRDefault="00DE74F5" w:rsidP="00303C65">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303C65">
        <w:rPr>
          <w:rFonts w:ascii="ITC Avant Garde" w:hAnsi="ITC Avant Garde" w:cs="Tahoma"/>
          <w:bCs/>
          <w:sz w:val="18"/>
          <w:szCs w:val="18"/>
          <w:lang w:eastAsia="es-MX"/>
        </w:rPr>
        <w:t>Es así que derivado del análisis de la presente solicitud, se observa indispensable que el solicitante ejecute diversos cambios de frecuencias con la finalidad de que la totalidad del espectro asignado se encuentre en el segmento 806-814/851-859 MHz, mismo que se ha previsto para la provisión de servicios de banda angosta de uso público limitado a aplicaciones de misión crítica.</w:t>
      </w:r>
    </w:p>
    <w:p w14:paraId="0C605A31" w14:textId="77777777" w:rsidR="00303C65" w:rsidRPr="00303C65" w:rsidRDefault="00DE74F5" w:rsidP="00303C65">
      <w:pPr>
        <w:autoSpaceDE w:val="0"/>
        <w:autoSpaceDN w:val="0"/>
        <w:adjustRightInd w:val="0"/>
        <w:spacing w:before="240" w:line="240" w:lineRule="auto"/>
        <w:ind w:left="567" w:right="615"/>
        <w:contextualSpacing/>
        <w:jc w:val="both"/>
        <w:rPr>
          <w:rFonts w:ascii="ITC Avant Garde" w:hAnsi="ITC Avant Garde" w:cs="Tahoma"/>
          <w:bCs/>
          <w:sz w:val="18"/>
          <w:szCs w:val="18"/>
          <w:highlight w:val="yellow"/>
          <w:lang w:eastAsia="es-MX"/>
        </w:rPr>
      </w:pPr>
      <w:r w:rsidRPr="00303C65">
        <w:rPr>
          <w:rFonts w:ascii="ITC Avant Garde" w:hAnsi="ITC Avant Garde" w:cs="Tahoma"/>
          <w:bCs/>
          <w:sz w:val="18"/>
          <w:szCs w:val="18"/>
          <w:lang w:eastAsia="es-MX"/>
        </w:rPr>
        <w:t>En esta tesitura, con el propósito de realizar un uso eficiente de la banda de frecuencias 806-824/851-869 MHz, tanto para la prestación del servicio móvil de banda ancha, como para la prestación de servicios de banda angosta de misión crítica, el 01 de septiembre de 2016, el Pleno del Instituto en su XXVII Sesión Ordinaria aprobó el Acuerdo de Reordenamiento en la banda de 800 MHz, en el cual se establecen los procesos asociados al reordenamiento de la banda de frecuencias en cuestión, indicándose los diferentes movimientos que se tienen previstos para cada uno de los usuarios o tenedores de espectro, señalando las bandas de origen y destino para cada uno de los casos.</w:t>
      </w:r>
    </w:p>
    <w:p w14:paraId="6DC92B0E" w14:textId="77777777" w:rsidR="00303C65" w:rsidRPr="00303C65" w:rsidRDefault="00853AB3" w:rsidP="00303C65">
      <w:pPr>
        <w:autoSpaceDE w:val="0"/>
        <w:autoSpaceDN w:val="0"/>
        <w:adjustRightInd w:val="0"/>
        <w:spacing w:before="240" w:line="240" w:lineRule="auto"/>
        <w:ind w:left="567" w:right="615"/>
        <w:contextualSpacing/>
        <w:jc w:val="both"/>
        <w:rPr>
          <w:rFonts w:ascii="ITC Avant Garde" w:hAnsi="ITC Avant Garde" w:cs="Arial"/>
          <w:b/>
          <w:iCs/>
          <w:sz w:val="18"/>
          <w:szCs w:val="18"/>
        </w:rPr>
      </w:pPr>
      <w:r w:rsidRPr="00303C65">
        <w:rPr>
          <w:rFonts w:ascii="ITC Avant Garde" w:hAnsi="ITC Avant Garde" w:cs="Arial"/>
          <w:b/>
          <w:iCs/>
          <w:sz w:val="18"/>
          <w:szCs w:val="18"/>
        </w:rPr>
        <w:t>5.2</w:t>
      </w:r>
      <w:r w:rsidR="001B4F2F" w:rsidRPr="00303C65">
        <w:rPr>
          <w:rFonts w:ascii="ITC Avant Garde" w:hAnsi="ITC Avant Garde" w:cs="Arial"/>
          <w:b/>
          <w:iCs/>
          <w:sz w:val="18"/>
          <w:szCs w:val="18"/>
        </w:rPr>
        <w:t>.</w:t>
      </w:r>
      <w:r w:rsidRPr="00303C65">
        <w:rPr>
          <w:rFonts w:ascii="ITC Avant Garde" w:hAnsi="ITC Avant Garde" w:cs="Arial"/>
          <w:b/>
          <w:iCs/>
          <w:sz w:val="18"/>
          <w:szCs w:val="18"/>
        </w:rPr>
        <w:t xml:space="preserve"> Consideraciones del reordenamiento</w:t>
      </w:r>
    </w:p>
    <w:p w14:paraId="783E3499" w14:textId="77777777" w:rsidR="00303C65" w:rsidRPr="00303C65" w:rsidRDefault="00294D4B" w:rsidP="00303C65">
      <w:pPr>
        <w:spacing w:before="240" w:line="240" w:lineRule="auto"/>
        <w:ind w:left="567" w:right="615"/>
        <w:contextualSpacing/>
        <w:jc w:val="both"/>
        <w:rPr>
          <w:rFonts w:ascii="ITC Avant Garde" w:hAnsi="ITC Avant Garde" w:cs="Arial"/>
          <w:bCs/>
          <w:iCs/>
          <w:sz w:val="18"/>
          <w:szCs w:val="18"/>
        </w:rPr>
      </w:pPr>
      <w:r w:rsidRPr="00303C65">
        <w:rPr>
          <w:rFonts w:ascii="ITC Avant Garde" w:hAnsi="ITC Avant Garde" w:cs="Arial"/>
          <w:bCs/>
          <w:iCs/>
          <w:sz w:val="18"/>
          <w:szCs w:val="18"/>
        </w:rPr>
        <w:t>El Informe `</w:t>
      </w:r>
      <w:r w:rsidR="00DE74F5" w:rsidRPr="00303C65">
        <w:rPr>
          <w:rFonts w:ascii="ITC Avant Garde" w:hAnsi="ITC Avant Garde" w:cs="Arial"/>
          <w:bCs/>
          <w:iCs/>
          <w:sz w:val="18"/>
          <w:szCs w:val="18"/>
        </w:rPr>
        <w:t>UIT-R M.2033 Objetivos y requisitos de las radiocomunicaciones de protección p</w:t>
      </w:r>
      <w:r w:rsidRPr="00303C65">
        <w:rPr>
          <w:rFonts w:ascii="ITC Avant Garde" w:hAnsi="ITC Avant Garde" w:cs="Arial"/>
          <w:bCs/>
          <w:iCs/>
          <w:sz w:val="18"/>
          <w:szCs w:val="18"/>
        </w:rPr>
        <w:t>ública y operaciones de socorro´</w:t>
      </w:r>
      <w:r w:rsidR="00DE74F5" w:rsidRPr="00303C65">
        <w:rPr>
          <w:rFonts w:ascii="ITC Avant Garde" w:hAnsi="ITC Avant Garde" w:cs="Arial"/>
          <w:bCs/>
          <w:iCs/>
          <w:sz w:val="18"/>
          <w:szCs w:val="18"/>
        </w:rPr>
        <w:t>, define Aplicaci</w:t>
      </w:r>
      <w:r w:rsidR="005B0769" w:rsidRPr="00303C65">
        <w:rPr>
          <w:rFonts w:ascii="ITC Avant Garde" w:hAnsi="ITC Avant Garde" w:cs="Arial"/>
          <w:bCs/>
          <w:iCs/>
          <w:sz w:val="18"/>
          <w:szCs w:val="18"/>
        </w:rPr>
        <w:t>ones de Misión Crítica como `</w:t>
      </w:r>
      <w:r w:rsidR="00DE74F5" w:rsidRPr="00303C65">
        <w:rPr>
          <w:rFonts w:ascii="ITC Avant Garde" w:hAnsi="ITC Avant Garde" w:cs="Arial"/>
          <w:bCs/>
          <w:iCs/>
          <w:sz w:val="18"/>
          <w:szCs w:val="18"/>
        </w:rPr>
        <w:t>aquellas aplicaciones desempeñadas por organizaciones y agencias competentes para prevenir o enfrentar una perturbación grave del funcionamiento de la sociedad que supone una amenaza importante y generalizada para la vida humana, la salud, los bienes o el medio ambiente, ya sea provocada por un accidente, por la naturaleza o por el hombre, tanto de aparición súbita como resultado de un proceso de generación complejo de largo plazo</w:t>
      </w:r>
      <w:r w:rsidR="005B0769" w:rsidRPr="00303C65">
        <w:rPr>
          <w:rFonts w:ascii="ITC Avant Garde" w:hAnsi="ITC Avant Garde" w:cs="Arial"/>
          <w:bCs/>
          <w:iCs/>
          <w:sz w:val="18"/>
          <w:szCs w:val="18"/>
        </w:rPr>
        <w:t>´</w:t>
      </w:r>
      <w:r w:rsidR="00DE74F5" w:rsidRPr="00303C65">
        <w:rPr>
          <w:rFonts w:ascii="ITC Avant Garde" w:hAnsi="ITC Avant Garde" w:cs="Arial"/>
          <w:bCs/>
          <w:iCs/>
          <w:sz w:val="18"/>
          <w:szCs w:val="18"/>
        </w:rPr>
        <w:t>.</w:t>
      </w:r>
    </w:p>
    <w:p w14:paraId="6B8D15C4" w14:textId="77777777" w:rsidR="00303C65" w:rsidRPr="00303C65" w:rsidRDefault="00DE74F5" w:rsidP="00303C65">
      <w:pPr>
        <w:spacing w:before="240" w:line="240" w:lineRule="auto"/>
        <w:ind w:left="567" w:right="615"/>
        <w:contextualSpacing/>
        <w:jc w:val="both"/>
        <w:rPr>
          <w:rFonts w:ascii="ITC Avant Garde" w:hAnsi="ITC Avant Garde" w:cs="Arial"/>
          <w:bCs/>
          <w:iCs/>
          <w:sz w:val="18"/>
          <w:szCs w:val="18"/>
        </w:rPr>
      </w:pPr>
      <w:r w:rsidRPr="00303C65">
        <w:rPr>
          <w:rFonts w:ascii="ITC Avant Garde" w:hAnsi="ITC Avant Garde" w:cs="Arial"/>
          <w:bCs/>
          <w:iCs/>
          <w:sz w:val="18"/>
          <w:szCs w:val="18"/>
        </w:rPr>
        <w:t>Estas aplicaciones de misión crítica están consideradas, dentro de la planificación de espectro, a utilizarse en bandas de frecuencias por debajo de 1 GHz. Ya que, no obstante de que se trata de comunicaciones de banda angosta, es menester que tales aplicaciones cuenten con los recursos espectrales adecuados, en virtud de su impacto en la seguridad de la vida humana, así como para garantizar la adecuada operación de infraestructura en sectores estratégicos.</w:t>
      </w:r>
    </w:p>
    <w:p w14:paraId="046C3AF3" w14:textId="77777777" w:rsidR="00303C65" w:rsidRPr="00303C65" w:rsidRDefault="00DE74F5" w:rsidP="00303C65">
      <w:pPr>
        <w:spacing w:before="240" w:line="240" w:lineRule="auto"/>
        <w:ind w:left="567" w:right="615"/>
        <w:contextualSpacing/>
        <w:jc w:val="both"/>
        <w:rPr>
          <w:rFonts w:ascii="ITC Avant Garde" w:hAnsi="ITC Avant Garde" w:cs="Arial"/>
          <w:bCs/>
          <w:iCs/>
          <w:sz w:val="18"/>
          <w:szCs w:val="18"/>
        </w:rPr>
      </w:pPr>
      <w:r w:rsidRPr="00303C65">
        <w:rPr>
          <w:rFonts w:ascii="ITC Avant Garde" w:hAnsi="ITC Avant Garde" w:cs="Arial"/>
          <w:bCs/>
          <w:iCs/>
          <w:sz w:val="18"/>
          <w:szCs w:val="18"/>
        </w:rPr>
        <w:t>Esto último es de particular importancia en lo que toca a la banda de frecuencias en cuestión, ya que se trata de una banda que originalmente fue determinada para su uso por comunicaciones de banda angosta, tanto de uso comercial como público, existiendo dentro de este último, una gran cantidad de asignaciones para aplicaciones de misión crítica.</w:t>
      </w:r>
    </w:p>
    <w:p w14:paraId="6C17F0E9" w14:textId="77777777" w:rsidR="00303C65" w:rsidRPr="00303C65" w:rsidRDefault="00DE74F5" w:rsidP="00303C65">
      <w:pPr>
        <w:spacing w:before="240" w:line="240" w:lineRule="auto"/>
        <w:ind w:left="567" w:right="615"/>
        <w:contextualSpacing/>
        <w:jc w:val="both"/>
        <w:rPr>
          <w:rFonts w:ascii="ITC Avant Garde" w:hAnsi="ITC Avant Garde" w:cs="Arial"/>
          <w:bCs/>
          <w:iCs/>
          <w:sz w:val="18"/>
          <w:szCs w:val="18"/>
        </w:rPr>
      </w:pPr>
      <w:r w:rsidRPr="00303C65">
        <w:rPr>
          <w:rFonts w:ascii="ITC Avant Garde" w:hAnsi="ITC Avant Garde" w:cs="Arial"/>
          <w:bCs/>
          <w:iCs/>
          <w:sz w:val="18"/>
          <w:szCs w:val="18"/>
        </w:rPr>
        <w:t>En virtud de lo anterior, se hace necesario establecer una distribución óptima para esta banda de frecuencias, de tal modo que se logren acomodar los servicios y aplicaciones que tengan mayor impacto en beneficio del interés público, tomando ventaja de los últimos avances tecnológicos y del desarrollo de estándares armonizados a nivel mundial y regional. Es de tal manera que, conforme a lo establecido en el Plan de la banda 806-824/851-869 MHz, se determina que el segmento 806-814/851-859 MHz será utilizado para la provisión del servicio de banda angosta de uso público limitado a aplicaciones de misión crítica.</w:t>
      </w:r>
    </w:p>
    <w:p w14:paraId="33D9A22B" w14:textId="77777777" w:rsidR="00303C65" w:rsidRPr="00303C65" w:rsidRDefault="00DE74F5" w:rsidP="00303C65">
      <w:pPr>
        <w:spacing w:before="240" w:line="240" w:lineRule="auto"/>
        <w:ind w:left="567" w:right="615"/>
        <w:contextualSpacing/>
        <w:jc w:val="both"/>
        <w:rPr>
          <w:rFonts w:ascii="ITC Avant Garde" w:hAnsi="ITC Avant Garde" w:cs="Arial"/>
          <w:bCs/>
          <w:iCs/>
          <w:sz w:val="18"/>
          <w:szCs w:val="18"/>
          <w:u w:val="single"/>
        </w:rPr>
      </w:pPr>
      <w:r w:rsidRPr="00303C65">
        <w:rPr>
          <w:rFonts w:ascii="ITC Avant Garde" w:hAnsi="ITC Avant Garde" w:cs="Arial"/>
          <w:bCs/>
          <w:iCs/>
          <w:sz w:val="18"/>
          <w:szCs w:val="18"/>
          <w:u w:val="single"/>
        </w:rPr>
        <w:t>Deb</w:t>
      </w:r>
      <w:r w:rsidR="00294D4B" w:rsidRPr="00303C65">
        <w:rPr>
          <w:rFonts w:ascii="ITC Avant Garde" w:hAnsi="ITC Avant Garde" w:cs="Arial"/>
          <w:bCs/>
          <w:iCs/>
          <w:sz w:val="18"/>
          <w:szCs w:val="18"/>
          <w:u w:val="single"/>
        </w:rPr>
        <w:t xml:space="preserve">ido a que la Asignación 1.-209 </w:t>
      </w:r>
      <w:r w:rsidRPr="00303C65">
        <w:rPr>
          <w:rFonts w:ascii="ITC Avant Garde" w:hAnsi="ITC Avant Garde" w:cs="Arial"/>
          <w:bCs/>
          <w:iCs/>
          <w:sz w:val="18"/>
          <w:szCs w:val="18"/>
          <w:u w:val="single"/>
        </w:rPr>
        <w:t xml:space="preserve">cuenta con frecuencias en los rangos 806-814/851-859 MHz y 814-821/859-866 MHz, y toda vez que las acciones de reordenamiento están previstas para </w:t>
      </w:r>
      <w:r w:rsidRPr="00303C65">
        <w:rPr>
          <w:rFonts w:ascii="ITC Avant Garde" w:hAnsi="ITC Avant Garde" w:cs="Arial"/>
          <w:bCs/>
          <w:iCs/>
          <w:sz w:val="18"/>
          <w:szCs w:val="18"/>
          <w:u w:val="single"/>
        </w:rPr>
        <w:lastRenderedPageBreak/>
        <w:t>ejecutarse en todo el país, se propone que todos los canales de frecuencias de la asignación en comento, que operen dentro del rango 814</w:t>
      </w:r>
      <w:r w:rsidRPr="00303C65">
        <w:rPr>
          <w:rFonts w:ascii="Cambria Math" w:hAnsi="Cambria Math" w:cs="Cambria Math"/>
          <w:bCs/>
          <w:iCs/>
          <w:sz w:val="18"/>
          <w:szCs w:val="18"/>
          <w:u w:val="single"/>
        </w:rPr>
        <w:t>‐</w:t>
      </w:r>
      <w:r w:rsidRPr="00303C65">
        <w:rPr>
          <w:rFonts w:ascii="ITC Avant Garde" w:hAnsi="ITC Avant Garde" w:cs="Arial"/>
          <w:bCs/>
          <w:iCs/>
          <w:sz w:val="18"/>
          <w:szCs w:val="18"/>
          <w:u w:val="single"/>
        </w:rPr>
        <w:t>824/859</w:t>
      </w:r>
      <w:r w:rsidRPr="00303C65">
        <w:rPr>
          <w:rFonts w:ascii="Cambria Math" w:hAnsi="Cambria Math" w:cs="Cambria Math"/>
          <w:bCs/>
          <w:iCs/>
          <w:sz w:val="18"/>
          <w:szCs w:val="18"/>
          <w:u w:val="single"/>
        </w:rPr>
        <w:t>‐</w:t>
      </w:r>
      <w:r w:rsidRPr="00303C65">
        <w:rPr>
          <w:rFonts w:ascii="ITC Avant Garde" w:hAnsi="ITC Avant Garde" w:cs="Arial"/>
          <w:bCs/>
          <w:iCs/>
          <w:sz w:val="18"/>
          <w:szCs w:val="18"/>
          <w:u w:val="single"/>
        </w:rPr>
        <w:t>869 MHz, sean ubicados en el segmento 806-814/851-859 MHz, con la finalidad de dar cumplimiento al Plan de la banda 806-824/851-869 MHz, as</w:t>
      </w:r>
      <w:r w:rsidRPr="00303C65">
        <w:rPr>
          <w:rFonts w:ascii="ITC Avant Garde" w:hAnsi="ITC Avant Garde" w:cs="ITC Avant Garde"/>
          <w:bCs/>
          <w:iCs/>
          <w:sz w:val="18"/>
          <w:szCs w:val="18"/>
          <w:u w:val="single"/>
        </w:rPr>
        <w:t>í</w:t>
      </w:r>
      <w:r w:rsidRPr="00303C65">
        <w:rPr>
          <w:rFonts w:ascii="ITC Avant Garde" w:hAnsi="ITC Avant Garde" w:cs="Arial"/>
          <w:bCs/>
          <w:iCs/>
          <w:sz w:val="18"/>
          <w:szCs w:val="18"/>
          <w:u w:val="single"/>
        </w:rPr>
        <w:t xml:space="preserve"> como al Protocolo bilateral firmado por M</w:t>
      </w:r>
      <w:r w:rsidRPr="00303C65">
        <w:rPr>
          <w:rFonts w:ascii="ITC Avant Garde" w:hAnsi="ITC Avant Garde" w:cs="ITC Avant Garde"/>
          <w:bCs/>
          <w:iCs/>
          <w:sz w:val="18"/>
          <w:szCs w:val="18"/>
          <w:u w:val="single"/>
        </w:rPr>
        <w:t>é</w:t>
      </w:r>
      <w:r w:rsidRPr="00303C65">
        <w:rPr>
          <w:rFonts w:ascii="ITC Avant Garde" w:hAnsi="ITC Avant Garde" w:cs="Arial"/>
          <w:bCs/>
          <w:iCs/>
          <w:sz w:val="18"/>
          <w:szCs w:val="18"/>
          <w:u w:val="single"/>
        </w:rPr>
        <w:t>xico y Estados Unidos de América. Lo anterior permitirá optimizar desde el punto de vista técnico, la gestión y administración del cambio de frecuencias para la ejecución del reordenamiento de la banda objeto del presente análisis.</w:t>
      </w:r>
    </w:p>
    <w:p w14:paraId="0D2A83A6" w14:textId="77777777" w:rsidR="00303C65" w:rsidRPr="00303C65" w:rsidRDefault="00DE74F5" w:rsidP="00303C65">
      <w:pPr>
        <w:spacing w:before="240" w:line="240" w:lineRule="auto"/>
        <w:ind w:left="567" w:right="615"/>
        <w:contextualSpacing/>
        <w:jc w:val="both"/>
        <w:rPr>
          <w:rFonts w:ascii="ITC Avant Garde" w:hAnsi="ITC Avant Garde" w:cs="Arial"/>
          <w:bCs/>
          <w:iCs/>
          <w:sz w:val="18"/>
          <w:szCs w:val="18"/>
        </w:rPr>
      </w:pPr>
      <w:r w:rsidRPr="00303C65">
        <w:rPr>
          <w:rFonts w:ascii="ITC Avant Garde" w:hAnsi="ITC Avant Garde" w:cs="Arial"/>
          <w:bCs/>
          <w:iCs/>
          <w:sz w:val="18"/>
          <w:szCs w:val="18"/>
        </w:rPr>
        <w:t>Es así que en fomento a la óptima utilización del espectro radioeléctrico para servicios de telecomunicaciones y con base en los tiempos establecidos en el Acuerdo mediante el cual el Pleno del Institut</w:t>
      </w:r>
      <w:r w:rsidR="00294D4B" w:rsidRPr="00303C65">
        <w:rPr>
          <w:rFonts w:ascii="ITC Avant Garde" w:hAnsi="ITC Avant Garde" w:cs="Arial"/>
          <w:bCs/>
          <w:iCs/>
          <w:sz w:val="18"/>
          <w:szCs w:val="18"/>
        </w:rPr>
        <w:t>o Federal de Telecomunicaciones</w:t>
      </w:r>
      <w:r w:rsidRPr="00303C65">
        <w:rPr>
          <w:rFonts w:ascii="ITC Avant Garde" w:hAnsi="ITC Avant Garde" w:cs="Arial"/>
          <w:bCs/>
          <w:iCs/>
          <w:sz w:val="18"/>
          <w:szCs w:val="18"/>
        </w:rPr>
        <w:t xml:space="preserve"> aprueba el </w:t>
      </w:r>
      <w:r w:rsidR="008B5159" w:rsidRPr="00303C65">
        <w:rPr>
          <w:rFonts w:ascii="ITC Avant Garde" w:hAnsi="ITC Avant Garde" w:cs="Arial"/>
          <w:bCs/>
          <w:iCs/>
          <w:sz w:val="18"/>
          <w:szCs w:val="18"/>
        </w:rPr>
        <w:t>`</w:t>
      </w:r>
      <w:r w:rsidRPr="00303C65">
        <w:rPr>
          <w:rFonts w:ascii="ITC Avant Garde" w:hAnsi="ITC Avant Garde" w:cs="Arial"/>
          <w:bCs/>
          <w:iCs/>
          <w:sz w:val="18"/>
          <w:szCs w:val="18"/>
        </w:rPr>
        <w:t xml:space="preserve">Plan de la Banda 806-824/851-869 MHz y aprueba la propuesta de cambio de bandas de frecuencias a las personas físicas o morales, que sean titulares de derecho sobre el uso, aprovechamiento y explotación de la Banda de </w:t>
      </w:r>
      <w:r w:rsidR="008B5159" w:rsidRPr="00303C65">
        <w:rPr>
          <w:rFonts w:ascii="ITC Avant Garde" w:hAnsi="ITC Avant Garde" w:cs="Arial"/>
          <w:bCs/>
          <w:iCs/>
          <w:sz w:val="18"/>
          <w:szCs w:val="18"/>
        </w:rPr>
        <w:t>Frecuencias 806-824/851-869 MHz</w:t>
      </w:r>
      <w:r w:rsidR="008B5159" w:rsidRPr="00303C65">
        <w:rPr>
          <w:rFonts w:ascii="ITC Avant Garde" w:hAnsi="ITC Avant Garde" w:cs="Arial"/>
          <w:bCs/>
          <w:iCs/>
          <w:sz w:val="18"/>
          <w:szCs w:val="18"/>
          <w:u w:val="single"/>
        </w:rPr>
        <w:t>´</w:t>
      </w:r>
      <w:r w:rsidRPr="00303C65">
        <w:rPr>
          <w:rFonts w:ascii="ITC Avant Garde" w:hAnsi="ITC Avant Garde" w:cs="Arial"/>
          <w:bCs/>
          <w:iCs/>
          <w:sz w:val="18"/>
          <w:szCs w:val="18"/>
          <w:u w:val="single"/>
        </w:rPr>
        <w:t xml:space="preserve">, esta Dirección General recomienda que se establezca: i) un plazo no mayor a ciento ochenta días naturales, contados a partir de la fecha de otorgamiento de la concesión, para que Petróleos Mexicanos finalice la migración de las frecuencias que ostenta en los estados de la frontera (Baja California, Chihuahua, Coahuila, Nuevo </w:t>
      </w:r>
      <w:r w:rsidR="00294D4B" w:rsidRPr="00303C65">
        <w:rPr>
          <w:rFonts w:ascii="ITC Avant Garde" w:hAnsi="ITC Avant Garde" w:cs="Arial"/>
          <w:bCs/>
          <w:iCs/>
          <w:sz w:val="18"/>
          <w:szCs w:val="18"/>
          <w:u w:val="single"/>
        </w:rPr>
        <w:t>León, Sonora y Tamaulipas), ii)</w:t>
      </w:r>
      <w:r w:rsidRPr="00303C65">
        <w:rPr>
          <w:rFonts w:ascii="ITC Avant Garde" w:hAnsi="ITC Avant Garde" w:cs="Arial"/>
          <w:bCs/>
          <w:iCs/>
          <w:sz w:val="18"/>
          <w:szCs w:val="18"/>
          <w:u w:val="single"/>
        </w:rPr>
        <w:t xml:space="preserve"> un plazo no mayor a doscientos setenta días naturales, contados a partir de la fecha de otorgamiento de la concesión, para que Petróleos Mexicanos finalice la migración de las frecuencias que ostenta en el resto de los estados de la República</w:t>
      </w:r>
      <w:r w:rsidRPr="00303C65">
        <w:rPr>
          <w:rFonts w:ascii="ITC Avant Garde" w:hAnsi="ITC Avant Garde" w:cs="Arial"/>
          <w:bCs/>
          <w:iCs/>
          <w:sz w:val="18"/>
          <w:szCs w:val="18"/>
        </w:rPr>
        <w:t>.</w:t>
      </w:r>
    </w:p>
    <w:p w14:paraId="01E34A86" w14:textId="77777777" w:rsidR="00303C65" w:rsidRPr="00303C65" w:rsidRDefault="00DE74F5" w:rsidP="00303C65">
      <w:pPr>
        <w:spacing w:before="240" w:line="240" w:lineRule="auto"/>
        <w:ind w:left="567" w:right="615"/>
        <w:contextualSpacing/>
        <w:jc w:val="both"/>
        <w:rPr>
          <w:rFonts w:ascii="ITC Avant Garde" w:eastAsia="Times New Roman" w:hAnsi="ITC Avant Garde" w:cstheme="minorHAnsi"/>
          <w:sz w:val="18"/>
          <w:szCs w:val="18"/>
          <w:highlight w:val="yellow"/>
          <w:lang w:eastAsia="es-ES"/>
        </w:rPr>
      </w:pPr>
      <w:r w:rsidRPr="00303C65">
        <w:rPr>
          <w:rFonts w:ascii="ITC Avant Garde" w:hAnsi="ITC Avant Garde" w:cs="Arial"/>
          <w:bCs/>
          <w:iCs/>
          <w:sz w:val="18"/>
          <w:szCs w:val="18"/>
        </w:rPr>
        <w:t>De acuerdo a todo lo anterior, desde el punto de vista de optimización del espectro radioeléctrico, se propone que los términos para el cambio de frecuencias sean considerados conforme a los criterios aquí descritos.</w:t>
      </w:r>
    </w:p>
    <w:p w14:paraId="4FCBB459" w14:textId="77777777" w:rsidR="00303C65" w:rsidRPr="00303C65" w:rsidRDefault="00853AB3" w:rsidP="00303C65">
      <w:pPr>
        <w:autoSpaceDE w:val="0"/>
        <w:autoSpaceDN w:val="0"/>
        <w:adjustRightInd w:val="0"/>
        <w:spacing w:before="240" w:line="240" w:lineRule="auto"/>
        <w:ind w:left="567" w:right="615"/>
        <w:contextualSpacing/>
        <w:jc w:val="both"/>
        <w:rPr>
          <w:rFonts w:ascii="ITC Avant Garde" w:eastAsiaTheme="majorEastAsia" w:hAnsi="ITC Avant Garde" w:cs="Arial"/>
          <w:b/>
          <w:iCs/>
          <w:sz w:val="18"/>
          <w:szCs w:val="18"/>
          <w:lang w:eastAsia="es-ES"/>
        </w:rPr>
      </w:pPr>
      <w:r w:rsidRPr="00303C65">
        <w:rPr>
          <w:rFonts w:ascii="ITC Avant Garde" w:eastAsiaTheme="majorEastAsia" w:hAnsi="ITC Avant Garde" w:cs="Arial"/>
          <w:b/>
          <w:iCs/>
          <w:sz w:val="18"/>
          <w:szCs w:val="18"/>
          <w:lang w:eastAsia="es-ES"/>
        </w:rPr>
        <w:t>Dictamen</w:t>
      </w:r>
    </w:p>
    <w:p w14:paraId="2D3D3523" w14:textId="77777777" w:rsidR="00303C65" w:rsidRPr="00303C65" w:rsidRDefault="00DE74F5" w:rsidP="00303C65">
      <w:pPr>
        <w:autoSpaceDE w:val="0"/>
        <w:autoSpaceDN w:val="0"/>
        <w:adjustRightInd w:val="0"/>
        <w:spacing w:before="240" w:line="240" w:lineRule="auto"/>
        <w:ind w:left="567" w:right="615"/>
        <w:jc w:val="both"/>
        <w:rPr>
          <w:rFonts w:ascii="ITC Avant Garde" w:eastAsia="Times New Roman" w:hAnsi="ITC Avant Garde" w:cs="Arial"/>
          <w:sz w:val="18"/>
          <w:szCs w:val="18"/>
          <w:lang w:eastAsia="es-ES"/>
        </w:rPr>
      </w:pPr>
      <w:r w:rsidRPr="00303C65">
        <w:rPr>
          <w:rFonts w:ascii="ITC Avant Garde" w:eastAsia="Times New Roman" w:hAnsi="ITC Avant Garde" w:cs="Arial"/>
          <w:sz w:val="18"/>
          <w:szCs w:val="18"/>
          <w:lang w:eastAsia="es-ES"/>
        </w:rPr>
        <w:t xml:space="preserve">Con base en el análisis previo y desde el punto de vista de planeación del espectro el uso solicitado dentro del rango </w:t>
      </w:r>
      <w:r w:rsidRPr="00303C65">
        <w:rPr>
          <w:rFonts w:ascii="ITC Avant Garde" w:eastAsia="Times New Roman" w:hAnsi="ITC Avant Garde" w:cs="Arial"/>
          <w:b/>
          <w:sz w:val="18"/>
          <w:szCs w:val="18"/>
          <w:lang w:eastAsia="es-ES"/>
        </w:rPr>
        <w:t>806-814/851-859 MH</w:t>
      </w:r>
      <w:r w:rsidRPr="00303C65">
        <w:rPr>
          <w:rFonts w:ascii="ITC Avant Garde" w:eastAsia="Times New Roman" w:hAnsi="ITC Avant Garde" w:cs="Arial"/>
          <w:sz w:val="18"/>
          <w:szCs w:val="18"/>
          <w:lang w:eastAsia="es-ES"/>
        </w:rPr>
        <w:t xml:space="preserve">z para la prórroga de la asignación se considera </w:t>
      </w:r>
      <w:r w:rsidRPr="00303C65">
        <w:rPr>
          <w:rFonts w:ascii="ITC Avant Garde" w:eastAsia="Times New Roman" w:hAnsi="ITC Avant Garde" w:cs="Arial"/>
          <w:b/>
          <w:sz w:val="18"/>
          <w:szCs w:val="18"/>
          <w:lang w:eastAsia="es-ES"/>
        </w:rPr>
        <w:t>PROCEDENTE</w:t>
      </w:r>
      <w:r w:rsidRPr="00303C65">
        <w:rPr>
          <w:rFonts w:ascii="ITC Avant Garde" w:eastAsia="Times New Roman" w:hAnsi="ITC Avant Garde" w:cs="Arial"/>
          <w:sz w:val="18"/>
          <w:szCs w:val="18"/>
          <w:lang w:eastAsia="es-ES"/>
        </w:rPr>
        <w:t xml:space="preserve">. Así mismo, el uso solicitado dentro del rango </w:t>
      </w:r>
      <w:r w:rsidRPr="00303C65">
        <w:rPr>
          <w:rFonts w:ascii="ITC Avant Garde" w:eastAsia="Times New Roman" w:hAnsi="ITC Avant Garde" w:cs="Arial"/>
          <w:b/>
          <w:sz w:val="18"/>
          <w:szCs w:val="18"/>
          <w:lang w:eastAsia="es-ES"/>
        </w:rPr>
        <w:t>814-824/859-869 MHz</w:t>
      </w:r>
      <w:r w:rsidRPr="00303C65">
        <w:rPr>
          <w:rFonts w:ascii="ITC Avant Garde" w:eastAsia="Times New Roman" w:hAnsi="ITC Avant Garde" w:cs="Arial"/>
          <w:sz w:val="18"/>
          <w:szCs w:val="18"/>
          <w:lang w:eastAsia="es-ES"/>
        </w:rPr>
        <w:t xml:space="preserve"> para la prórroga de la asignación se considera </w:t>
      </w:r>
      <w:r w:rsidRPr="00303C65">
        <w:rPr>
          <w:rFonts w:ascii="ITC Avant Garde" w:eastAsia="Times New Roman" w:hAnsi="ITC Avant Garde" w:cs="Arial"/>
          <w:b/>
          <w:sz w:val="18"/>
          <w:szCs w:val="18"/>
          <w:lang w:eastAsia="es-ES"/>
        </w:rPr>
        <w:t>NO PROCEDENTE</w:t>
      </w:r>
      <w:r w:rsidRPr="00303C65">
        <w:rPr>
          <w:rFonts w:ascii="ITC Avant Garde" w:eastAsia="Times New Roman" w:hAnsi="ITC Avant Garde" w:cs="Arial"/>
          <w:sz w:val="18"/>
          <w:szCs w:val="18"/>
          <w:lang w:eastAsia="es-ES"/>
        </w:rPr>
        <w:t xml:space="preserve">, no obstante se propone que las frecuencias asignadas en este segmento, sean sustituidas por el mismo número de frecuencias en el segmento </w:t>
      </w:r>
      <w:r w:rsidRPr="00303C65">
        <w:rPr>
          <w:rFonts w:ascii="ITC Avant Garde" w:eastAsia="Times New Roman" w:hAnsi="ITC Avant Garde" w:cs="Arial"/>
          <w:b/>
          <w:sz w:val="18"/>
          <w:szCs w:val="18"/>
          <w:lang w:eastAsia="es-ES"/>
        </w:rPr>
        <w:t>806-814/851</w:t>
      </w:r>
      <w:r w:rsidRPr="00303C65">
        <w:rPr>
          <w:rFonts w:ascii="Cambria Math" w:eastAsia="Times New Roman" w:hAnsi="Cambria Math" w:cs="Cambria Math"/>
          <w:b/>
          <w:sz w:val="18"/>
          <w:szCs w:val="18"/>
          <w:lang w:eastAsia="es-ES"/>
        </w:rPr>
        <w:t>‐</w:t>
      </w:r>
      <w:r w:rsidRPr="00303C65">
        <w:rPr>
          <w:rFonts w:ascii="ITC Avant Garde" w:eastAsia="Times New Roman" w:hAnsi="ITC Avant Garde" w:cs="Arial"/>
          <w:b/>
          <w:sz w:val="18"/>
          <w:szCs w:val="18"/>
          <w:lang w:eastAsia="es-ES"/>
        </w:rPr>
        <w:t>859 MHz</w:t>
      </w:r>
      <w:r w:rsidRPr="00303C65">
        <w:rPr>
          <w:rFonts w:ascii="ITC Avant Garde" w:eastAsia="Times New Roman" w:hAnsi="ITC Avant Garde" w:cs="Arial"/>
          <w:sz w:val="18"/>
          <w:szCs w:val="18"/>
          <w:lang w:eastAsia="es-ES"/>
        </w:rPr>
        <w:t xml:space="preserve">. </w:t>
      </w:r>
    </w:p>
    <w:p w14:paraId="5F801940" w14:textId="77777777" w:rsidR="00303C65" w:rsidRPr="00303C65" w:rsidRDefault="00DE74F5" w:rsidP="00303C65">
      <w:pPr>
        <w:autoSpaceDE w:val="0"/>
        <w:autoSpaceDN w:val="0"/>
        <w:adjustRightInd w:val="0"/>
        <w:spacing w:before="240" w:line="240" w:lineRule="auto"/>
        <w:ind w:left="567" w:right="615"/>
        <w:jc w:val="both"/>
        <w:rPr>
          <w:rFonts w:ascii="ITC Avant Garde" w:eastAsia="Times New Roman" w:hAnsi="ITC Avant Garde" w:cs="Arial"/>
          <w:sz w:val="18"/>
          <w:szCs w:val="18"/>
          <w:lang w:eastAsia="es-ES"/>
        </w:rPr>
      </w:pPr>
      <w:r w:rsidRPr="00303C65">
        <w:rPr>
          <w:rFonts w:ascii="ITC Avant Garde" w:eastAsia="Times New Roman" w:hAnsi="ITC Avant Garde" w:cs="Arial"/>
          <w:sz w:val="18"/>
          <w:szCs w:val="18"/>
          <w:lang w:eastAsia="es-ES"/>
        </w:rPr>
        <w:t xml:space="preserve">Por otro lado, desde el punto de vista de planeación del espectro, el uso solicitado respecto a la solicitud de modificación de la asignación se considera </w:t>
      </w:r>
      <w:r w:rsidRPr="00303C65">
        <w:rPr>
          <w:rFonts w:ascii="ITC Avant Garde" w:eastAsia="Times New Roman" w:hAnsi="ITC Avant Garde" w:cs="Arial"/>
          <w:b/>
          <w:sz w:val="18"/>
          <w:szCs w:val="18"/>
          <w:lang w:eastAsia="es-ES"/>
        </w:rPr>
        <w:t>PROCEDENTE</w:t>
      </w:r>
      <w:r w:rsidRPr="00303C65">
        <w:rPr>
          <w:rFonts w:ascii="ITC Avant Garde" w:eastAsia="Times New Roman" w:hAnsi="ITC Avant Garde" w:cs="Arial"/>
          <w:sz w:val="18"/>
          <w:szCs w:val="18"/>
          <w:lang w:eastAsia="es-ES"/>
        </w:rPr>
        <w:t>.</w:t>
      </w:r>
    </w:p>
    <w:p w14:paraId="7CB54A23" w14:textId="77777777" w:rsidR="00303C65" w:rsidRPr="00303C65" w:rsidRDefault="00DE74F5" w:rsidP="00303C65">
      <w:pPr>
        <w:autoSpaceDE w:val="0"/>
        <w:autoSpaceDN w:val="0"/>
        <w:adjustRightInd w:val="0"/>
        <w:spacing w:before="240" w:line="240" w:lineRule="auto"/>
        <w:ind w:left="567" w:right="615"/>
        <w:jc w:val="both"/>
        <w:rPr>
          <w:rFonts w:ascii="ITC Avant Garde" w:eastAsia="Times New Roman" w:hAnsi="ITC Avant Garde"/>
          <w:bCs/>
          <w:highlight w:val="yellow"/>
          <w:lang w:val="es-ES" w:eastAsia="es-ES"/>
        </w:rPr>
      </w:pPr>
      <w:r w:rsidRPr="00303C65">
        <w:rPr>
          <w:rFonts w:ascii="ITC Avant Garde" w:eastAsia="Times New Roman" w:hAnsi="ITC Avant Garde" w:cs="Arial"/>
          <w:sz w:val="18"/>
          <w:szCs w:val="18"/>
          <w:lang w:eastAsia="es-ES"/>
        </w:rPr>
        <w:t>Lo anterior, sujeto a las condiciones y términos que se indican en el apartado siguiente.</w:t>
      </w:r>
    </w:p>
    <w:p w14:paraId="52C7C62F" w14:textId="50558AA9" w:rsidR="00DE74F5" w:rsidRPr="00303C65" w:rsidRDefault="00DE74F5" w:rsidP="00303C65">
      <w:pPr>
        <w:spacing w:before="240" w:line="240" w:lineRule="auto"/>
        <w:ind w:left="567" w:right="615"/>
        <w:contextualSpacing/>
        <w:jc w:val="both"/>
        <w:rPr>
          <w:rFonts w:ascii="ITC Avant Garde" w:hAnsi="ITC Avant Garde" w:cs="Arial"/>
          <w:b/>
          <w:bCs/>
          <w:iCs/>
          <w:sz w:val="18"/>
          <w:szCs w:val="18"/>
        </w:rPr>
      </w:pPr>
      <w:r w:rsidRPr="00303C65">
        <w:rPr>
          <w:rFonts w:ascii="ITC Avant Garde" w:hAnsi="ITC Avant Garde" w:cs="Arial"/>
          <w:b/>
          <w:bCs/>
          <w:iCs/>
          <w:sz w:val="18"/>
          <w:szCs w:val="18"/>
        </w:rPr>
        <w:t>Condiciones y términos de uso de la banda de frecuencias</w:t>
      </w:r>
    </w:p>
    <w:p w14:paraId="1ABEEE92" w14:textId="77777777" w:rsidR="00303C65" w:rsidRPr="00303C65" w:rsidRDefault="00DE74F5" w:rsidP="00303C65">
      <w:pPr>
        <w:spacing w:before="240" w:line="240" w:lineRule="auto"/>
        <w:ind w:left="3114" w:right="615" w:hanging="2547"/>
        <w:contextualSpacing/>
        <w:jc w:val="both"/>
        <w:rPr>
          <w:rFonts w:ascii="ITC Avant Garde" w:hAnsi="ITC Avant Garde" w:cs="Arial"/>
          <w:bCs/>
          <w:iCs/>
          <w:sz w:val="18"/>
          <w:szCs w:val="18"/>
        </w:rPr>
      </w:pPr>
      <w:r w:rsidRPr="00303C65">
        <w:rPr>
          <w:rFonts w:ascii="ITC Avant Garde" w:hAnsi="ITC Avant Garde" w:cs="Arial"/>
          <w:b/>
          <w:bCs/>
          <w:iCs/>
          <w:sz w:val="18"/>
          <w:szCs w:val="18"/>
        </w:rPr>
        <w:t>Frecuencias de operación</w:t>
      </w:r>
      <w:r w:rsidRPr="00303C65">
        <w:rPr>
          <w:rFonts w:ascii="ITC Avant Garde" w:hAnsi="ITC Avant Garde" w:cs="Arial"/>
          <w:bCs/>
          <w:iCs/>
          <w:sz w:val="18"/>
          <w:szCs w:val="18"/>
        </w:rPr>
        <w:tab/>
        <w:t xml:space="preserve">Se recomienda que los pares de frecuencias que pudieran ser otorgados, se encuentren estrictamente dentro del segmento </w:t>
      </w:r>
      <w:r w:rsidRPr="00303C65">
        <w:rPr>
          <w:rFonts w:ascii="ITC Avant Garde" w:hAnsi="ITC Avant Garde" w:cs="Arial"/>
          <w:b/>
          <w:bCs/>
          <w:iCs/>
          <w:sz w:val="18"/>
          <w:szCs w:val="18"/>
        </w:rPr>
        <w:t>806-814/851-859 MHz</w:t>
      </w:r>
      <w:r w:rsidRPr="00303C65">
        <w:rPr>
          <w:rFonts w:ascii="ITC Avant Garde" w:hAnsi="ITC Avant Garde" w:cs="Arial"/>
          <w:bCs/>
          <w:iCs/>
          <w:sz w:val="18"/>
          <w:szCs w:val="18"/>
        </w:rPr>
        <w:t>. Así mismo, con el fin de promover una óptima utilización del espectro radioeléctrico, se exhorta a que se lleve a cabo la re-utilización de frecuencias de operación en los canales de frecuencias que pudieran ser otorgados.</w:t>
      </w:r>
    </w:p>
    <w:p w14:paraId="18BEED2E" w14:textId="51EA0B43" w:rsidR="00DE74F5" w:rsidRPr="00303C65" w:rsidRDefault="00DE74F5" w:rsidP="00303C65">
      <w:pPr>
        <w:spacing w:before="240" w:line="240" w:lineRule="auto"/>
        <w:ind w:left="3114" w:right="615"/>
        <w:contextualSpacing/>
        <w:jc w:val="both"/>
        <w:rPr>
          <w:rFonts w:ascii="ITC Avant Garde" w:hAnsi="ITC Avant Garde" w:cs="Arial"/>
          <w:bCs/>
          <w:iCs/>
          <w:sz w:val="18"/>
          <w:szCs w:val="18"/>
        </w:rPr>
      </w:pPr>
      <w:r w:rsidRPr="00303C65">
        <w:rPr>
          <w:rFonts w:ascii="ITC Avant Garde" w:hAnsi="ITC Avant Garde" w:cs="Arial"/>
          <w:bCs/>
          <w:iCs/>
          <w:sz w:val="18"/>
          <w:szCs w:val="18"/>
        </w:rPr>
        <w:t xml:space="preserve">Adicionalmente se recomienda que los pares de frecuencias que pudieran ser otorgados para sitios y/o coberturas geográficas que se encuentren dentro de los 110 km de la zona compartida con Estados Unidos, se encuentren estrictamente dentro del  segmento </w:t>
      </w:r>
      <w:r w:rsidRPr="00303C65">
        <w:rPr>
          <w:rFonts w:ascii="ITC Avant Garde" w:hAnsi="ITC Avant Garde" w:cs="Arial"/>
          <w:b/>
          <w:bCs/>
          <w:iCs/>
          <w:sz w:val="18"/>
          <w:szCs w:val="18"/>
        </w:rPr>
        <w:t>812.25-814/857.25-859 MHz</w:t>
      </w:r>
      <w:r w:rsidRPr="00303C65">
        <w:rPr>
          <w:rFonts w:ascii="ITC Avant Garde" w:hAnsi="ITC Avant Garde" w:cs="Arial"/>
          <w:bCs/>
          <w:iCs/>
          <w:sz w:val="18"/>
          <w:szCs w:val="18"/>
        </w:rPr>
        <w:t>, conforme lo establecido en el Protocolo</w:t>
      </w:r>
      <w:r w:rsidR="00F028AB" w:rsidRPr="00303C65">
        <w:rPr>
          <w:rStyle w:val="Refdenotaalpie"/>
        </w:rPr>
        <w:footnoteReference w:id="2"/>
      </w:r>
      <w:r w:rsidRPr="00303C65">
        <w:rPr>
          <w:rFonts w:ascii="ITC Avant Garde" w:hAnsi="ITC Avant Garde" w:cs="Arial"/>
          <w:bCs/>
          <w:iCs/>
          <w:sz w:val="18"/>
          <w:szCs w:val="18"/>
        </w:rPr>
        <w:t>.</w:t>
      </w:r>
    </w:p>
    <w:p w14:paraId="6F9DABDD" w14:textId="77777777" w:rsidR="00DE74F5" w:rsidRPr="00303C65" w:rsidRDefault="00DE74F5" w:rsidP="00303C65">
      <w:pPr>
        <w:spacing w:before="240" w:line="240" w:lineRule="auto"/>
        <w:ind w:left="3114" w:right="615" w:hanging="990"/>
        <w:contextualSpacing/>
        <w:jc w:val="both"/>
        <w:rPr>
          <w:rFonts w:ascii="ITC Avant Garde" w:hAnsi="ITC Avant Garde" w:cs="Arial"/>
          <w:bCs/>
          <w:iCs/>
          <w:sz w:val="18"/>
          <w:szCs w:val="18"/>
        </w:rPr>
      </w:pPr>
      <w:r w:rsidRPr="00303C65">
        <w:rPr>
          <w:rFonts w:ascii="ITC Avant Garde" w:hAnsi="ITC Avant Garde" w:cs="Arial"/>
          <w:b/>
          <w:bCs/>
          <w:iCs/>
          <w:sz w:val="18"/>
          <w:szCs w:val="18"/>
        </w:rPr>
        <w:t>Cobertura</w:t>
      </w:r>
      <w:r w:rsidR="00F028AB" w:rsidRPr="00303C65">
        <w:rPr>
          <w:rFonts w:ascii="ITC Avant Garde" w:hAnsi="ITC Avant Garde" w:cs="Arial"/>
          <w:b/>
          <w:bCs/>
          <w:iCs/>
          <w:sz w:val="18"/>
          <w:szCs w:val="18"/>
        </w:rPr>
        <w:t xml:space="preserve"> </w:t>
      </w:r>
      <w:r w:rsidRPr="00303C65">
        <w:rPr>
          <w:rFonts w:ascii="ITC Avant Garde" w:hAnsi="ITC Avant Garde" w:cs="Arial"/>
          <w:bCs/>
          <w:iCs/>
          <w:sz w:val="18"/>
          <w:szCs w:val="18"/>
        </w:rPr>
        <w:t>Sin restricciones respecto a la cobertura estipulada en el título</w:t>
      </w:r>
      <w:r w:rsidR="00F028AB" w:rsidRPr="00303C65">
        <w:rPr>
          <w:rFonts w:ascii="ITC Avant Garde" w:hAnsi="ITC Avant Garde" w:cs="Arial"/>
          <w:bCs/>
          <w:iCs/>
          <w:sz w:val="18"/>
          <w:szCs w:val="18"/>
        </w:rPr>
        <w:t xml:space="preserve"> </w:t>
      </w:r>
      <w:r w:rsidRPr="00303C65">
        <w:rPr>
          <w:rFonts w:ascii="ITC Avant Garde" w:hAnsi="ITC Avant Garde" w:cs="Arial"/>
          <w:bCs/>
          <w:iCs/>
          <w:sz w:val="18"/>
          <w:szCs w:val="18"/>
        </w:rPr>
        <w:t>habilitante.</w:t>
      </w:r>
    </w:p>
    <w:p w14:paraId="228EC160" w14:textId="77777777" w:rsidR="00303C65" w:rsidRPr="00303C65" w:rsidRDefault="00DE74F5" w:rsidP="00303C65">
      <w:pPr>
        <w:spacing w:before="240" w:line="240" w:lineRule="auto"/>
        <w:ind w:left="708" w:right="615"/>
        <w:contextualSpacing/>
        <w:jc w:val="both"/>
        <w:rPr>
          <w:rFonts w:ascii="ITC Avant Garde" w:hAnsi="ITC Avant Garde" w:cs="Arial"/>
          <w:bCs/>
          <w:iCs/>
          <w:sz w:val="18"/>
          <w:szCs w:val="18"/>
        </w:rPr>
      </w:pPr>
      <w:r w:rsidRPr="00303C65">
        <w:rPr>
          <w:rFonts w:ascii="ITC Avant Garde" w:hAnsi="ITC Avant Garde" w:cs="Arial"/>
          <w:b/>
          <w:bCs/>
          <w:iCs/>
          <w:sz w:val="18"/>
          <w:szCs w:val="18"/>
        </w:rPr>
        <w:lastRenderedPageBreak/>
        <w:t>Vigencia recomendada</w:t>
      </w:r>
      <w:r w:rsidR="00F028AB" w:rsidRPr="00303C65">
        <w:rPr>
          <w:rFonts w:ascii="ITC Avant Garde" w:hAnsi="ITC Avant Garde" w:cs="Arial"/>
          <w:bCs/>
          <w:iCs/>
          <w:sz w:val="18"/>
          <w:szCs w:val="18"/>
        </w:rPr>
        <w:t xml:space="preserve"> </w:t>
      </w:r>
      <w:r w:rsidRPr="00303C65">
        <w:rPr>
          <w:rFonts w:ascii="ITC Avant Garde" w:hAnsi="ITC Avant Garde" w:cs="Arial"/>
          <w:bCs/>
          <w:iCs/>
          <w:sz w:val="18"/>
          <w:szCs w:val="18"/>
        </w:rPr>
        <w:t>Sin restricciones respecto a la vigencia del título de habilitante.</w:t>
      </w:r>
      <w:r w:rsidR="00A54AA5" w:rsidRPr="00303C65">
        <w:rPr>
          <w:rFonts w:ascii="ITC Avant Garde" w:hAnsi="ITC Avant Garde" w:cs="Arial"/>
          <w:bCs/>
          <w:iCs/>
          <w:sz w:val="18"/>
          <w:szCs w:val="18"/>
        </w:rPr>
        <w:t>” (Subrayado añadido).</w:t>
      </w:r>
    </w:p>
    <w:p w14:paraId="7FD32956" w14:textId="77777777" w:rsidR="00303C65" w:rsidRPr="00303C65" w:rsidRDefault="00B96306" w:rsidP="00303C65">
      <w:pPr>
        <w:autoSpaceDE w:val="0"/>
        <w:autoSpaceDN w:val="0"/>
        <w:adjustRightInd w:val="0"/>
        <w:spacing w:before="240" w:line="240" w:lineRule="auto"/>
        <w:jc w:val="both"/>
        <w:rPr>
          <w:rFonts w:ascii="ITC Avant Garde" w:hAnsi="ITC Avant Garde" w:cs="Tahoma"/>
          <w:bCs/>
          <w:u w:val="single"/>
          <w:lang w:eastAsia="es-MX"/>
        </w:rPr>
      </w:pPr>
      <w:r w:rsidRPr="00303C65">
        <w:rPr>
          <w:rFonts w:ascii="ITC Avant Garde" w:hAnsi="ITC Avant Garde" w:cs="Tahoma"/>
          <w:bCs/>
          <w:lang w:eastAsia="es-MX"/>
        </w:rPr>
        <w:t xml:space="preserve">En </w:t>
      </w:r>
      <w:r w:rsidR="005D4C97" w:rsidRPr="00303C65">
        <w:rPr>
          <w:rFonts w:ascii="ITC Avant Garde" w:hAnsi="ITC Avant Garde" w:cs="Tahoma"/>
          <w:bCs/>
          <w:lang w:eastAsia="es-MX"/>
        </w:rPr>
        <w:t xml:space="preserve">ese sentido, y de conformidad con el </w:t>
      </w:r>
      <w:r w:rsidR="004B5FDF" w:rsidRPr="00303C65">
        <w:rPr>
          <w:rFonts w:ascii="ITC Avant Garde" w:hAnsi="ITC Avant Garde" w:cs="Tahoma"/>
          <w:bCs/>
          <w:lang w:eastAsia="es-MX"/>
        </w:rPr>
        <w:t>Plan de distribución para la banda 806-824/851-869 MHz y con el Acuerdo de Cambio de Bandas, aprobados previamente por este Pleno, las comunicaciones inalámbricas han alcanzado gran relevancia para las entidades que desempeñan actividades de misión crítica,</w:t>
      </w:r>
      <w:r w:rsidR="00A54AA5" w:rsidRPr="00303C65">
        <w:rPr>
          <w:rFonts w:ascii="ITC Avant Garde" w:hAnsi="ITC Avant Garde" w:cs="Tahoma"/>
          <w:bCs/>
          <w:lang w:eastAsia="es-MX"/>
        </w:rPr>
        <w:t xml:space="preserve"> como es el caso de PEMEX. I</w:t>
      </w:r>
      <w:r w:rsidR="004B5FDF" w:rsidRPr="00303C65">
        <w:rPr>
          <w:rFonts w:ascii="ITC Avant Garde" w:hAnsi="ITC Avant Garde" w:cs="Tahoma"/>
          <w:bCs/>
          <w:lang w:eastAsia="es-MX"/>
        </w:rPr>
        <w:t>ncluso</w:t>
      </w:r>
      <w:r w:rsidR="00A54AA5" w:rsidRPr="00303C65">
        <w:rPr>
          <w:rFonts w:ascii="ITC Avant Garde" w:hAnsi="ITC Avant Garde" w:cs="Tahoma"/>
          <w:bCs/>
          <w:lang w:eastAsia="es-MX"/>
        </w:rPr>
        <w:t>,</w:t>
      </w:r>
      <w:r w:rsidR="004B5FDF" w:rsidRPr="00303C65">
        <w:rPr>
          <w:rFonts w:ascii="ITC Avant Garde" w:hAnsi="ITC Avant Garde" w:cs="Tahoma"/>
          <w:bCs/>
          <w:lang w:eastAsia="es-MX"/>
        </w:rPr>
        <w:t xml:space="preserve"> en algunos casos, las comunicaciones de estas entidades dependen completamente del uso del espectro radioeléctrico</w:t>
      </w:r>
      <w:r w:rsidR="00A54AA5" w:rsidRPr="00303C65">
        <w:rPr>
          <w:rFonts w:ascii="ITC Avant Garde" w:hAnsi="ITC Avant Garde" w:cs="Tahoma"/>
          <w:bCs/>
          <w:lang w:eastAsia="es-MX"/>
        </w:rPr>
        <w:t>,</w:t>
      </w:r>
      <w:r w:rsidR="004B5FDF" w:rsidRPr="00303C65">
        <w:rPr>
          <w:rFonts w:ascii="ITC Avant Garde" w:hAnsi="ITC Avant Garde" w:cs="Tahoma"/>
          <w:bCs/>
          <w:lang w:eastAsia="es-MX"/>
        </w:rPr>
        <w:t xml:space="preserve"> al ser el único medio de comunicación disponible, sobre todo en zonas de difícil acceso</w:t>
      </w:r>
      <w:r w:rsidR="00A54AA5" w:rsidRPr="00303C65">
        <w:rPr>
          <w:rFonts w:ascii="ITC Avant Garde" w:hAnsi="ITC Avant Garde" w:cs="Tahoma"/>
          <w:bCs/>
          <w:lang w:eastAsia="es-MX"/>
        </w:rPr>
        <w:t>. P</w:t>
      </w:r>
      <w:r w:rsidR="004B5FDF" w:rsidRPr="00303C65">
        <w:rPr>
          <w:rFonts w:ascii="ITC Avant Garde" w:hAnsi="ITC Avant Garde" w:cs="Tahoma"/>
          <w:bCs/>
          <w:lang w:eastAsia="es-MX"/>
        </w:rPr>
        <w:t xml:space="preserve">or lo anterior, y atendiendo al uso de las frecuencias de espectro radioeléctrico que PEMEX emplea en su sistema móvil de radiocomunicación especializada de flotillas </w:t>
      </w:r>
      <w:r w:rsidR="00716B38" w:rsidRPr="00303C65">
        <w:rPr>
          <w:rFonts w:ascii="ITC Avant Garde" w:hAnsi="ITC Avant Garde" w:cs="Tahoma"/>
          <w:bCs/>
          <w:lang w:eastAsia="es-MX"/>
        </w:rPr>
        <w:t>se considera procedente sustituir las frecuencias otorgadas en su momento en la Asignación</w:t>
      </w:r>
      <w:r w:rsidR="00A54AA5" w:rsidRPr="00303C65">
        <w:rPr>
          <w:rFonts w:ascii="ITC Avant Garde" w:hAnsi="ITC Avant Garde" w:cs="Tahoma"/>
          <w:bCs/>
          <w:lang w:eastAsia="es-MX"/>
        </w:rPr>
        <w:t>,</w:t>
      </w:r>
      <w:r w:rsidR="00716B38" w:rsidRPr="00303C65">
        <w:rPr>
          <w:rFonts w:ascii="ITC Avant Garde" w:hAnsi="ITC Avant Garde" w:cs="Tahoma"/>
          <w:bCs/>
          <w:lang w:eastAsia="es-MX"/>
        </w:rPr>
        <w:t xml:space="preserve"> dentro del rango de frecuencias 814-824/859-869 MHz</w:t>
      </w:r>
      <w:r w:rsidR="00A54AA5" w:rsidRPr="00303C65">
        <w:rPr>
          <w:rFonts w:ascii="ITC Avant Garde" w:hAnsi="ITC Avant Garde" w:cs="Tahoma"/>
          <w:bCs/>
          <w:lang w:eastAsia="es-MX"/>
        </w:rPr>
        <w:t>,</w:t>
      </w:r>
      <w:r w:rsidR="00716B38" w:rsidRPr="00303C65">
        <w:rPr>
          <w:rFonts w:ascii="ITC Avant Garde" w:hAnsi="ITC Avant Garde" w:cs="Tahoma"/>
          <w:bCs/>
          <w:lang w:eastAsia="es-MX"/>
        </w:rPr>
        <w:t xml:space="preserve"> por la misma cantidad de frecuencias </w:t>
      </w:r>
      <w:r w:rsidR="00A54AA5" w:rsidRPr="00303C65">
        <w:rPr>
          <w:rFonts w:ascii="ITC Avant Garde" w:hAnsi="ITC Avant Garde" w:cs="Tahoma"/>
          <w:bCs/>
          <w:lang w:eastAsia="es-MX"/>
        </w:rPr>
        <w:t xml:space="preserve">pero </w:t>
      </w:r>
      <w:r w:rsidR="00716B38" w:rsidRPr="00303C65">
        <w:rPr>
          <w:rFonts w:ascii="ITC Avant Garde" w:hAnsi="ITC Avant Garde" w:cs="Tahoma"/>
          <w:bCs/>
          <w:lang w:eastAsia="es-MX"/>
        </w:rPr>
        <w:t>en el rango de 806-814/851-859 MHz</w:t>
      </w:r>
      <w:r w:rsidR="00A54AA5" w:rsidRPr="00303C65">
        <w:rPr>
          <w:rFonts w:ascii="ITC Avant Garde" w:hAnsi="ITC Avant Garde" w:cs="Tahoma"/>
          <w:bCs/>
          <w:lang w:eastAsia="es-MX"/>
        </w:rPr>
        <w:t>.</w:t>
      </w:r>
    </w:p>
    <w:p w14:paraId="2444AF5E" w14:textId="77777777" w:rsidR="00303C65" w:rsidRPr="00303C65" w:rsidRDefault="001F2F99" w:rsidP="00303C65">
      <w:pPr>
        <w:autoSpaceDE w:val="0"/>
        <w:autoSpaceDN w:val="0"/>
        <w:adjustRightInd w:val="0"/>
        <w:spacing w:before="240" w:line="240" w:lineRule="auto"/>
        <w:jc w:val="both"/>
        <w:rPr>
          <w:rFonts w:ascii="ITC Avant Garde" w:hAnsi="ITC Avant Garde" w:cs="Tahoma"/>
          <w:bCs/>
          <w:lang w:eastAsia="es-MX"/>
        </w:rPr>
      </w:pPr>
      <w:r w:rsidRPr="00303C65">
        <w:rPr>
          <w:rFonts w:ascii="ITC Avant Garde" w:hAnsi="ITC Avant Garde" w:cs="Tahoma"/>
          <w:bCs/>
          <w:lang w:eastAsia="es-MX"/>
        </w:rPr>
        <w:t>C</w:t>
      </w:r>
      <w:r w:rsidR="00DE3032" w:rsidRPr="00303C65">
        <w:rPr>
          <w:rFonts w:ascii="ITC Avant Garde" w:hAnsi="ITC Avant Garde" w:cs="Tahoma"/>
          <w:bCs/>
          <w:lang w:eastAsia="es-MX"/>
        </w:rPr>
        <w:t xml:space="preserve">abe señalar que los términos en los que se propone prorrogar la vigencia de la </w:t>
      </w:r>
      <w:r w:rsidR="008A3018" w:rsidRPr="00303C65">
        <w:rPr>
          <w:rFonts w:ascii="ITC Avant Garde" w:hAnsi="ITC Avant Garde" w:cs="Tahoma"/>
          <w:bCs/>
          <w:lang w:eastAsia="es-MX"/>
        </w:rPr>
        <w:t>Asignación así como la modificación a la misma,</w:t>
      </w:r>
      <w:r w:rsidR="00DE3032" w:rsidRPr="00303C65">
        <w:rPr>
          <w:rFonts w:ascii="ITC Avant Garde" w:hAnsi="ITC Avant Garde" w:cs="Tahoma"/>
          <w:bCs/>
          <w:lang w:eastAsia="es-MX"/>
        </w:rPr>
        <w:t xml:space="preserve"> son una condición necesaria para dar cumplimiento a lo establecido en el “Protocolo entre la Secretaría de Comunicaciones y Transportes de los Estados Unidos Mexicanos y el Departamento de Estado de los Estados U</w:t>
      </w:r>
      <w:r w:rsidR="008A3018" w:rsidRPr="00303C65">
        <w:rPr>
          <w:rFonts w:ascii="ITC Avant Garde" w:hAnsi="ITC Avant Garde" w:cs="Tahoma"/>
          <w:bCs/>
          <w:lang w:eastAsia="es-MX"/>
        </w:rPr>
        <w:t>nidos de América relativo a la A</w:t>
      </w:r>
      <w:r w:rsidR="00DE3032" w:rsidRPr="00303C65">
        <w:rPr>
          <w:rFonts w:ascii="ITC Avant Garde" w:hAnsi="ITC Avant Garde" w:cs="Tahoma"/>
          <w:bCs/>
          <w:lang w:eastAsia="es-MX"/>
        </w:rPr>
        <w:t xml:space="preserve">djudicación, </w:t>
      </w:r>
      <w:r w:rsidR="008A3018" w:rsidRPr="00303C65">
        <w:rPr>
          <w:rFonts w:ascii="ITC Avant Garde" w:hAnsi="ITC Avant Garde" w:cs="Tahoma"/>
          <w:bCs/>
          <w:lang w:eastAsia="es-MX"/>
        </w:rPr>
        <w:t>A</w:t>
      </w:r>
      <w:r w:rsidR="00DE3032" w:rsidRPr="00303C65">
        <w:rPr>
          <w:rFonts w:ascii="ITC Avant Garde" w:hAnsi="ITC Avant Garde" w:cs="Tahoma"/>
          <w:bCs/>
          <w:lang w:eastAsia="es-MX"/>
        </w:rPr>
        <w:t xml:space="preserve">signación y </w:t>
      </w:r>
      <w:r w:rsidR="008A3018" w:rsidRPr="00303C65">
        <w:rPr>
          <w:rFonts w:ascii="ITC Avant Garde" w:hAnsi="ITC Avant Garde" w:cs="Tahoma"/>
          <w:bCs/>
          <w:lang w:eastAsia="es-MX"/>
        </w:rPr>
        <w:t>Uso de R</w:t>
      </w:r>
      <w:r w:rsidR="00DE3032" w:rsidRPr="00303C65">
        <w:rPr>
          <w:rFonts w:ascii="ITC Avant Garde" w:hAnsi="ITC Avant Garde" w:cs="Tahoma"/>
          <w:bCs/>
          <w:lang w:eastAsia="es-MX"/>
        </w:rPr>
        <w:t xml:space="preserve">adiofrecuencias en las </w:t>
      </w:r>
      <w:r w:rsidR="008A3018" w:rsidRPr="00303C65">
        <w:rPr>
          <w:rFonts w:ascii="ITC Avant Garde" w:hAnsi="ITC Avant Garde" w:cs="Tahoma"/>
          <w:bCs/>
          <w:lang w:eastAsia="es-MX"/>
        </w:rPr>
        <w:t>B</w:t>
      </w:r>
      <w:r w:rsidR="00DE3032" w:rsidRPr="00303C65">
        <w:rPr>
          <w:rFonts w:ascii="ITC Avant Garde" w:hAnsi="ITC Avant Garde" w:cs="Tahoma"/>
          <w:bCs/>
          <w:lang w:eastAsia="es-MX"/>
        </w:rPr>
        <w:t xml:space="preserve">andas de 806-824/851-869 MHz y 896-901/935-940 MHz para servicios terrenales de radiocomunicación excepto </w:t>
      </w:r>
      <w:r w:rsidR="008A3018" w:rsidRPr="00303C65">
        <w:rPr>
          <w:rFonts w:ascii="ITC Avant Garde" w:hAnsi="ITC Avant Garde" w:cs="Tahoma"/>
          <w:bCs/>
          <w:lang w:eastAsia="es-MX"/>
        </w:rPr>
        <w:t>Radio</w:t>
      </w:r>
      <w:r w:rsidR="00DE3032" w:rsidRPr="00303C65">
        <w:rPr>
          <w:rFonts w:ascii="ITC Avant Garde" w:hAnsi="ITC Avant Garde" w:cs="Tahoma"/>
          <w:bCs/>
          <w:lang w:eastAsia="es-MX"/>
        </w:rPr>
        <w:t>difusión, a lo largo de la frontera común”, firmado en Williamsburg, Virginia, el 16 de junio de 1994 y enmendado en Washington, D.C., el 8 de junio de 2012, mismo que establece un plan común para la utilización de estas bandas de frecuencias dentro de una distancia de 110 kilómetros a cada lado de la franja fronteriza para proporcionar una distribución equitativa de los canales disponibles, incluyendo aquellos canales de ayuda mutua para aplicaciones de seguridad pública en la zona de compartición.</w:t>
      </w:r>
      <w:r w:rsidR="00A54AA5" w:rsidRPr="00303C65">
        <w:rPr>
          <w:rFonts w:ascii="ITC Avant Garde" w:hAnsi="ITC Avant Garde" w:cs="Tahoma"/>
          <w:bCs/>
          <w:lang w:eastAsia="es-MX"/>
        </w:rPr>
        <w:t xml:space="preserve"> </w:t>
      </w:r>
    </w:p>
    <w:p w14:paraId="3079B968" w14:textId="77777777" w:rsidR="00303C65" w:rsidRPr="00303C65" w:rsidRDefault="00A54AA5" w:rsidP="00303C65">
      <w:pPr>
        <w:autoSpaceDE w:val="0"/>
        <w:autoSpaceDN w:val="0"/>
        <w:adjustRightInd w:val="0"/>
        <w:spacing w:before="240" w:line="240" w:lineRule="auto"/>
        <w:jc w:val="both"/>
        <w:rPr>
          <w:rFonts w:ascii="ITC Avant Garde" w:hAnsi="ITC Avant Garde" w:cs="Tahoma"/>
          <w:bCs/>
          <w:lang w:eastAsia="es-MX"/>
        </w:rPr>
      </w:pPr>
      <w:r w:rsidRPr="00303C65">
        <w:rPr>
          <w:rFonts w:ascii="ITC Avant Garde" w:hAnsi="ITC Avant Garde" w:cs="Tahoma"/>
          <w:bCs/>
          <w:lang w:eastAsia="es-MX"/>
        </w:rPr>
        <w:t xml:space="preserve">Por ello, </w:t>
      </w:r>
      <w:r w:rsidR="00605D9B" w:rsidRPr="00303C65">
        <w:rPr>
          <w:rFonts w:ascii="ITC Avant Garde" w:hAnsi="ITC Avant Garde" w:cs="Tahoma"/>
          <w:bCs/>
          <w:lang w:eastAsia="es-MX"/>
        </w:rPr>
        <w:t xml:space="preserve">se otorgaría a PEMEX un plazo no mayor a 180 (ciento ochenta) días naturales, </w:t>
      </w:r>
      <w:r w:rsidR="0019607A" w:rsidRPr="00303C65">
        <w:rPr>
          <w:rFonts w:ascii="ITC Avant Garde" w:hAnsi="ITC Avant Garde" w:cs="Tahoma"/>
          <w:bCs/>
          <w:lang w:eastAsia="es-MX"/>
        </w:rPr>
        <w:t xml:space="preserve">contados </w:t>
      </w:r>
      <w:r w:rsidR="00605D9B" w:rsidRPr="00303C65">
        <w:rPr>
          <w:rFonts w:ascii="ITC Avant Garde" w:hAnsi="ITC Avant Garde" w:cs="Tahoma"/>
          <w:bCs/>
          <w:lang w:eastAsia="es-MX"/>
        </w:rPr>
        <w:t>a partir de</w:t>
      </w:r>
      <w:r w:rsidR="0019607A" w:rsidRPr="00303C65">
        <w:rPr>
          <w:rFonts w:ascii="ITC Avant Garde" w:hAnsi="ITC Avant Garde" w:cs="Tahoma"/>
          <w:bCs/>
          <w:lang w:eastAsia="es-MX"/>
        </w:rPr>
        <w:t xml:space="preserve"> </w:t>
      </w:r>
      <w:r w:rsidR="00605D9B" w:rsidRPr="00303C65">
        <w:rPr>
          <w:rFonts w:ascii="ITC Avant Garde" w:hAnsi="ITC Avant Garde" w:cs="Tahoma"/>
          <w:bCs/>
          <w:lang w:eastAsia="es-MX"/>
        </w:rPr>
        <w:t>l</w:t>
      </w:r>
      <w:r w:rsidR="0019607A" w:rsidRPr="00303C65">
        <w:rPr>
          <w:rFonts w:ascii="ITC Avant Garde" w:hAnsi="ITC Avant Garde" w:cs="Tahoma"/>
          <w:bCs/>
          <w:lang w:eastAsia="es-MX"/>
        </w:rPr>
        <w:t>a</w:t>
      </w:r>
      <w:r w:rsidR="00605D9B" w:rsidRPr="00303C65">
        <w:rPr>
          <w:rFonts w:ascii="ITC Avant Garde" w:hAnsi="ITC Avant Garde" w:cs="Tahoma"/>
          <w:bCs/>
          <w:lang w:eastAsia="es-MX"/>
        </w:rPr>
        <w:t xml:space="preserve"> </w:t>
      </w:r>
      <w:r w:rsidR="0019607A" w:rsidRPr="00303C65">
        <w:rPr>
          <w:rFonts w:ascii="ITC Avant Garde" w:hAnsi="ITC Avant Garde" w:cs="Tahoma"/>
          <w:bCs/>
          <w:lang w:eastAsia="es-MX"/>
        </w:rPr>
        <w:t xml:space="preserve">fecha en que se entregue </w:t>
      </w:r>
      <w:r w:rsidR="00605D9B" w:rsidRPr="00303C65">
        <w:rPr>
          <w:rFonts w:ascii="ITC Avant Garde" w:hAnsi="ITC Avant Garde" w:cs="Tahoma"/>
          <w:bCs/>
          <w:lang w:eastAsia="es-MX"/>
        </w:rPr>
        <w:t xml:space="preserve">la concesión, para que dicha Empresa Productiva del Estado finalice la migración de las frecuencias en las siguientes entidades federativas: Baja California, Chihuahua, Coahuila, Nuevo León, Sonora y Tamaulipas. </w:t>
      </w:r>
      <w:r w:rsidR="00082FFF" w:rsidRPr="00303C65">
        <w:rPr>
          <w:rFonts w:ascii="ITC Avant Garde" w:hAnsi="ITC Avant Garde" w:cs="Tahoma"/>
          <w:bCs/>
          <w:lang w:eastAsia="es-MX"/>
        </w:rPr>
        <w:t xml:space="preserve">Para el resto de las entidades federativas, se otorgaría a PEMEX un plazo no mayor a 270 (doscientos setenta) días naturales, contados a partir de la fecha </w:t>
      </w:r>
      <w:r w:rsidR="0019607A" w:rsidRPr="00303C65">
        <w:rPr>
          <w:rFonts w:ascii="ITC Avant Garde" w:hAnsi="ITC Avant Garde" w:cs="Tahoma"/>
          <w:bCs/>
          <w:lang w:eastAsia="es-MX"/>
        </w:rPr>
        <w:t>en que se entregue</w:t>
      </w:r>
      <w:r w:rsidR="00082FFF" w:rsidRPr="00303C65">
        <w:rPr>
          <w:rFonts w:ascii="ITC Avant Garde" w:hAnsi="ITC Avant Garde" w:cs="Tahoma"/>
          <w:bCs/>
          <w:lang w:eastAsia="es-MX"/>
        </w:rPr>
        <w:t xml:space="preserve"> la concesión, para que dicha empresa finalice la migración de las frecuencias que ostenta.</w:t>
      </w:r>
    </w:p>
    <w:p w14:paraId="1FA48A40" w14:textId="77777777" w:rsidR="00303C65" w:rsidRPr="00303C65" w:rsidRDefault="00893D91" w:rsidP="00303C65">
      <w:pPr>
        <w:autoSpaceDE w:val="0"/>
        <w:autoSpaceDN w:val="0"/>
        <w:adjustRightInd w:val="0"/>
        <w:spacing w:before="240" w:line="240" w:lineRule="auto"/>
        <w:jc w:val="both"/>
        <w:rPr>
          <w:rFonts w:ascii="ITC Avant Garde" w:hAnsi="ITC Avant Garde"/>
        </w:rPr>
      </w:pPr>
      <w:r w:rsidRPr="00303C65">
        <w:rPr>
          <w:rFonts w:ascii="ITC Avant Garde" w:hAnsi="ITC Avant Garde"/>
        </w:rPr>
        <w:t>Por otro lado</w:t>
      </w:r>
      <w:r w:rsidR="008B3013" w:rsidRPr="00303C65">
        <w:rPr>
          <w:rFonts w:ascii="ITC Avant Garde" w:hAnsi="ITC Avant Garde"/>
        </w:rPr>
        <w:t>, y como parte integral de la opinión formulada por la Unidad de Espectro Radioeléctrico, la Dirección General de Ingeniería del Espectro y Estudios Técnicos emitió dictamen con oficio IFT/222/UER/DG-IEET/</w:t>
      </w:r>
      <w:r w:rsidR="006D52C0" w:rsidRPr="00303C65">
        <w:rPr>
          <w:rFonts w:ascii="ITC Avant Garde" w:hAnsi="ITC Avant Garde"/>
        </w:rPr>
        <w:t>0569</w:t>
      </w:r>
      <w:r w:rsidR="008B3013" w:rsidRPr="00303C65">
        <w:rPr>
          <w:rFonts w:ascii="ITC Avant Garde" w:hAnsi="ITC Avant Garde"/>
        </w:rPr>
        <w:t xml:space="preserve">/2017 de fecha </w:t>
      </w:r>
      <w:r w:rsidR="006D52C0" w:rsidRPr="00303C65">
        <w:rPr>
          <w:rFonts w:ascii="ITC Avant Garde" w:hAnsi="ITC Avant Garde"/>
        </w:rPr>
        <w:t>19 de abril de 2017</w:t>
      </w:r>
      <w:r w:rsidR="00B5283B" w:rsidRPr="00303C65">
        <w:rPr>
          <w:rFonts w:ascii="ITC Avant Garde" w:hAnsi="ITC Avant Garde"/>
        </w:rPr>
        <w:t>,</w:t>
      </w:r>
      <w:r w:rsidR="008B3013" w:rsidRPr="00303C65">
        <w:rPr>
          <w:rFonts w:ascii="ITC Avant Garde" w:hAnsi="ITC Avant Garde"/>
        </w:rPr>
        <w:t xml:space="preserve"> donde señala que después de haber realizado el análisis técnico correspondiente y de conformidad con los registros existentes en la base de datos del Sistema Integral de Administración del Espectro Radioeléctrico, resulta factible prorrogar la asignación de frecuencias del espectro radioeléctrico para ser utilizadas en la red privada de telecomunicaciones de PEMEX en los segmentos de espectro: 812.25-814 MHz / 857.25-859 MHz, para operaciones dentro de la franja fronteriza de 110 km a partir de la frontera </w:t>
      </w:r>
      <w:r w:rsidR="008B3013" w:rsidRPr="00303C65">
        <w:rPr>
          <w:rFonts w:ascii="ITC Avant Garde" w:hAnsi="ITC Avant Garde"/>
        </w:rPr>
        <w:lastRenderedPageBreak/>
        <w:t xml:space="preserve">común entre México y Estados Unidos, y 806-814 MHz / 851-859 MHz para operaciones en el resto del país; para el servicio móvil de radiocomunicación especializada de flotillas, así como la autorización de las modificaciones técnicas solicitadas. </w:t>
      </w:r>
    </w:p>
    <w:p w14:paraId="090AF05A" w14:textId="77777777" w:rsidR="00303C65" w:rsidRPr="00303C65" w:rsidRDefault="00385066" w:rsidP="00303C65">
      <w:pPr>
        <w:autoSpaceDE w:val="0"/>
        <w:autoSpaceDN w:val="0"/>
        <w:adjustRightInd w:val="0"/>
        <w:spacing w:before="240" w:line="240" w:lineRule="auto"/>
        <w:jc w:val="both"/>
        <w:rPr>
          <w:rFonts w:ascii="ITC Avant Garde" w:hAnsi="ITC Avant Garde"/>
        </w:rPr>
      </w:pPr>
      <w:r w:rsidRPr="00303C65">
        <w:rPr>
          <w:rFonts w:ascii="ITC Avant Garde" w:hAnsi="ITC Avant Garde"/>
        </w:rPr>
        <w:t xml:space="preserve">Asimismo, </w:t>
      </w:r>
      <w:r w:rsidR="00B5283B" w:rsidRPr="00303C65">
        <w:rPr>
          <w:rFonts w:ascii="ITC Avant Garde" w:hAnsi="ITC Avant Garde"/>
        </w:rPr>
        <w:t>en dicho dictamen la Dirección General de Ingeniería del Espectro y Estudios Técnicos manifestó</w:t>
      </w:r>
      <w:r w:rsidR="009B6BCC" w:rsidRPr="00303C65">
        <w:rPr>
          <w:rFonts w:ascii="ITC Avant Garde" w:hAnsi="ITC Avant Garde"/>
        </w:rPr>
        <w:t>, entre otras cuestiones,</w:t>
      </w:r>
      <w:r w:rsidRPr="00303C65">
        <w:rPr>
          <w:rFonts w:ascii="ITC Avant Garde" w:hAnsi="ITC Avant Garde"/>
        </w:rPr>
        <w:t xml:space="preserve"> </w:t>
      </w:r>
      <w:r w:rsidR="00DF197A" w:rsidRPr="00303C65">
        <w:rPr>
          <w:rFonts w:ascii="ITC Avant Garde" w:hAnsi="ITC Avant Garde"/>
        </w:rPr>
        <w:t>lo siguiente:</w:t>
      </w:r>
    </w:p>
    <w:p w14:paraId="094EC2AB" w14:textId="06586AEE" w:rsidR="009B6BCC" w:rsidRPr="00303C65" w:rsidRDefault="009B6BCC" w:rsidP="00303C65">
      <w:pPr>
        <w:numPr>
          <w:ilvl w:val="0"/>
          <w:numId w:val="23"/>
        </w:numPr>
        <w:spacing w:before="240" w:line="240" w:lineRule="auto"/>
        <w:ind w:left="470" w:right="48" w:hanging="357"/>
        <w:jc w:val="both"/>
        <w:rPr>
          <w:rFonts w:ascii="ITC Avant Garde" w:eastAsia="Times New Roman" w:hAnsi="ITC Avant Garde"/>
          <w:iCs/>
          <w:lang w:eastAsia="es-ES"/>
        </w:rPr>
      </w:pPr>
      <w:r w:rsidRPr="00303C65">
        <w:rPr>
          <w:rFonts w:ascii="ITC Avant Garde" w:eastAsia="Times New Roman" w:hAnsi="ITC Avant Garde"/>
          <w:iCs/>
          <w:lang w:eastAsia="es-ES"/>
        </w:rPr>
        <w:t>La Asignación tiene asociados 116 sitios de repetición de los cuales, 16 se encuentran dentro de la franja fronteriza. Después de las diversas reuniones técnicas y requerimientos de PEMEX, los sitios en frontera se reducen a 13.</w:t>
      </w:r>
    </w:p>
    <w:p w14:paraId="10FF265F" w14:textId="77777777" w:rsidR="00303C65" w:rsidRPr="00303C65" w:rsidRDefault="009B6BCC" w:rsidP="00303C65">
      <w:pPr>
        <w:numPr>
          <w:ilvl w:val="0"/>
          <w:numId w:val="23"/>
        </w:numPr>
        <w:spacing w:before="240" w:line="240" w:lineRule="auto"/>
        <w:ind w:left="470" w:right="48" w:hanging="357"/>
        <w:jc w:val="both"/>
        <w:rPr>
          <w:rFonts w:ascii="ITC Avant Garde" w:eastAsia="Times New Roman" w:hAnsi="ITC Avant Garde"/>
          <w:iCs/>
          <w:lang w:eastAsia="es-ES"/>
        </w:rPr>
      </w:pPr>
      <w:r w:rsidRPr="00303C65">
        <w:rPr>
          <w:rFonts w:ascii="ITC Avant Garde" w:eastAsia="Times New Roman" w:hAnsi="ITC Avant Garde"/>
          <w:iCs/>
          <w:lang w:eastAsia="es-ES"/>
        </w:rPr>
        <w:t>En la Solicitud de Modificación PEMEX manifiesta la adición/modificación de 12 sitios de repetición, de los cuales se identificó que 4 de ellos ya existían en la Asignación (Polutla, San Andrés, Texisco y Providencia). En este sentido, el número de sitios adicionales se limita a 8, por lo que el total de sitios analizados en el dictamen son 121 sitios para la red de PEMEX.</w:t>
      </w:r>
    </w:p>
    <w:p w14:paraId="03E6EF73" w14:textId="77777777" w:rsidR="00303C65" w:rsidRPr="00303C65" w:rsidRDefault="008B3013" w:rsidP="00303C65">
      <w:pPr>
        <w:autoSpaceDE w:val="0"/>
        <w:autoSpaceDN w:val="0"/>
        <w:adjustRightInd w:val="0"/>
        <w:spacing w:before="240" w:line="240" w:lineRule="auto"/>
        <w:jc w:val="both"/>
        <w:rPr>
          <w:rFonts w:ascii="ITC Avant Garde" w:hAnsi="ITC Avant Garde"/>
          <w:b/>
          <w:bCs/>
        </w:rPr>
      </w:pPr>
      <w:r w:rsidRPr="00303C65">
        <w:rPr>
          <w:rFonts w:ascii="ITC Avant Garde" w:hAnsi="ITC Avant Garde"/>
        </w:rPr>
        <w:t>En adición a lo anterior, la Dirección General de Ingeniería del Espectro y Estudios Técnicos señaló en su dictamen las condiciones técnicas de operación para el uso y aprovechamiento de las bandas de frecuencias citadas anteriormente, entre las que se encuentran las siguientes: 1. Uso eficiente del espectro; 2. Frecuencias a utilizar; 3. Cobertura; 4. Potencia; 5. Homologación de Equipos; 6. Interferencias perjudiciales; 7. Servicios a título secundario y 8. Radiaciones electromagnéticas.</w:t>
      </w:r>
    </w:p>
    <w:p w14:paraId="46464882" w14:textId="77777777" w:rsidR="00303C65" w:rsidRPr="00303C65" w:rsidRDefault="00893D91" w:rsidP="00303C65">
      <w:pPr>
        <w:autoSpaceDE w:val="0"/>
        <w:autoSpaceDN w:val="0"/>
        <w:adjustRightInd w:val="0"/>
        <w:spacing w:before="240" w:line="240" w:lineRule="auto"/>
        <w:jc w:val="both"/>
        <w:rPr>
          <w:rFonts w:ascii="ITC Avant Garde" w:eastAsia="Times New Roman" w:hAnsi="ITC Avant Garde"/>
          <w:bCs/>
          <w:lang w:val="es-ES" w:eastAsia="es-ES"/>
        </w:rPr>
      </w:pPr>
      <w:r w:rsidRPr="00303C65">
        <w:rPr>
          <w:rFonts w:ascii="ITC Avant Garde" w:eastAsia="Times New Roman" w:hAnsi="ITC Avant Garde"/>
          <w:bCs/>
          <w:lang w:val="es-ES" w:eastAsia="es-ES"/>
        </w:rPr>
        <w:t>Finalmente</w:t>
      </w:r>
      <w:r w:rsidR="00E102A9" w:rsidRPr="00303C65">
        <w:rPr>
          <w:rFonts w:ascii="ITC Avant Garde" w:eastAsia="Times New Roman" w:hAnsi="ITC Avant Garde"/>
          <w:bCs/>
          <w:lang w:val="es-ES" w:eastAsia="es-ES"/>
        </w:rPr>
        <w:t xml:space="preserve">, y con respecto a la opinión no vinculante de la Secretaría que se establece en el artículo 28 párrafo décimo séptimo de la Constitución, para asuntos como el abordado en la presente Resolución, debe considerarse que la Solicitud de Prórroga fue presentada antes de la integración del Instituto, por lo que el trámite y desahogo de la misma, debe ajustarse a los términos establecidos por la legislación aplicable al momento de su inicio, misma que no preveía la solicitud de opinión técnica señalada por parte de dicha Dependencia. </w:t>
      </w:r>
    </w:p>
    <w:p w14:paraId="65E6B2A9" w14:textId="77777777" w:rsidR="00303C65" w:rsidRPr="00303C65" w:rsidRDefault="00E57237"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Por lo anteriormente señalado, y con fundamento en los artículos 28 párrafo</w:t>
      </w:r>
      <w:r w:rsidR="00D02F0B" w:rsidRPr="00303C65">
        <w:rPr>
          <w:rFonts w:ascii="ITC Avant Garde" w:hAnsi="ITC Avant Garde"/>
          <w:bCs/>
        </w:rPr>
        <w:t>s</w:t>
      </w:r>
      <w:r w:rsidRPr="00303C65">
        <w:rPr>
          <w:rFonts w:ascii="ITC Avant Garde" w:hAnsi="ITC Avant Garde"/>
          <w:bCs/>
        </w:rPr>
        <w:t xml:space="preserve"> décimo quinto</w:t>
      </w:r>
      <w:r w:rsidR="00626607" w:rsidRPr="00303C65">
        <w:rPr>
          <w:rFonts w:ascii="ITC Avant Garde" w:hAnsi="ITC Avant Garde"/>
          <w:bCs/>
        </w:rPr>
        <w:t xml:space="preserve">, </w:t>
      </w:r>
      <w:r w:rsidR="00D02F0B" w:rsidRPr="00303C65">
        <w:rPr>
          <w:rFonts w:ascii="ITC Avant Garde" w:hAnsi="ITC Avant Garde"/>
          <w:bCs/>
        </w:rPr>
        <w:t>décimo sexto</w:t>
      </w:r>
      <w:r w:rsidRPr="00303C65">
        <w:rPr>
          <w:rFonts w:ascii="ITC Avant Garde" w:hAnsi="ITC Avant Garde"/>
          <w:bCs/>
        </w:rPr>
        <w:t xml:space="preserve"> </w:t>
      </w:r>
      <w:r w:rsidR="00626607" w:rsidRPr="00303C65">
        <w:rPr>
          <w:rFonts w:ascii="ITC Avant Garde" w:hAnsi="ITC Avant Garde"/>
          <w:bCs/>
        </w:rPr>
        <w:t xml:space="preserve">y décimo séptimo </w:t>
      </w:r>
      <w:r w:rsidRPr="00303C65">
        <w:rPr>
          <w:rFonts w:ascii="ITC Avant Garde" w:hAnsi="ITC Avant Garde"/>
          <w:bCs/>
        </w:rPr>
        <w:t xml:space="preserve">de la Constitución Política de los Estados Unidos Mexicanos; </w:t>
      </w:r>
      <w:r w:rsidR="00D62A0D" w:rsidRPr="00303C65">
        <w:rPr>
          <w:rFonts w:ascii="ITC Avant Garde" w:hAnsi="ITC Avant Garde"/>
          <w:bCs/>
        </w:rPr>
        <w:t>Séptimo Transitorio, segundo párrafo del “</w:t>
      </w:r>
      <w:r w:rsidR="00D62A0D" w:rsidRPr="00303C65">
        <w:rPr>
          <w:rFonts w:ascii="ITC Avant Garde" w:hAnsi="ITC Avant Garde"/>
          <w:bCs/>
          <w:color w:val="000000"/>
          <w:lang w:eastAsia="es-MX"/>
        </w:rPr>
        <w:t>Decreto por el que se reforman y adicionan diversas disposiciones de los artículos 6o., 7o., 27, 28, 73, 78, 94 y 105 de la Constitución Política de los Estados Unidos Mexicanos, en materia de telecomunicaciones”</w:t>
      </w:r>
      <w:r w:rsidR="0035785A" w:rsidRPr="00303C65">
        <w:rPr>
          <w:rFonts w:ascii="ITC Avant Garde" w:hAnsi="ITC Avant Garde"/>
          <w:bCs/>
        </w:rPr>
        <w:t>, publicado en el Diario Oficial de la Federación el 11 de junio de 2013</w:t>
      </w:r>
      <w:r w:rsidR="00D62A0D" w:rsidRPr="00303C65">
        <w:rPr>
          <w:rFonts w:ascii="ITC Avant Garde" w:hAnsi="ITC Avant Garde"/>
          <w:bCs/>
          <w:color w:val="000000"/>
          <w:lang w:eastAsia="es-MX"/>
        </w:rPr>
        <w:t>;</w:t>
      </w:r>
      <w:r w:rsidR="00D62A0D" w:rsidRPr="00303C65">
        <w:rPr>
          <w:rFonts w:ascii="ITC Avant Garde" w:hAnsi="ITC Avant Garde"/>
          <w:bCs/>
        </w:rPr>
        <w:t xml:space="preserve"> Sexto Transitorio del </w:t>
      </w:r>
      <w:r w:rsidR="00D62A0D" w:rsidRPr="00303C65">
        <w:rPr>
          <w:rFonts w:ascii="ITC Avant Garde" w:hAnsi="ITC Avant Garde"/>
          <w:bCs/>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35785A" w:rsidRPr="00303C65">
        <w:rPr>
          <w:rFonts w:ascii="ITC Avant Garde" w:hAnsi="ITC Avant Garde"/>
          <w:bCs/>
          <w:color w:val="000000"/>
          <w:lang w:eastAsia="es-MX"/>
        </w:rPr>
        <w:t>, publicado en el Diario Oficial de la Federación el 14 de julio de 2014</w:t>
      </w:r>
      <w:r w:rsidR="00D62A0D" w:rsidRPr="00303C65">
        <w:rPr>
          <w:rFonts w:ascii="ITC Avant Garde" w:hAnsi="ITC Avant Garde"/>
          <w:bCs/>
          <w:color w:val="000000" w:themeColor="text1"/>
          <w:lang w:eastAsia="es-MX"/>
        </w:rPr>
        <w:t>;</w:t>
      </w:r>
      <w:r w:rsidR="0025138A" w:rsidRPr="00303C65">
        <w:rPr>
          <w:rFonts w:ascii="ITC Avant Garde" w:hAnsi="ITC Avant Garde"/>
          <w:bCs/>
          <w:color w:val="000000" w:themeColor="text1"/>
          <w:lang w:eastAsia="es-MX"/>
        </w:rPr>
        <w:t xml:space="preserve"> </w:t>
      </w:r>
      <w:r w:rsidR="00D62A0D" w:rsidRPr="00303C65">
        <w:rPr>
          <w:rFonts w:ascii="ITC Avant Garde" w:hAnsi="ITC Avant Garde"/>
          <w:bCs/>
        </w:rPr>
        <w:t>19</w:t>
      </w:r>
      <w:r w:rsidR="00147AB1" w:rsidRPr="00303C65">
        <w:rPr>
          <w:rFonts w:ascii="ITC Avant Garde" w:hAnsi="ITC Avant Garde"/>
          <w:bCs/>
        </w:rPr>
        <w:t xml:space="preserve"> y</w:t>
      </w:r>
      <w:r w:rsidR="00E51AA9" w:rsidRPr="00303C65">
        <w:rPr>
          <w:rFonts w:ascii="ITC Avant Garde" w:hAnsi="ITC Avant Garde"/>
          <w:bCs/>
        </w:rPr>
        <w:t xml:space="preserve"> 22</w:t>
      </w:r>
      <w:r w:rsidR="00D62A0D" w:rsidRPr="00303C65">
        <w:rPr>
          <w:rFonts w:ascii="ITC Avant Garde" w:hAnsi="ITC Avant Garde"/>
          <w:bCs/>
        </w:rPr>
        <w:t xml:space="preserve"> de la Ley Federal de Telecomunicaciones; </w:t>
      </w:r>
      <w:r w:rsidR="001E2992" w:rsidRPr="00303C65">
        <w:rPr>
          <w:rFonts w:ascii="ITC Avant Garde" w:hAnsi="ITC Avant Garde"/>
          <w:bCs/>
          <w:color w:val="000000"/>
          <w:lang w:eastAsia="es-MX"/>
        </w:rPr>
        <w:t xml:space="preserve">105 fracción III de la Ley </w:t>
      </w:r>
      <w:r w:rsidR="00375A58" w:rsidRPr="00303C65">
        <w:rPr>
          <w:rFonts w:ascii="ITC Avant Garde" w:hAnsi="ITC Avant Garde"/>
          <w:bCs/>
          <w:color w:val="000000"/>
          <w:lang w:eastAsia="es-MX"/>
        </w:rPr>
        <w:t xml:space="preserve">Federal de Derechos vigente en </w:t>
      </w:r>
      <w:r w:rsidR="001E2992" w:rsidRPr="00303C65">
        <w:rPr>
          <w:rFonts w:ascii="ITC Avant Garde" w:hAnsi="ITC Avant Garde"/>
          <w:bCs/>
          <w:color w:val="000000"/>
          <w:lang w:eastAsia="es-MX"/>
        </w:rPr>
        <w:t>l</w:t>
      </w:r>
      <w:r w:rsidR="00375A58" w:rsidRPr="00303C65">
        <w:rPr>
          <w:rFonts w:ascii="ITC Avant Garde" w:hAnsi="ITC Avant Garde"/>
          <w:bCs/>
          <w:color w:val="000000"/>
          <w:lang w:eastAsia="es-MX"/>
        </w:rPr>
        <w:t>os</w:t>
      </w:r>
      <w:r w:rsidR="001E2992" w:rsidRPr="00303C65">
        <w:rPr>
          <w:rFonts w:ascii="ITC Avant Garde" w:hAnsi="ITC Avant Garde"/>
          <w:bCs/>
          <w:color w:val="000000"/>
          <w:lang w:eastAsia="es-MX"/>
        </w:rPr>
        <w:t xml:space="preserve"> año</w:t>
      </w:r>
      <w:r w:rsidR="00375A58" w:rsidRPr="00303C65">
        <w:rPr>
          <w:rFonts w:ascii="ITC Avant Garde" w:hAnsi="ITC Avant Garde"/>
          <w:bCs/>
          <w:color w:val="000000"/>
          <w:lang w:eastAsia="es-MX"/>
        </w:rPr>
        <w:t>s</w:t>
      </w:r>
      <w:r w:rsidR="001E2992" w:rsidRPr="00303C65">
        <w:rPr>
          <w:rFonts w:ascii="ITC Avant Garde" w:hAnsi="ITC Avant Garde"/>
          <w:bCs/>
          <w:color w:val="000000"/>
          <w:lang w:eastAsia="es-MX"/>
        </w:rPr>
        <w:t xml:space="preserve"> </w:t>
      </w:r>
      <w:r w:rsidR="001B3B90" w:rsidRPr="00303C65">
        <w:rPr>
          <w:rFonts w:ascii="ITC Avant Garde" w:hAnsi="ITC Avant Garde"/>
          <w:bCs/>
          <w:color w:val="000000"/>
          <w:lang w:eastAsia="es-MX"/>
        </w:rPr>
        <w:t>20</w:t>
      </w:r>
      <w:r w:rsidR="00375A58" w:rsidRPr="00303C65">
        <w:rPr>
          <w:rFonts w:ascii="ITC Avant Garde" w:hAnsi="ITC Avant Garde"/>
          <w:bCs/>
          <w:color w:val="000000"/>
          <w:lang w:eastAsia="es-MX"/>
        </w:rPr>
        <w:t>10 y 2011</w:t>
      </w:r>
      <w:r w:rsidR="001E2992" w:rsidRPr="00303C65">
        <w:rPr>
          <w:rFonts w:ascii="ITC Avant Garde" w:hAnsi="ITC Avant Garde"/>
          <w:bCs/>
          <w:color w:val="000000"/>
          <w:lang w:eastAsia="es-MX"/>
        </w:rPr>
        <w:t xml:space="preserve">; </w:t>
      </w:r>
      <w:r w:rsidR="000D4158" w:rsidRPr="00303C65">
        <w:rPr>
          <w:rFonts w:ascii="ITC Avant Garde" w:hAnsi="ITC Avant Garde"/>
          <w:bCs/>
          <w:color w:val="000000" w:themeColor="text1"/>
          <w:lang w:eastAsia="es-MX"/>
        </w:rPr>
        <w:t>6 fracción IV,</w:t>
      </w:r>
      <w:r w:rsidR="000D4158" w:rsidRPr="00303C65">
        <w:rPr>
          <w:rFonts w:ascii="ITC Avant Garde" w:hAnsi="ITC Avant Garde"/>
          <w:bCs/>
        </w:rPr>
        <w:t xml:space="preserve"> </w:t>
      </w:r>
      <w:r w:rsidR="00D62A0D" w:rsidRPr="00303C65">
        <w:rPr>
          <w:rFonts w:ascii="ITC Avant Garde" w:hAnsi="ITC Avant Garde"/>
          <w:bCs/>
        </w:rPr>
        <w:t>15 fracción IV</w:t>
      </w:r>
      <w:r w:rsidR="00214F90" w:rsidRPr="00303C65">
        <w:rPr>
          <w:rFonts w:ascii="ITC Avant Garde" w:hAnsi="ITC Avant Garde"/>
          <w:bCs/>
        </w:rPr>
        <w:t>,</w:t>
      </w:r>
      <w:r w:rsidR="00D62A0D" w:rsidRPr="00303C65">
        <w:rPr>
          <w:rFonts w:ascii="ITC Avant Garde" w:hAnsi="ITC Avant Garde"/>
          <w:bCs/>
        </w:rPr>
        <w:t xml:space="preserve"> 17 fracción I</w:t>
      </w:r>
      <w:r w:rsidR="00147AB1" w:rsidRPr="00303C65">
        <w:rPr>
          <w:rFonts w:ascii="ITC Avant Garde" w:hAnsi="ITC Avant Garde"/>
          <w:bCs/>
        </w:rPr>
        <w:t>, 66, 67 fracción II, 70, 72 y 76 fracción II</w:t>
      </w:r>
      <w:r w:rsidR="00214F90" w:rsidRPr="00303C65">
        <w:rPr>
          <w:rFonts w:ascii="ITC Avant Garde" w:hAnsi="ITC Avant Garde"/>
          <w:bCs/>
        </w:rPr>
        <w:t xml:space="preserve"> </w:t>
      </w:r>
      <w:r w:rsidR="00D62A0D" w:rsidRPr="00303C65">
        <w:rPr>
          <w:rFonts w:ascii="ITC Avant Garde" w:hAnsi="ITC Avant Garde"/>
          <w:bCs/>
        </w:rPr>
        <w:t xml:space="preserve">de la Ley Federal de Telecomunicaciones y Radiodifusión; </w:t>
      </w:r>
      <w:r w:rsidR="00D62A0D" w:rsidRPr="00303C65">
        <w:rPr>
          <w:rFonts w:ascii="ITC Avant Garde" w:hAnsi="ITC Avant Garde"/>
          <w:bCs/>
          <w:color w:val="000000" w:themeColor="text1"/>
          <w:lang w:eastAsia="es-MX"/>
        </w:rPr>
        <w:t>35</w:t>
      </w:r>
      <w:r w:rsidR="00147AB1" w:rsidRPr="00303C65">
        <w:rPr>
          <w:rFonts w:ascii="ITC Avant Garde" w:hAnsi="ITC Avant Garde"/>
          <w:bCs/>
          <w:color w:val="000000" w:themeColor="text1"/>
          <w:lang w:eastAsia="es-MX"/>
        </w:rPr>
        <w:t>, 38,</w:t>
      </w:r>
      <w:r w:rsidR="00D62A0D" w:rsidRPr="00303C65">
        <w:rPr>
          <w:rFonts w:ascii="ITC Avant Garde" w:hAnsi="ITC Avant Garde"/>
          <w:bCs/>
          <w:color w:val="000000" w:themeColor="text1"/>
          <w:lang w:eastAsia="es-MX"/>
        </w:rPr>
        <w:t xml:space="preserve"> 39 </w:t>
      </w:r>
      <w:r w:rsidR="00147AB1" w:rsidRPr="00303C65">
        <w:rPr>
          <w:rFonts w:ascii="ITC Avant Garde" w:hAnsi="ITC Avant Garde"/>
          <w:bCs/>
          <w:color w:val="000000" w:themeColor="text1"/>
          <w:lang w:eastAsia="es-MX"/>
        </w:rPr>
        <w:t xml:space="preserve">y 57 fracción I </w:t>
      </w:r>
      <w:r w:rsidR="00D62A0D" w:rsidRPr="00303C65">
        <w:rPr>
          <w:rFonts w:ascii="ITC Avant Garde" w:hAnsi="ITC Avant Garde"/>
          <w:bCs/>
          <w:color w:val="000000" w:themeColor="text1"/>
          <w:lang w:eastAsia="es-MX"/>
        </w:rPr>
        <w:t>de la Ley Federal d</w:t>
      </w:r>
      <w:r w:rsidR="00147AB1" w:rsidRPr="00303C65">
        <w:rPr>
          <w:rFonts w:ascii="ITC Avant Garde" w:hAnsi="ITC Avant Garde"/>
          <w:bCs/>
          <w:color w:val="000000" w:themeColor="text1"/>
          <w:lang w:eastAsia="es-MX"/>
        </w:rPr>
        <w:t xml:space="preserve">e </w:t>
      </w:r>
      <w:r w:rsidR="00147AB1" w:rsidRPr="00303C65">
        <w:rPr>
          <w:rFonts w:ascii="ITC Avant Garde" w:hAnsi="ITC Avant Garde"/>
          <w:bCs/>
          <w:color w:val="000000" w:themeColor="text1"/>
          <w:lang w:eastAsia="es-MX"/>
        </w:rPr>
        <w:lastRenderedPageBreak/>
        <w:t>Procedimiento Administrativo;</w:t>
      </w:r>
      <w:r w:rsidR="00D62A0D" w:rsidRPr="00303C65">
        <w:rPr>
          <w:rFonts w:ascii="ITC Avant Garde" w:hAnsi="ITC Avant Garde"/>
          <w:bCs/>
        </w:rPr>
        <w:t xml:space="preserve"> 1, </w:t>
      </w:r>
      <w:r w:rsidR="000D4158" w:rsidRPr="00303C65">
        <w:rPr>
          <w:rFonts w:ascii="ITC Avant Garde" w:hAnsi="ITC Avant Garde"/>
          <w:bCs/>
        </w:rPr>
        <w:t>4 fracci</w:t>
      </w:r>
      <w:r w:rsidR="00124597" w:rsidRPr="00303C65">
        <w:rPr>
          <w:rFonts w:ascii="ITC Avant Garde" w:hAnsi="ITC Avant Garde"/>
          <w:bCs/>
        </w:rPr>
        <w:t>ones</w:t>
      </w:r>
      <w:r w:rsidR="000D4158" w:rsidRPr="00303C65">
        <w:rPr>
          <w:rFonts w:ascii="ITC Avant Garde" w:hAnsi="ITC Avant Garde"/>
          <w:bCs/>
        </w:rPr>
        <w:t xml:space="preserve"> </w:t>
      </w:r>
      <w:r w:rsidR="00147AB1" w:rsidRPr="00303C65">
        <w:rPr>
          <w:rFonts w:ascii="ITC Avant Garde" w:hAnsi="ITC Avant Garde"/>
          <w:bCs/>
        </w:rPr>
        <w:t>I, II</w:t>
      </w:r>
      <w:r w:rsidR="00C101D9" w:rsidRPr="00303C65">
        <w:rPr>
          <w:rFonts w:ascii="ITC Avant Garde" w:hAnsi="ITC Avant Garde"/>
          <w:bCs/>
        </w:rPr>
        <w:t xml:space="preserve">, </w:t>
      </w:r>
      <w:r w:rsidR="000D4158" w:rsidRPr="00303C65">
        <w:rPr>
          <w:rFonts w:ascii="ITC Avant Garde" w:hAnsi="ITC Avant Garde"/>
          <w:bCs/>
        </w:rPr>
        <w:t>V inciso iii)</w:t>
      </w:r>
      <w:r w:rsidR="00124597" w:rsidRPr="00303C65">
        <w:rPr>
          <w:rFonts w:ascii="ITC Avant Garde" w:hAnsi="ITC Avant Garde"/>
          <w:bCs/>
        </w:rPr>
        <w:t xml:space="preserve"> y IX inciso ix)</w:t>
      </w:r>
      <w:r w:rsidR="000D4158" w:rsidRPr="00303C65">
        <w:rPr>
          <w:rFonts w:ascii="ITC Avant Garde" w:hAnsi="ITC Avant Garde"/>
          <w:bCs/>
        </w:rPr>
        <w:t xml:space="preserve">, </w:t>
      </w:r>
      <w:r w:rsidR="00D62A0D" w:rsidRPr="00303C65">
        <w:rPr>
          <w:rFonts w:ascii="ITC Avant Garde" w:hAnsi="ITC Avant Garde"/>
          <w:bCs/>
        </w:rPr>
        <w:t>6</w:t>
      </w:r>
      <w:r w:rsidR="0025138A" w:rsidRPr="00303C65">
        <w:rPr>
          <w:rFonts w:ascii="ITC Avant Garde" w:hAnsi="ITC Avant Garde"/>
          <w:bCs/>
        </w:rPr>
        <w:t xml:space="preserve"> fracci</w:t>
      </w:r>
      <w:r w:rsidR="008902A5" w:rsidRPr="00303C65">
        <w:rPr>
          <w:rFonts w:ascii="ITC Avant Garde" w:hAnsi="ITC Avant Garde"/>
          <w:bCs/>
        </w:rPr>
        <w:t>ones</w:t>
      </w:r>
      <w:r w:rsidR="0025138A" w:rsidRPr="00303C65">
        <w:rPr>
          <w:rFonts w:ascii="ITC Avant Garde" w:hAnsi="ITC Avant Garde"/>
          <w:bCs/>
        </w:rPr>
        <w:t xml:space="preserve"> I</w:t>
      </w:r>
      <w:r w:rsidR="008902A5" w:rsidRPr="00303C65">
        <w:rPr>
          <w:rFonts w:ascii="ITC Avant Garde" w:hAnsi="ITC Avant Garde"/>
          <w:bCs/>
        </w:rPr>
        <w:t xml:space="preserve"> y XXXVIII</w:t>
      </w:r>
      <w:r w:rsidR="00D62A0D" w:rsidRPr="00303C65">
        <w:rPr>
          <w:rFonts w:ascii="ITC Avant Garde" w:hAnsi="ITC Avant Garde"/>
          <w:bCs/>
        </w:rPr>
        <w:t xml:space="preserve">, 32 y 33 fracción II del Estatuto Orgánico del Instituto Federal de Telecomunicaciones, </w:t>
      </w:r>
      <w:r w:rsidR="000D4158" w:rsidRPr="00303C65">
        <w:rPr>
          <w:rFonts w:ascii="ITC Avant Garde" w:hAnsi="ITC Avant Garde"/>
          <w:bCs/>
        </w:rPr>
        <w:t>publicado en el Diario Oficial de la Federación el 4 de septiembre de 2014</w:t>
      </w:r>
      <w:r w:rsidR="000677CF" w:rsidRPr="00303C65">
        <w:rPr>
          <w:rFonts w:ascii="ITC Avant Garde" w:hAnsi="ITC Avant Garde"/>
          <w:bCs/>
        </w:rPr>
        <w:t xml:space="preserve"> y </w:t>
      </w:r>
      <w:r w:rsidR="001C6529" w:rsidRPr="00303C65">
        <w:rPr>
          <w:rFonts w:ascii="ITC Avant Garde" w:hAnsi="ITC Avant Garde"/>
          <w:bCs/>
        </w:rPr>
        <w:t>modificado</w:t>
      </w:r>
      <w:r w:rsidR="000677CF" w:rsidRPr="00303C65">
        <w:rPr>
          <w:rFonts w:ascii="ITC Avant Garde" w:hAnsi="ITC Avant Garde"/>
          <w:bCs/>
        </w:rPr>
        <w:t xml:space="preserve"> por última vez</w:t>
      </w:r>
      <w:r w:rsidR="001C6529" w:rsidRPr="00303C65">
        <w:rPr>
          <w:rFonts w:ascii="ITC Avant Garde" w:hAnsi="ITC Avant Garde"/>
          <w:bCs/>
        </w:rPr>
        <w:t xml:space="preserve"> el 17 de octubre de 2016, </w:t>
      </w:r>
      <w:r w:rsidR="00D62A0D" w:rsidRPr="00303C65">
        <w:rPr>
          <w:rFonts w:ascii="ITC Avant Garde" w:hAnsi="ITC Avant Garde"/>
          <w:bCs/>
        </w:rPr>
        <w:t>este órgano autónomo emite los siguientes:</w:t>
      </w:r>
    </w:p>
    <w:p w14:paraId="47C5C116" w14:textId="77777777" w:rsidR="00303C65" w:rsidRPr="00303C65" w:rsidRDefault="00B048BA" w:rsidP="00303C65">
      <w:pPr>
        <w:pStyle w:val="Ttulo2"/>
        <w:spacing w:after="240"/>
        <w:jc w:val="center"/>
        <w:rPr>
          <w:rFonts w:ascii="ITC Avant Garde" w:hAnsi="ITC Avant Garde"/>
          <w:b/>
          <w:color w:val="000000" w:themeColor="text1"/>
          <w:sz w:val="22"/>
          <w:szCs w:val="22"/>
        </w:rPr>
      </w:pPr>
      <w:r w:rsidRPr="00303C65">
        <w:rPr>
          <w:rFonts w:ascii="ITC Avant Garde" w:hAnsi="ITC Avant Garde"/>
          <w:b/>
          <w:color w:val="000000" w:themeColor="text1"/>
          <w:sz w:val="22"/>
          <w:szCs w:val="22"/>
        </w:rPr>
        <w:t>RESOLUTIVOS</w:t>
      </w:r>
    </w:p>
    <w:p w14:paraId="00FC395B" w14:textId="5E60EF36" w:rsidR="00303C65" w:rsidRPr="00303C65" w:rsidRDefault="00C630FF" w:rsidP="00303C65">
      <w:pPr>
        <w:spacing w:before="240" w:line="240" w:lineRule="auto"/>
        <w:jc w:val="both"/>
        <w:rPr>
          <w:rFonts w:ascii="ITC Avant Garde" w:hAnsi="ITC Avant Garde"/>
          <w:bCs/>
          <w:color w:val="000000"/>
          <w:lang w:eastAsia="es-MX"/>
        </w:rPr>
      </w:pPr>
      <w:r w:rsidRPr="00303C65">
        <w:rPr>
          <w:rFonts w:ascii="ITC Avant Garde" w:hAnsi="ITC Avant Garde"/>
          <w:b/>
          <w:bCs/>
        </w:rPr>
        <w:t>PRIMERO</w:t>
      </w:r>
      <w:r w:rsidR="00B048BA" w:rsidRPr="00303C65">
        <w:rPr>
          <w:rFonts w:ascii="ITC Avant Garde" w:hAnsi="ITC Avant Garde"/>
          <w:b/>
          <w:bCs/>
        </w:rPr>
        <w:t>.-</w:t>
      </w:r>
      <w:r w:rsidR="00B048BA" w:rsidRPr="00303C65">
        <w:rPr>
          <w:rFonts w:ascii="ITC Avant Garde" w:hAnsi="ITC Avant Garde"/>
          <w:bCs/>
        </w:rPr>
        <w:t xml:space="preserve"> </w:t>
      </w:r>
      <w:r w:rsidR="005E2324" w:rsidRPr="00303C65">
        <w:rPr>
          <w:rFonts w:ascii="ITC Avant Garde" w:hAnsi="ITC Avant Garde"/>
          <w:bCs/>
          <w:lang w:val="es-ES_tradnl"/>
        </w:rPr>
        <w:t>Se</w:t>
      </w:r>
      <w:r w:rsidR="00E63AE2" w:rsidRPr="00303C65">
        <w:rPr>
          <w:rFonts w:ascii="ITC Avant Garde" w:hAnsi="ITC Avant Garde"/>
          <w:bCs/>
          <w:lang w:val="es-ES_tradnl"/>
        </w:rPr>
        <w:t xml:space="preserve"> autoriza a</w:t>
      </w:r>
      <w:r w:rsidR="00E63AE2" w:rsidRPr="00303C65">
        <w:rPr>
          <w:rFonts w:ascii="ITC Avant Garde" w:hAnsi="ITC Avant Garde"/>
          <w:bCs/>
          <w:color w:val="000000"/>
          <w:lang w:eastAsia="es-MX"/>
        </w:rPr>
        <w:t xml:space="preserve"> </w:t>
      </w:r>
      <w:r w:rsidR="003F40CC" w:rsidRPr="00303C65">
        <w:rPr>
          <w:rFonts w:ascii="ITC Avant Garde" w:hAnsi="ITC Avant Garde"/>
          <w:bCs/>
        </w:rPr>
        <w:t>Petróleos Mexicanos</w:t>
      </w:r>
      <w:r w:rsidR="00E63AE2" w:rsidRPr="00303C65">
        <w:rPr>
          <w:rFonts w:ascii="ITC Avant Garde" w:hAnsi="ITC Avant Garde"/>
          <w:bCs/>
        </w:rPr>
        <w:t xml:space="preserve">, </w:t>
      </w:r>
      <w:r w:rsidR="00246C80" w:rsidRPr="00303C65">
        <w:rPr>
          <w:rFonts w:ascii="ITC Avant Garde" w:hAnsi="ITC Avant Garde"/>
          <w:bCs/>
        </w:rPr>
        <w:t xml:space="preserve">Empresa </w:t>
      </w:r>
      <w:r w:rsidR="000E6294" w:rsidRPr="00303C65">
        <w:rPr>
          <w:rFonts w:ascii="ITC Avant Garde" w:hAnsi="ITC Avant Garde"/>
          <w:bCs/>
        </w:rPr>
        <w:t>Productiva del Estado</w:t>
      </w:r>
      <w:r w:rsidR="00E63AE2" w:rsidRPr="00303C65">
        <w:rPr>
          <w:rFonts w:ascii="ITC Avant Garde" w:hAnsi="ITC Avant Garde"/>
          <w:bCs/>
        </w:rPr>
        <w:t>,</w:t>
      </w:r>
      <w:r w:rsidR="00E63AE2" w:rsidRPr="00303C65">
        <w:rPr>
          <w:rFonts w:ascii="ITC Avant Garde" w:hAnsi="ITC Avant Garde"/>
          <w:bCs/>
          <w:lang w:val="es-ES_tradnl"/>
        </w:rPr>
        <w:t xml:space="preserve"> la</w:t>
      </w:r>
      <w:r w:rsidR="005E2324" w:rsidRPr="00303C65">
        <w:rPr>
          <w:rFonts w:ascii="ITC Avant Garde" w:hAnsi="ITC Avant Garde"/>
          <w:bCs/>
          <w:lang w:val="es-ES_tradnl"/>
        </w:rPr>
        <w:t xml:space="preserve"> pr</w:t>
      </w:r>
      <w:r w:rsidR="00E63AE2" w:rsidRPr="00303C65">
        <w:rPr>
          <w:rFonts w:ascii="ITC Avant Garde" w:hAnsi="ITC Avant Garde"/>
          <w:bCs/>
          <w:lang w:val="es-ES_tradnl"/>
        </w:rPr>
        <w:t>ó</w:t>
      </w:r>
      <w:r w:rsidR="005E2324" w:rsidRPr="00303C65">
        <w:rPr>
          <w:rFonts w:ascii="ITC Avant Garde" w:hAnsi="ITC Avant Garde"/>
          <w:bCs/>
          <w:lang w:val="es-ES_tradnl"/>
        </w:rPr>
        <w:t xml:space="preserve">rroga </w:t>
      </w:r>
      <w:r w:rsidR="00E63AE2" w:rsidRPr="00303C65">
        <w:rPr>
          <w:rFonts w:ascii="ITC Avant Garde" w:hAnsi="ITC Avant Garde"/>
          <w:bCs/>
          <w:lang w:val="es-ES_tradnl"/>
        </w:rPr>
        <w:t>de</w:t>
      </w:r>
      <w:r w:rsidR="000D4158" w:rsidRPr="00303C65">
        <w:rPr>
          <w:rFonts w:ascii="ITC Avant Garde" w:hAnsi="ITC Avant Garde"/>
          <w:bCs/>
          <w:lang w:val="es-ES_tradnl"/>
        </w:rPr>
        <w:t xml:space="preserve"> vigencia </w:t>
      </w:r>
      <w:r w:rsidR="00054CD2" w:rsidRPr="00303C65">
        <w:rPr>
          <w:rFonts w:ascii="ITC Avant Garde" w:hAnsi="ITC Avant Garde"/>
          <w:bCs/>
          <w:lang w:val="es-ES_tradnl"/>
        </w:rPr>
        <w:t>de</w:t>
      </w:r>
      <w:r w:rsidR="005E2324" w:rsidRPr="00303C65">
        <w:rPr>
          <w:rFonts w:ascii="ITC Avant Garde" w:hAnsi="ITC Avant Garde"/>
          <w:bCs/>
          <w:lang w:val="es-ES_tradnl"/>
        </w:rPr>
        <w:t xml:space="preserve"> </w:t>
      </w:r>
      <w:r w:rsidR="00240FF3" w:rsidRPr="00303C65">
        <w:rPr>
          <w:rFonts w:ascii="ITC Avant Garde" w:hAnsi="ITC Avant Garde"/>
          <w:bCs/>
          <w:lang w:val="es-ES_tradnl"/>
        </w:rPr>
        <w:t xml:space="preserve">la </w:t>
      </w:r>
      <w:r w:rsidR="00811512" w:rsidRPr="00303C65">
        <w:rPr>
          <w:rFonts w:ascii="ITC Avant Garde" w:hAnsi="ITC Avant Garde"/>
          <w:bCs/>
          <w:lang w:val="es-ES_tradnl"/>
        </w:rPr>
        <w:t>a</w:t>
      </w:r>
      <w:r w:rsidR="009D5535" w:rsidRPr="00303C65">
        <w:rPr>
          <w:rFonts w:ascii="ITC Avant Garde" w:hAnsi="ITC Avant Garde"/>
          <w:bCs/>
          <w:lang w:val="es-ES_tradnl"/>
        </w:rPr>
        <w:t xml:space="preserve">signación </w:t>
      </w:r>
      <w:r w:rsidR="00C42D7D" w:rsidRPr="00303C65">
        <w:rPr>
          <w:rFonts w:ascii="ITC Avant Garde" w:hAnsi="ITC Avant Garde"/>
          <w:bCs/>
          <w:lang w:val="es-ES_tradnl"/>
        </w:rPr>
        <w:t xml:space="preserve">número 1.-209 </w:t>
      </w:r>
      <w:r w:rsidR="000E6294" w:rsidRPr="00303C65">
        <w:rPr>
          <w:rFonts w:ascii="ITC Avant Garde" w:hAnsi="ITC Avant Garde"/>
          <w:bCs/>
          <w:lang w:val="es-ES_tradnl"/>
        </w:rPr>
        <w:t xml:space="preserve">para usar, aprovechar o explotar </w:t>
      </w:r>
      <w:r w:rsidR="001E2992" w:rsidRPr="00303C65">
        <w:rPr>
          <w:rFonts w:ascii="ITC Avant Garde" w:hAnsi="ITC Avant Garde"/>
          <w:bCs/>
          <w:lang w:val="es-ES_tradnl"/>
        </w:rPr>
        <w:t xml:space="preserve">bandas de frecuencias </w:t>
      </w:r>
      <w:r w:rsidR="000E6294" w:rsidRPr="00303C65">
        <w:rPr>
          <w:rFonts w:ascii="ITC Avant Garde" w:hAnsi="ITC Avant Garde"/>
          <w:bCs/>
          <w:lang w:val="es-ES_tradnl"/>
        </w:rPr>
        <w:t>de</w:t>
      </w:r>
      <w:r w:rsidR="001E2992" w:rsidRPr="00303C65">
        <w:rPr>
          <w:rFonts w:ascii="ITC Avant Garde" w:hAnsi="ITC Avant Garde"/>
          <w:bCs/>
          <w:lang w:val="es-ES_tradnl"/>
        </w:rPr>
        <w:t xml:space="preserve"> uso oficial</w:t>
      </w:r>
      <w:r w:rsidR="00FF77B9" w:rsidRPr="00303C65">
        <w:rPr>
          <w:rFonts w:ascii="ITC Avant Garde" w:hAnsi="ITC Avant Garde"/>
          <w:bCs/>
          <w:lang w:val="es-ES_tradnl"/>
        </w:rPr>
        <w:t>, para</w:t>
      </w:r>
      <w:r w:rsidR="001875FB" w:rsidRPr="00303C65">
        <w:rPr>
          <w:rFonts w:ascii="ITC Avant Garde" w:hAnsi="ITC Avant Garde"/>
          <w:bCs/>
          <w:lang w:val="es-ES_tradnl"/>
        </w:rPr>
        <w:t xml:space="preserve"> instala</w:t>
      </w:r>
      <w:r w:rsidR="00FF77B9" w:rsidRPr="00303C65">
        <w:rPr>
          <w:rFonts w:ascii="ITC Avant Garde" w:hAnsi="ITC Avant Garde"/>
          <w:bCs/>
          <w:lang w:val="es-ES_tradnl"/>
        </w:rPr>
        <w:t>r</w:t>
      </w:r>
      <w:r w:rsidR="001875FB" w:rsidRPr="00303C65">
        <w:rPr>
          <w:rFonts w:ascii="ITC Avant Garde" w:hAnsi="ITC Avant Garde"/>
          <w:bCs/>
          <w:lang w:val="es-ES_tradnl"/>
        </w:rPr>
        <w:t xml:space="preserve"> y opera</w:t>
      </w:r>
      <w:r w:rsidR="00FF77B9" w:rsidRPr="00303C65">
        <w:rPr>
          <w:rFonts w:ascii="ITC Avant Garde" w:hAnsi="ITC Avant Garde"/>
          <w:bCs/>
          <w:lang w:val="es-ES_tradnl"/>
        </w:rPr>
        <w:t>r</w:t>
      </w:r>
      <w:r w:rsidR="001875FB" w:rsidRPr="00303C65">
        <w:rPr>
          <w:rFonts w:ascii="ITC Avant Garde" w:hAnsi="ITC Avant Garde"/>
          <w:bCs/>
          <w:lang w:val="es-ES_tradnl"/>
        </w:rPr>
        <w:t xml:space="preserve"> una red privada de telecomunicaciones, </w:t>
      </w:r>
      <w:r w:rsidR="00240FF3" w:rsidRPr="00303C65">
        <w:rPr>
          <w:rFonts w:ascii="ITC Avant Garde" w:hAnsi="ITC Avant Garde"/>
          <w:bCs/>
          <w:lang w:val="es-ES_tradnl"/>
        </w:rPr>
        <w:t xml:space="preserve">otorgada </w:t>
      </w:r>
      <w:r w:rsidR="00A5390F" w:rsidRPr="00303C65">
        <w:rPr>
          <w:rFonts w:ascii="ITC Avant Garde" w:hAnsi="ITC Avant Garde"/>
          <w:bCs/>
          <w:lang w:val="es-ES_tradnl"/>
        </w:rPr>
        <w:t>el</w:t>
      </w:r>
      <w:r w:rsidR="00240FF3" w:rsidRPr="00303C65">
        <w:rPr>
          <w:rFonts w:ascii="ITC Avant Garde" w:hAnsi="ITC Avant Garde"/>
          <w:bCs/>
          <w:lang w:val="es-ES_tradnl"/>
        </w:rPr>
        <w:t xml:space="preserve"> </w:t>
      </w:r>
      <w:r w:rsidR="000E6294" w:rsidRPr="00303C65">
        <w:rPr>
          <w:rFonts w:ascii="ITC Avant Garde" w:hAnsi="ITC Avant Garde"/>
          <w:bCs/>
          <w:color w:val="000000"/>
          <w:lang w:eastAsia="es-MX"/>
        </w:rPr>
        <w:t>21</w:t>
      </w:r>
      <w:r w:rsidR="00680C83" w:rsidRPr="00303C65">
        <w:rPr>
          <w:rFonts w:ascii="ITC Avant Garde" w:hAnsi="ITC Avant Garde"/>
          <w:bCs/>
          <w:color w:val="000000"/>
          <w:lang w:eastAsia="es-MX"/>
        </w:rPr>
        <w:t xml:space="preserve"> de </w:t>
      </w:r>
      <w:r w:rsidR="000E6294" w:rsidRPr="00303C65">
        <w:rPr>
          <w:rFonts w:ascii="ITC Avant Garde" w:hAnsi="ITC Avant Garde"/>
          <w:bCs/>
          <w:color w:val="000000"/>
          <w:lang w:eastAsia="es-MX"/>
        </w:rPr>
        <w:t>septiembre</w:t>
      </w:r>
      <w:r w:rsidR="00811512" w:rsidRPr="00303C65">
        <w:rPr>
          <w:rFonts w:ascii="ITC Avant Garde" w:hAnsi="ITC Avant Garde"/>
          <w:bCs/>
          <w:color w:val="000000"/>
          <w:lang w:eastAsia="es-MX"/>
        </w:rPr>
        <w:t xml:space="preserve"> de 20</w:t>
      </w:r>
      <w:r w:rsidR="000E6294" w:rsidRPr="00303C65">
        <w:rPr>
          <w:rFonts w:ascii="ITC Avant Garde" w:hAnsi="ITC Avant Garde"/>
          <w:bCs/>
          <w:color w:val="000000"/>
          <w:lang w:eastAsia="es-MX"/>
        </w:rPr>
        <w:t>07</w:t>
      </w:r>
      <w:r w:rsidR="009D5535" w:rsidRPr="00303C65">
        <w:rPr>
          <w:rFonts w:ascii="ITC Avant Garde" w:hAnsi="ITC Avant Garde"/>
          <w:bCs/>
          <w:color w:val="000000"/>
          <w:lang w:eastAsia="es-MX"/>
        </w:rPr>
        <w:t xml:space="preserve"> </w:t>
      </w:r>
      <w:r w:rsidR="00A5390F" w:rsidRPr="00303C65">
        <w:rPr>
          <w:rFonts w:ascii="ITC Avant Garde" w:hAnsi="ITC Avant Garde"/>
          <w:bCs/>
          <w:color w:val="000000"/>
          <w:lang w:eastAsia="es-MX"/>
        </w:rPr>
        <w:t>por la Secretaría de Comunicaciones y Transportes</w:t>
      </w:r>
      <w:r w:rsidR="001309CE" w:rsidRPr="00303C65">
        <w:rPr>
          <w:rFonts w:ascii="ITC Avant Garde" w:hAnsi="ITC Avant Garde"/>
          <w:bCs/>
          <w:color w:val="000000"/>
          <w:lang w:eastAsia="es-MX"/>
        </w:rPr>
        <w:t>, así como las modificaciones a la misma</w:t>
      </w:r>
      <w:r w:rsidR="005E2324" w:rsidRPr="00303C65">
        <w:rPr>
          <w:rFonts w:ascii="ITC Avant Garde" w:hAnsi="ITC Avant Garde"/>
          <w:bCs/>
          <w:color w:val="000000"/>
          <w:lang w:eastAsia="es-MX"/>
        </w:rPr>
        <w:t>.</w:t>
      </w:r>
    </w:p>
    <w:p w14:paraId="3C89A5B4" w14:textId="35185185" w:rsidR="00054CD2" w:rsidRPr="00303C65" w:rsidRDefault="00054CD2" w:rsidP="00303C65">
      <w:pPr>
        <w:autoSpaceDE w:val="0"/>
        <w:autoSpaceDN w:val="0"/>
        <w:adjustRightInd w:val="0"/>
        <w:spacing w:before="240" w:line="240" w:lineRule="auto"/>
        <w:jc w:val="both"/>
        <w:rPr>
          <w:rFonts w:ascii="ITC Avant Garde" w:hAnsi="ITC Avant Garde"/>
          <w:bCs/>
          <w:lang w:val="es-ES_tradnl"/>
        </w:rPr>
      </w:pPr>
      <w:r w:rsidRPr="00303C65">
        <w:rPr>
          <w:rFonts w:ascii="ITC Avant Garde" w:hAnsi="ITC Avant Garde"/>
          <w:bCs/>
        </w:rPr>
        <w:t xml:space="preserve">Para </w:t>
      </w:r>
      <w:r w:rsidR="00A30AB3" w:rsidRPr="00303C65">
        <w:rPr>
          <w:rFonts w:ascii="ITC Avant Garde" w:hAnsi="ITC Avant Garde"/>
          <w:bCs/>
        </w:rPr>
        <w:t xml:space="preserve"> </w:t>
      </w:r>
      <w:r w:rsidRPr="00303C65">
        <w:rPr>
          <w:rFonts w:ascii="ITC Avant Garde" w:hAnsi="ITC Avant Garde"/>
          <w:bCs/>
        </w:rPr>
        <w:t>tal efecto, el</w:t>
      </w:r>
      <w:r w:rsidR="00A30AB3" w:rsidRPr="00303C65">
        <w:rPr>
          <w:rFonts w:ascii="ITC Avant Garde" w:hAnsi="ITC Avant Garde"/>
          <w:bCs/>
        </w:rPr>
        <w:t xml:space="preserve"> </w:t>
      </w:r>
      <w:r w:rsidRPr="00303C65">
        <w:rPr>
          <w:rFonts w:ascii="ITC Avant Garde" w:hAnsi="ITC Avant Garde"/>
          <w:bCs/>
        </w:rPr>
        <w:t xml:space="preserve"> Instituto </w:t>
      </w:r>
      <w:r w:rsidR="00A30AB3" w:rsidRPr="00303C65">
        <w:rPr>
          <w:rFonts w:ascii="ITC Avant Garde" w:hAnsi="ITC Avant Garde"/>
          <w:bCs/>
        </w:rPr>
        <w:t xml:space="preserve"> </w:t>
      </w:r>
      <w:r w:rsidRPr="00303C65">
        <w:rPr>
          <w:rFonts w:ascii="ITC Avant Garde" w:hAnsi="ITC Avant Garde"/>
          <w:bCs/>
        </w:rPr>
        <w:t>Federal de</w:t>
      </w:r>
      <w:r w:rsidR="00A30AB3" w:rsidRPr="00303C65">
        <w:rPr>
          <w:rFonts w:ascii="ITC Avant Garde" w:hAnsi="ITC Avant Garde"/>
          <w:bCs/>
        </w:rPr>
        <w:t xml:space="preserve"> </w:t>
      </w:r>
      <w:r w:rsidRPr="00303C65">
        <w:rPr>
          <w:rFonts w:ascii="ITC Avant Garde" w:hAnsi="ITC Avant Garde"/>
          <w:bCs/>
        </w:rPr>
        <w:t xml:space="preserve"> Telecomunicaciones </w:t>
      </w:r>
      <w:r w:rsidR="00A30AB3" w:rsidRPr="00303C65">
        <w:rPr>
          <w:rFonts w:ascii="ITC Avant Garde" w:hAnsi="ITC Avant Garde"/>
          <w:bCs/>
        </w:rPr>
        <w:t xml:space="preserve"> </w:t>
      </w:r>
      <w:r w:rsidRPr="00303C65">
        <w:rPr>
          <w:rFonts w:ascii="ITC Avant Garde" w:hAnsi="ITC Avant Garde"/>
          <w:bCs/>
        </w:rPr>
        <w:t xml:space="preserve">otorgará </w:t>
      </w:r>
      <w:r w:rsidR="00A30AB3" w:rsidRPr="00303C65">
        <w:rPr>
          <w:rFonts w:ascii="ITC Avant Garde" w:hAnsi="ITC Avant Garde"/>
          <w:bCs/>
        </w:rPr>
        <w:t xml:space="preserve"> </w:t>
      </w:r>
      <w:r w:rsidRPr="00303C65">
        <w:rPr>
          <w:rFonts w:ascii="ITC Avant Garde" w:hAnsi="ITC Avant Garde"/>
          <w:bCs/>
        </w:rPr>
        <w:t>un título de concesión para usar y aprovechar bandas de</w:t>
      </w:r>
      <w:r w:rsidR="00F06035" w:rsidRPr="00303C65">
        <w:rPr>
          <w:rFonts w:ascii="ITC Avant Garde" w:hAnsi="ITC Avant Garde"/>
          <w:bCs/>
        </w:rPr>
        <w:t xml:space="preserve"> </w:t>
      </w:r>
      <w:r w:rsidRPr="00303C65">
        <w:rPr>
          <w:rFonts w:ascii="ITC Avant Garde" w:hAnsi="ITC Avant Garde"/>
          <w:bCs/>
        </w:rPr>
        <w:t xml:space="preserve"> frecuencias del </w:t>
      </w:r>
      <w:r w:rsidR="00A30AB3" w:rsidRPr="00303C65">
        <w:rPr>
          <w:rFonts w:ascii="ITC Avant Garde" w:hAnsi="ITC Avant Garde"/>
          <w:bCs/>
        </w:rPr>
        <w:t xml:space="preserve">  </w:t>
      </w:r>
      <w:r w:rsidRPr="00303C65">
        <w:rPr>
          <w:rFonts w:ascii="ITC Avant Garde" w:hAnsi="ITC Avant Garde"/>
          <w:bCs/>
        </w:rPr>
        <w:t xml:space="preserve">espectro radioeléctrico para </w:t>
      </w:r>
      <w:r w:rsidR="00F06035" w:rsidRPr="00303C65">
        <w:rPr>
          <w:rFonts w:ascii="ITC Avant Garde" w:hAnsi="ITC Avant Garde"/>
          <w:bCs/>
        </w:rPr>
        <w:t xml:space="preserve"> </w:t>
      </w:r>
      <w:r w:rsidRPr="00303C65">
        <w:rPr>
          <w:rFonts w:ascii="ITC Avant Garde" w:hAnsi="ITC Avant Garde"/>
          <w:bCs/>
        </w:rPr>
        <w:t xml:space="preserve">uso público, </w:t>
      </w:r>
      <w:r w:rsidR="00F06035" w:rsidRPr="00303C65">
        <w:rPr>
          <w:rFonts w:ascii="ITC Avant Garde" w:hAnsi="ITC Avant Garde"/>
          <w:bCs/>
        </w:rPr>
        <w:t xml:space="preserve"> </w:t>
      </w:r>
      <w:r w:rsidRPr="00303C65">
        <w:rPr>
          <w:rFonts w:ascii="ITC Avant Garde" w:hAnsi="ITC Avant Garde"/>
          <w:bCs/>
          <w:lang w:val="es-ES_tradnl"/>
        </w:rPr>
        <w:t xml:space="preserve">con </w:t>
      </w:r>
      <w:r w:rsidR="00F06035" w:rsidRPr="00303C65">
        <w:rPr>
          <w:rFonts w:ascii="ITC Avant Garde" w:hAnsi="ITC Avant Garde"/>
          <w:bCs/>
          <w:lang w:val="es-ES_tradnl"/>
        </w:rPr>
        <w:t xml:space="preserve"> </w:t>
      </w:r>
      <w:r w:rsidRPr="00303C65">
        <w:rPr>
          <w:rFonts w:ascii="ITC Avant Garde" w:hAnsi="ITC Avant Garde"/>
          <w:bCs/>
          <w:lang w:val="es-ES_tradnl"/>
        </w:rPr>
        <w:t xml:space="preserve">vigencia </w:t>
      </w:r>
      <w:r w:rsidR="00F06035" w:rsidRPr="00303C65">
        <w:rPr>
          <w:rFonts w:ascii="ITC Avant Garde" w:hAnsi="ITC Avant Garde"/>
          <w:bCs/>
          <w:lang w:val="es-ES_tradnl"/>
        </w:rPr>
        <w:t xml:space="preserve"> </w:t>
      </w:r>
      <w:r w:rsidR="005E46B8" w:rsidRPr="00303C65">
        <w:rPr>
          <w:rFonts w:ascii="ITC Avant Garde" w:hAnsi="ITC Avant Garde"/>
          <w:bCs/>
          <w:lang w:val="es-ES_tradnl"/>
        </w:rPr>
        <w:t xml:space="preserve">de </w:t>
      </w:r>
      <w:r w:rsidR="00F06035" w:rsidRPr="00303C65">
        <w:rPr>
          <w:rFonts w:ascii="ITC Avant Garde" w:hAnsi="ITC Avant Garde"/>
          <w:bCs/>
          <w:lang w:val="es-ES_tradnl"/>
        </w:rPr>
        <w:t xml:space="preserve"> </w:t>
      </w:r>
      <w:r w:rsidR="005E46B8" w:rsidRPr="00303C65">
        <w:rPr>
          <w:rFonts w:ascii="ITC Avant Garde" w:hAnsi="ITC Avant Garde"/>
          <w:bCs/>
          <w:lang w:val="es-ES_tradnl"/>
        </w:rPr>
        <w:t xml:space="preserve">15 </w:t>
      </w:r>
      <w:r w:rsidR="00F06035" w:rsidRPr="00303C65">
        <w:rPr>
          <w:rFonts w:ascii="ITC Avant Garde" w:hAnsi="ITC Avant Garde"/>
          <w:bCs/>
          <w:lang w:val="es-ES_tradnl"/>
        </w:rPr>
        <w:t xml:space="preserve"> </w:t>
      </w:r>
      <w:r w:rsidR="005C13F1" w:rsidRPr="00303C65">
        <w:rPr>
          <w:rFonts w:ascii="ITC Avant Garde" w:hAnsi="ITC Avant Garde"/>
          <w:bCs/>
          <w:lang w:val="es-ES_tradnl"/>
        </w:rPr>
        <w:t>(quince)</w:t>
      </w:r>
      <w:r w:rsidR="00F06035" w:rsidRPr="00303C65">
        <w:rPr>
          <w:rFonts w:ascii="ITC Avant Garde" w:hAnsi="ITC Avant Garde"/>
          <w:bCs/>
          <w:lang w:val="es-ES_tradnl"/>
        </w:rPr>
        <w:t xml:space="preserve"> </w:t>
      </w:r>
      <w:r w:rsidR="005C13F1" w:rsidRPr="00303C65">
        <w:rPr>
          <w:rFonts w:ascii="ITC Avant Garde" w:hAnsi="ITC Avant Garde"/>
          <w:bCs/>
          <w:lang w:val="es-ES_tradnl"/>
        </w:rPr>
        <w:t xml:space="preserve"> </w:t>
      </w:r>
      <w:r w:rsidR="005E46B8" w:rsidRPr="00303C65">
        <w:rPr>
          <w:rFonts w:ascii="ITC Avant Garde" w:hAnsi="ITC Avant Garde"/>
          <w:bCs/>
          <w:lang w:val="es-ES_tradnl"/>
        </w:rPr>
        <w:t xml:space="preserve">años, </w:t>
      </w:r>
      <w:r w:rsidR="00F06035" w:rsidRPr="00303C65">
        <w:rPr>
          <w:rFonts w:ascii="ITC Avant Garde" w:hAnsi="ITC Avant Garde"/>
          <w:bCs/>
          <w:lang w:val="es-ES_tradnl"/>
        </w:rPr>
        <w:t xml:space="preserve"> </w:t>
      </w:r>
      <w:r w:rsidR="005E46B8" w:rsidRPr="00303C65">
        <w:rPr>
          <w:rFonts w:ascii="ITC Avant Garde" w:hAnsi="ITC Avant Garde"/>
          <w:bCs/>
          <w:lang w:val="es-ES_tradnl"/>
        </w:rPr>
        <w:t xml:space="preserve">contados </w:t>
      </w:r>
      <w:r w:rsidR="00F06035" w:rsidRPr="00303C65">
        <w:rPr>
          <w:rFonts w:ascii="ITC Avant Garde" w:hAnsi="ITC Avant Garde"/>
          <w:bCs/>
          <w:lang w:val="es-ES_tradnl"/>
        </w:rPr>
        <w:t xml:space="preserve">a partir </w:t>
      </w:r>
      <w:r w:rsidR="005E46B8" w:rsidRPr="00303C65">
        <w:rPr>
          <w:rFonts w:ascii="ITC Avant Garde" w:hAnsi="ITC Avant Garde"/>
          <w:bCs/>
          <w:lang w:val="es-ES_tradnl"/>
        </w:rPr>
        <w:t>del</w:t>
      </w:r>
      <w:r w:rsidRPr="00303C65">
        <w:rPr>
          <w:rFonts w:ascii="ITC Avant Garde" w:hAnsi="ITC Avant Garde"/>
          <w:bCs/>
          <w:lang w:val="es-ES_tradnl"/>
        </w:rPr>
        <w:t xml:space="preserve"> </w:t>
      </w:r>
      <w:r w:rsidR="000E6294" w:rsidRPr="00303C65">
        <w:rPr>
          <w:rFonts w:ascii="ITC Avant Garde" w:hAnsi="ITC Avant Garde"/>
          <w:bCs/>
          <w:lang w:val="es-ES_tradnl"/>
        </w:rPr>
        <w:t>22</w:t>
      </w:r>
      <w:r w:rsidRPr="00303C65">
        <w:rPr>
          <w:rFonts w:ascii="ITC Avant Garde" w:hAnsi="ITC Avant Garde"/>
          <w:bCs/>
          <w:lang w:val="es-ES_tradnl"/>
        </w:rPr>
        <w:t xml:space="preserve"> </w:t>
      </w:r>
      <w:r w:rsidR="00F06035" w:rsidRPr="00303C65">
        <w:rPr>
          <w:rFonts w:ascii="ITC Avant Garde" w:hAnsi="ITC Avant Garde"/>
          <w:bCs/>
          <w:lang w:val="es-ES_tradnl"/>
        </w:rPr>
        <w:t xml:space="preserve">  </w:t>
      </w:r>
      <w:r w:rsidRPr="00303C65">
        <w:rPr>
          <w:rFonts w:ascii="ITC Avant Garde" w:hAnsi="ITC Avant Garde"/>
          <w:bCs/>
          <w:lang w:val="es-ES_tradnl"/>
        </w:rPr>
        <w:t xml:space="preserve">de </w:t>
      </w:r>
      <w:r w:rsidR="000E6294" w:rsidRPr="00303C65">
        <w:rPr>
          <w:rFonts w:ascii="ITC Avant Garde" w:hAnsi="ITC Avant Garde"/>
          <w:bCs/>
          <w:lang w:val="es-ES_tradnl"/>
        </w:rPr>
        <w:t>septiembre</w:t>
      </w:r>
      <w:r w:rsidRPr="00303C65">
        <w:rPr>
          <w:rFonts w:ascii="ITC Avant Garde" w:hAnsi="ITC Avant Garde"/>
          <w:bCs/>
          <w:lang w:val="es-ES_tradnl"/>
        </w:rPr>
        <w:t xml:space="preserve"> de 201</w:t>
      </w:r>
      <w:r w:rsidR="000E6294" w:rsidRPr="00303C65">
        <w:rPr>
          <w:rFonts w:ascii="ITC Avant Garde" w:hAnsi="ITC Avant Garde"/>
          <w:bCs/>
          <w:lang w:val="es-ES_tradnl"/>
        </w:rPr>
        <w:t>1</w:t>
      </w:r>
      <w:r w:rsidR="005E46B8" w:rsidRPr="00303C65">
        <w:rPr>
          <w:rFonts w:ascii="ITC Avant Garde" w:hAnsi="ITC Avant Garde"/>
          <w:bCs/>
          <w:lang w:val="es-ES_tradnl"/>
        </w:rPr>
        <w:t xml:space="preserve">, </w:t>
      </w:r>
      <w:r w:rsidRPr="00303C65">
        <w:rPr>
          <w:rFonts w:ascii="ITC Avant Garde" w:hAnsi="ITC Avant Garde"/>
          <w:bCs/>
          <w:lang w:val="es-ES_tradnl"/>
        </w:rPr>
        <w:t>conforme a los términos establecidos en dicho título de concesión.</w:t>
      </w:r>
    </w:p>
    <w:p w14:paraId="2C1090A9" w14:textId="77777777" w:rsidR="00303C65" w:rsidRPr="00303C65" w:rsidRDefault="00054CD2" w:rsidP="00303C65">
      <w:pPr>
        <w:spacing w:before="240" w:line="240" w:lineRule="auto"/>
        <w:jc w:val="both"/>
        <w:rPr>
          <w:rFonts w:ascii="ITC Avant Garde" w:hAnsi="ITC Avant Garde"/>
          <w:bCs/>
          <w:color w:val="000000"/>
          <w:lang w:eastAsia="es-MX"/>
        </w:rPr>
      </w:pPr>
      <w:r w:rsidRPr="00303C65">
        <w:rPr>
          <w:rFonts w:ascii="ITC Avant Garde" w:hAnsi="ITC Avant Garde"/>
          <w:bCs/>
          <w:lang w:val="es-ES_tradnl"/>
        </w:rPr>
        <w:t xml:space="preserve">A fin de que el Instituto Federal de Telecomunicaciones expida el título de concesión señalado en el presente Resolutivo, </w:t>
      </w:r>
      <w:r w:rsidR="003F40CC" w:rsidRPr="00303C65">
        <w:rPr>
          <w:rFonts w:ascii="ITC Avant Garde" w:hAnsi="ITC Avant Garde"/>
          <w:bCs/>
        </w:rPr>
        <w:t>Petróleos Mexicanos</w:t>
      </w:r>
      <w:r w:rsidRPr="00303C65">
        <w:rPr>
          <w:rFonts w:ascii="ITC Avant Garde" w:hAnsi="ITC Avant Garde"/>
          <w:bCs/>
        </w:rPr>
        <w:t xml:space="preserve">, </w:t>
      </w:r>
      <w:r w:rsidR="000E6294" w:rsidRPr="00303C65">
        <w:rPr>
          <w:rFonts w:ascii="ITC Avant Garde" w:hAnsi="ITC Avant Garde"/>
          <w:bCs/>
        </w:rPr>
        <w:t>Empresa Productiva del Estado</w:t>
      </w:r>
      <w:r w:rsidRPr="00303C65">
        <w:rPr>
          <w:rFonts w:ascii="ITC Avant Garde" w:hAnsi="ITC Avant Garde"/>
          <w:bCs/>
          <w:color w:val="000000"/>
          <w:lang w:eastAsia="es-MX"/>
        </w:rPr>
        <w:t xml:space="preserve">, </w:t>
      </w:r>
      <w:r w:rsidRPr="00303C65">
        <w:rPr>
          <w:rFonts w:ascii="ITC Avant Garde" w:hAnsi="ITC Avant Garde"/>
          <w:bCs/>
          <w:lang w:val="es-ES_tradnl"/>
        </w:rPr>
        <w:t>deberá aceptar expresamente las nuevas condiciones que al efecto se le establezcan, en los términos señalados en el Resolutivo Tercero de la presente Resolución.</w:t>
      </w:r>
    </w:p>
    <w:p w14:paraId="5585B53B" w14:textId="088D3400" w:rsidR="00303C65" w:rsidRPr="00303C65" w:rsidRDefault="005E2324" w:rsidP="00303C65">
      <w:pPr>
        <w:autoSpaceDE w:val="0"/>
        <w:autoSpaceDN w:val="0"/>
        <w:adjustRightInd w:val="0"/>
        <w:spacing w:before="240" w:line="240" w:lineRule="auto"/>
        <w:jc w:val="both"/>
        <w:rPr>
          <w:rFonts w:ascii="ITC Avant Garde" w:hAnsi="ITC Avant Garde"/>
          <w:bCs/>
          <w:color w:val="000000"/>
          <w:lang w:eastAsia="es-MX"/>
        </w:rPr>
      </w:pPr>
      <w:r w:rsidRPr="00303C65">
        <w:rPr>
          <w:rFonts w:ascii="ITC Avant Garde" w:hAnsi="ITC Avant Garde"/>
          <w:b/>
          <w:lang w:eastAsia="es-MX"/>
        </w:rPr>
        <w:t>SEGUNDO.-</w:t>
      </w:r>
      <w:r w:rsidRPr="00303C65">
        <w:rPr>
          <w:rFonts w:ascii="ITC Avant Garde" w:hAnsi="ITC Avant Garde"/>
          <w:lang w:eastAsia="es-MX"/>
        </w:rPr>
        <w:t xml:space="preserve"> </w:t>
      </w:r>
      <w:r w:rsidR="00E63AE2" w:rsidRPr="00303C65">
        <w:rPr>
          <w:rFonts w:ascii="ITC Avant Garde" w:hAnsi="ITC Avant Garde"/>
          <w:lang w:eastAsia="es-MX"/>
        </w:rPr>
        <w:t xml:space="preserve">De conformidad </w:t>
      </w:r>
      <w:r w:rsidR="006144D6" w:rsidRPr="00303C65">
        <w:rPr>
          <w:rFonts w:ascii="ITC Avant Garde" w:hAnsi="ITC Avant Garde"/>
          <w:lang w:eastAsia="es-MX"/>
        </w:rPr>
        <w:t>con</w:t>
      </w:r>
      <w:r w:rsidR="00E63AE2" w:rsidRPr="00303C65">
        <w:rPr>
          <w:rFonts w:ascii="ITC Avant Garde" w:hAnsi="ITC Avant Garde"/>
          <w:lang w:eastAsia="es-MX"/>
        </w:rPr>
        <w:t xml:space="preserve"> la autorización señalada en el Resolutivo que antecede, el Instituto Federal de Telecomunicaciones </w:t>
      </w:r>
      <w:r w:rsidR="00054CD2" w:rsidRPr="00303C65">
        <w:rPr>
          <w:rFonts w:ascii="ITC Avant Garde" w:hAnsi="ITC Avant Garde"/>
          <w:bCs/>
          <w:color w:val="000000"/>
          <w:lang w:eastAsia="es-MX"/>
        </w:rPr>
        <w:t xml:space="preserve">otorgará a favor de </w:t>
      </w:r>
      <w:r w:rsidR="003F40CC" w:rsidRPr="00303C65">
        <w:rPr>
          <w:rFonts w:ascii="ITC Avant Garde" w:hAnsi="ITC Avant Garde"/>
          <w:bCs/>
        </w:rPr>
        <w:t>Petróleos Mexicanos</w:t>
      </w:r>
      <w:r w:rsidR="00054CD2" w:rsidRPr="00303C65">
        <w:rPr>
          <w:rFonts w:ascii="ITC Avant Garde" w:hAnsi="ITC Avant Garde"/>
          <w:bCs/>
        </w:rPr>
        <w:t xml:space="preserve">, </w:t>
      </w:r>
      <w:r w:rsidR="00E84C00" w:rsidRPr="00303C65">
        <w:rPr>
          <w:rFonts w:ascii="ITC Avant Garde" w:hAnsi="ITC Avant Garde"/>
          <w:bCs/>
        </w:rPr>
        <w:t>Empresa Productiva del Estado</w:t>
      </w:r>
      <w:r w:rsidR="00054CD2" w:rsidRPr="00303C65">
        <w:rPr>
          <w:rFonts w:ascii="ITC Avant Garde" w:hAnsi="ITC Avant Garde"/>
          <w:bCs/>
          <w:color w:val="000000"/>
          <w:lang w:eastAsia="es-MX"/>
        </w:rPr>
        <w:t>, un título de concesión única para uso público con una vigencia de 30 (trei</w:t>
      </w:r>
      <w:r w:rsidR="009E30E4" w:rsidRPr="00303C65">
        <w:rPr>
          <w:rFonts w:ascii="ITC Avant Garde" w:hAnsi="ITC Avant Garde"/>
          <w:bCs/>
          <w:color w:val="000000"/>
          <w:lang w:eastAsia="es-MX"/>
        </w:rPr>
        <w:t>nta) años, contados a partir del 22 de septiembre de 2011</w:t>
      </w:r>
      <w:r w:rsidR="00054CD2" w:rsidRPr="00303C65">
        <w:rPr>
          <w:rFonts w:ascii="ITC Avant Garde" w:hAnsi="ITC Avant Garde"/>
          <w:bCs/>
          <w:color w:val="000000"/>
          <w:lang w:eastAsia="es-MX"/>
        </w:rPr>
        <w:t>, para proveer todo tipo de servicios públicos de telecomunicaciones y radiodifusión para el cumplimiento de sus fines y atribuciones, con cobertura nacional y conforme a los términos establecidos en dicho título de concesión.</w:t>
      </w:r>
    </w:p>
    <w:p w14:paraId="61AEE99C" w14:textId="77777777" w:rsidR="00303C65" w:rsidRPr="00303C65" w:rsidRDefault="00054CD2" w:rsidP="00303C65">
      <w:pPr>
        <w:autoSpaceDE w:val="0"/>
        <w:autoSpaceDN w:val="0"/>
        <w:adjustRightInd w:val="0"/>
        <w:spacing w:before="240" w:line="240" w:lineRule="auto"/>
        <w:jc w:val="both"/>
        <w:rPr>
          <w:rFonts w:ascii="ITC Avant Garde" w:hAnsi="ITC Avant Garde"/>
          <w:bCs/>
        </w:rPr>
      </w:pPr>
      <w:r w:rsidRPr="00303C65">
        <w:rPr>
          <w:rFonts w:ascii="ITC Avant Garde" w:hAnsi="ITC Avant Garde"/>
          <w:bCs/>
        </w:rPr>
        <w:t xml:space="preserve">A fin de que el Instituto Federal de Telecomunicaciones expida el título de concesión señalado en el presente Resolutivo, </w:t>
      </w:r>
      <w:r w:rsidR="003F40CC" w:rsidRPr="00303C65">
        <w:rPr>
          <w:rFonts w:ascii="ITC Avant Garde" w:hAnsi="ITC Avant Garde"/>
          <w:bCs/>
        </w:rPr>
        <w:t>Petróleos Mexicanos</w:t>
      </w:r>
      <w:r w:rsidRPr="00303C65">
        <w:rPr>
          <w:rFonts w:ascii="ITC Avant Garde" w:hAnsi="ITC Avant Garde"/>
          <w:bCs/>
        </w:rPr>
        <w:t xml:space="preserve">, </w:t>
      </w:r>
      <w:r w:rsidR="0013092A" w:rsidRPr="00303C65">
        <w:rPr>
          <w:rFonts w:ascii="ITC Avant Garde" w:hAnsi="ITC Avant Garde"/>
          <w:bCs/>
        </w:rPr>
        <w:t>Empresa Productiva del Estado</w:t>
      </w:r>
      <w:r w:rsidRPr="00303C65">
        <w:rPr>
          <w:rFonts w:ascii="ITC Avant Garde" w:hAnsi="ITC Avant Garde"/>
          <w:bCs/>
          <w:color w:val="000000"/>
          <w:lang w:eastAsia="es-MX"/>
        </w:rPr>
        <w:t xml:space="preserve">, </w:t>
      </w:r>
      <w:r w:rsidRPr="00303C65">
        <w:rPr>
          <w:rFonts w:ascii="ITC Avant Garde" w:hAnsi="ITC Avant Garde"/>
          <w:bCs/>
        </w:rPr>
        <w:t>deberá aceptar expresamente las nuevas condiciones que al efecto se le establezcan, en los términos señalados en el Resolutivo Tercero de la presente Resolución.</w:t>
      </w:r>
    </w:p>
    <w:p w14:paraId="45DA33F2" w14:textId="128A60C4" w:rsidR="00303C65" w:rsidRPr="00303C65" w:rsidRDefault="004D0875" w:rsidP="00303C65">
      <w:pPr>
        <w:autoSpaceDE w:val="0"/>
        <w:autoSpaceDN w:val="0"/>
        <w:adjustRightInd w:val="0"/>
        <w:spacing w:before="240" w:line="240" w:lineRule="auto"/>
        <w:jc w:val="both"/>
        <w:rPr>
          <w:rFonts w:ascii="ITC Avant Garde" w:hAnsi="ITC Avant Garde"/>
          <w:bCs/>
          <w:lang w:val="es-ES_tradnl"/>
        </w:rPr>
      </w:pPr>
      <w:r w:rsidRPr="00303C65">
        <w:rPr>
          <w:rFonts w:ascii="ITC Avant Garde" w:hAnsi="ITC Avant Garde"/>
          <w:b/>
          <w:bCs/>
        </w:rPr>
        <w:t>TERCERO.-</w:t>
      </w:r>
      <w:r w:rsidRPr="00303C65">
        <w:rPr>
          <w:rFonts w:ascii="ITC Avant Garde" w:hAnsi="ITC Avant Garde"/>
          <w:bCs/>
        </w:rPr>
        <w:t xml:space="preserve"> </w:t>
      </w:r>
      <w:r w:rsidR="00054CD2" w:rsidRPr="00303C65">
        <w:rPr>
          <w:rFonts w:ascii="ITC Avant Garde" w:hAnsi="ITC Avant Garde"/>
          <w:bCs/>
        </w:rPr>
        <w:t>Se instruye a la Unidad de Concesiones y Servicios a hacer del conocimiento de</w:t>
      </w:r>
      <w:r w:rsidR="00054CD2" w:rsidRPr="00303C65">
        <w:rPr>
          <w:rFonts w:ascii="ITC Avant Garde" w:hAnsi="ITC Avant Garde"/>
          <w:lang w:eastAsia="es-MX"/>
        </w:rPr>
        <w:t xml:space="preserve"> </w:t>
      </w:r>
      <w:r w:rsidR="003F40CC" w:rsidRPr="00303C65">
        <w:rPr>
          <w:rFonts w:ascii="ITC Avant Garde" w:hAnsi="ITC Avant Garde"/>
          <w:lang w:eastAsia="es-MX"/>
        </w:rPr>
        <w:t>Petróleos Mexicanos</w:t>
      </w:r>
      <w:r w:rsidR="00054CD2" w:rsidRPr="00303C65">
        <w:rPr>
          <w:rFonts w:ascii="ITC Avant Garde" w:hAnsi="ITC Avant Garde"/>
          <w:bCs/>
          <w:color w:val="000000"/>
          <w:lang w:eastAsia="es-MX"/>
        </w:rPr>
        <w:t xml:space="preserve">, </w:t>
      </w:r>
      <w:r w:rsidR="0013092A" w:rsidRPr="00303C65">
        <w:rPr>
          <w:rFonts w:ascii="ITC Avant Garde" w:hAnsi="ITC Avant Garde"/>
          <w:bCs/>
        </w:rPr>
        <w:t>Empresa Productiva del Estado</w:t>
      </w:r>
      <w:r w:rsidR="00054CD2" w:rsidRPr="00303C65">
        <w:rPr>
          <w:rFonts w:ascii="ITC Avant Garde" w:hAnsi="ITC Avant Garde"/>
          <w:bCs/>
        </w:rPr>
        <w:t xml:space="preserve">, el contenido de la presente Resolución, </w:t>
      </w:r>
      <w:r w:rsidR="00054CD2" w:rsidRPr="00303C65">
        <w:rPr>
          <w:rFonts w:ascii="ITC Avant Garde" w:hAnsi="ITC Avant Garde"/>
          <w:bCs/>
          <w:lang w:val="es-ES_tradnl"/>
        </w:rPr>
        <w:t xml:space="preserve">así como las nuevas condiciones, mismas que se encuentran contenidas en los proyectos de títulos de concesión señalados en los Resolutivos Primero y Segundo, a efecto de recabar de éste, en un plazo no mayor a </w:t>
      </w:r>
      <w:r w:rsidR="00D16778" w:rsidRPr="00303C65">
        <w:rPr>
          <w:rFonts w:ascii="ITC Avant Garde" w:hAnsi="ITC Avant Garde"/>
          <w:bCs/>
          <w:lang w:val="es-ES_tradnl"/>
        </w:rPr>
        <w:t>15</w:t>
      </w:r>
      <w:r w:rsidR="00054CD2" w:rsidRPr="00303C65">
        <w:rPr>
          <w:rFonts w:ascii="ITC Avant Garde" w:hAnsi="ITC Avant Garde"/>
          <w:bCs/>
          <w:lang w:val="es-ES_tradnl"/>
        </w:rPr>
        <w:t xml:space="preserve"> (</w:t>
      </w:r>
      <w:r w:rsidR="00D16778" w:rsidRPr="00303C65">
        <w:rPr>
          <w:rFonts w:ascii="ITC Avant Garde" w:hAnsi="ITC Avant Garde"/>
          <w:bCs/>
          <w:lang w:val="es-ES_tradnl"/>
        </w:rPr>
        <w:t>quince</w:t>
      </w:r>
      <w:r w:rsidR="00054CD2" w:rsidRPr="00303C65">
        <w:rPr>
          <w:rFonts w:ascii="ITC Avant Garde" w:hAnsi="ITC Avant Garde"/>
          <w:bCs/>
          <w:lang w:val="es-ES_tradnl"/>
        </w:rPr>
        <w:t xml:space="preserve">) días hábiles contados a partir del día siguiente a aquel en que surta efectos la notificación respectiva, su aceptación expresa </w:t>
      </w:r>
      <w:r w:rsidR="00D16778" w:rsidRPr="00303C65">
        <w:rPr>
          <w:rFonts w:ascii="ITC Avant Garde" w:hAnsi="ITC Avant Garde"/>
          <w:bCs/>
          <w:lang w:val="es-ES_tradnl"/>
        </w:rPr>
        <w:t xml:space="preserve">e indubitable </w:t>
      </w:r>
      <w:r w:rsidR="00054CD2" w:rsidRPr="00303C65">
        <w:rPr>
          <w:rFonts w:ascii="ITC Avant Garde" w:hAnsi="ITC Avant Garde"/>
          <w:bCs/>
          <w:lang w:val="es-ES_tradnl"/>
        </w:rPr>
        <w:t xml:space="preserve">de las nuevas condiciones. </w:t>
      </w:r>
    </w:p>
    <w:p w14:paraId="41E3E1D2" w14:textId="77777777" w:rsidR="00303C65" w:rsidRPr="00303C65" w:rsidRDefault="00054CD2" w:rsidP="00303C65">
      <w:pPr>
        <w:autoSpaceDE w:val="0"/>
        <w:autoSpaceDN w:val="0"/>
        <w:adjustRightInd w:val="0"/>
        <w:spacing w:before="240" w:line="240" w:lineRule="auto"/>
        <w:jc w:val="both"/>
        <w:rPr>
          <w:rFonts w:ascii="ITC Avant Garde" w:hAnsi="ITC Avant Garde"/>
          <w:bCs/>
          <w:lang w:val="es-ES_tradnl"/>
        </w:rPr>
      </w:pPr>
      <w:r w:rsidRPr="00303C65">
        <w:rPr>
          <w:rFonts w:ascii="ITC Avant Garde" w:hAnsi="ITC Avant Garde"/>
          <w:bCs/>
          <w:lang w:val="es-ES_tradnl"/>
        </w:rPr>
        <w:lastRenderedPageBreak/>
        <w:t xml:space="preserve">En caso de que no se reciba por parte de </w:t>
      </w:r>
      <w:r w:rsidR="003F40CC" w:rsidRPr="00303C65">
        <w:rPr>
          <w:rFonts w:ascii="ITC Avant Garde" w:hAnsi="ITC Avant Garde"/>
          <w:lang w:eastAsia="es-MX"/>
        </w:rPr>
        <w:t>Petróleos Mexicanos</w:t>
      </w:r>
      <w:r w:rsidRPr="00303C65">
        <w:rPr>
          <w:rFonts w:ascii="ITC Avant Garde" w:hAnsi="ITC Avant Garde"/>
          <w:bCs/>
          <w:color w:val="000000"/>
          <w:lang w:eastAsia="es-MX"/>
        </w:rPr>
        <w:t xml:space="preserve">, </w:t>
      </w:r>
      <w:r w:rsidR="0013092A" w:rsidRPr="00303C65">
        <w:rPr>
          <w:rFonts w:ascii="ITC Avant Garde" w:hAnsi="ITC Avant Garde"/>
          <w:bCs/>
        </w:rPr>
        <w:t>Empresa Productiva del Estado</w:t>
      </w:r>
      <w:r w:rsidRPr="00303C65">
        <w:rPr>
          <w:rFonts w:ascii="ITC Avant Garde" w:hAnsi="ITC Avant Garde"/>
          <w:bCs/>
        </w:rPr>
        <w:t>,</w:t>
      </w:r>
      <w:r w:rsidRPr="00303C65">
        <w:rPr>
          <w:rFonts w:ascii="ITC Avant Garde" w:hAnsi="ITC Avant Garde"/>
          <w:bCs/>
          <w:lang w:val="es-ES_tradnl"/>
        </w:rPr>
        <w:t xml:space="preserve"> la aceptación referida dentro del plazo establecido para tales efectos, la presente Resolución quedará sin efectos y en consecuencia, se tendrá por negada la prórroga de vigencia solicitada</w:t>
      </w:r>
      <w:r w:rsidR="005A7E65" w:rsidRPr="00303C65">
        <w:rPr>
          <w:rFonts w:ascii="ITC Avant Garde" w:hAnsi="ITC Avant Garde"/>
          <w:bCs/>
          <w:lang w:val="es-ES_tradnl"/>
        </w:rPr>
        <w:t xml:space="preserve">, </w:t>
      </w:r>
      <w:r w:rsidR="005A7E65" w:rsidRPr="00303C65">
        <w:rPr>
          <w:rFonts w:ascii="ITC Avant Garde" w:hAnsi="ITC Avant Garde"/>
          <w:bCs/>
          <w:color w:val="000000"/>
          <w:lang w:eastAsia="es-MX"/>
        </w:rPr>
        <w:t>así como las modificaciones a la misma</w:t>
      </w:r>
      <w:r w:rsidRPr="00303C65">
        <w:rPr>
          <w:rFonts w:ascii="ITC Avant Garde" w:hAnsi="ITC Avant Garde"/>
          <w:bCs/>
          <w:lang w:val="es-ES_tradnl"/>
        </w:rPr>
        <w:t>.</w:t>
      </w:r>
    </w:p>
    <w:p w14:paraId="07E580B9" w14:textId="77777777" w:rsidR="00303C65" w:rsidRPr="00303C65" w:rsidRDefault="00054CD2" w:rsidP="00303C65">
      <w:pPr>
        <w:autoSpaceDE w:val="0"/>
        <w:autoSpaceDN w:val="0"/>
        <w:adjustRightInd w:val="0"/>
        <w:spacing w:before="240" w:line="240" w:lineRule="auto"/>
        <w:jc w:val="both"/>
        <w:rPr>
          <w:rFonts w:ascii="ITC Avant Garde" w:hAnsi="ITC Avant Garde"/>
          <w:bCs/>
          <w:color w:val="000000"/>
          <w:lang w:eastAsia="es-MX"/>
        </w:rPr>
      </w:pPr>
      <w:r w:rsidRPr="00303C65">
        <w:rPr>
          <w:rFonts w:ascii="ITC Avant Garde" w:hAnsi="ITC Avant Garde"/>
          <w:bCs/>
          <w:color w:val="000000"/>
          <w:lang w:eastAsia="es-MX"/>
        </w:rPr>
        <w:t>En dicho caso, la</w:t>
      </w:r>
      <w:r w:rsidR="00174846" w:rsidRPr="00303C65">
        <w:rPr>
          <w:rFonts w:ascii="ITC Avant Garde" w:hAnsi="ITC Avant Garde"/>
          <w:bCs/>
          <w:color w:val="000000"/>
          <w:lang w:eastAsia="es-MX"/>
        </w:rPr>
        <w:t>s</w:t>
      </w:r>
      <w:r w:rsidRPr="00303C65">
        <w:rPr>
          <w:rFonts w:ascii="ITC Avant Garde" w:hAnsi="ITC Avant Garde"/>
          <w:bCs/>
          <w:color w:val="000000"/>
          <w:lang w:eastAsia="es-MX"/>
        </w:rPr>
        <w:t xml:space="preserve"> frecuencia</w:t>
      </w:r>
      <w:r w:rsidR="00174846" w:rsidRPr="00303C65">
        <w:rPr>
          <w:rFonts w:ascii="ITC Avant Garde" w:hAnsi="ITC Avant Garde"/>
          <w:bCs/>
          <w:color w:val="000000"/>
          <w:lang w:eastAsia="es-MX"/>
        </w:rPr>
        <w:t>s</w:t>
      </w:r>
      <w:r w:rsidRPr="00303C65">
        <w:rPr>
          <w:rFonts w:ascii="ITC Avant Garde" w:hAnsi="ITC Avant Garde"/>
          <w:bCs/>
          <w:color w:val="000000"/>
          <w:lang w:eastAsia="es-MX"/>
        </w:rPr>
        <w:t xml:space="preserve"> que le fue</w:t>
      </w:r>
      <w:r w:rsidR="00174846" w:rsidRPr="00303C65">
        <w:rPr>
          <w:rFonts w:ascii="ITC Avant Garde" w:hAnsi="ITC Avant Garde"/>
          <w:bCs/>
          <w:color w:val="000000"/>
          <w:lang w:eastAsia="es-MX"/>
        </w:rPr>
        <w:t>ron</w:t>
      </w:r>
      <w:r w:rsidRPr="00303C65">
        <w:rPr>
          <w:rFonts w:ascii="ITC Avant Garde" w:hAnsi="ITC Avant Garde"/>
          <w:bCs/>
          <w:color w:val="000000"/>
          <w:lang w:eastAsia="es-MX"/>
        </w:rPr>
        <w:t xml:space="preserve"> asignada</w:t>
      </w:r>
      <w:r w:rsidR="00174846" w:rsidRPr="00303C65">
        <w:rPr>
          <w:rFonts w:ascii="ITC Avant Garde" w:hAnsi="ITC Avant Garde"/>
          <w:bCs/>
          <w:color w:val="000000"/>
          <w:lang w:eastAsia="es-MX"/>
        </w:rPr>
        <w:t>s</w:t>
      </w:r>
      <w:r w:rsidRPr="00303C65">
        <w:rPr>
          <w:rFonts w:ascii="ITC Avant Garde" w:hAnsi="ITC Avant Garde"/>
          <w:bCs/>
          <w:color w:val="000000"/>
          <w:lang w:eastAsia="es-MX"/>
        </w:rPr>
        <w:t xml:space="preserve"> revertirá</w:t>
      </w:r>
      <w:r w:rsidR="00174846" w:rsidRPr="00303C65">
        <w:rPr>
          <w:rFonts w:ascii="ITC Avant Garde" w:hAnsi="ITC Avant Garde"/>
          <w:bCs/>
          <w:color w:val="000000"/>
          <w:lang w:eastAsia="es-MX"/>
        </w:rPr>
        <w:t>n</w:t>
      </w:r>
      <w:r w:rsidRPr="00303C65">
        <w:rPr>
          <w:rFonts w:ascii="ITC Avant Garde" w:hAnsi="ITC Avant Garde"/>
          <w:bCs/>
          <w:color w:val="000000"/>
          <w:lang w:eastAsia="es-MX"/>
        </w:rPr>
        <w:t xml:space="preserve"> a favor de la Nación, sin perjuicio de que el Instituto Federal de Telecomunicaciones pueda ejercer las atribuciones de verificación, supervisión y, en su caso, sanción que correspondan.</w:t>
      </w:r>
    </w:p>
    <w:p w14:paraId="1E86A51B" w14:textId="77777777" w:rsidR="00303C65" w:rsidRPr="00303C65" w:rsidRDefault="005E2324" w:rsidP="00303C65">
      <w:pPr>
        <w:spacing w:before="240" w:line="240" w:lineRule="auto"/>
        <w:jc w:val="both"/>
        <w:rPr>
          <w:rFonts w:ascii="ITC Avant Garde" w:hAnsi="ITC Avant Garde"/>
          <w:bCs/>
          <w:lang w:val="es-ES_tradnl"/>
        </w:rPr>
      </w:pPr>
      <w:r w:rsidRPr="00303C65" w:rsidDel="00EF3873">
        <w:rPr>
          <w:rFonts w:ascii="ITC Avant Garde" w:hAnsi="ITC Avant Garde"/>
          <w:b/>
          <w:bCs/>
        </w:rPr>
        <w:t xml:space="preserve">CUARTO.- </w:t>
      </w:r>
      <w:r w:rsidR="00054CD2" w:rsidRPr="00303C65">
        <w:rPr>
          <w:rFonts w:ascii="ITC Avant Garde" w:hAnsi="ITC Avant Garde"/>
          <w:bCs/>
          <w:lang w:val="es-ES_tradnl"/>
        </w:rPr>
        <w:t>Una vez satisfecho lo establecido en el Resolutivo anterior, el Comisionado Presidente del Instituto Federal de Telecomunicaciones, con base en las facultades que le confiere el artículo 14 fracción X del Estatuto Orgánico, suscribirá los títulos de concesión que se otorguen con motivo de la presente Resolución.</w:t>
      </w:r>
    </w:p>
    <w:p w14:paraId="6AAD488C" w14:textId="77777777" w:rsidR="00303C65" w:rsidRPr="00303C65" w:rsidRDefault="004D0875" w:rsidP="00303C65">
      <w:pPr>
        <w:spacing w:before="240" w:line="240" w:lineRule="auto"/>
        <w:jc w:val="both"/>
        <w:rPr>
          <w:rFonts w:ascii="ITC Avant Garde" w:hAnsi="ITC Avant Garde"/>
          <w:bCs/>
          <w:lang w:val="es-ES_tradnl"/>
        </w:rPr>
      </w:pPr>
      <w:r w:rsidRPr="00303C65">
        <w:rPr>
          <w:rFonts w:ascii="ITC Avant Garde" w:hAnsi="ITC Avant Garde"/>
          <w:b/>
          <w:bCs/>
          <w:lang w:val="es-ES_tradnl"/>
        </w:rPr>
        <w:t>QUINTO.-</w:t>
      </w:r>
      <w:r w:rsidRPr="00303C65">
        <w:rPr>
          <w:rFonts w:ascii="ITC Avant Garde" w:hAnsi="ITC Avant Garde"/>
          <w:bCs/>
          <w:lang w:val="es-ES_tradnl"/>
        </w:rPr>
        <w:t xml:space="preserve"> </w:t>
      </w:r>
      <w:r w:rsidR="00A30B58" w:rsidRPr="00303C65">
        <w:rPr>
          <w:rFonts w:ascii="ITC Avant Garde" w:hAnsi="ITC Avant Garde"/>
          <w:bCs/>
          <w:lang w:val="es-ES_tradnl"/>
        </w:rPr>
        <w:t xml:space="preserve">Se instruye a la Unidad de Concesiones y Servicios </w:t>
      </w:r>
      <w:r w:rsidR="00A96E7A" w:rsidRPr="00303C65">
        <w:rPr>
          <w:rFonts w:ascii="ITC Avant Garde" w:hAnsi="ITC Avant Garde"/>
          <w:bCs/>
          <w:lang w:val="es-ES_tradnl"/>
        </w:rPr>
        <w:t xml:space="preserve">a entregar </w:t>
      </w:r>
      <w:r w:rsidR="00A30B58" w:rsidRPr="00303C65">
        <w:rPr>
          <w:rFonts w:ascii="ITC Avant Garde" w:hAnsi="ITC Avant Garde"/>
          <w:bCs/>
          <w:lang w:val="es-ES_tradnl"/>
        </w:rPr>
        <w:t xml:space="preserve">a </w:t>
      </w:r>
      <w:r w:rsidR="0013092A" w:rsidRPr="00303C65">
        <w:rPr>
          <w:rFonts w:ascii="ITC Avant Garde" w:hAnsi="ITC Avant Garde"/>
          <w:bCs/>
          <w:lang w:val="es-ES_tradnl"/>
        </w:rPr>
        <w:t xml:space="preserve">Petróleos Mexicanos, </w:t>
      </w:r>
      <w:r w:rsidR="0013092A" w:rsidRPr="00303C65">
        <w:rPr>
          <w:rFonts w:ascii="ITC Avant Garde" w:hAnsi="ITC Avant Garde"/>
          <w:bCs/>
        </w:rPr>
        <w:t>Empresa Productiva del Estado</w:t>
      </w:r>
      <w:r w:rsidR="00A30B58" w:rsidRPr="00303C65">
        <w:rPr>
          <w:rFonts w:ascii="ITC Avant Garde" w:hAnsi="ITC Avant Garde"/>
          <w:bCs/>
          <w:lang w:val="es-ES_tradnl"/>
        </w:rPr>
        <w:t>, los títulos de concesión señalados en los Resolutivos Primero y Segundo anteriores, una vez que sean suscritos por el Comisionado Presidente.</w:t>
      </w:r>
    </w:p>
    <w:p w14:paraId="66699651" w14:textId="77777777" w:rsidR="00303C65" w:rsidRPr="00303C65" w:rsidRDefault="00A30B58" w:rsidP="00303C65">
      <w:pPr>
        <w:spacing w:before="240" w:line="240" w:lineRule="auto"/>
        <w:jc w:val="both"/>
        <w:rPr>
          <w:rFonts w:ascii="ITC Avant Garde" w:hAnsi="ITC Avant Garde"/>
          <w:bCs/>
          <w:lang w:val="es-ES_tradnl"/>
        </w:rPr>
      </w:pPr>
      <w:r w:rsidRPr="00303C65" w:rsidDel="00EF3873">
        <w:rPr>
          <w:rFonts w:ascii="ITC Avant Garde" w:hAnsi="ITC Avant Garde"/>
          <w:b/>
          <w:bCs/>
          <w:lang w:val="es-ES_tradnl"/>
        </w:rPr>
        <w:t>SEXTO.-</w:t>
      </w:r>
      <w:r w:rsidRPr="00303C65" w:rsidDel="00EF3873">
        <w:rPr>
          <w:rFonts w:ascii="ITC Avant Garde" w:hAnsi="ITC Avant Garde"/>
          <w:bCs/>
          <w:lang w:val="es-ES_tradnl"/>
        </w:rPr>
        <w:t xml:space="preserve"> </w:t>
      </w:r>
      <w:r w:rsidRPr="00303C65">
        <w:rPr>
          <w:rFonts w:ascii="ITC Avant Garde" w:hAnsi="ITC Avant Garde"/>
          <w:bCs/>
          <w:lang w:val="es-ES_tradnl"/>
        </w:rPr>
        <w:t>Inscríbanse en el Registro Público de Concesiones los títulos de concesión señalados en los Resolutivos Primero y Segundo, una vez que sean debidamente notificados al interesado.</w:t>
      </w:r>
    </w:p>
    <w:p w14:paraId="39ACCCAA" w14:textId="14C50BFD" w:rsidR="00303C65" w:rsidRPr="00303C65" w:rsidRDefault="004D0875" w:rsidP="00303C65">
      <w:pPr>
        <w:autoSpaceDE w:val="0"/>
        <w:autoSpaceDN w:val="0"/>
        <w:adjustRightInd w:val="0"/>
        <w:spacing w:before="240" w:line="240" w:lineRule="auto"/>
        <w:jc w:val="both"/>
        <w:rPr>
          <w:rFonts w:ascii="ITC Avant Garde" w:hAnsi="ITC Avant Garde"/>
          <w:bCs/>
          <w:color w:val="000000"/>
          <w:lang w:eastAsia="es-MX"/>
        </w:rPr>
      </w:pPr>
      <w:r w:rsidRPr="00303C65">
        <w:rPr>
          <w:rFonts w:ascii="ITC Avant Garde" w:hAnsi="ITC Avant Garde"/>
          <w:b/>
          <w:bCs/>
          <w:lang w:val="es-ES_tradnl"/>
        </w:rPr>
        <w:t>SÉPTIMO.-</w:t>
      </w:r>
      <w:r w:rsidRPr="00303C65">
        <w:rPr>
          <w:rFonts w:ascii="ITC Avant Garde" w:hAnsi="ITC Avant Garde"/>
          <w:bCs/>
          <w:lang w:val="es-ES_tradnl"/>
        </w:rPr>
        <w:t xml:space="preserve"> </w:t>
      </w:r>
      <w:r w:rsidR="0000048B" w:rsidRPr="00303C65">
        <w:rPr>
          <w:rFonts w:ascii="ITC Avant Garde" w:hAnsi="ITC Avant Garde"/>
          <w:bCs/>
          <w:lang w:val="es-ES_tradnl"/>
        </w:rPr>
        <w:t xml:space="preserve">Con la finalidad de </w:t>
      </w:r>
      <w:r w:rsidR="00E15E8A" w:rsidRPr="00303C65">
        <w:rPr>
          <w:rFonts w:ascii="ITC Avant Garde" w:hAnsi="ITC Avant Garde"/>
          <w:bCs/>
          <w:lang w:val="es-ES_tradnl"/>
        </w:rPr>
        <w:t>cumplir con los tiempos establecidos en el Acuerdo mediante el cual el Pleno del Instituto Federal de Telecomunicaciones aprueba el “Plan de la Banda 806-824/851-869 MHz y aprueba la propuesta de cambio de bandas de frecuencias a las personas físicas o morales, que sean titulares de derecho sobre el uso, aprovechamiento y explotación de la Banda de Frecuencias 806-824/851-869 MHz”</w:t>
      </w:r>
      <w:r w:rsidR="00030FB4" w:rsidRPr="00303C65">
        <w:rPr>
          <w:rFonts w:ascii="ITC Avant Garde" w:hAnsi="ITC Avant Garde"/>
          <w:bCs/>
          <w:lang w:val="es-ES_tradnl"/>
        </w:rPr>
        <w:t>,</w:t>
      </w:r>
      <w:r w:rsidR="0000048B" w:rsidRPr="00303C65">
        <w:rPr>
          <w:rFonts w:ascii="ITC Avant Garde" w:hAnsi="ITC Avant Garde"/>
          <w:bCs/>
          <w:lang w:val="es-ES_tradnl"/>
        </w:rPr>
        <w:t xml:space="preserve"> </w:t>
      </w:r>
      <w:r w:rsidR="00E15E8A" w:rsidRPr="00303C65">
        <w:rPr>
          <w:rFonts w:ascii="ITC Avant Garde" w:hAnsi="ITC Avant Garde"/>
          <w:lang w:eastAsia="es-MX"/>
        </w:rPr>
        <w:t>Petróleos Mexicanos</w:t>
      </w:r>
      <w:r w:rsidR="00E15E8A" w:rsidRPr="00303C65">
        <w:rPr>
          <w:rFonts w:ascii="ITC Avant Garde" w:hAnsi="ITC Avant Garde"/>
          <w:bCs/>
          <w:color w:val="000000"/>
          <w:lang w:eastAsia="es-MX"/>
        </w:rPr>
        <w:t xml:space="preserve">, </w:t>
      </w:r>
      <w:r w:rsidR="00E15E8A" w:rsidRPr="00303C65">
        <w:rPr>
          <w:rFonts w:ascii="ITC Avant Garde" w:hAnsi="ITC Avant Garde"/>
          <w:bCs/>
        </w:rPr>
        <w:t>Empresa Productiva del Estado</w:t>
      </w:r>
      <w:r w:rsidR="0000048B" w:rsidRPr="00303C65">
        <w:rPr>
          <w:rFonts w:ascii="ITC Avant Garde" w:hAnsi="ITC Avant Garde"/>
          <w:bCs/>
          <w:color w:val="000000"/>
          <w:lang w:eastAsia="es-MX"/>
        </w:rPr>
        <w:t xml:space="preserve"> </w:t>
      </w:r>
      <w:r w:rsidR="0000048B" w:rsidRPr="00303C65">
        <w:rPr>
          <w:rFonts w:ascii="ITC Avant Garde" w:hAnsi="ITC Avant Garde"/>
          <w:bCs/>
          <w:lang w:val="es-ES_tradnl"/>
        </w:rPr>
        <w:t>tendrá un plazo improrrogable de 180 (ciento ochenta) días naturales, contados a partir de</w:t>
      </w:r>
      <w:r w:rsidR="0019607A" w:rsidRPr="00303C65">
        <w:rPr>
          <w:rFonts w:ascii="ITC Avant Garde" w:hAnsi="ITC Avant Garde"/>
          <w:bCs/>
          <w:lang w:val="es-ES_tradnl"/>
        </w:rPr>
        <w:t xml:space="preserve"> la fecha en que se entregue el título</w:t>
      </w:r>
      <w:r w:rsidR="00030FB4" w:rsidRPr="00303C65">
        <w:rPr>
          <w:rFonts w:ascii="ITC Avant Garde" w:hAnsi="ITC Avant Garde"/>
          <w:bCs/>
          <w:lang w:val="es-ES_tradnl"/>
        </w:rPr>
        <w:t xml:space="preserve"> de concesión para usar y aprovechar bandas de frecuencias del espectro radioeléctrico para uso público</w:t>
      </w:r>
      <w:r w:rsidR="0000048B" w:rsidRPr="00303C65">
        <w:rPr>
          <w:rFonts w:ascii="ITC Avant Garde" w:hAnsi="ITC Avant Garde"/>
          <w:bCs/>
          <w:lang w:val="es-ES_tradnl"/>
        </w:rPr>
        <w:t xml:space="preserve">, a que se refiere el Resolutivo </w:t>
      </w:r>
      <w:r w:rsidR="0019607A" w:rsidRPr="00303C65">
        <w:rPr>
          <w:rFonts w:ascii="ITC Avant Garde" w:hAnsi="ITC Avant Garde"/>
          <w:bCs/>
          <w:lang w:val="es-ES_tradnl"/>
        </w:rPr>
        <w:t>Primero</w:t>
      </w:r>
      <w:r w:rsidR="0000048B" w:rsidRPr="00303C65">
        <w:rPr>
          <w:rFonts w:ascii="ITC Avant Garde" w:hAnsi="ITC Avant Garde"/>
          <w:bCs/>
          <w:lang w:val="es-ES_tradnl"/>
        </w:rPr>
        <w:t xml:space="preserve"> de la presente Resolución, para llevar a cabo el cambio de las bandas originalmente </w:t>
      </w:r>
      <w:r w:rsidR="00030FB4" w:rsidRPr="00303C65">
        <w:rPr>
          <w:rFonts w:ascii="ITC Avant Garde" w:hAnsi="ITC Avant Garde"/>
          <w:bCs/>
          <w:lang w:val="es-ES_tradnl"/>
        </w:rPr>
        <w:t>asignadas</w:t>
      </w:r>
      <w:r w:rsidR="0000048B" w:rsidRPr="00303C65">
        <w:rPr>
          <w:rFonts w:ascii="ITC Avant Garde" w:hAnsi="ITC Avant Garde"/>
          <w:bCs/>
          <w:lang w:val="es-ES_tradnl"/>
        </w:rPr>
        <w:t xml:space="preserve"> hacia el segmento </w:t>
      </w:r>
      <w:r w:rsidR="0000048B" w:rsidRPr="00303C65">
        <w:rPr>
          <w:rFonts w:ascii="ITC Avant Garde" w:hAnsi="ITC Avant Garde"/>
          <w:bCs/>
          <w:color w:val="000000"/>
          <w:lang w:eastAsia="es-MX"/>
        </w:rPr>
        <w:t>8</w:t>
      </w:r>
      <w:r w:rsidR="00030FB4" w:rsidRPr="00303C65">
        <w:rPr>
          <w:rFonts w:ascii="ITC Avant Garde" w:hAnsi="ITC Avant Garde"/>
          <w:bCs/>
          <w:color w:val="000000"/>
          <w:lang w:eastAsia="es-MX"/>
        </w:rPr>
        <w:t>12.25</w:t>
      </w:r>
      <w:r w:rsidR="0000048B" w:rsidRPr="00303C65">
        <w:rPr>
          <w:rFonts w:ascii="ITC Avant Garde" w:hAnsi="ITC Avant Garde"/>
          <w:bCs/>
          <w:color w:val="000000"/>
          <w:lang w:eastAsia="es-MX"/>
        </w:rPr>
        <w:t>-8</w:t>
      </w:r>
      <w:r w:rsidR="00030FB4" w:rsidRPr="00303C65">
        <w:rPr>
          <w:rFonts w:ascii="ITC Avant Garde" w:hAnsi="ITC Avant Garde"/>
          <w:bCs/>
          <w:color w:val="000000"/>
          <w:lang w:eastAsia="es-MX"/>
        </w:rPr>
        <w:t>14</w:t>
      </w:r>
      <w:r w:rsidR="0000048B" w:rsidRPr="00303C65">
        <w:rPr>
          <w:rFonts w:ascii="ITC Avant Garde" w:hAnsi="ITC Avant Garde"/>
          <w:bCs/>
          <w:color w:val="000000"/>
          <w:lang w:eastAsia="es-MX"/>
        </w:rPr>
        <w:t>/85</w:t>
      </w:r>
      <w:r w:rsidR="00030FB4" w:rsidRPr="00303C65">
        <w:rPr>
          <w:rFonts w:ascii="ITC Avant Garde" w:hAnsi="ITC Avant Garde"/>
          <w:bCs/>
          <w:color w:val="000000"/>
          <w:lang w:eastAsia="es-MX"/>
        </w:rPr>
        <w:t>7.25</w:t>
      </w:r>
      <w:r w:rsidR="0000048B" w:rsidRPr="00303C65">
        <w:rPr>
          <w:rFonts w:ascii="ITC Avant Garde" w:hAnsi="ITC Avant Garde"/>
          <w:bCs/>
          <w:color w:val="000000"/>
          <w:lang w:eastAsia="es-MX"/>
        </w:rPr>
        <w:t>-8</w:t>
      </w:r>
      <w:r w:rsidR="00030FB4" w:rsidRPr="00303C65">
        <w:rPr>
          <w:rFonts w:ascii="ITC Avant Garde" w:hAnsi="ITC Avant Garde"/>
          <w:bCs/>
          <w:color w:val="000000"/>
          <w:lang w:eastAsia="es-MX"/>
        </w:rPr>
        <w:t>5</w:t>
      </w:r>
      <w:r w:rsidR="0000048B" w:rsidRPr="00303C65">
        <w:rPr>
          <w:rFonts w:ascii="ITC Avant Garde" w:hAnsi="ITC Avant Garde"/>
          <w:bCs/>
          <w:color w:val="000000"/>
          <w:lang w:eastAsia="es-MX"/>
        </w:rPr>
        <w:t xml:space="preserve">9 MHz, en </w:t>
      </w:r>
      <w:r w:rsidR="00030FB4" w:rsidRPr="00303C65">
        <w:rPr>
          <w:rFonts w:ascii="ITC Avant Garde" w:hAnsi="ITC Avant Garde"/>
          <w:bCs/>
          <w:color w:val="000000"/>
          <w:lang w:eastAsia="es-MX"/>
        </w:rPr>
        <w:t>la</w:t>
      </w:r>
      <w:r w:rsidR="0000048B" w:rsidRPr="00303C65">
        <w:rPr>
          <w:rFonts w:ascii="ITC Avant Garde" w:hAnsi="ITC Avant Garde"/>
          <w:bCs/>
          <w:color w:val="000000"/>
          <w:lang w:eastAsia="es-MX"/>
        </w:rPr>
        <w:t>s Entidad</w:t>
      </w:r>
      <w:r w:rsidR="00030FB4" w:rsidRPr="00303C65">
        <w:rPr>
          <w:rFonts w:ascii="ITC Avant Garde" w:hAnsi="ITC Avant Garde"/>
          <w:bCs/>
          <w:color w:val="000000"/>
          <w:lang w:eastAsia="es-MX"/>
        </w:rPr>
        <w:t>es</w:t>
      </w:r>
      <w:r w:rsidR="0000048B" w:rsidRPr="00303C65">
        <w:rPr>
          <w:rFonts w:ascii="ITC Avant Garde" w:hAnsi="ITC Avant Garde"/>
          <w:bCs/>
          <w:color w:val="000000"/>
          <w:lang w:eastAsia="es-MX"/>
        </w:rPr>
        <w:t xml:space="preserve"> Federativa</w:t>
      </w:r>
      <w:r w:rsidR="00030FB4" w:rsidRPr="00303C65">
        <w:rPr>
          <w:rFonts w:ascii="ITC Avant Garde" w:hAnsi="ITC Avant Garde"/>
          <w:bCs/>
          <w:color w:val="000000"/>
          <w:lang w:eastAsia="es-MX"/>
        </w:rPr>
        <w:t>s</w:t>
      </w:r>
      <w:r w:rsidR="0000048B" w:rsidRPr="00303C65">
        <w:rPr>
          <w:rFonts w:ascii="ITC Avant Garde" w:hAnsi="ITC Avant Garde"/>
          <w:bCs/>
          <w:color w:val="000000"/>
          <w:lang w:eastAsia="es-MX"/>
        </w:rPr>
        <w:t xml:space="preserve"> de </w:t>
      </w:r>
      <w:r w:rsidR="00030FB4" w:rsidRPr="00303C65">
        <w:rPr>
          <w:rFonts w:ascii="ITC Avant Garde" w:hAnsi="ITC Avant Garde"/>
          <w:bCs/>
          <w:color w:val="000000"/>
          <w:lang w:eastAsia="es-MX"/>
        </w:rPr>
        <w:t xml:space="preserve">Baja California, Chihuahua, Coahuila, </w:t>
      </w:r>
      <w:r w:rsidR="0000048B" w:rsidRPr="00303C65">
        <w:rPr>
          <w:rFonts w:ascii="ITC Avant Garde" w:hAnsi="ITC Avant Garde"/>
          <w:bCs/>
          <w:color w:val="000000"/>
          <w:lang w:eastAsia="es-MX"/>
        </w:rPr>
        <w:t>Nuevo León,</w:t>
      </w:r>
      <w:r w:rsidR="00030FB4" w:rsidRPr="00303C65">
        <w:rPr>
          <w:rFonts w:ascii="ITC Avant Garde" w:hAnsi="ITC Avant Garde"/>
          <w:bCs/>
          <w:color w:val="000000"/>
          <w:lang w:eastAsia="es-MX"/>
        </w:rPr>
        <w:t xml:space="preserve"> Sonora y Tamaulipas</w:t>
      </w:r>
      <w:r w:rsidR="00B02DF5" w:rsidRPr="00303C65">
        <w:rPr>
          <w:rFonts w:ascii="ITC Avant Garde" w:hAnsi="ITC Avant Garde"/>
          <w:bCs/>
          <w:color w:val="000000"/>
          <w:lang w:eastAsia="es-MX"/>
        </w:rPr>
        <w:t>, en los términos establecidos en el Anexo Técnico de la citada concesión.</w:t>
      </w:r>
    </w:p>
    <w:p w14:paraId="6FCAEC75" w14:textId="77777777" w:rsidR="00303C65" w:rsidRPr="00303C65" w:rsidRDefault="0000048B" w:rsidP="00303C65">
      <w:pPr>
        <w:autoSpaceDE w:val="0"/>
        <w:autoSpaceDN w:val="0"/>
        <w:adjustRightInd w:val="0"/>
        <w:spacing w:before="240" w:line="240" w:lineRule="auto"/>
        <w:jc w:val="both"/>
        <w:rPr>
          <w:rFonts w:ascii="ITC Avant Garde" w:hAnsi="ITC Avant Garde"/>
          <w:bCs/>
          <w:lang w:val="es-ES_tradnl"/>
        </w:rPr>
      </w:pPr>
      <w:r w:rsidRPr="00303C65">
        <w:rPr>
          <w:rFonts w:ascii="ITC Avant Garde" w:hAnsi="ITC Avant Garde"/>
          <w:bCs/>
          <w:lang w:val="es-ES_tradnl"/>
        </w:rPr>
        <w:t xml:space="preserve">Asimismo, </w:t>
      </w:r>
      <w:r w:rsidR="00030FB4" w:rsidRPr="00303C65">
        <w:rPr>
          <w:rFonts w:ascii="ITC Avant Garde" w:hAnsi="ITC Avant Garde"/>
          <w:bCs/>
          <w:color w:val="000000"/>
          <w:lang w:eastAsia="es-MX"/>
        </w:rPr>
        <w:t>Petróleos Mexicanos, Empresa Productiva del Estado</w:t>
      </w:r>
      <w:r w:rsidR="00B02DF5" w:rsidRPr="00303C65">
        <w:rPr>
          <w:rFonts w:ascii="ITC Avant Garde" w:hAnsi="ITC Avant Garde"/>
          <w:bCs/>
          <w:color w:val="000000"/>
          <w:lang w:eastAsia="es-MX"/>
        </w:rPr>
        <w:t>,</w:t>
      </w:r>
      <w:r w:rsidR="00030FB4" w:rsidRPr="00303C65">
        <w:rPr>
          <w:rFonts w:ascii="ITC Avant Garde" w:hAnsi="ITC Avant Garde"/>
          <w:bCs/>
          <w:color w:val="000000"/>
          <w:lang w:eastAsia="es-MX"/>
        </w:rPr>
        <w:t xml:space="preserve"> </w:t>
      </w:r>
      <w:r w:rsidRPr="00303C65">
        <w:rPr>
          <w:rFonts w:ascii="ITC Avant Garde" w:hAnsi="ITC Avant Garde"/>
          <w:bCs/>
          <w:lang w:val="es-ES_tradnl"/>
        </w:rPr>
        <w:t xml:space="preserve">tendrá un plazo improrrogable de 270 (doscientos setenta) días naturales, contados a partir </w:t>
      </w:r>
      <w:r w:rsidR="00B02DF5" w:rsidRPr="00303C65">
        <w:rPr>
          <w:rFonts w:ascii="ITC Avant Garde" w:hAnsi="ITC Avant Garde"/>
          <w:bCs/>
          <w:lang w:val="es-ES_tradnl"/>
        </w:rPr>
        <w:t xml:space="preserve">de la fecha en que se entregue el </w:t>
      </w:r>
      <w:r w:rsidR="00030FB4" w:rsidRPr="00303C65">
        <w:rPr>
          <w:rFonts w:ascii="ITC Avant Garde" w:hAnsi="ITC Avant Garde"/>
          <w:bCs/>
          <w:lang w:val="es-ES_tradnl"/>
        </w:rPr>
        <w:t>título de concesión para usar y aprovechar bandas de frecuencias del espectro radioeléctrico para uso público</w:t>
      </w:r>
      <w:r w:rsidRPr="00303C65">
        <w:rPr>
          <w:rFonts w:ascii="ITC Avant Garde" w:hAnsi="ITC Avant Garde"/>
          <w:bCs/>
          <w:lang w:val="es-ES_tradnl"/>
        </w:rPr>
        <w:t xml:space="preserve">, a que se refiere el Resolutivo </w:t>
      </w:r>
      <w:r w:rsidR="00B02DF5" w:rsidRPr="00303C65">
        <w:rPr>
          <w:rFonts w:ascii="ITC Avant Garde" w:hAnsi="ITC Avant Garde"/>
          <w:bCs/>
          <w:lang w:val="es-ES_tradnl"/>
        </w:rPr>
        <w:t>Primero</w:t>
      </w:r>
      <w:r w:rsidRPr="00303C65">
        <w:rPr>
          <w:rFonts w:ascii="ITC Avant Garde" w:hAnsi="ITC Avant Garde"/>
          <w:bCs/>
          <w:lang w:val="es-ES_tradnl"/>
        </w:rPr>
        <w:t xml:space="preserve"> de la presente Resolución, para llevar a cabo el cambio de las bandas originalmente </w:t>
      </w:r>
      <w:r w:rsidR="00030FB4" w:rsidRPr="00303C65">
        <w:rPr>
          <w:rFonts w:ascii="ITC Avant Garde" w:hAnsi="ITC Avant Garde"/>
          <w:bCs/>
          <w:lang w:val="es-ES_tradnl"/>
        </w:rPr>
        <w:t>asignadas</w:t>
      </w:r>
      <w:r w:rsidRPr="00303C65">
        <w:rPr>
          <w:rFonts w:ascii="ITC Avant Garde" w:hAnsi="ITC Avant Garde"/>
          <w:bCs/>
          <w:lang w:val="es-ES_tradnl"/>
        </w:rPr>
        <w:t xml:space="preserve"> hacia el segmento </w:t>
      </w:r>
      <w:r w:rsidRPr="00303C65">
        <w:rPr>
          <w:rFonts w:ascii="ITC Avant Garde" w:hAnsi="ITC Avant Garde"/>
          <w:bCs/>
          <w:color w:val="000000"/>
          <w:lang w:eastAsia="es-MX"/>
        </w:rPr>
        <w:t>8</w:t>
      </w:r>
      <w:r w:rsidR="00030FB4" w:rsidRPr="00303C65">
        <w:rPr>
          <w:rFonts w:ascii="ITC Avant Garde" w:hAnsi="ITC Avant Garde"/>
          <w:bCs/>
          <w:color w:val="000000"/>
          <w:lang w:eastAsia="es-MX"/>
        </w:rPr>
        <w:t>06</w:t>
      </w:r>
      <w:r w:rsidRPr="00303C65">
        <w:rPr>
          <w:rFonts w:ascii="ITC Avant Garde" w:hAnsi="ITC Avant Garde"/>
          <w:bCs/>
          <w:color w:val="000000"/>
          <w:lang w:eastAsia="es-MX"/>
        </w:rPr>
        <w:t>-8</w:t>
      </w:r>
      <w:r w:rsidR="00030FB4" w:rsidRPr="00303C65">
        <w:rPr>
          <w:rFonts w:ascii="ITC Avant Garde" w:hAnsi="ITC Avant Garde"/>
          <w:bCs/>
          <w:color w:val="000000"/>
          <w:lang w:eastAsia="es-MX"/>
        </w:rPr>
        <w:t>1</w:t>
      </w:r>
      <w:r w:rsidRPr="00303C65">
        <w:rPr>
          <w:rFonts w:ascii="ITC Avant Garde" w:hAnsi="ITC Avant Garde"/>
          <w:bCs/>
          <w:color w:val="000000"/>
          <w:lang w:eastAsia="es-MX"/>
        </w:rPr>
        <w:t>4/85</w:t>
      </w:r>
      <w:r w:rsidR="00030FB4" w:rsidRPr="00303C65">
        <w:rPr>
          <w:rFonts w:ascii="ITC Avant Garde" w:hAnsi="ITC Avant Garde"/>
          <w:bCs/>
          <w:color w:val="000000"/>
          <w:lang w:eastAsia="es-MX"/>
        </w:rPr>
        <w:t>1</w:t>
      </w:r>
      <w:r w:rsidRPr="00303C65">
        <w:rPr>
          <w:rFonts w:ascii="ITC Avant Garde" w:hAnsi="ITC Avant Garde"/>
          <w:bCs/>
          <w:color w:val="000000"/>
          <w:lang w:eastAsia="es-MX"/>
        </w:rPr>
        <w:t>-8</w:t>
      </w:r>
      <w:r w:rsidR="00030FB4" w:rsidRPr="00303C65">
        <w:rPr>
          <w:rFonts w:ascii="ITC Avant Garde" w:hAnsi="ITC Avant Garde"/>
          <w:bCs/>
          <w:color w:val="000000"/>
          <w:lang w:eastAsia="es-MX"/>
        </w:rPr>
        <w:t>5</w:t>
      </w:r>
      <w:r w:rsidRPr="00303C65">
        <w:rPr>
          <w:rFonts w:ascii="ITC Avant Garde" w:hAnsi="ITC Avant Garde"/>
          <w:bCs/>
          <w:color w:val="000000"/>
          <w:lang w:eastAsia="es-MX"/>
        </w:rPr>
        <w:t>9 MHz</w:t>
      </w:r>
      <w:r w:rsidRPr="00303C65">
        <w:rPr>
          <w:rFonts w:ascii="ITC Avant Garde" w:hAnsi="ITC Avant Garde"/>
          <w:bCs/>
          <w:lang w:val="es-ES_tradnl"/>
        </w:rPr>
        <w:t>, en el resto de las Entidades Federativas,</w:t>
      </w:r>
      <w:r w:rsidR="00030FB4" w:rsidRPr="00303C65">
        <w:rPr>
          <w:rFonts w:ascii="ITC Avant Garde" w:hAnsi="ITC Avant Garde"/>
          <w:bCs/>
          <w:lang w:val="es-ES_tradnl"/>
        </w:rPr>
        <w:t xml:space="preserve"> </w:t>
      </w:r>
      <w:r w:rsidR="00B02DF5" w:rsidRPr="00303C65">
        <w:rPr>
          <w:rFonts w:ascii="ITC Avant Garde" w:hAnsi="ITC Avant Garde"/>
          <w:bCs/>
          <w:lang w:val="es-ES_tradnl"/>
        </w:rPr>
        <w:t xml:space="preserve">en los términos establecidos en el </w:t>
      </w:r>
      <w:r w:rsidRPr="00303C65">
        <w:rPr>
          <w:rFonts w:ascii="ITC Avant Garde" w:hAnsi="ITC Avant Garde"/>
          <w:bCs/>
          <w:lang w:val="es-ES_tradnl"/>
        </w:rPr>
        <w:t xml:space="preserve">Anexo </w:t>
      </w:r>
      <w:r w:rsidR="00030FB4" w:rsidRPr="00303C65">
        <w:rPr>
          <w:rFonts w:ascii="ITC Avant Garde" w:hAnsi="ITC Avant Garde"/>
          <w:bCs/>
          <w:color w:val="000000"/>
          <w:lang w:eastAsia="es-MX"/>
        </w:rPr>
        <w:t>Anexo Técnico</w:t>
      </w:r>
      <w:r w:rsidR="00B02DF5" w:rsidRPr="00303C65">
        <w:rPr>
          <w:rFonts w:ascii="ITC Avant Garde" w:hAnsi="ITC Avant Garde"/>
          <w:bCs/>
          <w:color w:val="000000"/>
          <w:lang w:eastAsia="es-MX"/>
        </w:rPr>
        <w:t xml:space="preserve"> de la citada concesión</w:t>
      </w:r>
      <w:r w:rsidRPr="00303C65">
        <w:rPr>
          <w:rFonts w:ascii="ITC Avant Garde" w:hAnsi="ITC Avant Garde"/>
          <w:bCs/>
          <w:lang w:val="es-ES_tradnl"/>
        </w:rPr>
        <w:t>.</w:t>
      </w:r>
    </w:p>
    <w:p w14:paraId="5690B948" w14:textId="77777777" w:rsidR="00303C65" w:rsidRPr="00303C65" w:rsidRDefault="00030FB4" w:rsidP="00303C65">
      <w:pPr>
        <w:autoSpaceDE w:val="0"/>
        <w:autoSpaceDN w:val="0"/>
        <w:adjustRightInd w:val="0"/>
        <w:spacing w:before="240" w:line="240" w:lineRule="auto"/>
        <w:jc w:val="both"/>
        <w:rPr>
          <w:rFonts w:ascii="ITC Avant Garde" w:hAnsi="ITC Avant Garde"/>
          <w:bCs/>
          <w:lang w:val="es-ES_tradnl"/>
        </w:rPr>
      </w:pPr>
      <w:r w:rsidRPr="00303C65" w:rsidDel="00EF3873">
        <w:rPr>
          <w:rFonts w:ascii="ITC Avant Garde" w:hAnsi="ITC Avant Garde"/>
          <w:b/>
          <w:bCs/>
          <w:lang w:val="es-ES_tradnl"/>
        </w:rPr>
        <w:lastRenderedPageBreak/>
        <w:t>OCTAVO.-</w:t>
      </w:r>
      <w:r w:rsidRPr="00303C65" w:rsidDel="00EF3873">
        <w:rPr>
          <w:rFonts w:ascii="ITC Avant Garde" w:hAnsi="ITC Avant Garde"/>
          <w:bCs/>
          <w:lang w:val="es-ES_tradnl"/>
        </w:rPr>
        <w:t xml:space="preserve"> </w:t>
      </w:r>
      <w:r w:rsidRPr="00303C65">
        <w:rPr>
          <w:rFonts w:ascii="ITC Avant Garde" w:hAnsi="ITC Avant Garde"/>
          <w:bCs/>
          <w:lang w:val="es-ES_tradnl"/>
        </w:rPr>
        <w:t xml:space="preserve">Una vez concluido el cambio de bandas señalado en el Resolutivo </w:t>
      </w:r>
      <w:r w:rsidR="00B1478C" w:rsidRPr="00303C65">
        <w:rPr>
          <w:rFonts w:ascii="ITC Avant Garde" w:hAnsi="ITC Avant Garde"/>
          <w:bCs/>
          <w:lang w:val="es-ES_tradnl"/>
        </w:rPr>
        <w:t xml:space="preserve">anterior, </w:t>
      </w:r>
      <w:r w:rsidR="00B1478C" w:rsidRPr="00303C65">
        <w:rPr>
          <w:rFonts w:ascii="ITC Avant Garde" w:hAnsi="ITC Avant Garde"/>
          <w:bCs/>
          <w:color w:val="000000"/>
          <w:lang w:eastAsia="es-MX"/>
        </w:rPr>
        <w:t>Petróleos Mexicanos, Empresa Productiva del Estado</w:t>
      </w:r>
      <w:r w:rsidR="00B1478C" w:rsidRPr="00303C65">
        <w:rPr>
          <w:rFonts w:ascii="ITC Avant Garde" w:hAnsi="ITC Avant Garde"/>
          <w:bCs/>
          <w:lang w:val="es-ES_tradnl"/>
        </w:rPr>
        <w:t xml:space="preserve"> </w:t>
      </w:r>
      <w:r w:rsidRPr="00303C65">
        <w:rPr>
          <w:rFonts w:ascii="ITC Avant Garde" w:hAnsi="ITC Avant Garde"/>
          <w:bCs/>
          <w:lang w:val="es-ES_tradnl"/>
        </w:rPr>
        <w:t xml:space="preserve">deberá notificar tal situación al Instituto Federal de Telecomunicaciones, dentro del plazo de 3 (tres) días hábiles contados a partir de la conclusión del citado cambio. </w:t>
      </w:r>
    </w:p>
    <w:p w14:paraId="40803E37" w14:textId="77777777" w:rsidR="00303C65" w:rsidRPr="00303C65" w:rsidRDefault="00030FB4" w:rsidP="00303C65">
      <w:pPr>
        <w:spacing w:before="240" w:line="240" w:lineRule="auto"/>
        <w:jc w:val="both"/>
        <w:rPr>
          <w:rFonts w:ascii="ITC Avant Garde" w:hAnsi="ITC Avant Garde"/>
          <w:bCs/>
          <w:lang w:val="es-ES_tradnl"/>
        </w:rPr>
      </w:pPr>
      <w:r w:rsidRPr="00303C65">
        <w:rPr>
          <w:rFonts w:ascii="ITC Avant Garde" w:hAnsi="ITC Avant Garde"/>
          <w:bCs/>
          <w:color w:val="000000"/>
          <w:lang w:eastAsia="es-MX"/>
        </w:rPr>
        <w:t xml:space="preserve">Una vez </w:t>
      </w:r>
      <w:r w:rsidR="00EF3873" w:rsidRPr="00303C65">
        <w:rPr>
          <w:rFonts w:ascii="ITC Avant Garde" w:hAnsi="ITC Avant Garde"/>
          <w:bCs/>
          <w:color w:val="000000"/>
          <w:lang w:eastAsia="es-MX"/>
        </w:rPr>
        <w:t>transcurrido el plazo señalado en el párrafo anterior,</w:t>
      </w:r>
      <w:r w:rsidRPr="00303C65">
        <w:rPr>
          <w:rFonts w:ascii="ITC Avant Garde" w:hAnsi="ITC Avant Garde"/>
          <w:bCs/>
          <w:color w:val="000000"/>
          <w:lang w:eastAsia="es-MX"/>
        </w:rPr>
        <w:t xml:space="preserve"> las bandas de frecuencias que le fueron originalmente asignadas, revertirán a favor de la Nación, sin perjuicio de que el Instituto Federal de Telecomunicaciones pueda ejercer las atribuciones de verificación, supervisión y, en su caso, sanción que correspondan.</w:t>
      </w:r>
    </w:p>
    <w:p w14:paraId="2C28162C" w14:textId="77777777" w:rsidR="00303C65" w:rsidRPr="00303C65" w:rsidRDefault="006955B9" w:rsidP="00303C65">
      <w:pPr>
        <w:pStyle w:val="Prrafodelista"/>
        <w:spacing w:before="240" w:after="200"/>
        <w:ind w:left="0"/>
        <w:jc w:val="both"/>
        <w:rPr>
          <w:rFonts w:ascii="ITC Avant Garde" w:hAnsi="ITC Avant Garde"/>
          <w:sz w:val="14"/>
          <w:szCs w:val="14"/>
        </w:rPr>
      </w:pPr>
      <w:r w:rsidRPr="00303C65">
        <w:rPr>
          <w:rFonts w:ascii="ITC Avant Garde" w:hAnsi="ITC Avant Garde"/>
          <w:sz w:val="14"/>
          <w:szCs w:val="14"/>
        </w:rPr>
        <w:t xml:space="preserve">La presente Resolución fue aprobada por el Pleno del Instituto Federal de Telecomunicaciones en su XX Sesión Ordinaria celebrada el 31 de mayo de 2017, </w:t>
      </w:r>
      <w:r w:rsidRPr="00303C65">
        <w:rPr>
          <w:rFonts w:ascii="ITC Avant Garde" w:hAnsi="ITC Avant Garde"/>
          <w:bCs/>
          <w:sz w:val="14"/>
          <w:szCs w:val="14"/>
        </w:rPr>
        <w:t>por unanimidad</w:t>
      </w:r>
      <w:r w:rsidRPr="00303C65">
        <w:rPr>
          <w:rFonts w:ascii="ITC Avant Garde" w:hAnsi="ITC Avant Garde"/>
          <w:sz w:val="14"/>
          <w:szCs w:val="14"/>
        </w:rPr>
        <w:t xml:space="preserve"> de votos de los Comisionados Gabriel Oswaldo Contreras Saldívar, Adriana Sofía </w:t>
      </w:r>
      <w:proofErr w:type="spellStart"/>
      <w:r w:rsidRPr="00303C65">
        <w:rPr>
          <w:rFonts w:ascii="ITC Avant Garde" w:hAnsi="ITC Avant Garde"/>
          <w:sz w:val="14"/>
          <w:szCs w:val="14"/>
        </w:rPr>
        <w:t>Labardini</w:t>
      </w:r>
      <w:proofErr w:type="spellEnd"/>
      <w:r w:rsidRPr="00303C65">
        <w:rPr>
          <w:rFonts w:ascii="ITC Avant Garde" w:hAnsi="ITC Avant Garde"/>
          <w:sz w:val="14"/>
          <w:szCs w:val="14"/>
        </w:rPr>
        <w:t xml:space="preserve"> </w:t>
      </w:r>
      <w:proofErr w:type="spellStart"/>
      <w:r w:rsidRPr="00303C65">
        <w:rPr>
          <w:rFonts w:ascii="ITC Avant Garde" w:hAnsi="ITC Avant Garde"/>
          <w:sz w:val="14"/>
          <w:szCs w:val="14"/>
        </w:rPr>
        <w:t>Inzunza</w:t>
      </w:r>
      <w:proofErr w:type="spellEnd"/>
      <w:r w:rsidRPr="00303C65">
        <w:rPr>
          <w:rFonts w:ascii="ITC Avant Garde" w:hAnsi="ITC Avant Garde"/>
          <w:sz w:val="14"/>
          <w:szCs w:val="14"/>
        </w:rPr>
        <w:t xml:space="preserve">, María Elena </w:t>
      </w:r>
      <w:proofErr w:type="spellStart"/>
      <w:r w:rsidRPr="00303C65">
        <w:rPr>
          <w:rFonts w:ascii="ITC Avant Garde" w:hAnsi="ITC Avant Garde"/>
          <w:sz w:val="14"/>
          <w:szCs w:val="14"/>
        </w:rPr>
        <w:t>Estavillo</w:t>
      </w:r>
      <w:proofErr w:type="spellEnd"/>
      <w:r w:rsidRPr="00303C65">
        <w:rPr>
          <w:rFonts w:ascii="ITC Avant Garde" w:hAnsi="ITC Avant Garde"/>
          <w:sz w:val="14"/>
          <w:szCs w:val="14"/>
        </w:rPr>
        <w:t xml:space="preserve"> Flores, Mario Germán </w:t>
      </w:r>
      <w:proofErr w:type="spellStart"/>
      <w:r w:rsidRPr="00303C65">
        <w:rPr>
          <w:rFonts w:ascii="ITC Avant Garde" w:hAnsi="ITC Avant Garde"/>
          <w:sz w:val="14"/>
          <w:szCs w:val="14"/>
        </w:rPr>
        <w:t>Fromow</w:t>
      </w:r>
      <w:proofErr w:type="spellEnd"/>
      <w:r w:rsidRPr="00303C65">
        <w:rPr>
          <w:rFonts w:ascii="ITC Avant Garde" w:hAnsi="ITC Avant Garde"/>
          <w:sz w:val="14"/>
          <w:szCs w:val="14"/>
        </w:rPr>
        <w:t xml:space="preserve"> Rangel, Adolfo Cuevas Teja, Javier Juárez Mojica y Arturo Robles </w:t>
      </w:r>
      <w:proofErr w:type="spellStart"/>
      <w:r w:rsidRPr="00303C65">
        <w:rPr>
          <w:rFonts w:ascii="ITC Avant Garde" w:hAnsi="ITC Avant Garde"/>
          <w:sz w:val="14"/>
          <w:szCs w:val="14"/>
        </w:rPr>
        <w:t>Rovalo</w:t>
      </w:r>
      <w:proofErr w:type="spellEnd"/>
      <w:r w:rsidRPr="00303C65">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P/IFT/310517/285.</w:t>
      </w:r>
    </w:p>
    <w:p w14:paraId="0A0441F4" w14:textId="3A355C70" w:rsidR="00E102A9" w:rsidRPr="00303C65" w:rsidRDefault="006955B9" w:rsidP="00303C65">
      <w:pPr>
        <w:pStyle w:val="Prrafodelista"/>
        <w:spacing w:before="240" w:after="200"/>
        <w:ind w:left="0"/>
        <w:jc w:val="both"/>
        <w:rPr>
          <w:rFonts w:ascii="ITC Avant Garde" w:hAnsi="ITC Avant Garde"/>
          <w:bCs/>
          <w:color w:val="000000"/>
          <w:sz w:val="14"/>
          <w:szCs w:val="14"/>
          <w:lang w:eastAsia="es-MX"/>
        </w:rPr>
      </w:pPr>
      <w:r w:rsidRPr="00303C65">
        <w:rPr>
          <w:rFonts w:ascii="ITC Avant Garde" w:hAnsi="ITC Avant Garde"/>
          <w:sz w:val="14"/>
          <w:szCs w:val="14"/>
        </w:rPr>
        <w:t>El Comisionado Presidente Gabriel Oswaldo Contreras Saldívar y el Comisionado Javier Juárez Mojica,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E102A9" w:rsidRPr="00303C65" w:rsidSect="001905A8">
      <w:headerReference w:type="even" r:id="rId8"/>
      <w:footerReference w:type="default" r:id="rId9"/>
      <w:headerReference w:type="first" r:id="rId10"/>
      <w:footnotePr>
        <w:numStart w:val="2"/>
      </w:footnotePr>
      <w:type w:val="continuous"/>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5C436" w14:textId="77777777" w:rsidR="003A15F2" w:rsidRDefault="003A15F2" w:rsidP="00072BC8">
      <w:pPr>
        <w:spacing w:after="0" w:line="240" w:lineRule="auto"/>
      </w:pPr>
      <w:r>
        <w:separator/>
      </w:r>
    </w:p>
  </w:endnote>
  <w:endnote w:type="continuationSeparator" w:id="0">
    <w:p w14:paraId="58D0FCE4" w14:textId="77777777" w:rsidR="003A15F2" w:rsidRDefault="003A15F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49102"/>
      <w:docPartObj>
        <w:docPartGallery w:val="Page Numbers (Bottom of Page)"/>
        <w:docPartUnique/>
      </w:docPartObj>
    </w:sdtPr>
    <w:sdtEndPr/>
    <w:sdtContent>
      <w:p w14:paraId="193EF7EB" w14:textId="2FCBCB20" w:rsidR="001905A8" w:rsidRDefault="001905A8">
        <w:pPr>
          <w:pStyle w:val="Piedepgina"/>
          <w:jc w:val="right"/>
        </w:pPr>
        <w:r>
          <w:fldChar w:fldCharType="begin"/>
        </w:r>
        <w:r>
          <w:instrText>PAGE   \* MERGEFORMAT</w:instrText>
        </w:r>
        <w:r>
          <w:fldChar w:fldCharType="separate"/>
        </w:r>
        <w:r w:rsidR="00303C65" w:rsidRPr="00303C65">
          <w:rPr>
            <w:noProof/>
            <w:lang w:val="es-ES"/>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740B0" w14:textId="77777777" w:rsidR="003A15F2" w:rsidRDefault="003A15F2" w:rsidP="00072BC8">
      <w:pPr>
        <w:spacing w:after="0" w:line="240" w:lineRule="auto"/>
      </w:pPr>
      <w:r>
        <w:separator/>
      </w:r>
    </w:p>
  </w:footnote>
  <w:footnote w:type="continuationSeparator" w:id="0">
    <w:p w14:paraId="68A261F5" w14:textId="77777777" w:rsidR="003A15F2" w:rsidRDefault="003A15F2" w:rsidP="00072BC8">
      <w:pPr>
        <w:spacing w:after="0" w:line="240" w:lineRule="auto"/>
      </w:pPr>
      <w:r>
        <w:continuationSeparator/>
      </w:r>
    </w:p>
  </w:footnote>
  <w:footnote w:id="1">
    <w:p w14:paraId="3F4878BF" w14:textId="77777777" w:rsidR="00A27F5A" w:rsidRDefault="00A27F5A" w:rsidP="00424BD5">
      <w:pPr>
        <w:pStyle w:val="Textonotapie"/>
        <w:ind w:right="615"/>
      </w:pPr>
      <w:r>
        <w:rPr>
          <w:rStyle w:val="Refdenotaalpie"/>
        </w:rPr>
        <w:footnoteRef/>
      </w:r>
      <w:r>
        <w:t xml:space="preserve"> </w:t>
      </w:r>
      <w:r>
        <w:rPr>
          <w:rFonts w:ascii="ITC Avant Garde" w:hAnsi="ITC Avant Garde"/>
          <w:i/>
          <w:sz w:val="14"/>
        </w:rPr>
        <w:t xml:space="preserve">Aprobado el 1 </w:t>
      </w:r>
      <w:r w:rsidRPr="00424BD5">
        <w:rPr>
          <w:rFonts w:ascii="ITC Avant Garde" w:hAnsi="ITC Avant Garde"/>
          <w:i/>
          <w:sz w:val="14"/>
        </w:rPr>
        <w:t>de septiembre del 2016 por el Pleno del Instituto Federal de Telecomunicaciones, y publicado el 13 de septiembre del mismo año en el Diario Oficial de la Federación.</w:t>
      </w:r>
      <w:r w:rsidRPr="00424BD5">
        <w:rPr>
          <w:sz w:val="18"/>
        </w:rPr>
        <w:t xml:space="preserve"> </w:t>
      </w:r>
    </w:p>
  </w:footnote>
  <w:footnote w:id="2">
    <w:p w14:paraId="5A4D1C77" w14:textId="77777777" w:rsidR="00A27F5A" w:rsidRPr="00605D9B" w:rsidRDefault="00A27F5A" w:rsidP="00F028AB">
      <w:pPr>
        <w:pStyle w:val="Textonotapie"/>
        <w:ind w:right="615"/>
        <w:jc w:val="both"/>
        <w:rPr>
          <w:rFonts w:ascii="ITC Avant Garde" w:hAnsi="ITC Avant Garde"/>
          <w:i/>
          <w:sz w:val="18"/>
        </w:rPr>
      </w:pPr>
      <w:r w:rsidRPr="00605D9B">
        <w:rPr>
          <w:rStyle w:val="Refdenotaalpie"/>
          <w:rFonts w:ascii="ITC Avant Garde" w:hAnsi="ITC Avant Garde"/>
        </w:rPr>
        <w:footnoteRef/>
      </w:r>
      <w:r w:rsidRPr="00605D9B">
        <w:rPr>
          <w:rFonts w:ascii="ITC Avant Garde" w:hAnsi="ITC Avant Garde"/>
        </w:rPr>
        <w:t xml:space="preserve"> </w:t>
      </w:r>
      <w:r w:rsidRPr="00605D9B">
        <w:rPr>
          <w:rFonts w:ascii="ITC Avant Garde" w:hAnsi="ITC Avant Garde"/>
          <w:i/>
          <w:sz w:val="14"/>
        </w:rPr>
        <w:t>Protocolo entre la Secretaría de Comunicaciones y Transportes de los Estados Unidos Mexicanos y el Departamento de Estado de los Estados Unidos de América relativo a la adjudicación, asignación y uso de radiofrecuencias en las bandas de 806-824/851-869 MHz y 896-901/935-940 MHz para servicios terrenales de radiocomunicación excepto difusión, a lo largo de la frontera común. Firmado en Williamsburg, Virginia, el 16 de junio de 1994 y enmendado en Washington, D.C., el 8 de junio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B5B27" w14:textId="77777777" w:rsidR="00A27F5A" w:rsidRDefault="003A15F2">
    <w:pPr>
      <w:pStyle w:val="Encabezado"/>
    </w:pPr>
    <w:r>
      <w:rPr>
        <w:noProof/>
        <w:lang w:eastAsia="es-MX"/>
      </w:rPr>
      <w:pict w14:anchorId="1C6CB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EAFF" w14:textId="77777777" w:rsidR="00A27F5A" w:rsidRPr="000F5E4B" w:rsidRDefault="003A15F2">
    <w:pPr>
      <w:pStyle w:val="Encabezado"/>
      <w:rPr>
        <w:b/>
      </w:rPr>
    </w:pPr>
    <w:r>
      <w:rPr>
        <w:b/>
        <w:noProof/>
        <w:lang w:eastAsia="es-MX"/>
      </w:rPr>
      <w:pict w14:anchorId="1A941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CFF"/>
    <w:multiLevelType w:val="hybridMultilevel"/>
    <w:tmpl w:val="EFA66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24626"/>
    <w:multiLevelType w:val="hybridMultilevel"/>
    <w:tmpl w:val="07E2C652"/>
    <w:lvl w:ilvl="0" w:tplc="B5C8546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C77D1D"/>
    <w:multiLevelType w:val="hybridMultilevel"/>
    <w:tmpl w:val="48180FBE"/>
    <w:lvl w:ilvl="0" w:tplc="080A000F">
      <w:start w:val="1"/>
      <w:numFmt w:val="decimal"/>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 w15:restartNumberingAfterBreak="0">
    <w:nsid w:val="14BD4891"/>
    <w:multiLevelType w:val="hybridMultilevel"/>
    <w:tmpl w:val="BB16EB76"/>
    <w:lvl w:ilvl="0" w:tplc="A7D06ACE">
      <w:start w:val="1"/>
      <w:numFmt w:val="decimal"/>
      <w:lvlText w:val="%1."/>
      <w:lvlJc w:val="left"/>
      <w:pPr>
        <w:ind w:left="1491" w:hanging="360"/>
      </w:pPr>
      <w:rPr>
        <w:rFonts w:hint="default"/>
        <w:sz w:val="16"/>
        <w:szCs w:val="16"/>
      </w:rPr>
    </w:lvl>
    <w:lvl w:ilvl="1" w:tplc="080A0019" w:tentative="1">
      <w:start w:val="1"/>
      <w:numFmt w:val="lowerLetter"/>
      <w:lvlText w:val="%2."/>
      <w:lvlJc w:val="left"/>
      <w:pPr>
        <w:ind w:left="2211" w:hanging="360"/>
      </w:pPr>
    </w:lvl>
    <w:lvl w:ilvl="2" w:tplc="080A001B" w:tentative="1">
      <w:start w:val="1"/>
      <w:numFmt w:val="lowerRoman"/>
      <w:lvlText w:val="%3."/>
      <w:lvlJc w:val="right"/>
      <w:pPr>
        <w:ind w:left="2931" w:hanging="180"/>
      </w:pPr>
    </w:lvl>
    <w:lvl w:ilvl="3" w:tplc="080A000F" w:tentative="1">
      <w:start w:val="1"/>
      <w:numFmt w:val="decimal"/>
      <w:lvlText w:val="%4."/>
      <w:lvlJc w:val="left"/>
      <w:pPr>
        <w:ind w:left="3651" w:hanging="360"/>
      </w:pPr>
    </w:lvl>
    <w:lvl w:ilvl="4" w:tplc="080A0019" w:tentative="1">
      <w:start w:val="1"/>
      <w:numFmt w:val="lowerLetter"/>
      <w:lvlText w:val="%5."/>
      <w:lvlJc w:val="left"/>
      <w:pPr>
        <w:ind w:left="4371" w:hanging="360"/>
      </w:pPr>
    </w:lvl>
    <w:lvl w:ilvl="5" w:tplc="080A001B" w:tentative="1">
      <w:start w:val="1"/>
      <w:numFmt w:val="lowerRoman"/>
      <w:lvlText w:val="%6."/>
      <w:lvlJc w:val="right"/>
      <w:pPr>
        <w:ind w:left="5091" w:hanging="180"/>
      </w:pPr>
    </w:lvl>
    <w:lvl w:ilvl="6" w:tplc="080A000F" w:tentative="1">
      <w:start w:val="1"/>
      <w:numFmt w:val="decimal"/>
      <w:lvlText w:val="%7."/>
      <w:lvlJc w:val="left"/>
      <w:pPr>
        <w:ind w:left="5811" w:hanging="360"/>
      </w:pPr>
    </w:lvl>
    <w:lvl w:ilvl="7" w:tplc="080A0019" w:tentative="1">
      <w:start w:val="1"/>
      <w:numFmt w:val="lowerLetter"/>
      <w:lvlText w:val="%8."/>
      <w:lvlJc w:val="left"/>
      <w:pPr>
        <w:ind w:left="6531" w:hanging="360"/>
      </w:pPr>
    </w:lvl>
    <w:lvl w:ilvl="8" w:tplc="080A001B" w:tentative="1">
      <w:start w:val="1"/>
      <w:numFmt w:val="lowerRoman"/>
      <w:lvlText w:val="%9."/>
      <w:lvlJc w:val="right"/>
      <w:pPr>
        <w:ind w:left="7251" w:hanging="180"/>
      </w:pPr>
    </w:lvl>
  </w:abstractNum>
  <w:abstractNum w:abstractNumId="4"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E17BDD"/>
    <w:multiLevelType w:val="hybridMultilevel"/>
    <w:tmpl w:val="5E4AD5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9A182B"/>
    <w:multiLevelType w:val="hybridMultilevel"/>
    <w:tmpl w:val="6B82B7D6"/>
    <w:lvl w:ilvl="0" w:tplc="23F6E300">
      <w:start w:val="1"/>
      <w:numFmt w:val="decimal"/>
      <w:lvlText w:val="%1."/>
      <w:lvlJc w:val="left"/>
      <w:pPr>
        <w:ind w:left="720" w:hanging="360"/>
      </w:pPr>
      <w:rPr>
        <w:rFonts w:ascii="ITC Avant Garde" w:hAnsi="ITC Avant Garde"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5FF2EEA"/>
    <w:multiLevelType w:val="hybridMultilevel"/>
    <w:tmpl w:val="DBAE1E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EE7362"/>
    <w:multiLevelType w:val="hybridMultilevel"/>
    <w:tmpl w:val="97620A9E"/>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4A7706B0"/>
    <w:multiLevelType w:val="hybridMultilevel"/>
    <w:tmpl w:val="DBF8611C"/>
    <w:lvl w:ilvl="0" w:tplc="17AC6CA8">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3" w15:restartNumberingAfterBreak="0">
    <w:nsid w:val="5EBE5CA3"/>
    <w:multiLevelType w:val="hybridMultilevel"/>
    <w:tmpl w:val="3E8E2F80"/>
    <w:lvl w:ilvl="0" w:tplc="080A000D">
      <w:start w:val="1"/>
      <w:numFmt w:val="bullet"/>
      <w:lvlText w:val=""/>
      <w:lvlJc w:val="left"/>
      <w:pPr>
        <w:ind w:left="778" w:hanging="360"/>
      </w:pPr>
      <w:rPr>
        <w:rFonts w:ascii="Wingdings" w:hAnsi="Wingdings" w:hint="default"/>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4" w15:restartNumberingAfterBreak="0">
    <w:nsid w:val="6120637B"/>
    <w:multiLevelType w:val="hybridMultilevel"/>
    <w:tmpl w:val="2B50FBB6"/>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28722DE"/>
    <w:multiLevelType w:val="hybridMultilevel"/>
    <w:tmpl w:val="83640CF8"/>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5D1FC5"/>
    <w:multiLevelType w:val="hybridMultilevel"/>
    <w:tmpl w:val="85220590"/>
    <w:lvl w:ilvl="0" w:tplc="080A001B">
      <w:start w:val="1"/>
      <w:numFmt w:val="lowerRoman"/>
      <w:lvlText w:val="%1."/>
      <w:lvlJc w:val="right"/>
      <w:pPr>
        <w:ind w:left="908" w:hanging="360"/>
      </w:pPr>
      <w:rPr>
        <w:b/>
      </w:rPr>
    </w:lvl>
    <w:lvl w:ilvl="1" w:tplc="080A0019">
      <w:start w:val="1"/>
      <w:numFmt w:val="lowerLetter"/>
      <w:lvlText w:val="%2."/>
      <w:lvlJc w:val="left"/>
      <w:pPr>
        <w:ind w:left="1628" w:hanging="360"/>
      </w:pPr>
    </w:lvl>
    <w:lvl w:ilvl="2" w:tplc="080A001B">
      <w:start w:val="1"/>
      <w:numFmt w:val="lowerRoman"/>
      <w:lvlText w:val="%3."/>
      <w:lvlJc w:val="right"/>
      <w:pPr>
        <w:ind w:left="2348" w:hanging="180"/>
      </w:pPr>
    </w:lvl>
    <w:lvl w:ilvl="3" w:tplc="080A000F">
      <w:start w:val="1"/>
      <w:numFmt w:val="decimal"/>
      <w:lvlText w:val="%4."/>
      <w:lvlJc w:val="left"/>
      <w:pPr>
        <w:ind w:left="3068" w:hanging="360"/>
      </w:pPr>
    </w:lvl>
    <w:lvl w:ilvl="4" w:tplc="080A0019">
      <w:start w:val="1"/>
      <w:numFmt w:val="lowerLetter"/>
      <w:lvlText w:val="%5."/>
      <w:lvlJc w:val="left"/>
      <w:pPr>
        <w:ind w:left="3788" w:hanging="360"/>
      </w:pPr>
    </w:lvl>
    <w:lvl w:ilvl="5" w:tplc="080A001B">
      <w:start w:val="1"/>
      <w:numFmt w:val="lowerRoman"/>
      <w:lvlText w:val="%6."/>
      <w:lvlJc w:val="right"/>
      <w:pPr>
        <w:ind w:left="4508" w:hanging="180"/>
      </w:pPr>
    </w:lvl>
    <w:lvl w:ilvl="6" w:tplc="080A000F">
      <w:start w:val="1"/>
      <w:numFmt w:val="decimal"/>
      <w:lvlText w:val="%7."/>
      <w:lvlJc w:val="left"/>
      <w:pPr>
        <w:ind w:left="5228" w:hanging="360"/>
      </w:pPr>
    </w:lvl>
    <w:lvl w:ilvl="7" w:tplc="080A0019">
      <w:start w:val="1"/>
      <w:numFmt w:val="lowerLetter"/>
      <w:lvlText w:val="%8."/>
      <w:lvlJc w:val="left"/>
      <w:pPr>
        <w:ind w:left="5948" w:hanging="360"/>
      </w:pPr>
    </w:lvl>
    <w:lvl w:ilvl="8" w:tplc="080A001B">
      <w:start w:val="1"/>
      <w:numFmt w:val="lowerRoman"/>
      <w:lvlText w:val="%9."/>
      <w:lvlJc w:val="right"/>
      <w:pPr>
        <w:ind w:left="6668" w:hanging="180"/>
      </w:pPr>
    </w:lvl>
  </w:abstractNum>
  <w:abstractNum w:abstractNumId="18" w15:restartNumberingAfterBreak="0">
    <w:nsid w:val="6398025C"/>
    <w:multiLevelType w:val="hybridMultilevel"/>
    <w:tmpl w:val="400EAFA6"/>
    <w:lvl w:ilvl="0" w:tplc="080A0003">
      <w:start w:val="1"/>
      <w:numFmt w:val="bullet"/>
      <w:lvlText w:val="o"/>
      <w:lvlJc w:val="left"/>
      <w:pPr>
        <w:ind w:left="1174" w:hanging="360"/>
      </w:pPr>
      <w:rPr>
        <w:rFonts w:ascii="Courier New" w:hAnsi="Courier New" w:cs="Courier New"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1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E6032B"/>
    <w:multiLevelType w:val="hybridMultilevel"/>
    <w:tmpl w:val="E98EB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D10691"/>
    <w:multiLevelType w:val="hybridMultilevel"/>
    <w:tmpl w:val="D0C4A7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8A4C6F"/>
    <w:multiLevelType w:val="hybridMultilevel"/>
    <w:tmpl w:val="995E2188"/>
    <w:lvl w:ilvl="0" w:tplc="DC66DB16">
      <w:start w:val="1"/>
      <w:numFmt w:val="low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E32C1A"/>
    <w:multiLevelType w:val="hybridMultilevel"/>
    <w:tmpl w:val="005E6D40"/>
    <w:lvl w:ilvl="0" w:tplc="080A0001">
      <w:start w:val="1"/>
      <w:numFmt w:val="bullet"/>
      <w:lvlText w:val=""/>
      <w:lvlJc w:val="left"/>
      <w:pPr>
        <w:ind w:left="749" w:hanging="360"/>
      </w:pPr>
      <w:rPr>
        <w:rFonts w:ascii="Symbol" w:hAnsi="Symbol" w:hint="default"/>
      </w:rPr>
    </w:lvl>
    <w:lvl w:ilvl="1" w:tplc="080A0003">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8"/>
  </w:num>
  <w:num w:numId="2">
    <w:abstractNumId w:val="16"/>
  </w:num>
  <w:num w:numId="3">
    <w:abstractNumId w:val="6"/>
  </w:num>
  <w:num w:numId="4">
    <w:abstractNumId w:val="10"/>
  </w:num>
  <w:num w:numId="5">
    <w:abstractNumId w:val="20"/>
  </w:num>
  <w:num w:numId="6">
    <w:abstractNumId w:val="11"/>
  </w:num>
  <w:num w:numId="7">
    <w:abstractNumId w:val="19"/>
  </w:num>
  <w:num w:numId="8">
    <w:abstractNumId w:val="4"/>
  </w:num>
  <w:num w:numId="9">
    <w:abstractNumId w:val="21"/>
  </w:num>
  <w:num w:numId="10">
    <w:abstractNumId w:val="23"/>
  </w:num>
  <w:num w:numId="11">
    <w:abstractNumId w:val="9"/>
  </w:num>
  <w:num w:numId="12">
    <w:abstractNumId w:val="22"/>
  </w:num>
  <w:num w:numId="13">
    <w:abstractNumId w:val="0"/>
  </w:num>
  <w:num w:numId="14">
    <w:abstractNumId w:val="14"/>
  </w:num>
  <w:num w:numId="15">
    <w:abstractNumId w:val="15"/>
  </w:num>
  <w:num w:numId="16">
    <w:abstractNumId w:val="1"/>
  </w:num>
  <w:num w:numId="17">
    <w:abstractNumId w:val="3"/>
  </w:num>
  <w:num w:numId="18">
    <w:abstractNumId w:val="24"/>
  </w:num>
  <w:num w:numId="19">
    <w:abstractNumId w:val="18"/>
  </w:num>
  <w:num w:numId="20">
    <w:abstractNumId w:val="12"/>
  </w:num>
  <w:num w:numId="21">
    <w:abstractNumId w:val="17"/>
  </w:num>
  <w:num w:numId="22">
    <w:abstractNumId w:val="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318"/>
    <w:rsid w:val="0000048B"/>
    <w:rsid w:val="00001508"/>
    <w:rsid w:val="0000341D"/>
    <w:rsid w:val="00004279"/>
    <w:rsid w:val="0000657E"/>
    <w:rsid w:val="00006BAB"/>
    <w:rsid w:val="00006EB0"/>
    <w:rsid w:val="00007B4B"/>
    <w:rsid w:val="000116D0"/>
    <w:rsid w:val="00011FCA"/>
    <w:rsid w:val="00012EE4"/>
    <w:rsid w:val="00012F35"/>
    <w:rsid w:val="00014EFF"/>
    <w:rsid w:val="000154B0"/>
    <w:rsid w:val="000173C1"/>
    <w:rsid w:val="00017B53"/>
    <w:rsid w:val="00020322"/>
    <w:rsid w:val="00020418"/>
    <w:rsid w:val="00022FDF"/>
    <w:rsid w:val="00024D9A"/>
    <w:rsid w:val="00024F70"/>
    <w:rsid w:val="00030FB4"/>
    <w:rsid w:val="00034C6E"/>
    <w:rsid w:val="00037344"/>
    <w:rsid w:val="000375C8"/>
    <w:rsid w:val="00037D31"/>
    <w:rsid w:val="00037D97"/>
    <w:rsid w:val="000417D2"/>
    <w:rsid w:val="00042A05"/>
    <w:rsid w:val="000448E7"/>
    <w:rsid w:val="000500D9"/>
    <w:rsid w:val="00054021"/>
    <w:rsid w:val="0005470B"/>
    <w:rsid w:val="00054CD2"/>
    <w:rsid w:val="000623E8"/>
    <w:rsid w:val="00062C40"/>
    <w:rsid w:val="000677CF"/>
    <w:rsid w:val="00072221"/>
    <w:rsid w:val="00072BC8"/>
    <w:rsid w:val="00072D11"/>
    <w:rsid w:val="00073545"/>
    <w:rsid w:val="000740A0"/>
    <w:rsid w:val="00074C09"/>
    <w:rsid w:val="00074C8E"/>
    <w:rsid w:val="000772DA"/>
    <w:rsid w:val="00077AE9"/>
    <w:rsid w:val="00080BD0"/>
    <w:rsid w:val="00080D10"/>
    <w:rsid w:val="00082FFF"/>
    <w:rsid w:val="000833B0"/>
    <w:rsid w:val="000837C7"/>
    <w:rsid w:val="00084EF7"/>
    <w:rsid w:val="00085181"/>
    <w:rsid w:val="00087676"/>
    <w:rsid w:val="000922C3"/>
    <w:rsid w:val="000925E2"/>
    <w:rsid w:val="0009733D"/>
    <w:rsid w:val="000978F9"/>
    <w:rsid w:val="000A0F2F"/>
    <w:rsid w:val="000A16B7"/>
    <w:rsid w:val="000A22CB"/>
    <w:rsid w:val="000A3E65"/>
    <w:rsid w:val="000B0454"/>
    <w:rsid w:val="000B0966"/>
    <w:rsid w:val="000B109B"/>
    <w:rsid w:val="000B1B50"/>
    <w:rsid w:val="000B1C9A"/>
    <w:rsid w:val="000B7FD1"/>
    <w:rsid w:val="000C0163"/>
    <w:rsid w:val="000C1347"/>
    <w:rsid w:val="000C3682"/>
    <w:rsid w:val="000C474A"/>
    <w:rsid w:val="000C4C55"/>
    <w:rsid w:val="000C5627"/>
    <w:rsid w:val="000D1A00"/>
    <w:rsid w:val="000D4158"/>
    <w:rsid w:val="000D58BE"/>
    <w:rsid w:val="000E1AED"/>
    <w:rsid w:val="000E588F"/>
    <w:rsid w:val="000E6294"/>
    <w:rsid w:val="000E6896"/>
    <w:rsid w:val="000F17C7"/>
    <w:rsid w:val="000F17CF"/>
    <w:rsid w:val="000F1FE8"/>
    <w:rsid w:val="000F2E05"/>
    <w:rsid w:val="000F4D94"/>
    <w:rsid w:val="000F5E4B"/>
    <w:rsid w:val="000F62E1"/>
    <w:rsid w:val="00100DE3"/>
    <w:rsid w:val="00102CF2"/>
    <w:rsid w:val="001050EE"/>
    <w:rsid w:val="00105E35"/>
    <w:rsid w:val="00106523"/>
    <w:rsid w:val="00112517"/>
    <w:rsid w:val="00112A48"/>
    <w:rsid w:val="00112C0E"/>
    <w:rsid w:val="00114E58"/>
    <w:rsid w:val="00115FE9"/>
    <w:rsid w:val="00117037"/>
    <w:rsid w:val="00123CCB"/>
    <w:rsid w:val="00124597"/>
    <w:rsid w:val="0012465D"/>
    <w:rsid w:val="00125F5B"/>
    <w:rsid w:val="0013092A"/>
    <w:rsid w:val="001309CE"/>
    <w:rsid w:val="001314A5"/>
    <w:rsid w:val="00131997"/>
    <w:rsid w:val="00132C07"/>
    <w:rsid w:val="00134D4D"/>
    <w:rsid w:val="00135CB2"/>
    <w:rsid w:val="00135F1A"/>
    <w:rsid w:val="00135FAA"/>
    <w:rsid w:val="00136C0E"/>
    <w:rsid w:val="001425EA"/>
    <w:rsid w:val="00143B7C"/>
    <w:rsid w:val="0014408B"/>
    <w:rsid w:val="00144765"/>
    <w:rsid w:val="0014519B"/>
    <w:rsid w:val="00146F12"/>
    <w:rsid w:val="0014766B"/>
    <w:rsid w:val="0014776F"/>
    <w:rsid w:val="00147884"/>
    <w:rsid w:val="00147AB1"/>
    <w:rsid w:val="00151C5F"/>
    <w:rsid w:val="00151D95"/>
    <w:rsid w:val="00152EA3"/>
    <w:rsid w:val="00153356"/>
    <w:rsid w:val="00153BD0"/>
    <w:rsid w:val="00156BE9"/>
    <w:rsid w:val="00157E76"/>
    <w:rsid w:val="001609A7"/>
    <w:rsid w:val="00160F34"/>
    <w:rsid w:val="0016577A"/>
    <w:rsid w:val="00167917"/>
    <w:rsid w:val="00170967"/>
    <w:rsid w:val="001715C8"/>
    <w:rsid w:val="00174767"/>
    <w:rsid w:val="00174846"/>
    <w:rsid w:val="00174EE8"/>
    <w:rsid w:val="00176514"/>
    <w:rsid w:val="00180ADF"/>
    <w:rsid w:val="00180C08"/>
    <w:rsid w:val="00181018"/>
    <w:rsid w:val="00181A19"/>
    <w:rsid w:val="00182120"/>
    <w:rsid w:val="00182CC2"/>
    <w:rsid w:val="0018355B"/>
    <w:rsid w:val="0018572D"/>
    <w:rsid w:val="001858C5"/>
    <w:rsid w:val="001875FB"/>
    <w:rsid w:val="0019012B"/>
    <w:rsid w:val="001905A8"/>
    <w:rsid w:val="00193FA8"/>
    <w:rsid w:val="00194376"/>
    <w:rsid w:val="00194699"/>
    <w:rsid w:val="00194AD4"/>
    <w:rsid w:val="0019607A"/>
    <w:rsid w:val="00197B93"/>
    <w:rsid w:val="001A0361"/>
    <w:rsid w:val="001A1195"/>
    <w:rsid w:val="001A1AC0"/>
    <w:rsid w:val="001A3049"/>
    <w:rsid w:val="001A40ED"/>
    <w:rsid w:val="001A4267"/>
    <w:rsid w:val="001A58D7"/>
    <w:rsid w:val="001A64C7"/>
    <w:rsid w:val="001A6B6F"/>
    <w:rsid w:val="001A7753"/>
    <w:rsid w:val="001B0F1F"/>
    <w:rsid w:val="001B12B0"/>
    <w:rsid w:val="001B261B"/>
    <w:rsid w:val="001B3B90"/>
    <w:rsid w:val="001B3EAD"/>
    <w:rsid w:val="001B447A"/>
    <w:rsid w:val="001B4F2F"/>
    <w:rsid w:val="001B58A1"/>
    <w:rsid w:val="001B5B46"/>
    <w:rsid w:val="001B69FB"/>
    <w:rsid w:val="001C0213"/>
    <w:rsid w:val="001C085E"/>
    <w:rsid w:val="001C15FF"/>
    <w:rsid w:val="001C1786"/>
    <w:rsid w:val="001C17A8"/>
    <w:rsid w:val="001C5C6E"/>
    <w:rsid w:val="001C6529"/>
    <w:rsid w:val="001C71A8"/>
    <w:rsid w:val="001C7BAF"/>
    <w:rsid w:val="001D01DA"/>
    <w:rsid w:val="001D2B0C"/>
    <w:rsid w:val="001D2B1A"/>
    <w:rsid w:val="001D4B81"/>
    <w:rsid w:val="001E0D3A"/>
    <w:rsid w:val="001E10A0"/>
    <w:rsid w:val="001E285C"/>
    <w:rsid w:val="001E2992"/>
    <w:rsid w:val="001E75F2"/>
    <w:rsid w:val="001E7CB8"/>
    <w:rsid w:val="001F0355"/>
    <w:rsid w:val="001F19BE"/>
    <w:rsid w:val="001F2F99"/>
    <w:rsid w:val="001F5D9B"/>
    <w:rsid w:val="001F631A"/>
    <w:rsid w:val="001F7EE4"/>
    <w:rsid w:val="00201257"/>
    <w:rsid w:val="00202E7B"/>
    <w:rsid w:val="00203C02"/>
    <w:rsid w:val="00214F90"/>
    <w:rsid w:val="00220626"/>
    <w:rsid w:val="00220C0B"/>
    <w:rsid w:val="00221568"/>
    <w:rsid w:val="00224AFA"/>
    <w:rsid w:val="00226360"/>
    <w:rsid w:val="00226F42"/>
    <w:rsid w:val="0022735C"/>
    <w:rsid w:val="0022796A"/>
    <w:rsid w:val="00230058"/>
    <w:rsid w:val="002315C3"/>
    <w:rsid w:val="00233212"/>
    <w:rsid w:val="00233985"/>
    <w:rsid w:val="002348B6"/>
    <w:rsid w:val="002357E0"/>
    <w:rsid w:val="0023752B"/>
    <w:rsid w:val="00240FF3"/>
    <w:rsid w:val="00243EA2"/>
    <w:rsid w:val="0024450F"/>
    <w:rsid w:val="00246C80"/>
    <w:rsid w:val="00247FA5"/>
    <w:rsid w:val="0025138A"/>
    <w:rsid w:val="00254051"/>
    <w:rsid w:val="00255565"/>
    <w:rsid w:val="00256288"/>
    <w:rsid w:val="002578C1"/>
    <w:rsid w:val="00257DE1"/>
    <w:rsid w:val="002601D3"/>
    <w:rsid w:val="00261491"/>
    <w:rsid w:val="002636D3"/>
    <w:rsid w:val="0026440A"/>
    <w:rsid w:val="002656A1"/>
    <w:rsid w:val="002701B2"/>
    <w:rsid w:val="002731B7"/>
    <w:rsid w:val="00276D2C"/>
    <w:rsid w:val="002779D1"/>
    <w:rsid w:val="00277BFB"/>
    <w:rsid w:val="0028149F"/>
    <w:rsid w:val="00281875"/>
    <w:rsid w:val="00281968"/>
    <w:rsid w:val="0028230A"/>
    <w:rsid w:val="00282866"/>
    <w:rsid w:val="00284213"/>
    <w:rsid w:val="00285985"/>
    <w:rsid w:val="00286D88"/>
    <w:rsid w:val="0028742D"/>
    <w:rsid w:val="002915DF"/>
    <w:rsid w:val="0029348C"/>
    <w:rsid w:val="00294D4B"/>
    <w:rsid w:val="002A0122"/>
    <w:rsid w:val="002A489F"/>
    <w:rsid w:val="002A52BA"/>
    <w:rsid w:val="002A59DB"/>
    <w:rsid w:val="002B0869"/>
    <w:rsid w:val="002B1203"/>
    <w:rsid w:val="002B35AD"/>
    <w:rsid w:val="002B51E5"/>
    <w:rsid w:val="002B7666"/>
    <w:rsid w:val="002C1845"/>
    <w:rsid w:val="002C216C"/>
    <w:rsid w:val="002C3B54"/>
    <w:rsid w:val="002C5EED"/>
    <w:rsid w:val="002C6011"/>
    <w:rsid w:val="002D0F52"/>
    <w:rsid w:val="002D15AF"/>
    <w:rsid w:val="002D287C"/>
    <w:rsid w:val="002D52BD"/>
    <w:rsid w:val="002E1806"/>
    <w:rsid w:val="002E4A09"/>
    <w:rsid w:val="002F0480"/>
    <w:rsid w:val="002F05D5"/>
    <w:rsid w:val="002F109E"/>
    <w:rsid w:val="002F1DF4"/>
    <w:rsid w:val="003009FF"/>
    <w:rsid w:val="00300F0B"/>
    <w:rsid w:val="00301C55"/>
    <w:rsid w:val="00302492"/>
    <w:rsid w:val="00302C1A"/>
    <w:rsid w:val="00303C65"/>
    <w:rsid w:val="003043AE"/>
    <w:rsid w:val="0030465C"/>
    <w:rsid w:val="00304E6D"/>
    <w:rsid w:val="003050F2"/>
    <w:rsid w:val="00305A72"/>
    <w:rsid w:val="003072A9"/>
    <w:rsid w:val="003120FF"/>
    <w:rsid w:val="00315BCE"/>
    <w:rsid w:val="003167E5"/>
    <w:rsid w:val="003202B0"/>
    <w:rsid w:val="00325D1B"/>
    <w:rsid w:val="003270D1"/>
    <w:rsid w:val="00327751"/>
    <w:rsid w:val="00330803"/>
    <w:rsid w:val="003335A6"/>
    <w:rsid w:val="003349D8"/>
    <w:rsid w:val="00335AFE"/>
    <w:rsid w:val="00335F51"/>
    <w:rsid w:val="003365B5"/>
    <w:rsid w:val="00340AF0"/>
    <w:rsid w:val="00341067"/>
    <w:rsid w:val="0034486D"/>
    <w:rsid w:val="00345EE1"/>
    <w:rsid w:val="00350911"/>
    <w:rsid w:val="0035114A"/>
    <w:rsid w:val="00353CD8"/>
    <w:rsid w:val="003555E9"/>
    <w:rsid w:val="0035561D"/>
    <w:rsid w:val="0035572D"/>
    <w:rsid w:val="00355981"/>
    <w:rsid w:val="00355F84"/>
    <w:rsid w:val="00356EBB"/>
    <w:rsid w:val="00356F08"/>
    <w:rsid w:val="0035785A"/>
    <w:rsid w:val="00361188"/>
    <w:rsid w:val="0036191E"/>
    <w:rsid w:val="00362069"/>
    <w:rsid w:val="00363BAD"/>
    <w:rsid w:val="00363D3F"/>
    <w:rsid w:val="00364CBA"/>
    <w:rsid w:val="0036510C"/>
    <w:rsid w:val="00365E06"/>
    <w:rsid w:val="00366BFA"/>
    <w:rsid w:val="00366C91"/>
    <w:rsid w:val="00371021"/>
    <w:rsid w:val="00371E7C"/>
    <w:rsid w:val="003737C1"/>
    <w:rsid w:val="003753ED"/>
    <w:rsid w:val="00375A58"/>
    <w:rsid w:val="00377CE9"/>
    <w:rsid w:val="0038363B"/>
    <w:rsid w:val="00385066"/>
    <w:rsid w:val="00385C0C"/>
    <w:rsid w:val="003867B1"/>
    <w:rsid w:val="00387615"/>
    <w:rsid w:val="00387BAB"/>
    <w:rsid w:val="00387EFB"/>
    <w:rsid w:val="0039032C"/>
    <w:rsid w:val="00390C9D"/>
    <w:rsid w:val="00391188"/>
    <w:rsid w:val="003919D8"/>
    <w:rsid w:val="0039707A"/>
    <w:rsid w:val="003A15F2"/>
    <w:rsid w:val="003A19FB"/>
    <w:rsid w:val="003A1A6A"/>
    <w:rsid w:val="003A1B0D"/>
    <w:rsid w:val="003B173B"/>
    <w:rsid w:val="003B22D6"/>
    <w:rsid w:val="003B79BB"/>
    <w:rsid w:val="003C1A26"/>
    <w:rsid w:val="003C29D1"/>
    <w:rsid w:val="003D0457"/>
    <w:rsid w:val="003D6094"/>
    <w:rsid w:val="003D72ED"/>
    <w:rsid w:val="003E02A7"/>
    <w:rsid w:val="003E4054"/>
    <w:rsid w:val="003E4F3A"/>
    <w:rsid w:val="003E5B75"/>
    <w:rsid w:val="003E5D06"/>
    <w:rsid w:val="003F40CC"/>
    <w:rsid w:val="003F5292"/>
    <w:rsid w:val="003F6DC0"/>
    <w:rsid w:val="00401A31"/>
    <w:rsid w:val="0040420B"/>
    <w:rsid w:val="00405236"/>
    <w:rsid w:val="00413F16"/>
    <w:rsid w:val="004150D7"/>
    <w:rsid w:val="00415E0A"/>
    <w:rsid w:val="004164DA"/>
    <w:rsid w:val="00420FA3"/>
    <w:rsid w:val="004229C0"/>
    <w:rsid w:val="00424BD5"/>
    <w:rsid w:val="00427C38"/>
    <w:rsid w:val="00430700"/>
    <w:rsid w:val="00430FC6"/>
    <w:rsid w:val="004411D6"/>
    <w:rsid w:val="004420EB"/>
    <w:rsid w:val="004421DD"/>
    <w:rsid w:val="004424A1"/>
    <w:rsid w:val="004465B1"/>
    <w:rsid w:val="00446858"/>
    <w:rsid w:val="00450A26"/>
    <w:rsid w:val="00453E39"/>
    <w:rsid w:val="00454A27"/>
    <w:rsid w:val="00455E52"/>
    <w:rsid w:val="00456826"/>
    <w:rsid w:val="0046157A"/>
    <w:rsid w:val="00461DE8"/>
    <w:rsid w:val="00472259"/>
    <w:rsid w:val="00472447"/>
    <w:rsid w:val="004736E3"/>
    <w:rsid w:val="00473985"/>
    <w:rsid w:val="00473B68"/>
    <w:rsid w:val="00480E85"/>
    <w:rsid w:val="004848FF"/>
    <w:rsid w:val="0048569D"/>
    <w:rsid w:val="00485FA0"/>
    <w:rsid w:val="004874DB"/>
    <w:rsid w:val="004921B5"/>
    <w:rsid w:val="00493612"/>
    <w:rsid w:val="00495E2B"/>
    <w:rsid w:val="004965A6"/>
    <w:rsid w:val="004A1886"/>
    <w:rsid w:val="004A3C53"/>
    <w:rsid w:val="004B08AA"/>
    <w:rsid w:val="004B0A82"/>
    <w:rsid w:val="004B1A41"/>
    <w:rsid w:val="004B2105"/>
    <w:rsid w:val="004B323F"/>
    <w:rsid w:val="004B569E"/>
    <w:rsid w:val="004B56B1"/>
    <w:rsid w:val="004B5FDF"/>
    <w:rsid w:val="004B638C"/>
    <w:rsid w:val="004B7836"/>
    <w:rsid w:val="004C00EE"/>
    <w:rsid w:val="004C0E44"/>
    <w:rsid w:val="004C0EE0"/>
    <w:rsid w:val="004C249C"/>
    <w:rsid w:val="004C3160"/>
    <w:rsid w:val="004C3AA1"/>
    <w:rsid w:val="004C53B9"/>
    <w:rsid w:val="004C7706"/>
    <w:rsid w:val="004D0875"/>
    <w:rsid w:val="004D2203"/>
    <w:rsid w:val="004D2D15"/>
    <w:rsid w:val="004D3F86"/>
    <w:rsid w:val="004D4F86"/>
    <w:rsid w:val="004D7684"/>
    <w:rsid w:val="004E0578"/>
    <w:rsid w:val="004E15EF"/>
    <w:rsid w:val="004E57B4"/>
    <w:rsid w:val="004E74FD"/>
    <w:rsid w:val="004F054D"/>
    <w:rsid w:val="004F1332"/>
    <w:rsid w:val="004F1AFE"/>
    <w:rsid w:val="004F30C9"/>
    <w:rsid w:val="004F4E8E"/>
    <w:rsid w:val="004F57DA"/>
    <w:rsid w:val="004F5813"/>
    <w:rsid w:val="004F6E26"/>
    <w:rsid w:val="004F7E94"/>
    <w:rsid w:val="0050163C"/>
    <w:rsid w:val="00504FF0"/>
    <w:rsid w:val="005062A1"/>
    <w:rsid w:val="005067F2"/>
    <w:rsid w:val="00510B1B"/>
    <w:rsid w:val="00511A1F"/>
    <w:rsid w:val="0051488F"/>
    <w:rsid w:val="00514F5F"/>
    <w:rsid w:val="00520C3A"/>
    <w:rsid w:val="0052115B"/>
    <w:rsid w:val="0052219A"/>
    <w:rsid w:val="00525EB2"/>
    <w:rsid w:val="00526706"/>
    <w:rsid w:val="00530F3C"/>
    <w:rsid w:val="00531726"/>
    <w:rsid w:val="00531873"/>
    <w:rsid w:val="005329D7"/>
    <w:rsid w:val="005335D6"/>
    <w:rsid w:val="005349B5"/>
    <w:rsid w:val="00534B5D"/>
    <w:rsid w:val="00535889"/>
    <w:rsid w:val="005368B0"/>
    <w:rsid w:val="005375DB"/>
    <w:rsid w:val="00540A19"/>
    <w:rsid w:val="00541877"/>
    <w:rsid w:val="00542B97"/>
    <w:rsid w:val="00543464"/>
    <w:rsid w:val="00543F7C"/>
    <w:rsid w:val="005467CE"/>
    <w:rsid w:val="0055015D"/>
    <w:rsid w:val="00550CC3"/>
    <w:rsid w:val="0055497B"/>
    <w:rsid w:val="00555FD1"/>
    <w:rsid w:val="00557883"/>
    <w:rsid w:val="005579BD"/>
    <w:rsid w:val="00560095"/>
    <w:rsid w:val="0056048D"/>
    <w:rsid w:val="00560794"/>
    <w:rsid w:val="0056245E"/>
    <w:rsid w:val="00563A16"/>
    <w:rsid w:val="00563E87"/>
    <w:rsid w:val="00565E36"/>
    <w:rsid w:val="00565FD0"/>
    <w:rsid w:val="00566A01"/>
    <w:rsid w:val="005678C3"/>
    <w:rsid w:val="00573B76"/>
    <w:rsid w:val="00573CE3"/>
    <w:rsid w:val="0057577C"/>
    <w:rsid w:val="00576BED"/>
    <w:rsid w:val="00577A20"/>
    <w:rsid w:val="00577BC3"/>
    <w:rsid w:val="005814DB"/>
    <w:rsid w:val="0058370A"/>
    <w:rsid w:val="005840B5"/>
    <w:rsid w:val="00584E1B"/>
    <w:rsid w:val="005903DD"/>
    <w:rsid w:val="00595E5A"/>
    <w:rsid w:val="005A05CC"/>
    <w:rsid w:val="005A1FD9"/>
    <w:rsid w:val="005A41F8"/>
    <w:rsid w:val="005A4C35"/>
    <w:rsid w:val="005A5075"/>
    <w:rsid w:val="005A6E0D"/>
    <w:rsid w:val="005A7E65"/>
    <w:rsid w:val="005B04D3"/>
    <w:rsid w:val="005B061B"/>
    <w:rsid w:val="005B0769"/>
    <w:rsid w:val="005B0C52"/>
    <w:rsid w:val="005B100F"/>
    <w:rsid w:val="005B209C"/>
    <w:rsid w:val="005B666B"/>
    <w:rsid w:val="005B782D"/>
    <w:rsid w:val="005B7E88"/>
    <w:rsid w:val="005C086D"/>
    <w:rsid w:val="005C13F1"/>
    <w:rsid w:val="005C4659"/>
    <w:rsid w:val="005C6635"/>
    <w:rsid w:val="005C67F5"/>
    <w:rsid w:val="005D0417"/>
    <w:rsid w:val="005D0A43"/>
    <w:rsid w:val="005D16B2"/>
    <w:rsid w:val="005D2B58"/>
    <w:rsid w:val="005D3786"/>
    <w:rsid w:val="005D4A72"/>
    <w:rsid w:val="005D4C97"/>
    <w:rsid w:val="005D7D7C"/>
    <w:rsid w:val="005E164A"/>
    <w:rsid w:val="005E2324"/>
    <w:rsid w:val="005E4102"/>
    <w:rsid w:val="005E4149"/>
    <w:rsid w:val="005E462B"/>
    <w:rsid w:val="005E46B8"/>
    <w:rsid w:val="005F15ED"/>
    <w:rsid w:val="005F2A3E"/>
    <w:rsid w:val="005F48E4"/>
    <w:rsid w:val="005F58E3"/>
    <w:rsid w:val="005F5B4B"/>
    <w:rsid w:val="005F64A1"/>
    <w:rsid w:val="005F6CC1"/>
    <w:rsid w:val="005F71BA"/>
    <w:rsid w:val="00600D2E"/>
    <w:rsid w:val="006052EA"/>
    <w:rsid w:val="00605D9B"/>
    <w:rsid w:val="00606E25"/>
    <w:rsid w:val="00610A7F"/>
    <w:rsid w:val="00612D26"/>
    <w:rsid w:val="00612D3D"/>
    <w:rsid w:val="006144D6"/>
    <w:rsid w:val="006177DE"/>
    <w:rsid w:val="00617CE3"/>
    <w:rsid w:val="00620F75"/>
    <w:rsid w:val="00621490"/>
    <w:rsid w:val="0062270B"/>
    <w:rsid w:val="00622BED"/>
    <w:rsid w:val="00626607"/>
    <w:rsid w:val="00627CDD"/>
    <w:rsid w:val="00630196"/>
    <w:rsid w:val="00632357"/>
    <w:rsid w:val="0063373A"/>
    <w:rsid w:val="006340F7"/>
    <w:rsid w:val="006351B8"/>
    <w:rsid w:val="00636A45"/>
    <w:rsid w:val="00640F44"/>
    <w:rsid w:val="00642D41"/>
    <w:rsid w:val="006432A4"/>
    <w:rsid w:val="00644702"/>
    <w:rsid w:val="00644755"/>
    <w:rsid w:val="00644CC3"/>
    <w:rsid w:val="00646579"/>
    <w:rsid w:val="0064689F"/>
    <w:rsid w:val="00650524"/>
    <w:rsid w:val="006527CB"/>
    <w:rsid w:val="00653053"/>
    <w:rsid w:val="00654575"/>
    <w:rsid w:val="00654B24"/>
    <w:rsid w:val="006555AC"/>
    <w:rsid w:val="00657ABF"/>
    <w:rsid w:val="00657B70"/>
    <w:rsid w:val="00660912"/>
    <w:rsid w:val="00661FE9"/>
    <w:rsid w:val="006647E5"/>
    <w:rsid w:val="006657EB"/>
    <w:rsid w:val="00665B87"/>
    <w:rsid w:val="00665C06"/>
    <w:rsid w:val="00671582"/>
    <w:rsid w:val="0067161E"/>
    <w:rsid w:val="00672F54"/>
    <w:rsid w:val="0067323D"/>
    <w:rsid w:val="0067485B"/>
    <w:rsid w:val="00674E5F"/>
    <w:rsid w:val="00675217"/>
    <w:rsid w:val="0067717E"/>
    <w:rsid w:val="006802BC"/>
    <w:rsid w:val="00680C83"/>
    <w:rsid w:val="00681FAE"/>
    <w:rsid w:val="0068412C"/>
    <w:rsid w:val="0068549D"/>
    <w:rsid w:val="006873FE"/>
    <w:rsid w:val="006902A6"/>
    <w:rsid w:val="006933DF"/>
    <w:rsid w:val="00694010"/>
    <w:rsid w:val="00694E90"/>
    <w:rsid w:val="006955B9"/>
    <w:rsid w:val="006966A7"/>
    <w:rsid w:val="00696784"/>
    <w:rsid w:val="00696829"/>
    <w:rsid w:val="006969BC"/>
    <w:rsid w:val="00696E8D"/>
    <w:rsid w:val="006970D0"/>
    <w:rsid w:val="006A26FC"/>
    <w:rsid w:val="006A2CDA"/>
    <w:rsid w:val="006A2FC9"/>
    <w:rsid w:val="006A38B1"/>
    <w:rsid w:val="006A5CB5"/>
    <w:rsid w:val="006B191F"/>
    <w:rsid w:val="006B2498"/>
    <w:rsid w:val="006B4376"/>
    <w:rsid w:val="006B650C"/>
    <w:rsid w:val="006B72B8"/>
    <w:rsid w:val="006C045A"/>
    <w:rsid w:val="006C2C2F"/>
    <w:rsid w:val="006C2F94"/>
    <w:rsid w:val="006C37D1"/>
    <w:rsid w:val="006D0279"/>
    <w:rsid w:val="006D0A4C"/>
    <w:rsid w:val="006D21C8"/>
    <w:rsid w:val="006D35D0"/>
    <w:rsid w:val="006D4F18"/>
    <w:rsid w:val="006D52C0"/>
    <w:rsid w:val="006E46D6"/>
    <w:rsid w:val="006E6BD9"/>
    <w:rsid w:val="006E7039"/>
    <w:rsid w:val="006F0A3A"/>
    <w:rsid w:val="006F6C17"/>
    <w:rsid w:val="006F79E1"/>
    <w:rsid w:val="00705944"/>
    <w:rsid w:val="007062CB"/>
    <w:rsid w:val="00710137"/>
    <w:rsid w:val="0071048A"/>
    <w:rsid w:val="00710B97"/>
    <w:rsid w:val="00710C60"/>
    <w:rsid w:val="00711548"/>
    <w:rsid w:val="0071165B"/>
    <w:rsid w:val="00714A17"/>
    <w:rsid w:val="00716126"/>
    <w:rsid w:val="00716B38"/>
    <w:rsid w:val="0072029C"/>
    <w:rsid w:val="007218EB"/>
    <w:rsid w:val="007218F0"/>
    <w:rsid w:val="0072207F"/>
    <w:rsid w:val="00724197"/>
    <w:rsid w:val="007241BE"/>
    <w:rsid w:val="00724B93"/>
    <w:rsid w:val="0072620B"/>
    <w:rsid w:val="007331A2"/>
    <w:rsid w:val="007350D4"/>
    <w:rsid w:val="00742C59"/>
    <w:rsid w:val="007463FA"/>
    <w:rsid w:val="0074689A"/>
    <w:rsid w:val="00746CF4"/>
    <w:rsid w:val="00746DCC"/>
    <w:rsid w:val="007504EE"/>
    <w:rsid w:val="00750D1B"/>
    <w:rsid w:val="00753BFF"/>
    <w:rsid w:val="007550F6"/>
    <w:rsid w:val="00756586"/>
    <w:rsid w:val="007601AE"/>
    <w:rsid w:val="007610A9"/>
    <w:rsid w:val="007619AB"/>
    <w:rsid w:val="00761C83"/>
    <w:rsid w:val="007631AF"/>
    <w:rsid w:val="00763340"/>
    <w:rsid w:val="0076603F"/>
    <w:rsid w:val="0076691E"/>
    <w:rsid w:val="007672AF"/>
    <w:rsid w:val="007723A2"/>
    <w:rsid w:val="00780BB6"/>
    <w:rsid w:val="00781229"/>
    <w:rsid w:val="00781E83"/>
    <w:rsid w:val="0078353E"/>
    <w:rsid w:val="00783D0D"/>
    <w:rsid w:val="00783E10"/>
    <w:rsid w:val="00784CE9"/>
    <w:rsid w:val="0078578F"/>
    <w:rsid w:val="007942D6"/>
    <w:rsid w:val="0079634F"/>
    <w:rsid w:val="007A1BE3"/>
    <w:rsid w:val="007A3687"/>
    <w:rsid w:val="007A55D4"/>
    <w:rsid w:val="007A6F80"/>
    <w:rsid w:val="007A7949"/>
    <w:rsid w:val="007A795B"/>
    <w:rsid w:val="007B4186"/>
    <w:rsid w:val="007B4E69"/>
    <w:rsid w:val="007B67A2"/>
    <w:rsid w:val="007B75A7"/>
    <w:rsid w:val="007B7D80"/>
    <w:rsid w:val="007C255C"/>
    <w:rsid w:val="007C3EE2"/>
    <w:rsid w:val="007C5464"/>
    <w:rsid w:val="007C7D8D"/>
    <w:rsid w:val="007D123E"/>
    <w:rsid w:val="007D2FF4"/>
    <w:rsid w:val="007D30DF"/>
    <w:rsid w:val="007E0B84"/>
    <w:rsid w:val="007E172A"/>
    <w:rsid w:val="007E3A45"/>
    <w:rsid w:val="007E3C85"/>
    <w:rsid w:val="007E5CEC"/>
    <w:rsid w:val="007F0140"/>
    <w:rsid w:val="007F0B07"/>
    <w:rsid w:val="007F237A"/>
    <w:rsid w:val="007F35B4"/>
    <w:rsid w:val="007F47D5"/>
    <w:rsid w:val="00800D47"/>
    <w:rsid w:val="00801866"/>
    <w:rsid w:val="00802151"/>
    <w:rsid w:val="00803132"/>
    <w:rsid w:val="00804013"/>
    <w:rsid w:val="00804D89"/>
    <w:rsid w:val="0080680A"/>
    <w:rsid w:val="00807FBE"/>
    <w:rsid w:val="00811512"/>
    <w:rsid w:val="00813D1F"/>
    <w:rsid w:val="008147F1"/>
    <w:rsid w:val="00815EAC"/>
    <w:rsid w:val="008171BD"/>
    <w:rsid w:val="008173FA"/>
    <w:rsid w:val="00817BEA"/>
    <w:rsid w:val="00824E5F"/>
    <w:rsid w:val="0082518F"/>
    <w:rsid w:val="008270B8"/>
    <w:rsid w:val="00827ADB"/>
    <w:rsid w:val="00840167"/>
    <w:rsid w:val="00842386"/>
    <w:rsid w:val="008423FC"/>
    <w:rsid w:val="0084259E"/>
    <w:rsid w:val="00844264"/>
    <w:rsid w:val="00844A1B"/>
    <w:rsid w:val="00845762"/>
    <w:rsid w:val="00847BD2"/>
    <w:rsid w:val="00852A0A"/>
    <w:rsid w:val="00852C0D"/>
    <w:rsid w:val="00853AB3"/>
    <w:rsid w:val="00854371"/>
    <w:rsid w:val="00855E6D"/>
    <w:rsid w:val="00855F4D"/>
    <w:rsid w:val="00856728"/>
    <w:rsid w:val="00856778"/>
    <w:rsid w:val="008606E6"/>
    <w:rsid w:val="00860B6E"/>
    <w:rsid w:val="00862E2F"/>
    <w:rsid w:val="008640FD"/>
    <w:rsid w:val="00864FAB"/>
    <w:rsid w:val="008652CC"/>
    <w:rsid w:val="00865850"/>
    <w:rsid w:val="008678C2"/>
    <w:rsid w:val="0087716F"/>
    <w:rsid w:val="008779E6"/>
    <w:rsid w:val="0088035D"/>
    <w:rsid w:val="008810B4"/>
    <w:rsid w:val="00883905"/>
    <w:rsid w:val="00884B3D"/>
    <w:rsid w:val="008850AC"/>
    <w:rsid w:val="00887FBD"/>
    <w:rsid w:val="008902A5"/>
    <w:rsid w:val="00890723"/>
    <w:rsid w:val="0089194F"/>
    <w:rsid w:val="0089225E"/>
    <w:rsid w:val="00893CB1"/>
    <w:rsid w:val="00893D91"/>
    <w:rsid w:val="0089486A"/>
    <w:rsid w:val="00894C00"/>
    <w:rsid w:val="008A1811"/>
    <w:rsid w:val="008A1BCB"/>
    <w:rsid w:val="008A224C"/>
    <w:rsid w:val="008A3018"/>
    <w:rsid w:val="008A3268"/>
    <w:rsid w:val="008A622F"/>
    <w:rsid w:val="008B0D9E"/>
    <w:rsid w:val="008B2DEB"/>
    <w:rsid w:val="008B3013"/>
    <w:rsid w:val="008B31B6"/>
    <w:rsid w:val="008B3C2A"/>
    <w:rsid w:val="008B5159"/>
    <w:rsid w:val="008B5586"/>
    <w:rsid w:val="008B56A7"/>
    <w:rsid w:val="008B5C05"/>
    <w:rsid w:val="008B6758"/>
    <w:rsid w:val="008B6A26"/>
    <w:rsid w:val="008B6B2A"/>
    <w:rsid w:val="008B756D"/>
    <w:rsid w:val="008C14CB"/>
    <w:rsid w:val="008D209E"/>
    <w:rsid w:val="008D22DC"/>
    <w:rsid w:val="008D3022"/>
    <w:rsid w:val="008D4681"/>
    <w:rsid w:val="008D59AA"/>
    <w:rsid w:val="008E2F50"/>
    <w:rsid w:val="008E3347"/>
    <w:rsid w:val="008E3489"/>
    <w:rsid w:val="008E405B"/>
    <w:rsid w:val="008E67CB"/>
    <w:rsid w:val="008E7CCF"/>
    <w:rsid w:val="008E7D10"/>
    <w:rsid w:val="008F318F"/>
    <w:rsid w:val="008F3E58"/>
    <w:rsid w:val="008F4CCD"/>
    <w:rsid w:val="008F510F"/>
    <w:rsid w:val="008F5DDD"/>
    <w:rsid w:val="008F5FE1"/>
    <w:rsid w:val="008F631E"/>
    <w:rsid w:val="008F68B5"/>
    <w:rsid w:val="008F6A32"/>
    <w:rsid w:val="009024BD"/>
    <w:rsid w:val="00904F18"/>
    <w:rsid w:val="0090537E"/>
    <w:rsid w:val="009061F9"/>
    <w:rsid w:val="00906442"/>
    <w:rsid w:val="00906D98"/>
    <w:rsid w:val="009074BB"/>
    <w:rsid w:val="009079E2"/>
    <w:rsid w:val="00910D45"/>
    <w:rsid w:val="00911352"/>
    <w:rsid w:val="00912184"/>
    <w:rsid w:val="009122D0"/>
    <w:rsid w:val="00912505"/>
    <w:rsid w:val="00912C6D"/>
    <w:rsid w:val="009133DA"/>
    <w:rsid w:val="00914F3B"/>
    <w:rsid w:val="00915717"/>
    <w:rsid w:val="00916A7E"/>
    <w:rsid w:val="00920550"/>
    <w:rsid w:val="00920E19"/>
    <w:rsid w:val="00923859"/>
    <w:rsid w:val="00923F63"/>
    <w:rsid w:val="00925D0B"/>
    <w:rsid w:val="00926E24"/>
    <w:rsid w:val="00927112"/>
    <w:rsid w:val="00927A31"/>
    <w:rsid w:val="00930132"/>
    <w:rsid w:val="00930A17"/>
    <w:rsid w:val="00931043"/>
    <w:rsid w:val="009311E8"/>
    <w:rsid w:val="00931CB0"/>
    <w:rsid w:val="00934AE3"/>
    <w:rsid w:val="00937A48"/>
    <w:rsid w:val="009402D3"/>
    <w:rsid w:val="009413A1"/>
    <w:rsid w:val="009438D6"/>
    <w:rsid w:val="00945BBC"/>
    <w:rsid w:val="00946385"/>
    <w:rsid w:val="00946B3B"/>
    <w:rsid w:val="00950A84"/>
    <w:rsid w:val="00950DE2"/>
    <w:rsid w:val="009511B5"/>
    <w:rsid w:val="00952086"/>
    <w:rsid w:val="00957776"/>
    <w:rsid w:val="00963CD6"/>
    <w:rsid w:val="00964C64"/>
    <w:rsid w:val="00965D52"/>
    <w:rsid w:val="00966438"/>
    <w:rsid w:val="009708FA"/>
    <w:rsid w:val="0097189A"/>
    <w:rsid w:val="00972009"/>
    <w:rsid w:val="00972A80"/>
    <w:rsid w:val="00974DEF"/>
    <w:rsid w:val="00975F80"/>
    <w:rsid w:val="00977E2D"/>
    <w:rsid w:val="00980071"/>
    <w:rsid w:val="00981B4D"/>
    <w:rsid w:val="00990016"/>
    <w:rsid w:val="009903A5"/>
    <w:rsid w:val="00991809"/>
    <w:rsid w:val="00991C7A"/>
    <w:rsid w:val="00992A3A"/>
    <w:rsid w:val="00993C0A"/>
    <w:rsid w:val="00994B1B"/>
    <w:rsid w:val="00995961"/>
    <w:rsid w:val="009A16BE"/>
    <w:rsid w:val="009A36DA"/>
    <w:rsid w:val="009A3E6C"/>
    <w:rsid w:val="009B068D"/>
    <w:rsid w:val="009B5408"/>
    <w:rsid w:val="009B6BCC"/>
    <w:rsid w:val="009B6F91"/>
    <w:rsid w:val="009B7BEA"/>
    <w:rsid w:val="009C002A"/>
    <w:rsid w:val="009C0C8E"/>
    <w:rsid w:val="009C260A"/>
    <w:rsid w:val="009C2967"/>
    <w:rsid w:val="009C2D6B"/>
    <w:rsid w:val="009C4586"/>
    <w:rsid w:val="009C468E"/>
    <w:rsid w:val="009D060D"/>
    <w:rsid w:val="009D2655"/>
    <w:rsid w:val="009D2F6F"/>
    <w:rsid w:val="009D5535"/>
    <w:rsid w:val="009D55EF"/>
    <w:rsid w:val="009D7D44"/>
    <w:rsid w:val="009E0304"/>
    <w:rsid w:val="009E04FF"/>
    <w:rsid w:val="009E1F80"/>
    <w:rsid w:val="009E30E4"/>
    <w:rsid w:val="009E4A3B"/>
    <w:rsid w:val="009F13F1"/>
    <w:rsid w:val="009F21AA"/>
    <w:rsid w:val="009F2E21"/>
    <w:rsid w:val="009F4CE8"/>
    <w:rsid w:val="009F520D"/>
    <w:rsid w:val="009F5AD8"/>
    <w:rsid w:val="009F61BA"/>
    <w:rsid w:val="009F6B90"/>
    <w:rsid w:val="009F74E8"/>
    <w:rsid w:val="00A0116B"/>
    <w:rsid w:val="00A02F77"/>
    <w:rsid w:val="00A060BA"/>
    <w:rsid w:val="00A07212"/>
    <w:rsid w:val="00A11A8E"/>
    <w:rsid w:val="00A12D2D"/>
    <w:rsid w:val="00A12D7D"/>
    <w:rsid w:val="00A13BBB"/>
    <w:rsid w:val="00A14782"/>
    <w:rsid w:val="00A149B1"/>
    <w:rsid w:val="00A149CC"/>
    <w:rsid w:val="00A15E3B"/>
    <w:rsid w:val="00A17A41"/>
    <w:rsid w:val="00A20E6F"/>
    <w:rsid w:val="00A211F2"/>
    <w:rsid w:val="00A2130F"/>
    <w:rsid w:val="00A226B5"/>
    <w:rsid w:val="00A24A56"/>
    <w:rsid w:val="00A24C65"/>
    <w:rsid w:val="00A24F33"/>
    <w:rsid w:val="00A25303"/>
    <w:rsid w:val="00A270C8"/>
    <w:rsid w:val="00A27F5A"/>
    <w:rsid w:val="00A30422"/>
    <w:rsid w:val="00A30AB3"/>
    <w:rsid w:val="00A30B58"/>
    <w:rsid w:val="00A3221E"/>
    <w:rsid w:val="00A33DF5"/>
    <w:rsid w:val="00A33F77"/>
    <w:rsid w:val="00A341D1"/>
    <w:rsid w:val="00A3726E"/>
    <w:rsid w:val="00A37CD4"/>
    <w:rsid w:val="00A44B80"/>
    <w:rsid w:val="00A5390F"/>
    <w:rsid w:val="00A53BDA"/>
    <w:rsid w:val="00A54787"/>
    <w:rsid w:val="00A54AA5"/>
    <w:rsid w:val="00A5505A"/>
    <w:rsid w:val="00A555F7"/>
    <w:rsid w:val="00A607E8"/>
    <w:rsid w:val="00A62665"/>
    <w:rsid w:val="00A63508"/>
    <w:rsid w:val="00A63774"/>
    <w:rsid w:val="00A6521D"/>
    <w:rsid w:val="00A65FC0"/>
    <w:rsid w:val="00A704F6"/>
    <w:rsid w:val="00A706AA"/>
    <w:rsid w:val="00A768C9"/>
    <w:rsid w:val="00A77F32"/>
    <w:rsid w:val="00A8106E"/>
    <w:rsid w:val="00A8469D"/>
    <w:rsid w:val="00A91456"/>
    <w:rsid w:val="00A9331A"/>
    <w:rsid w:val="00A94A91"/>
    <w:rsid w:val="00A94BFB"/>
    <w:rsid w:val="00A96E7A"/>
    <w:rsid w:val="00A96F03"/>
    <w:rsid w:val="00AA140D"/>
    <w:rsid w:val="00AA18DE"/>
    <w:rsid w:val="00AA2990"/>
    <w:rsid w:val="00AA3974"/>
    <w:rsid w:val="00AA4CE0"/>
    <w:rsid w:val="00AA5AA5"/>
    <w:rsid w:val="00AA6B6F"/>
    <w:rsid w:val="00AB5C9A"/>
    <w:rsid w:val="00AC21AD"/>
    <w:rsid w:val="00AC27C4"/>
    <w:rsid w:val="00AC3E00"/>
    <w:rsid w:val="00AC51C4"/>
    <w:rsid w:val="00AC7BBC"/>
    <w:rsid w:val="00AD1961"/>
    <w:rsid w:val="00AD2CF2"/>
    <w:rsid w:val="00AD4997"/>
    <w:rsid w:val="00AD4C88"/>
    <w:rsid w:val="00AD5D73"/>
    <w:rsid w:val="00AD634A"/>
    <w:rsid w:val="00AD653D"/>
    <w:rsid w:val="00AD6CA6"/>
    <w:rsid w:val="00AD73AF"/>
    <w:rsid w:val="00AE028B"/>
    <w:rsid w:val="00AE1A21"/>
    <w:rsid w:val="00AE27F2"/>
    <w:rsid w:val="00AE2828"/>
    <w:rsid w:val="00AE4198"/>
    <w:rsid w:val="00AE7347"/>
    <w:rsid w:val="00AF200F"/>
    <w:rsid w:val="00AF2254"/>
    <w:rsid w:val="00AF3066"/>
    <w:rsid w:val="00AF45F6"/>
    <w:rsid w:val="00B02DF5"/>
    <w:rsid w:val="00B03E6F"/>
    <w:rsid w:val="00B04148"/>
    <w:rsid w:val="00B048BA"/>
    <w:rsid w:val="00B05770"/>
    <w:rsid w:val="00B0749D"/>
    <w:rsid w:val="00B12BB1"/>
    <w:rsid w:val="00B13FCB"/>
    <w:rsid w:val="00B1478C"/>
    <w:rsid w:val="00B20A24"/>
    <w:rsid w:val="00B214C0"/>
    <w:rsid w:val="00B26762"/>
    <w:rsid w:val="00B30542"/>
    <w:rsid w:val="00B30E25"/>
    <w:rsid w:val="00B31154"/>
    <w:rsid w:val="00B32A54"/>
    <w:rsid w:val="00B34AC0"/>
    <w:rsid w:val="00B3535E"/>
    <w:rsid w:val="00B41491"/>
    <w:rsid w:val="00B43D31"/>
    <w:rsid w:val="00B473DA"/>
    <w:rsid w:val="00B51993"/>
    <w:rsid w:val="00B5247B"/>
    <w:rsid w:val="00B5283B"/>
    <w:rsid w:val="00B53419"/>
    <w:rsid w:val="00B5551D"/>
    <w:rsid w:val="00B557EE"/>
    <w:rsid w:val="00B573B6"/>
    <w:rsid w:val="00B57634"/>
    <w:rsid w:val="00B60429"/>
    <w:rsid w:val="00B614FB"/>
    <w:rsid w:val="00B61C2A"/>
    <w:rsid w:val="00B650EF"/>
    <w:rsid w:val="00B65636"/>
    <w:rsid w:val="00B66AED"/>
    <w:rsid w:val="00B723F8"/>
    <w:rsid w:val="00B73C11"/>
    <w:rsid w:val="00B744B7"/>
    <w:rsid w:val="00B7493C"/>
    <w:rsid w:val="00B7604D"/>
    <w:rsid w:val="00B77B8A"/>
    <w:rsid w:val="00B80209"/>
    <w:rsid w:val="00B81578"/>
    <w:rsid w:val="00B81A8F"/>
    <w:rsid w:val="00B824CF"/>
    <w:rsid w:val="00B8388F"/>
    <w:rsid w:val="00B83A93"/>
    <w:rsid w:val="00B85598"/>
    <w:rsid w:val="00B864E5"/>
    <w:rsid w:val="00B87740"/>
    <w:rsid w:val="00B900D9"/>
    <w:rsid w:val="00B91592"/>
    <w:rsid w:val="00B9262C"/>
    <w:rsid w:val="00B96306"/>
    <w:rsid w:val="00BA2DD6"/>
    <w:rsid w:val="00BA3161"/>
    <w:rsid w:val="00BA36B2"/>
    <w:rsid w:val="00BB158D"/>
    <w:rsid w:val="00BB22C6"/>
    <w:rsid w:val="00BB44E2"/>
    <w:rsid w:val="00BB7BD0"/>
    <w:rsid w:val="00BC0ACF"/>
    <w:rsid w:val="00BC0C19"/>
    <w:rsid w:val="00BC0D18"/>
    <w:rsid w:val="00BC0D39"/>
    <w:rsid w:val="00BC278E"/>
    <w:rsid w:val="00BC2E53"/>
    <w:rsid w:val="00BC426B"/>
    <w:rsid w:val="00BC45F9"/>
    <w:rsid w:val="00BC4D05"/>
    <w:rsid w:val="00BC5E18"/>
    <w:rsid w:val="00BC616A"/>
    <w:rsid w:val="00BC738C"/>
    <w:rsid w:val="00BC78D0"/>
    <w:rsid w:val="00BD1400"/>
    <w:rsid w:val="00BD2EB2"/>
    <w:rsid w:val="00BD4AAE"/>
    <w:rsid w:val="00BE2E8A"/>
    <w:rsid w:val="00BE4DCD"/>
    <w:rsid w:val="00BE54B3"/>
    <w:rsid w:val="00BE6098"/>
    <w:rsid w:val="00BE6AEA"/>
    <w:rsid w:val="00BE7410"/>
    <w:rsid w:val="00BE7466"/>
    <w:rsid w:val="00BE7ADE"/>
    <w:rsid w:val="00BF0E90"/>
    <w:rsid w:val="00BF101E"/>
    <w:rsid w:val="00BF1160"/>
    <w:rsid w:val="00BF36A4"/>
    <w:rsid w:val="00BF47A8"/>
    <w:rsid w:val="00BF4E48"/>
    <w:rsid w:val="00BF5AD0"/>
    <w:rsid w:val="00C00AAD"/>
    <w:rsid w:val="00C0271B"/>
    <w:rsid w:val="00C03160"/>
    <w:rsid w:val="00C032E2"/>
    <w:rsid w:val="00C04AAB"/>
    <w:rsid w:val="00C101D9"/>
    <w:rsid w:val="00C10307"/>
    <w:rsid w:val="00C1195C"/>
    <w:rsid w:val="00C12004"/>
    <w:rsid w:val="00C13E5B"/>
    <w:rsid w:val="00C156DC"/>
    <w:rsid w:val="00C15F97"/>
    <w:rsid w:val="00C176C7"/>
    <w:rsid w:val="00C2083E"/>
    <w:rsid w:val="00C21E5E"/>
    <w:rsid w:val="00C22BDF"/>
    <w:rsid w:val="00C242EB"/>
    <w:rsid w:val="00C2694C"/>
    <w:rsid w:val="00C27A75"/>
    <w:rsid w:val="00C302CA"/>
    <w:rsid w:val="00C30396"/>
    <w:rsid w:val="00C30C9F"/>
    <w:rsid w:val="00C3629A"/>
    <w:rsid w:val="00C40624"/>
    <w:rsid w:val="00C4133F"/>
    <w:rsid w:val="00C41FBD"/>
    <w:rsid w:val="00C42BF5"/>
    <w:rsid w:val="00C42D7D"/>
    <w:rsid w:val="00C43AD2"/>
    <w:rsid w:val="00C44AD7"/>
    <w:rsid w:val="00C45346"/>
    <w:rsid w:val="00C45424"/>
    <w:rsid w:val="00C456FC"/>
    <w:rsid w:val="00C50175"/>
    <w:rsid w:val="00C50746"/>
    <w:rsid w:val="00C5297E"/>
    <w:rsid w:val="00C54DBB"/>
    <w:rsid w:val="00C55E9E"/>
    <w:rsid w:val="00C57751"/>
    <w:rsid w:val="00C60855"/>
    <w:rsid w:val="00C60F86"/>
    <w:rsid w:val="00C630FF"/>
    <w:rsid w:val="00C64E07"/>
    <w:rsid w:val="00C655DB"/>
    <w:rsid w:val="00C66F6E"/>
    <w:rsid w:val="00C70267"/>
    <w:rsid w:val="00C7098A"/>
    <w:rsid w:val="00C7171B"/>
    <w:rsid w:val="00C72332"/>
    <w:rsid w:val="00C73945"/>
    <w:rsid w:val="00C745F8"/>
    <w:rsid w:val="00C7461A"/>
    <w:rsid w:val="00C775CE"/>
    <w:rsid w:val="00C777AE"/>
    <w:rsid w:val="00C80515"/>
    <w:rsid w:val="00C83491"/>
    <w:rsid w:val="00C844A5"/>
    <w:rsid w:val="00C84F44"/>
    <w:rsid w:val="00C851F2"/>
    <w:rsid w:val="00C8772A"/>
    <w:rsid w:val="00C87BB0"/>
    <w:rsid w:val="00C87BF7"/>
    <w:rsid w:val="00C93692"/>
    <w:rsid w:val="00C941C9"/>
    <w:rsid w:val="00C95C9C"/>
    <w:rsid w:val="00C95ED6"/>
    <w:rsid w:val="00C97EF2"/>
    <w:rsid w:val="00CA13A7"/>
    <w:rsid w:val="00CA1E6F"/>
    <w:rsid w:val="00CA2589"/>
    <w:rsid w:val="00CA49F6"/>
    <w:rsid w:val="00CA6C2F"/>
    <w:rsid w:val="00CA7299"/>
    <w:rsid w:val="00CB0ED2"/>
    <w:rsid w:val="00CB2327"/>
    <w:rsid w:val="00CB4474"/>
    <w:rsid w:val="00CB6D0F"/>
    <w:rsid w:val="00CC012D"/>
    <w:rsid w:val="00CC098E"/>
    <w:rsid w:val="00CC1275"/>
    <w:rsid w:val="00CC15C6"/>
    <w:rsid w:val="00CC1BB2"/>
    <w:rsid w:val="00CC1D22"/>
    <w:rsid w:val="00CC31C9"/>
    <w:rsid w:val="00CC3612"/>
    <w:rsid w:val="00CC43ED"/>
    <w:rsid w:val="00CC499F"/>
    <w:rsid w:val="00CC5C07"/>
    <w:rsid w:val="00CC6C96"/>
    <w:rsid w:val="00CC7E12"/>
    <w:rsid w:val="00CD723F"/>
    <w:rsid w:val="00CD7D93"/>
    <w:rsid w:val="00CE4C14"/>
    <w:rsid w:val="00CE5D36"/>
    <w:rsid w:val="00CE6650"/>
    <w:rsid w:val="00CF0C9B"/>
    <w:rsid w:val="00CF187F"/>
    <w:rsid w:val="00CF1932"/>
    <w:rsid w:val="00CF20DB"/>
    <w:rsid w:val="00CF3E99"/>
    <w:rsid w:val="00CF50B4"/>
    <w:rsid w:val="00CF5CA1"/>
    <w:rsid w:val="00D00C33"/>
    <w:rsid w:val="00D02F0B"/>
    <w:rsid w:val="00D03152"/>
    <w:rsid w:val="00D0339A"/>
    <w:rsid w:val="00D037BD"/>
    <w:rsid w:val="00D0520B"/>
    <w:rsid w:val="00D06F43"/>
    <w:rsid w:val="00D07B84"/>
    <w:rsid w:val="00D11BA4"/>
    <w:rsid w:val="00D155AF"/>
    <w:rsid w:val="00D15910"/>
    <w:rsid w:val="00D15D7B"/>
    <w:rsid w:val="00D15F20"/>
    <w:rsid w:val="00D1611E"/>
    <w:rsid w:val="00D16778"/>
    <w:rsid w:val="00D16ECF"/>
    <w:rsid w:val="00D2148B"/>
    <w:rsid w:val="00D222A5"/>
    <w:rsid w:val="00D239AD"/>
    <w:rsid w:val="00D261EF"/>
    <w:rsid w:val="00D26649"/>
    <w:rsid w:val="00D26DED"/>
    <w:rsid w:val="00D30391"/>
    <w:rsid w:val="00D314A2"/>
    <w:rsid w:val="00D348B0"/>
    <w:rsid w:val="00D4008B"/>
    <w:rsid w:val="00D4016B"/>
    <w:rsid w:val="00D41E4B"/>
    <w:rsid w:val="00D420E0"/>
    <w:rsid w:val="00D43A33"/>
    <w:rsid w:val="00D45295"/>
    <w:rsid w:val="00D4606F"/>
    <w:rsid w:val="00D46B1F"/>
    <w:rsid w:val="00D4753F"/>
    <w:rsid w:val="00D50261"/>
    <w:rsid w:val="00D50A2F"/>
    <w:rsid w:val="00D50FCD"/>
    <w:rsid w:val="00D523E5"/>
    <w:rsid w:val="00D52E34"/>
    <w:rsid w:val="00D54EE1"/>
    <w:rsid w:val="00D57D47"/>
    <w:rsid w:val="00D6037F"/>
    <w:rsid w:val="00D62A0D"/>
    <w:rsid w:val="00D63463"/>
    <w:rsid w:val="00D64817"/>
    <w:rsid w:val="00D64EF1"/>
    <w:rsid w:val="00D67407"/>
    <w:rsid w:val="00D70FB1"/>
    <w:rsid w:val="00D72979"/>
    <w:rsid w:val="00D755EB"/>
    <w:rsid w:val="00D768E3"/>
    <w:rsid w:val="00D819DA"/>
    <w:rsid w:val="00D827B9"/>
    <w:rsid w:val="00D8512E"/>
    <w:rsid w:val="00D85CF7"/>
    <w:rsid w:val="00D86EFA"/>
    <w:rsid w:val="00D90978"/>
    <w:rsid w:val="00D91E1D"/>
    <w:rsid w:val="00D93975"/>
    <w:rsid w:val="00D93CF4"/>
    <w:rsid w:val="00D95C4B"/>
    <w:rsid w:val="00D9688C"/>
    <w:rsid w:val="00D974FC"/>
    <w:rsid w:val="00DA00E5"/>
    <w:rsid w:val="00DA1536"/>
    <w:rsid w:val="00DA2AAD"/>
    <w:rsid w:val="00DA323F"/>
    <w:rsid w:val="00DB0D6F"/>
    <w:rsid w:val="00DB2250"/>
    <w:rsid w:val="00DB3C24"/>
    <w:rsid w:val="00DB4D97"/>
    <w:rsid w:val="00DB60F2"/>
    <w:rsid w:val="00DC1499"/>
    <w:rsid w:val="00DC324C"/>
    <w:rsid w:val="00DC4A01"/>
    <w:rsid w:val="00DC567E"/>
    <w:rsid w:val="00DC57A6"/>
    <w:rsid w:val="00DC6F45"/>
    <w:rsid w:val="00DD0C11"/>
    <w:rsid w:val="00DD3C1E"/>
    <w:rsid w:val="00DD5DBD"/>
    <w:rsid w:val="00DD5F69"/>
    <w:rsid w:val="00DE025C"/>
    <w:rsid w:val="00DE0DC7"/>
    <w:rsid w:val="00DE1DF4"/>
    <w:rsid w:val="00DE3032"/>
    <w:rsid w:val="00DE30CD"/>
    <w:rsid w:val="00DE628B"/>
    <w:rsid w:val="00DE6AA1"/>
    <w:rsid w:val="00DE74F5"/>
    <w:rsid w:val="00DE7B27"/>
    <w:rsid w:val="00DF0722"/>
    <w:rsid w:val="00DF197A"/>
    <w:rsid w:val="00DF1A0D"/>
    <w:rsid w:val="00DF2003"/>
    <w:rsid w:val="00DF465E"/>
    <w:rsid w:val="00DF60FF"/>
    <w:rsid w:val="00DF6FF6"/>
    <w:rsid w:val="00E02AAE"/>
    <w:rsid w:val="00E044CE"/>
    <w:rsid w:val="00E05784"/>
    <w:rsid w:val="00E102A9"/>
    <w:rsid w:val="00E10D2B"/>
    <w:rsid w:val="00E11ACD"/>
    <w:rsid w:val="00E13581"/>
    <w:rsid w:val="00E13E2A"/>
    <w:rsid w:val="00E145D1"/>
    <w:rsid w:val="00E15123"/>
    <w:rsid w:val="00E15E8A"/>
    <w:rsid w:val="00E166F5"/>
    <w:rsid w:val="00E17EBE"/>
    <w:rsid w:val="00E204A3"/>
    <w:rsid w:val="00E24767"/>
    <w:rsid w:val="00E2654E"/>
    <w:rsid w:val="00E2673D"/>
    <w:rsid w:val="00E31C99"/>
    <w:rsid w:val="00E3789C"/>
    <w:rsid w:val="00E40F14"/>
    <w:rsid w:val="00E4264C"/>
    <w:rsid w:val="00E43829"/>
    <w:rsid w:val="00E448D9"/>
    <w:rsid w:val="00E44AD0"/>
    <w:rsid w:val="00E46E60"/>
    <w:rsid w:val="00E47515"/>
    <w:rsid w:val="00E4756F"/>
    <w:rsid w:val="00E4793E"/>
    <w:rsid w:val="00E51AA9"/>
    <w:rsid w:val="00E51BC3"/>
    <w:rsid w:val="00E53E92"/>
    <w:rsid w:val="00E57237"/>
    <w:rsid w:val="00E5733A"/>
    <w:rsid w:val="00E62121"/>
    <w:rsid w:val="00E63410"/>
    <w:rsid w:val="00E63AE2"/>
    <w:rsid w:val="00E64B6B"/>
    <w:rsid w:val="00E64CEF"/>
    <w:rsid w:val="00E665FC"/>
    <w:rsid w:val="00E74419"/>
    <w:rsid w:val="00E74E31"/>
    <w:rsid w:val="00E758CD"/>
    <w:rsid w:val="00E75904"/>
    <w:rsid w:val="00E77B26"/>
    <w:rsid w:val="00E82D3D"/>
    <w:rsid w:val="00E843FC"/>
    <w:rsid w:val="00E844E4"/>
    <w:rsid w:val="00E84C00"/>
    <w:rsid w:val="00E855BE"/>
    <w:rsid w:val="00E90189"/>
    <w:rsid w:val="00E92BB2"/>
    <w:rsid w:val="00E93C65"/>
    <w:rsid w:val="00E951D2"/>
    <w:rsid w:val="00E96C9C"/>
    <w:rsid w:val="00EA07EE"/>
    <w:rsid w:val="00EA32ED"/>
    <w:rsid w:val="00EA33E6"/>
    <w:rsid w:val="00EA344E"/>
    <w:rsid w:val="00EA40DF"/>
    <w:rsid w:val="00EA55AB"/>
    <w:rsid w:val="00EB2292"/>
    <w:rsid w:val="00EB38E4"/>
    <w:rsid w:val="00EB4D56"/>
    <w:rsid w:val="00EB5293"/>
    <w:rsid w:val="00EB5335"/>
    <w:rsid w:val="00EB7692"/>
    <w:rsid w:val="00EC02ED"/>
    <w:rsid w:val="00EC7650"/>
    <w:rsid w:val="00EC7B0D"/>
    <w:rsid w:val="00ED1D21"/>
    <w:rsid w:val="00ED2892"/>
    <w:rsid w:val="00ED28A5"/>
    <w:rsid w:val="00EE0488"/>
    <w:rsid w:val="00EE05D4"/>
    <w:rsid w:val="00EE1068"/>
    <w:rsid w:val="00EE19CD"/>
    <w:rsid w:val="00EE1A32"/>
    <w:rsid w:val="00EE3244"/>
    <w:rsid w:val="00EE35AC"/>
    <w:rsid w:val="00EE40A1"/>
    <w:rsid w:val="00EE6118"/>
    <w:rsid w:val="00EE7C64"/>
    <w:rsid w:val="00EF3873"/>
    <w:rsid w:val="00EF47A4"/>
    <w:rsid w:val="00EF4C27"/>
    <w:rsid w:val="00EF652D"/>
    <w:rsid w:val="00F01389"/>
    <w:rsid w:val="00F028AB"/>
    <w:rsid w:val="00F02D99"/>
    <w:rsid w:val="00F03892"/>
    <w:rsid w:val="00F03CE7"/>
    <w:rsid w:val="00F05098"/>
    <w:rsid w:val="00F057B5"/>
    <w:rsid w:val="00F058A2"/>
    <w:rsid w:val="00F06035"/>
    <w:rsid w:val="00F07C69"/>
    <w:rsid w:val="00F1767E"/>
    <w:rsid w:val="00F24198"/>
    <w:rsid w:val="00F2600A"/>
    <w:rsid w:val="00F26337"/>
    <w:rsid w:val="00F26571"/>
    <w:rsid w:val="00F31D76"/>
    <w:rsid w:val="00F32A5D"/>
    <w:rsid w:val="00F348AF"/>
    <w:rsid w:val="00F35FF0"/>
    <w:rsid w:val="00F42853"/>
    <w:rsid w:val="00F4689C"/>
    <w:rsid w:val="00F4692B"/>
    <w:rsid w:val="00F46F29"/>
    <w:rsid w:val="00F473C6"/>
    <w:rsid w:val="00F47C55"/>
    <w:rsid w:val="00F50377"/>
    <w:rsid w:val="00F50FB0"/>
    <w:rsid w:val="00F56B35"/>
    <w:rsid w:val="00F61E96"/>
    <w:rsid w:val="00F633C2"/>
    <w:rsid w:val="00F64301"/>
    <w:rsid w:val="00F66D46"/>
    <w:rsid w:val="00F6784B"/>
    <w:rsid w:val="00F70F1D"/>
    <w:rsid w:val="00F7266D"/>
    <w:rsid w:val="00F74059"/>
    <w:rsid w:val="00F76D71"/>
    <w:rsid w:val="00F770A4"/>
    <w:rsid w:val="00F77FE9"/>
    <w:rsid w:val="00F82E55"/>
    <w:rsid w:val="00F834FF"/>
    <w:rsid w:val="00F84CB3"/>
    <w:rsid w:val="00F862D0"/>
    <w:rsid w:val="00F873EC"/>
    <w:rsid w:val="00F877B0"/>
    <w:rsid w:val="00F930A4"/>
    <w:rsid w:val="00F93EFF"/>
    <w:rsid w:val="00F94130"/>
    <w:rsid w:val="00F96049"/>
    <w:rsid w:val="00FA0380"/>
    <w:rsid w:val="00FA0BF2"/>
    <w:rsid w:val="00FA1421"/>
    <w:rsid w:val="00FA43A5"/>
    <w:rsid w:val="00FA65E8"/>
    <w:rsid w:val="00FA6E51"/>
    <w:rsid w:val="00FB36AB"/>
    <w:rsid w:val="00FB4B15"/>
    <w:rsid w:val="00FB6183"/>
    <w:rsid w:val="00FB6C4A"/>
    <w:rsid w:val="00FB72ED"/>
    <w:rsid w:val="00FB748A"/>
    <w:rsid w:val="00FC3153"/>
    <w:rsid w:val="00FC3221"/>
    <w:rsid w:val="00FC3298"/>
    <w:rsid w:val="00FC6504"/>
    <w:rsid w:val="00FC68F9"/>
    <w:rsid w:val="00FC6B7E"/>
    <w:rsid w:val="00FC70CA"/>
    <w:rsid w:val="00FD091C"/>
    <w:rsid w:val="00FD750B"/>
    <w:rsid w:val="00FE0D20"/>
    <w:rsid w:val="00FE15DC"/>
    <w:rsid w:val="00FE374B"/>
    <w:rsid w:val="00FE3A2C"/>
    <w:rsid w:val="00FE483C"/>
    <w:rsid w:val="00FE7780"/>
    <w:rsid w:val="00FE7975"/>
    <w:rsid w:val="00FF04C3"/>
    <w:rsid w:val="00FF0987"/>
    <w:rsid w:val="00FF123D"/>
    <w:rsid w:val="00FF39AD"/>
    <w:rsid w:val="00FF4A4E"/>
    <w:rsid w:val="00FF59BB"/>
    <w:rsid w:val="00FF7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8A8E026"/>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303C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03C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table" w:styleId="Tablaconcuadrcula">
    <w:name w:val="Table Grid"/>
    <w:basedOn w:val="Tablanormal"/>
    <w:uiPriority w:val="59"/>
    <w:rsid w:val="00A70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
    <w:link w:val="Prrafodelista"/>
    <w:uiPriority w:val="34"/>
    <w:rsid w:val="004A3C53"/>
    <w:rPr>
      <w:rFonts w:ascii="Arial" w:eastAsia="Times New Roman" w:hAnsi="Arial"/>
      <w:sz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146F12"/>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146F12"/>
    <w:rPr>
      <w:lang w:eastAsia="en-US"/>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Itali"/>
    <w:basedOn w:val="Fuentedeprrafopredeter"/>
    <w:uiPriority w:val="99"/>
    <w:unhideWhenUsed/>
    <w:rsid w:val="00146F12"/>
    <w:rPr>
      <w:vertAlign w:val="superscript"/>
    </w:rPr>
  </w:style>
  <w:style w:type="character" w:styleId="Hipervnculo">
    <w:name w:val="Hyperlink"/>
    <w:basedOn w:val="Fuentedeprrafopredeter"/>
    <w:uiPriority w:val="99"/>
    <w:unhideWhenUsed/>
    <w:rsid w:val="00853AB3"/>
    <w:rPr>
      <w:color w:val="0000FF" w:themeColor="hyperlink"/>
      <w:u w:val="single"/>
    </w:rPr>
  </w:style>
  <w:style w:type="paragraph" w:styleId="Revisin">
    <w:name w:val="Revision"/>
    <w:hidden/>
    <w:uiPriority w:val="99"/>
    <w:semiHidden/>
    <w:rsid w:val="00375A58"/>
    <w:rPr>
      <w:sz w:val="22"/>
      <w:szCs w:val="22"/>
      <w:lang w:eastAsia="en-US"/>
    </w:rPr>
  </w:style>
  <w:style w:type="table" w:styleId="Cuadrculadetablaclara">
    <w:name w:val="Grid Table Light"/>
    <w:basedOn w:val="Tablanormal"/>
    <w:uiPriority w:val="99"/>
    <w:rsid w:val="001905A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303C6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303C6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600">
      <w:bodyDiv w:val="1"/>
      <w:marLeft w:val="0"/>
      <w:marRight w:val="0"/>
      <w:marTop w:val="0"/>
      <w:marBottom w:val="0"/>
      <w:divBdr>
        <w:top w:val="none" w:sz="0" w:space="0" w:color="auto"/>
        <w:left w:val="none" w:sz="0" w:space="0" w:color="auto"/>
        <w:bottom w:val="none" w:sz="0" w:space="0" w:color="auto"/>
        <w:right w:val="none" w:sz="0" w:space="0" w:color="auto"/>
      </w:divBdr>
    </w:div>
    <w:div w:id="49693803">
      <w:bodyDiv w:val="1"/>
      <w:marLeft w:val="0"/>
      <w:marRight w:val="0"/>
      <w:marTop w:val="0"/>
      <w:marBottom w:val="0"/>
      <w:divBdr>
        <w:top w:val="none" w:sz="0" w:space="0" w:color="auto"/>
        <w:left w:val="none" w:sz="0" w:space="0" w:color="auto"/>
        <w:bottom w:val="none" w:sz="0" w:space="0" w:color="auto"/>
        <w:right w:val="none" w:sz="0" w:space="0" w:color="auto"/>
      </w:divBdr>
    </w:div>
    <w:div w:id="87623314">
      <w:bodyDiv w:val="1"/>
      <w:marLeft w:val="0"/>
      <w:marRight w:val="0"/>
      <w:marTop w:val="0"/>
      <w:marBottom w:val="0"/>
      <w:divBdr>
        <w:top w:val="none" w:sz="0" w:space="0" w:color="auto"/>
        <w:left w:val="none" w:sz="0" w:space="0" w:color="auto"/>
        <w:bottom w:val="none" w:sz="0" w:space="0" w:color="auto"/>
        <w:right w:val="none" w:sz="0" w:space="0" w:color="auto"/>
      </w:divBdr>
    </w:div>
    <w:div w:id="168182852">
      <w:bodyDiv w:val="1"/>
      <w:marLeft w:val="0"/>
      <w:marRight w:val="0"/>
      <w:marTop w:val="0"/>
      <w:marBottom w:val="0"/>
      <w:divBdr>
        <w:top w:val="none" w:sz="0" w:space="0" w:color="auto"/>
        <w:left w:val="none" w:sz="0" w:space="0" w:color="auto"/>
        <w:bottom w:val="none" w:sz="0" w:space="0" w:color="auto"/>
        <w:right w:val="none" w:sz="0" w:space="0" w:color="auto"/>
      </w:divBdr>
    </w:div>
    <w:div w:id="355693355">
      <w:bodyDiv w:val="1"/>
      <w:marLeft w:val="0"/>
      <w:marRight w:val="0"/>
      <w:marTop w:val="0"/>
      <w:marBottom w:val="0"/>
      <w:divBdr>
        <w:top w:val="none" w:sz="0" w:space="0" w:color="auto"/>
        <w:left w:val="none" w:sz="0" w:space="0" w:color="auto"/>
        <w:bottom w:val="none" w:sz="0" w:space="0" w:color="auto"/>
        <w:right w:val="none" w:sz="0" w:space="0" w:color="auto"/>
      </w:divBdr>
    </w:div>
    <w:div w:id="449860844">
      <w:bodyDiv w:val="1"/>
      <w:marLeft w:val="0"/>
      <w:marRight w:val="0"/>
      <w:marTop w:val="0"/>
      <w:marBottom w:val="0"/>
      <w:divBdr>
        <w:top w:val="none" w:sz="0" w:space="0" w:color="auto"/>
        <w:left w:val="none" w:sz="0" w:space="0" w:color="auto"/>
        <w:bottom w:val="none" w:sz="0" w:space="0" w:color="auto"/>
        <w:right w:val="none" w:sz="0" w:space="0" w:color="auto"/>
      </w:divBdr>
    </w:div>
    <w:div w:id="461270212">
      <w:bodyDiv w:val="1"/>
      <w:marLeft w:val="0"/>
      <w:marRight w:val="0"/>
      <w:marTop w:val="0"/>
      <w:marBottom w:val="0"/>
      <w:divBdr>
        <w:top w:val="none" w:sz="0" w:space="0" w:color="auto"/>
        <w:left w:val="none" w:sz="0" w:space="0" w:color="auto"/>
        <w:bottom w:val="none" w:sz="0" w:space="0" w:color="auto"/>
        <w:right w:val="none" w:sz="0" w:space="0" w:color="auto"/>
      </w:divBdr>
    </w:div>
    <w:div w:id="820269246">
      <w:bodyDiv w:val="1"/>
      <w:marLeft w:val="0"/>
      <w:marRight w:val="0"/>
      <w:marTop w:val="0"/>
      <w:marBottom w:val="0"/>
      <w:divBdr>
        <w:top w:val="none" w:sz="0" w:space="0" w:color="auto"/>
        <w:left w:val="none" w:sz="0" w:space="0" w:color="auto"/>
        <w:bottom w:val="none" w:sz="0" w:space="0" w:color="auto"/>
        <w:right w:val="none" w:sz="0" w:space="0" w:color="auto"/>
      </w:divBdr>
      <w:divsChild>
        <w:div w:id="1172405446">
          <w:marLeft w:val="720"/>
          <w:marRight w:val="0"/>
          <w:marTop w:val="0"/>
          <w:marBottom w:val="100"/>
          <w:divBdr>
            <w:top w:val="none" w:sz="0" w:space="0" w:color="auto"/>
            <w:left w:val="none" w:sz="0" w:space="0" w:color="auto"/>
            <w:bottom w:val="none" w:sz="0" w:space="0" w:color="auto"/>
            <w:right w:val="none" w:sz="0" w:space="0" w:color="auto"/>
          </w:divBdr>
        </w:div>
        <w:div w:id="1717970877">
          <w:marLeft w:val="720"/>
          <w:marRight w:val="0"/>
          <w:marTop w:val="0"/>
          <w:marBottom w:val="100"/>
          <w:divBdr>
            <w:top w:val="none" w:sz="0" w:space="0" w:color="auto"/>
            <w:left w:val="none" w:sz="0" w:space="0" w:color="auto"/>
            <w:bottom w:val="none" w:sz="0" w:space="0" w:color="auto"/>
            <w:right w:val="none" w:sz="0" w:space="0" w:color="auto"/>
          </w:divBdr>
        </w:div>
        <w:div w:id="110513566">
          <w:marLeft w:val="720"/>
          <w:marRight w:val="0"/>
          <w:marTop w:val="0"/>
          <w:marBottom w:val="100"/>
          <w:divBdr>
            <w:top w:val="none" w:sz="0" w:space="0" w:color="auto"/>
            <w:left w:val="none" w:sz="0" w:space="0" w:color="auto"/>
            <w:bottom w:val="none" w:sz="0" w:space="0" w:color="auto"/>
            <w:right w:val="none" w:sz="0" w:space="0" w:color="auto"/>
          </w:divBdr>
        </w:div>
        <w:div w:id="1196390033">
          <w:marLeft w:val="720"/>
          <w:marRight w:val="0"/>
          <w:marTop w:val="0"/>
          <w:marBottom w:val="100"/>
          <w:divBdr>
            <w:top w:val="none" w:sz="0" w:space="0" w:color="auto"/>
            <w:left w:val="none" w:sz="0" w:space="0" w:color="auto"/>
            <w:bottom w:val="none" w:sz="0" w:space="0" w:color="auto"/>
            <w:right w:val="none" w:sz="0" w:space="0" w:color="auto"/>
          </w:divBdr>
        </w:div>
        <w:div w:id="960264775">
          <w:marLeft w:val="720"/>
          <w:marRight w:val="0"/>
          <w:marTop w:val="0"/>
          <w:marBottom w:val="100"/>
          <w:divBdr>
            <w:top w:val="none" w:sz="0" w:space="0" w:color="auto"/>
            <w:left w:val="none" w:sz="0" w:space="0" w:color="auto"/>
            <w:bottom w:val="none" w:sz="0" w:space="0" w:color="auto"/>
            <w:right w:val="none" w:sz="0" w:space="0" w:color="auto"/>
          </w:divBdr>
        </w:div>
      </w:divsChild>
    </w:div>
    <w:div w:id="823744888">
      <w:bodyDiv w:val="1"/>
      <w:marLeft w:val="0"/>
      <w:marRight w:val="0"/>
      <w:marTop w:val="0"/>
      <w:marBottom w:val="0"/>
      <w:divBdr>
        <w:top w:val="none" w:sz="0" w:space="0" w:color="auto"/>
        <w:left w:val="none" w:sz="0" w:space="0" w:color="auto"/>
        <w:bottom w:val="none" w:sz="0" w:space="0" w:color="auto"/>
        <w:right w:val="none" w:sz="0" w:space="0" w:color="auto"/>
      </w:divBdr>
    </w:div>
    <w:div w:id="976374036">
      <w:bodyDiv w:val="1"/>
      <w:marLeft w:val="0"/>
      <w:marRight w:val="0"/>
      <w:marTop w:val="0"/>
      <w:marBottom w:val="0"/>
      <w:divBdr>
        <w:top w:val="none" w:sz="0" w:space="0" w:color="auto"/>
        <w:left w:val="none" w:sz="0" w:space="0" w:color="auto"/>
        <w:bottom w:val="none" w:sz="0" w:space="0" w:color="auto"/>
        <w:right w:val="none" w:sz="0" w:space="0" w:color="auto"/>
      </w:divBdr>
    </w:div>
    <w:div w:id="1332490667">
      <w:bodyDiv w:val="1"/>
      <w:marLeft w:val="0"/>
      <w:marRight w:val="0"/>
      <w:marTop w:val="0"/>
      <w:marBottom w:val="0"/>
      <w:divBdr>
        <w:top w:val="none" w:sz="0" w:space="0" w:color="auto"/>
        <w:left w:val="none" w:sz="0" w:space="0" w:color="auto"/>
        <w:bottom w:val="none" w:sz="0" w:space="0" w:color="auto"/>
        <w:right w:val="none" w:sz="0" w:space="0" w:color="auto"/>
      </w:divBdr>
    </w:div>
    <w:div w:id="1496453544">
      <w:bodyDiv w:val="1"/>
      <w:marLeft w:val="0"/>
      <w:marRight w:val="0"/>
      <w:marTop w:val="0"/>
      <w:marBottom w:val="0"/>
      <w:divBdr>
        <w:top w:val="none" w:sz="0" w:space="0" w:color="auto"/>
        <w:left w:val="none" w:sz="0" w:space="0" w:color="auto"/>
        <w:bottom w:val="none" w:sz="0" w:space="0" w:color="auto"/>
        <w:right w:val="none" w:sz="0" w:space="0" w:color="auto"/>
      </w:divBdr>
    </w:div>
    <w:div w:id="1522471365">
      <w:bodyDiv w:val="1"/>
      <w:marLeft w:val="0"/>
      <w:marRight w:val="0"/>
      <w:marTop w:val="0"/>
      <w:marBottom w:val="0"/>
      <w:divBdr>
        <w:top w:val="none" w:sz="0" w:space="0" w:color="auto"/>
        <w:left w:val="none" w:sz="0" w:space="0" w:color="auto"/>
        <w:bottom w:val="none" w:sz="0" w:space="0" w:color="auto"/>
        <w:right w:val="none" w:sz="0" w:space="0" w:color="auto"/>
      </w:divBdr>
    </w:div>
    <w:div w:id="1608851097">
      <w:bodyDiv w:val="1"/>
      <w:marLeft w:val="0"/>
      <w:marRight w:val="0"/>
      <w:marTop w:val="0"/>
      <w:marBottom w:val="0"/>
      <w:divBdr>
        <w:top w:val="none" w:sz="0" w:space="0" w:color="auto"/>
        <w:left w:val="none" w:sz="0" w:space="0" w:color="auto"/>
        <w:bottom w:val="none" w:sz="0" w:space="0" w:color="auto"/>
        <w:right w:val="none" w:sz="0" w:space="0" w:color="auto"/>
      </w:divBdr>
    </w:div>
    <w:div w:id="1629630862">
      <w:bodyDiv w:val="1"/>
      <w:marLeft w:val="0"/>
      <w:marRight w:val="0"/>
      <w:marTop w:val="0"/>
      <w:marBottom w:val="0"/>
      <w:divBdr>
        <w:top w:val="none" w:sz="0" w:space="0" w:color="auto"/>
        <w:left w:val="none" w:sz="0" w:space="0" w:color="auto"/>
        <w:bottom w:val="none" w:sz="0" w:space="0" w:color="auto"/>
        <w:right w:val="none" w:sz="0" w:space="0" w:color="auto"/>
      </w:divBdr>
    </w:div>
    <w:div w:id="1655987431">
      <w:bodyDiv w:val="1"/>
      <w:marLeft w:val="0"/>
      <w:marRight w:val="0"/>
      <w:marTop w:val="0"/>
      <w:marBottom w:val="0"/>
      <w:divBdr>
        <w:top w:val="none" w:sz="0" w:space="0" w:color="auto"/>
        <w:left w:val="none" w:sz="0" w:space="0" w:color="auto"/>
        <w:bottom w:val="none" w:sz="0" w:space="0" w:color="auto"/>
        <w:right w:val="none" w:sz="0" w:space="0" w:color="auto"/>
      </w:divBdr>
    </w:div>
    <w:div w:id="1784762015">
      <w:bodyDiv w:val="1"/>
      <w:marLeft w:val="0"/>
      <w:marRight w:val="0"/>
      <w:marTop w:val="0"/>
      <w:marBottom w:val="0"/>
      <w:divBdr>
        <w:top w:val="none" w:sz="0" w:space="0" w:color="auto"/>
        <w:left w:val="none" w:sz="0" w:space="0" w:color="auto"/>
        <w:bottom w:val="none" w:sz="0" w:space="0" w:color="auto"/>
        <w:right w:val="none" w:sz="0" w:space="0" w:color="auto"/>
      </w:divBdr>
    </w:div>
    <w:div w:id="21214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080B-B964-4843-A8CA-982294C4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11242</Words>
  <Characters>61835</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10</cp:revision>
  <cp:lastPrinted>2017-06-27T21:25:00Z</cp:lastPrinted>
  <dcterms:created xsi:type="dcterms:W3CDTF">2017-06-14T00:43:00Z</dcterms:created>
  <dcterms:modified xsi:type="dcterms:W3CDTF">2017-07-13T21:18:00Z</dcterms:modified>
</cp:coreProperties>
</file>