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9C" w:rsidRDefault="00633BEB" w:rsidP="001C629C">
      <w:pPr>
        <w:pStyle w:val="Ttulo1"/>
        <w:keepNext/>
        <w:keepLines/>
        <w:spacing w:before="240" w:beforeAutospacing="0" w:after="240" w:afterAutospacing="0"/>
        <w:jc w:val="both"/>
        <w:rPr>
          <w:rFonts w:ascii="ITC Avant Garde" w:eastAsiaTheme="majorEastAsia" w:hAnsi="ITC Avant Garde" w:cstheme="majorBidi"/>
          <w:bCs w:val="0"/>
          <w:color w:val="000000" w:themeColor="text1"/>
          <w:kern w:val="0"/>
          <w:sz w:val="22"/>
          <w:szCs w:val="22"/>
        </w:rPr>
      </w:pPr>
      <w:r w:rsidRPr="001C629C">
        <w:rPr>
          <w:rFonts w:ascii="ITC Avant Garde" w:eastAsiaTheme="majorEastAsia" w:hAnsi="ITC Avant Garde" w:cstheme="majorBidi"/>
          <w:bCs w:val="0"/>
          <w:color w:val="000000" w:themeColor="text1"/>
          <w:kern w:val="0"/>
          <w:sz w:val="22"/>
          <w:szCs w:val="22"/>
        </w:rPr>
        <w:t xml:space="preserve">ACUERDO MEDIANTE EL CUAL EL PLENO DEL INSTITUTO FEDERAL DE TELECOMUNICACIONES EMITE OPINIÓN </w:t>
      </w:r>
      <w:r w:rsidR="00194370" w:rsidRPr="001C629C">
        <w:rPr>
          <w:rFonts w:ascii="ITC Avant Garde" w:eastAsiaTheme="majorEastAsia" w:hAnsi="ITC Avant Garde" w:cstheme="majorBidi"/>
          <w:bCs w:val="0"/>
          <w:color w:val="000000" w:themeColor="text1"/>
          <w:kern w:val="0"/>
          <w:sz w:val="22"/>
          <w:szCs w:val="22"/>
        </w:rPr>
        <w:t xml:space="preserve">CON RELACIÓN AL </w:t>
      </w:r>
      <w:r w:rsidRPr="001C629C">
        <w:rPr>
          <w:rFonts w:ascii="ITC Avant Garde" w:eastAsiaTheme="majorEastAsia" w:hAnsi="ITC Avant Garde" w:cstheme="majorBidi"/>
          <w:bCs w:val="0"/>
          <w:color w:val="000000" w:themeColor="text1"/>
          <w:kern w:val="0"/>
          <w:sz w:val="22"/>
          <w:szCs w:val="22"/>
        </w:rPr>
        <w:t>ANTEPROYECTO DE “LINEAMIENTOS PARA LA NOTIFICACIÓN DE CONCENTRACIONES POR MEDIOS ELECTRÓNICOS ANTE LA COMISIÓN FEDERAL DE COMPETENCIA ECONÓMICA”, ELABORADO POR LA COMISIÓN FEDERAL DE COMPETENCIA ECONÓMICA.</w:t>
      </w:r>
    </w:p>
    <w:p w:rsidR="001C629C" w:rsidRPr="001C629C" w:rsidRDefault="0090786F" w:rsidP="001C629C">
      <w:pPr>
        <w:pStyle w:val="Ttulo2"/>
        <w:spacing w:after="240"/>
        <w:jc w:val="center"/>
        <w:rPr>
          <w:rFonts w:ascii="ITC Avant Garde" w:hAnsi="ITC Avant Garde"/>
          <w:b/>
          <w:color w:val="000000" w:themeColor="text1"/>
          <w:sz w:val="24"/>
          <w:szCs w:val="24"/>
        </w:rPr>
      </w:pPr>
      <w:r w:rsidRPr="001C629C">
        <w:rPr>
          <w:rFonts w:ascii="ITC Avant Garde" w:hAnsi="ITC Avant Garde"/>
          <w:b/>
          <w:color w:val="000000" w:themeColor="text1"/>
          <w:sz w:val="24"/>
          <w:szCs w:val="24"/>
        </w:rPr>
        <w:t>I. ANTECEDENTES</w:t>
      </w:r>
    </w:p>
    <w:p w:rsidR="001C629C" w:rsidRDefault="004C4AE3" w:rsidP="0066134E">
      <w:pPr>
        <w:spacing w:after="160"/>
        <w:rPr>
          <w:rFonts w:ascii="ITC Avant Garde" w:hAnsi="ITC Avant Garde"/>
          <w:bCs/>
          <w:color w:val="000000"/>
          <w:sz w:val="24"/>
        </w:rPr>
      </w:pPr>
      <w:r>
        <w:rPr>
          <w:b/>
          <w:sz w:val="24"/>
        </w:rPr>
        <w:t>ÚNICO</w:t>
      </w:r>
      <w:r w:rsidR="0090786F" w:rsidRPr="00AA0C85">
        <w:rPr>
          <w:b/>
          <w:sz w:val="24"/>
        </w:rPr>
        <w:t>.</w:t>
      </w:r>
      <w:r w:rsidR="0090786F" w:rsidRPr="00AA0C85">
        <w:rPr>
          <w:sz w:val="24"/>
        </w:rPr>
        <w:t xml:space="preserve"> El treinta de agosto de dos mil diecisiete, la Comisión Federal de</w:t>
      </w:r>
      <w:r w:rsidR="004620C2" w:rsidRPr="00AA0C85">
        <w:rPr>
          <w:sz w:val="24"/>
        </w:rPr>
        <w:t xml:space="preserve"> Competencia Económica (COFECE)</w:t>
      </w:r>
      <w:r w:rsidR="0090786F" w:rsidRPr="00AA0C85">
        <w:rPr>
          <w:sz w:val="24"/>
        </w:rPr>
        <w:t xml:space="preserve"> solicitó la opinión de</w:t>
      </w:r>
      <w:r w:rsidR="000C5002">
        <w:rPr>
          <w:sz w:val="24"/>
        </w:rPr>
        <w:t>l</w:t>
      </w:r>
      <w:r w:rsidR="0090786F" w:rsidRPr="00AA0C85">
        <w:rPr>
          <w:sz w:val="24"/>
        </w:rPr>
        <w:t xml:space="preserve"> Instituto Federal de Telecomunicaciones (Instituto) </w:t>
      </w:r>
      <w:r w:rsidR="00545641">
        <w:rPr>
          <w:sz w:val="24"/>
        </w:rPr>
        <w:t>con relación al</w:t>
      </w:r>
      <w:r w:rsidR="0090786F" w:rsidRPr="00AA0C85">
        <w:rPr>
          <w:sz w:val="24"/>
        </w:rPr>
        <w:t xml:space="preserve"> Anteproyecto de “</w:t>
      </w:r>
      <w:r w:rsidR="0090786F" w:rsidRPr="000C5002">
        <w:rPr>
          <w:i/>
        </w:rPr>
        <w:t xml:space="preserve">Lineamientos </w:t>
      </w:r>
      <w:r w:rsidR="0090786F" w:rsidRPr="000C5002">
        <w:rPr>
          <w:rFonts w:ascii="ITC Avant Garde" w:hAnsi="ITC Avant Garde"/>
          <w:bCs/>
          <w:i/>
          <w:color w:val="000000"/>
        </w:rPr>
        <w:t>para la notificación de concentraciones por medios electrónicos ante la Comisión Federal de Competencia Económica</w:t>
      </w:r>
      <w:r w:rsidR="0090786F" w:rsidRPr="00AA0C85">
        <w:rPr>
          <w:rFonts w:ascii="ITC Avant Garde" w:hAnsi="ITC Avant Garde"/>
          <w:bCs/>
          <w:color w:val="000000"/>
          <w:sz w:val="24"/>
        </w:rPr>
        <w:t>” (Anteproyecto),</w:t>
      </w:r>
      <w:r w:rsidR="00824809">
        <w:rPr>
          <w:rStyle w:val="Refdenotaalpie"/>
          <w:rFonts w:ascii="ITC Avant Garde" w:hAnsi="ITC Avant Garde"/>
          <w:bCs/>
          <w:color w:val="000000"/>
          <w:sz w:val="24"/>
        </w:rPr>
        <w:footnoteReference w:id="1"/>
      </w:r>
      <w:r w:rsidR="0090786F" w:rsidRPr="00AA0C85">
        <w:rPr>
          <w:rFonts w:ascii="ITC Avant Garde" w:hAnsi="ITC Avant Garde"/>
          <w:bCs/>
          <w:color w:val="000000"/>
          <w:sz w:val="24"/>
        </w:rPr>
        <w:t xml:space="preserve"> </w:t>
      </w:r>
      <w:r w:rsidR="00545641">
        <w:rPr>
          <w:rFonts w:ascii="ITC Avant Garde" w:hAnsi="ITC Avant Garde"/>
          <w:bCs/>
          <w:color w:val="000000"/>
          <w:sz w:val="24"/>
        </w:rPr>
        <w:t>de conformidad con lo dispuesto en el artículo 138, fracción I, de la Ley Federal de Competencia Económica (LFCE)</w:t>
      </w:r>
      <w:r w:rsidR="00824809">
        <w:rPr>
          <w:rFonts w:ascii="ITC Avant Garde" w:hAnsi="ITC Avant Garde"/>
          <w:bCs/>
          <w:color w:val="000000"/>
          <w:sz w:val="24"/>
        </w:rPr>
        <w:t>.</w:t>
      </w:r>
      <w:r w:rsidR="000C0F9D">
        <w:rPr>
          <w:rStyle w:val="Refdenotaalpie"/>
          <w:rFonts w:ascii="ITC Avant Garde" w:hAnsi="ITC Avant Garde"/>
          <w:bCs/>
          <w:color w:val="000000"/>
          <w:sz w:val="24"/>
        </w:rPr>
        <w:footnoteReference w:id="2"/>
      </w:r>
    </w:p>
    <w:p w:rsidR="001C629C" w:rsidRPr="001C629C" w:rsidRDefault="00DE3FAC" w:rsidP="001C629C">
      <w:pPr>
        <w:pStyle w:val="Ttulo2"/>
        <w:spacing w:after="240"/>
        <w:jc w:val="center"/>
        <w:rPr>
          <w:rFonts w:ascii="ITC Avant Garde" w:hAnsi="ITC Avant Garde"/>
          <w:b/>
          <w:color w:val="000000" w:themeColor="text1"/>
          <w:sz w:val="24"/>
          <w:szCs w:val="24"/>
        </w:rPr>
      </w:pPr>
      <w:r w:rsidRPr="001C629C">
        <w:rPr>
          <w:rFonts w:ascii="ITC Avant Garde" w:hAnsi="ITC Avant Garde"/>
          <w:b/>
          <w:color w:val="000000" w:themeColor="text1"/>
          <w:sz w:val="24"/>
          <w:szCs w:val="24"/>
        </w:rPr>
        <w:t>II. CONSIDERACIONES</w:t>
      </w:r>
    </w:p>
    <w:p w:rsidR="001C629C" w:rsidRDefault="00DE3FAC" w:rsidP="00AA0C85">
      <w:pPr>
        <w:spacing w:after="160"/>
        <w:rPr>
          <w:b/>
          <w:sz w:val="24"/>
        </w:rPr>
      </w:pPr>
      <w:r w:rsidRPr="00AA0C85">
        <w:rPr>
          <w:b/>
          <w:sz w:val="24"/>
        </w:rPr>
        <w:t>PRIMERA.- Competencia para emitir una Opinión</w:t>
      </w:r>
    </w:p>
    <w:p w:rsidR="001C629C" w:rsidRDefault="00DE3FAC" w:rsidP="00AA0C85">
      <w:pPr>
        <w:spacing w:after="160"/>
        <w:rPr>
          <w:sz w:val="24"/>
        </w:rPr>
      </w:pPr>
      <w:r w:rsidRPr="00AA0C85">
        <w:rPr>
          <w:sz w:val="24"/>
        </w:rPr>
        <w:t>De conformidad con lo establecido en los artículos 28, p</w:t>
      </w:r>
      <w:bookmarkStart w:id="0" w:name="_GoBack"/>
      <w:bookmarkEnd w:id="0"/>
      <w:r w:rsidRPr="00AA0C85">
        <w:rPr>
          <w:sz w:val="24"/>
        </w:rPr>
        <w:t>árraf</w:t>
      </w:r>
      <w:r w:rsidR="00F62B28" w:rsidRPr="00AA0C85">
        <w:rPr>
          <w:sz w:val="24"/>
        </w:rPr>
        <w:t>os decimocuarto, decimoquinto, decimosexto y vigésimo, fracciones I y IV, de la Constitución Política de los Estados Unidos Mexicanos (CPEUM); 5 de la LFCE, y; primero del Estatuto Orgánico del Instituto Federal de Telecomunicaciones</w:t>
      </w:r>
      <w:r w:rsidR="003F1BFE">
        <w:rPr>
          <w:sz w:val="24"/>
        </w:rPr>
        <w:t xml:space="preserve"> (Estatuto Orgánico)</w:t>
      </w:r>
      <w:r w:rsidR="00F62B28" w:rsidRPr="00AA0C85">
        <w:rPr>
          <w:sz w:val="24"/>
        </w:rPr>
        <w:t>,</w:t>
      </w:r>
      <w:r w:rsidR="00C04E97">
        <w:rPr>
          <w:rStyle w:val="Refdenotaalpie"/>
          <w:sz w:val="24"/>
        </w:rPr>
        <w:footnoteReference w:id="3"/>
      </w:r>
      <w:r w:rsidR="00F62B28" w:rsidRPr="00AA0C85">
        <w:rPr>
          <w:sz w:val="24"/>
        </w:rPr>
        <w:t xml:space="preserve"> el Instituto es la autoridad en materia de competencia económica de los sectores de radiodifusión y telecomunicaciones, por lo que en éstos ejercerá en forma exclusiva las facultades que el artículo 28 de la CPEUM y las leyes establecen para la COFECE.</w:t>
      </w:r>
      <w:r w:rsidR="0066134E">
        <w:rPr>
          <w:sz w:val="24"/>
        </w:rPr>
        <w:t xml:space="preserve"> </w:t>
      </w:r>
      <w:r w:rsidR="00FD55F2">
        <w:rPr>
          <w:sz w:val="24"/>
        </w:rPr>
        <w:t xml:space="preserve">En ese tenor, de conformidad con </w:t>
      </w:r>
      <w:r w:rsidR="00DF39EA" w:rsidRPr="00AA0C85">
        <w:rPr>
          <w:sz w:val="24"/>
        </w:rPr>
        <w:t xml:space="preserve">los artículos 12, fracción XXX, y 138, fracción I, de la LFCE, </w:t>
      </w:r>
      <w:r w:rsidR="00FD55F2">
        <w:rPr>
          <w:sz w:val="24"/>
        </w:rPr>
        <w:t xml:space="preserve">así como </w:t>
      </w:r>
      <w:r w:rsidR="00FD55F2" w:rsidRPr="00AA0C85">
        <w:rPr>
          <w:sz w:val="24"/>
        </w:rPr>
        <w:t xml:space="preserve">6, fracción XXXVIII, del Estatuto Orgánico </w:t>
      </w:r>
      <w:r w:rsidR="00DF39EA" w:rsidRPr="00AA0C85">
        <w:rPr>
          <w:sz w:val="24"/>
        </w:rPr>
        <w:t xml:space="preserve">el Instituto es competente </w:t>
      </w:r>
      <w:r w:rsidR="0066134E">
        <w:rPr>
          <w:sz w:val="24"/>
        </w:rPr>
        <w:t>para emitir la presente opinión.</w:t>
      </w:r>
    </w:p>
    <w:p w:rsidR="001C629C" w:rsidRDefault="00DF39EA" w:rsidP="00AA0C85">
      <w:pPr>
        <w:spacing w:after="160"/>
        <w:rPr>
          <w:sz w:val="24"/>
        </w:rPr>
      </w:pPr>
      <w:r w:rsidRPr="00AA0C85">
        <w:rPr>
          <w:b/>
          <w:sz w:val="24"/>
        </w:rPr>
        <w:t>SEGUNDA.- Objeto del Anteproyecto</w:t>
      </w:r>
    </w:p>
    <w:p w:rsidR="001C629C" w:rsidRDefault="00FC26EC" w:rsidP="00AA0C85">
      <w:pPr>
        <w:spacing w:after="160"/>
        <w:rPr>
          <w:rFonts w:ascii="ITC Avant Garde" w:hAnsi="ITC Avant Garde"/>
          <w:bCs/>
          <w:color w:val="000000"/>
          <w:sz w:val="24"/>
        </w:rPr>
      </w:pPr>
      <w:r>
        <w:rPr>
          <w:sz w:val="24"/>
        </w:rPr>
        <w:t>E</w:t>
      </w:r>
      <w:r w:rsidR="00543308" w:rsidRPr="00AA0C85">
        <w:rPr>
          <w:sz w:val="24"/>
        </w:rPr>
        <w:t xml:space="preserve">l Anteproyecto </w:t>
      </w:r>
      <w:r>
        <w:rPr>
          <w:rFonts w:ascii="ITC Avant Garde" w:hAnsi="ITC Avant Garde"/>
          <w:bCs/>
          <w:color w:val="000000"/>
          <w:sz w:val="24"/>
        </w:rPr>
        <w:t>tiene el objeto siguiente</w:t>
      </w:r>
      <w:r w:rsidR="00543308" w:rsidRPr="00AA0C85">
        <w:rPr>
          <w:rFonts w:ascii="ITC Avant Garde" w:hAnsi="ITC Avant Garde"/>
          <w:bCs/>
          <w:color w:val="000000"/>
          <w:sz w:val="24"/>
        </w:rPr>
        <w:t>:</w:t>
      </w:r>
    </w:p>
    <w:p w:rsidR="001C629C" w:rsidRDefault="008E765B" w:rsidP="00FC26EC">
      <w:pPr>
        <w:spacing w:after="160"/>
        <w:ind w:left="283" w:right="283"/>
        <w:rPr>
          <w:sz w:val="24"/>
        </w:rPr>
      </w:pPr>
      <w:r w:rsidRPr="00AA0C85">
        <w:rPr>
          <w:sz w:val="24"/>
        </w:rPr>
        <w:lastRenderedPageBreak/>
        <w:t xml:space="preserve">“[…] </w:t>
      </w:r>
      <w:r w:rsidRPr="00AA0C85">
        <w:rPr>
          <w:i/>
        </w:rPr>
        <w:t xml:space="preserve">establecer las bases para la sustanciación del procedimiento para la notificación de concentraciones, previsto en los artículos 90 y 92 de la LFCE, por medios electrónicos ante la </w:t>
      </w:r>
      <w:proofErr w:type="spellStart"/>
      <w:r w:rsidRPr="00AA0C85">
        <w:rPr>
          <w:i/>
        </w:rPr>
        <w:t>Cofece</w:t>
      </w:r>
      <w:proofErr w:type="spellEnd"/>
      <w:r w:rsidRPr="00AA0C85">
        <w:rPr>
          <w:i/>
        </w:rPr>
        <w:t>, a fin de facilitar dicho trámite</w:t>
      </w:r>
      <w:r w:rsidRPr="00AA0C85">
        <w:rPr>
          <w:sz w:val="24"/>
        </w:rPr>
        <w:t>”.</w:t>
      </w:r>
      <w:r w:rsidR="00401216">
        <w:rPr>
          <w:rStyle w:val="Refdenotaalpie"/>
          <w:sz w:val="24"/>
        </w:rPr>
        <w:footnoteReference w:id="4"/>
      </w:r>
    </w:p>
    <w:p w:rsidR="001C629C" w:rsidRDefault="008E765B" w:rsidP="00AA0C85">
      <w:pPr>
        <w:spacing w:after="160"/>
        <w:rPr>
          <w:b/>
          <w:sz w:val="24"/>
        </w:rPr>
      </w:pPr>
      <w:r w:rsidRPr="00AA0C85">
        <w:rPr>
          <w:b/>
          <w:sz w:val="24"/>
        </w:rPr>
        <w:t>TERCERA.- Consideraciones sobre el Anteproyecto</w:t>
      </w:r>
    </w:p>
    <w:p w:rsidR="001C629C" w:rsidRDefault="00FE19BF" w:rsidP="00AA0C85">
      <w:pPr>
        <w:spacing w:after="160"/>
        <w:rPr>
          <w:sz w:val="24"/>
        </w:rPr>
      </w:pPr>
      <w:r>
        <w:rPr>
          <w:sz w:val="24"/>
        </w:rPr>
        <w:t>Es importante señalar que e</w:t>
      </w:r>
      <w:r w:rsidR="00582880">
        <w:rPr>
          <w:sz w:val="24"/>
        </w:rPr>
        <w:t>l</w:t>
      </w:r>
      <w:r w:rsidR="00EA11F5" w:rsidRPr="00AA0C85">
        <w:rPr>
          <w:sz w:val="24"/>
        </w:rPr>
        <w:t xml:space="preserve"> Anteproyecto no </w:t>
      </w:r>
      <w:r>
        <w:rPr>
          <w:sz w:val="24"/>
        </w:rPr>
        <w:t>delimita</w:t>
      </w:r>
      <w:r w:rsidRPr="00AA0C85">
        <w:rPr>
          <w:sz w:val="24"/>
        </w:rPr>
        <w:t xml:space="preserve"> </w:t>
      </w:r>
      <w:r w:rsidR="00EA11F5" w:rsidRPr="00AA0C85">
        <w:rPr>
          <w:sz w:val="24"/>
        </w:rPr>
        <w:t xml:space="preserve">que el ámbito de competencia de la COFECE </w:t>
      </w:r>
      <w:r>
        <w:rPr>
          <w:sz w:val="24"/>
        </w:rPr>
        <w:t xml:space="preserve">dentro de la notificación de concentraciones por medios electrónicos </w:t>
      </w:r>
      <w:r w:rsidR="00EA11F5" w:rsidRPr="00AA0C85">
        <w:rPr>
          <w:sz w:val="24"/>
        </w:rPr>
        <w:t>excluye los mercados que forman parte de los sectores de radiodifusión y telecomunicaciones</w:t>
      </w:r>
      <w:r w:rsidR="007B1FF9" w:rsidRPr="00AA0C85">
        <w:rPr>
          <w:sz w:val="24"/>
        </w:rPr>
        <w:t xml:space="preserve"> o que tengan efectos en éstos</w:t>
      </w:r>
      <w:r w:rsidR="00EA11F5" w:rsidRPr="00AA0C85">
        <w:rPr>
          <w:sz w:val="24"/>
        </w:rPr>
        <w:t xml:space="preserve"> y </w:t>
      </w:r>
      <w:r w:rsidR="00B57824">
        <w:rPr>
          <w:sz w:val="24"/>
        </w:rPr>
        <w:t xml:space="preserve">esta exclusión </w:t>
      </w:r>
      <w:r w:rsidR="00EA11F5" w:rsidRPr="00AA0C85">
        <w:rPr>
          <w:sz w:val="24"/>
        </w:rPr>
        <w:t xml:space="preserve">tampoco </w:t>
      </w:r>
      <w:r w:rsidR="00B57824">
        <w:rPr>
          <w:sz w:val="24"/>
        </w:rPr>
        <w:t xml:space="preserve">se </w:t>
      </w:r>
      <w:r w:rsidR="00EA11F5" w:rsidRPr="00AA0C85">
        <w:rPr>
          <w:sz w:val="24"/>
        </w:rPr>
        <w:t>establece en el objeto o alcance del Anteproyecto.</w:t>
      </w:r>
    </w:p>
    <w:p w:rsidR="001C629C" w:rsidRDefault="000E3340" w:rsidP="00AA0C85">
      <w:pPr>
        <w:spacing w:after="160" w:line="23" w:lineRule="atLeast"/>
        <w:rPr>
          <w:rFonts w:ascii="ITC Avant Garde" w:hAnsi="ITC Avant Garde"/>
          <w:bCs/>
          <w:color w:val="000000"/>
          <w:sz w:val="24"/>
        </w:rPr>
      </w:pPr>
      <w:r w:rsidRPr="00AA0C85">
        <w:rPr>
          <w:rFonts w:ascii="ITC Avant Garde" w:eastAsia="Times New Roman" w:hAnsi="ITC Avant Garde"/>
          <w:bCs/>
          <w:color w:val="000000"/>
          <w:sz w:val="24"/>
          <w:lang w:eastAsia="es-MX"/>
        </w:rPr>
        <w:t>Con base en lo anterior y con fundamento en lo</w:t>
      </w:r>
      <w:r w:rsidR="00523627">
        <w:rPr>
          <w:rFonts w:ascii="ITC Avant Garde" w:eastAsia="Times New Roman" w:hAnsi="ITC Avant Garde"/>
          <w:bCs/>
          <w:color w:val="000000"/>
          <w:sz w:val="24"/>
          <w:lang w:eastAsia="es-MX"/>
        </w:rPr>
        <w:t>s</w:t>
      </w:r>
      <w:r w:rsidRPr="00AA0C85">
        <w:rPr>
          <w:rFonts w:ascii="ITC Avant Garde" w:eastAsia="Times New Roman" w:hAnsi="ITC Avant Garde"/>
          <w:bCs/>
          <w:color w:val="000000"/>
          <w:sz w:val="24"/>
          <w:lang w:eastAsia="es-MX"/>
        </w:rPr>
        <w:t xml:space="preserve"> artículos  </w:t>
      </w:r>
      <w:r w:rsidRPr="00AA0C85">
        <w:rPr>
          <w:rFonts w:ascii="ITC Avant Garde" w:hAnsi="ITC Avant Garde"/>
          <w:bCs/>
          <w:color w:val="000000"/>
          <w:sz w:val="24"/>
        </w:rPr>
        <w:t xml:space="preserve">28, </w:t>
      </w:r>
      <w:r w:rsidRPr="00AA0C85">
        <w:rPr>
          <w:sz w:val="24"/>
        </w:rPr>
        <w:t>párrafos decimocuarto, decimoquinto, decimosexto y vigésimo, fracción I</w:t>
      </w:r>
      <w:r w:rsidRPr="00AA0C85">
        <w:rPr>
          <w:rFonts w:ascii="ITC Avant Garde" w:hAnsi="ITC Avant Garde"/>
          <w:bCs/>
          <w:color w:val="000000"/>
          <w:sz w:val="24"/>
        </w:rPr>
        <w:t xml:space="preserve">, de la </w:t>
      </w:r>
      <w:r w:rsidR="00523627">
        <w:rPr>
          <w:rFonts w:ascii="ITC Avant Garde" w:hAnsi="ITC Avant Garde"/>
          <w:bCs/>
          <w:color w:val="000000"/>
          <w:sz w:val="24"/>
        </w:rPr>
        <w:t>CPEUM</w:t>
      </w:r>
      <w:r w:rsidRPr="00AA0C85">
        <w:rPr>
          <w:rFonts w:ascii="ITC Avant Garde" w:hAnsi="ITC Avant Garde"/>
          <w:bCs/>
          <w:color w:val="000000"/>
          <w:sz w:val="24"/>
        </w:rPr>
        <w:t xml:space="preserve">; 1, 2, 4, 5, párrafo primero, 12, fracción XXX, y 138, fracción I, de la </w:t>
      </w:r>
      <w:r w:rsidR="00D30042">
        <w:rPr>
          <w:rFonts w:ascii="ITC Avant Garde" w:hAnsi="ITC Avant Garde"/>
          <w:bCs/>
          <w:color w:val="000000"/>
          <w:sz w:val="24"/>
        </w:rPr>
        <w:t>LFCE</w:t>
      </w:r>
      <w:r w:rsidR="00B57824">
        <w:rPr>
          <w:rFonts w:ascii="ITC Avant Garde" w:hAnsi="ITC Avant Garde"/>
          <w:bCs/>
          <w:color w:val="000000"/>
          <w:sz w:val="24"/>
        </w:rPr>
        <w:t>; así como</w:t>
      </w:r>
      <w:r w:rsidRPr="00AA0C85">
        <w:rPr>
          <w:rFonts w:ascii="ITC Avant Garde" w:hAnsi="ITC Avant Garde"/>
          <w:bCs/>
          <w:color w:val="000000"/>
          <w:sz w:val="24"/>
        </w:rPr>
        <w:t xml:space="preserve"> 1, párrafos primero y tercero, 2, fracción X, 4, fracción I, 6, fracción XXXVIII, 7 y 8, del Estatuto Orgánico, el Pleno del Instituto es competente para emitir los siguientes:</w:t>
      </w:r>
    </w:p>
    <w:p w:rsidR="001C629C" w:rsidRPr="001C629C" w:rsidRDefault="000E3340" w:rsidP="001C629C">
      <w:pPr>
        <w:pStyle w:val="Ttulo2"/>
        <w:spacing w:after="240"/>
        <w:jc w:val="center"/>
        <w:rPr>
          <w:rFonts w:ascii="ITC Avant Garde" w:hAnsi="ITC Avant Garde"/>
          <w:b/>
          <w:color w:val="000000" w:themeColor="text1"/>
          <w:sz w:val="24"/>
          <w:szCs w:val="24"/>
        </w:rPr>
      </w:pPr>
      <w:r w:rsidRPr="001C629C">
        <w:rPr>
          <w:rFonts w:ascii="ITC Avant Garde" w:hAnsi="ITC Avant Garde"/>
          <w:b/>
          <w:color w:val="000000" w:themeColor="text1"/>
          <w:sz w:val="24"/>
          <w:szCs w:val="24"/>
        </w:rPr>
        <w:t>III. ACUERDOS</w:t>
      </w:r>
    </w:p>
    <w:p w:rsidR="001C629C" w:rsidRDefault="000E3340" w:rsidP="00AA0C85">
      <w:pPr>
        <w:spacing w:after="160" w:line="23" w:lineRule="atLeast"/>
        <w:rPr>
          <w:rFonts w:ascii="ITC Avant Garde" w:hAnsi="ITC Avant Garde"/>
          <w:bCs/>
          <w:color w:val="000000"/>
          <w:sz w:val="24"/>
        </w:rPr>
      </w:pPr>
      <w:r w:rsidRPr="00AA0C85">
        <w:rPr>
          <w:rFonts w:ascii="ITC Avant Garde" w:hAnsi="ITC Avant Garde"/>
          <w:b/>
          <w:bCs/>
          <w:color w:val="000000"/>
          <w:sz w:val="24"/>
        </w:rPr>
        <w:t>PRIMERO.-</w:t>
      </w:r>
      <w:r w:rsidRPr="00AA0C85">
        <w:rPr>
          <w:rFonts w:ascii="ITC Avant Garde" w:hAnsi="ITC Avant Garde"/>
          <w:bCs/>
          <w:color w:val="000000"/>
          <w:sz w:val="24"/>
        </w:rPr>
        <w:t xml:space="preserve"> </w:t>
      </w:r>
      <w:r w:rsidR="00B57824">
        <w:rPr>
          <w:rFonts w:ascii="ITC Avant Garde" w:hAnsi="ITC Avant Garde"/>
          <w:bCs/>
          <w:color w:val="000000"/>
          <w:sz w:val="24"/>
        </w:rPr>
        <w:t xml:space="preserve">Emitir </w:t>
      </w:r>
      <w:r w:rsidRPr="00AA0C85">
        <w:rPr>
          <w:rFonts w:ascii="ITC Avant Garde" w:hAnsi="ITC Avant Garde"/>
          <w:bCs/>
          <w:color w:val="000000"/>
          <w:sz w:val="24"/>
        </w:rPr>
        <w:t>opinión a la Comisión F</w:t>
      </w:r>
      <w:r w:rsidR="009004D5">
        <w:rPr>
          <w:rFonts w:ascii="ITC Avant Garde" w:hAnsi="ITC Avant Garde"/>
          <w:bCs/>
          <w:color w:val="000000"/>
          <w:sz w:val="24"/>
        </w:rPr>
        <w:t>ederal de Competencia Económica, sugiriendo que en los “</w:t>
      </w:r>
      <w:r w:rsidRPr="00AA0C85">
        <w:rPr>
          <w:i/>
          <w:sz w:val="24"/>
        </w:rPr>
        <w:t xml:space="preserve">Lineamientos </w:t>
      </w:r>
      <w:r w:rsidRPr="00AA0C85">
        <w:rPr>
          <w:rFonts w:ascii="ITC Avant Garde" w:hAnsi="ITC Avant Garde"/>
          <w:bCs/>
          <w:i/>
          <w:color w:val="000000"/>
          <w:sz w:val="24"/>
        </w:rPr>
        <w:t>para la notificación de concentraciones por medios electrónicos ante la Comisión Federal de Competencia Económica</w:t>
      </w:r>
      <w:r w:rsidR="009004D5">
        <w:rPr>
          <w:rFonts w:ascii="ITC Avant Garde" w:hAnsi="ITC Avant Garde"/>
          <w:bCs/>
          <w:color w:val="000000"/>
          <w:sz w:val="24"/>
        </w:rPr>
        <w:t>”</w:t>
      </w:r>
      <w:r w:rsidRPr="00AA0C85">
        <w:rPr>
          <w:rFonts w:ascii="ITC Avant Garde" w:hAnsi="ITC Avant Garde"/>
          <w:bCs/>
          <w:color w:val="000000"/>
          <w:sz w:val="24"/>
        </w:rPr>
        <w:t xml:space="preserve"> que en su caso emita, </w:t>
      </w:r>
      <w:r w:rsidR="000470A7">
        <w:rPr>
          <w:rFonts w:ascii="ITC Avant Garde" w:hAnsi="ITC Avant Garde"/>
          <w:bCs/>
          <w:color w:val="000000"/>
          <w:sz w:val="24"/>
        </w:rPr>
        <w:t xml:space="preserve"> se establezca </w:t>
      </w:r>
      <w:r w:rsidR="008A57A7">
        <w:rPr>
          <w:rFonts w:ascii="ITC Avant Garde" w:hAnsi="ITC Avant Garde"/>
          <w:bCs/>
          <w:color w:val="000000"/>
          <w:sz w:val="24"/>
        </w:rPr>
        <w:t>que su aplicación tendrá lugar únicamente</w:t>
      </w:r>
      <w:r w:rsidRPr="00AA0C85">
        <w:rPr>
          <w:rFonts w:ascii="ITC Avant Garde" w:hAnsi="ITC Avant Garde"/>
          <w:bCs/>
          <w:color w:val="000000"/>
          <w:sz w:val="24"/>
        </w:rPr>
        <w:t xml:space="preserve"> respecto de </w:t>
      </w:r>
      <w:r w:rsidR="00D16B2A">
        <w:rPr>
          <w:rFonts w:ascii="ITC Avant Garde" w:hAnsi="ITC Avant Garde"/>
          <w:bCs/>
          <w:color w:val="000000"/>
          <w:sz w:val="24"/>
        </w:rPr>
        <w:t xml:space="preserve">procedimientos para la notificación de concentraciones en </w:t>
      </w:r>
      <w:r w:rsidRPr="00AA0C85">
        <w:rPr>
          <w:rFonts w:ascii="ITC Avant Garde" w:hAnsi="ITC Avant Garde"/>
          <w:bCs/>
          <w:color w:val="000000"/>
          <w:sz w:val="24"/>
        </w:rPr>
        <w:t>l</w:t>
      </w:r>
      <w:r w:rsidR="00632CF8" w:rsidRPr="00AA0C85">
        <w:rPr>
          <w:rFonts w:ascii="ITC Avant Garde" w:hAnsi="ITC Avant Garde"/>
          <w:bCs/>
          <w:color w:val="000000"/>
          <w:sz w:val="24"/>
        </w:rPr>
        <w:t>o</w:t>
      </w:r>
      <w:r w:rsidRPr="00AA0C85">
        <w:rPr>
          <w:rFonts w:ascii="ITC Avant Garde" w:hAnsi="ITC Avant Garde"/>
          <w:bCs/>
          <w:color w:val="000000"/>
          <w:sz w:val="24"/>
        </w:rPr>
        <w:t>s</w:t>
      </w:r>
      <w:r w:rsidR="00632CF8" w:rsidRPr="00AA0C85">
        <w:rPr>
          <w:rFonts w:ascii="ITC Avant Garde" w:hAnsi="ITC Avant Garde"/>
          <w:bCs/>
          <w:color w:val="000000"/>
          <w:sz w:val="24"/>
        </w:rPr>
        <w:t xml:space="preserve"> mercados y</w:t>
      </w:r>
      <w:r w:rsidRPr="00AA0C85">
        <w:rPr>
          <w:rFonts w:ascii="ITC Avant Garde" w:hAnsi="ITC Avant Garde"/>
          <w:bCs/>
          <w:color w:val="000000"/>
          <w:sz w:val="24"/>
        </w:rPr>
        <w:t xml:space="preserve"> actividades ec</w:t>
      </w:r>
      <w:r w:rsidR="00632CF8" w:rsidRPr="00AA0C85">
        <w:rPr>
          <w:rFonts w:ascii="ITC Avant Garde" w:hAnsi="ITC Avant Garde"/>
          <w:bCs/>
          <w:color w:val="000000"/>
          <w:sz w:val="24"/>
        </w:rPr>
        <w:t>onómicas que se encuentran</w:t>
      </w:r>
      <w:r w:rsidRPr="00AA0C85">
        <w:rPr>
          <w:rFonts w:ascii="ITC Avant Garde" w:hAnsi="ITC Avant Garde"/>
          <w:bCs/>
          <w:color w:val="000000"/>
          <w:sz w:val="24"/>
        </w:rPr>
        <w:t xml:space="preserve"> en </w:t>
      </w:r>
      <w:r w:rsidR="00FB3EE9">
        <w:rPr>
          <w:rFonts w:ascii="ITC Avant Garde" w:hAnsi="ITC Avant Garde"/>
          <w:bCs/>
          <w:color w:val="000000"/>
          <w:sz w:val="24"/>
        </w:rPr>
        <w:t xml:space="preserve">el </w:t>
      </w:r>
      <w:r w:rsidRPr="00AA0C85">
        <w:rPr>
          <w:rFonts w:ascii="ITC Avant Garde" w:hAnsi="ITC Avant Garde"/>
          <w:bCs/>
          <w:color w:val="000000"/>
          <w:sz w:val="24"/>
        </w:rPr>
        <w:t xml:space="preserve">ámbito de </w:t>
      </w:r>
      <w:r w:rsidR="00FB3EE9">
        <w:rPr>
          <w:rFonts w:ascii="ITC Avant Garde" w:hAnsi="ITC Avant Garde"/>
          <w:bCs/>
          <w:color w:val="000000"/>
          <w:sz w:val="24"/>
        </w:rPr>
        <w:t xml:space="preserve">su </w:t>
      </w:r>
      <w:r w:rsidRPr="00AA0C85">
        <w:rPr>
          <w:rFonts w:ascii="ITC Avant Garde" w:hAnsi="ITC Avant Garde"/>
          <w:bCs/>
          <w:color w:val="000000"/>
          <w:sz w:val="24"/>
        </w:rPr>
        <w:t>competencia</w:t>
      </w:r>
      <w:r w:rsidR="00632CF8" w:rsidRPr="00AA0C85">
        <w:rPr>
          <w:rFonts w:ascii="ITC Avant Garde" w:hAnsi="ITC Avant Garde"/>
          <w:bCs/>
          <w:color w:val="000000"/>
          <w:sz w:val="24"/>
        </w:rPr>
        <w:t>,</w:t>
      </w:r>
      <w:r w:rsidRPr="00AA0C85">
        <w:rPr>
          <w:rFonts w:ascii="ITC Avant Garde" w:hAnsi="ITC Avant Garde"/>
          <w:bCs/>
          <w:color w:val="000000"/>
          <w:sz w:val="24"/>
        </w:rPr>
        <w:t xml:space="preserve"> </w:t>
      </w:r>
      <w:r w:rsidR="00FB3EE9">
        <w:rPr>
          <w:rFonts w:ascii="ITC Avant Garde" w:hAnsi="ITC Avant Garde"/>
          <w:bCs/>
          <w:color w:val="000000"/>
          <w:sz w:val="24"/>
        </w:rPr>
        <w:t xml:space="preserve">excluyendo </w:t>
      </w:r>
      <w:r w:rsidR="00D16B2A">
        <w:rPr>
          <w:rFonts w:ascii="ITC Avant Garde" w:hAnsi="ITC Avant Garde"/>
          <w:bCs/>
          <w:color w:val="000000"/>
          <w:sz w:val="24"/>
        </w:rPr>
        <w:t xml:space="preserve">a los procedimientos que </w:t>
      </w:r>
      <w:r w:rsidR="000470A7">
        <w:rPr>
          <w:rFonts w:ascii="ITC Avant Garde" w:hAnsi="ITC Avant Garde"/>
          <w:bCs/>
          <w:color w:val="000000"/>
          <w:sz w:val="24"/>
        </w:rPr>
        <w:t xml:space="preserve">se lleven a cabo </w:t>
      </w:r>
      <w:r w:rsidR="00FB3EE9">
        <w:rPr>
          <w:rFonts w:ascii="ITC Avant Garde" w:hAnsi="ITC Avant Garde"/>
          <w:bCs/>
          <w:color w:val="000000"/>
          <w:sz w:val="24"/>
        </w:rPr>
        <w:t xml:space="preserve">a los </w:t>
      </w:r>
      <w:r w:rsidRPr="00AA0C85">
        <w:rPr>
          <w:rFonts w:ascii="ITC Avant Garde" w:hAnsi="ITC Avant Garde"/>
          <w:bCs/>
          <w:color w:val="000000"/>
          <w:sz w:val="24"/>
        </w:rPr>
        <w:t>sectores de telecomunicaciones y radiodifusión</w:t>
      </w:r>
      <w:r w:rsidR="00FB3EE9">
        <w:rPr>
          <w:rFonts w:ascii="ITC Avant Garde" w:hAnsi="ITC Avant Garde"/>
          <w:bCs/>
          <w:color w:val="000000"/>
          <w:sz w:val="24"/>
        </w:rPr>
        <w:t>.</w:t>
      </w:r>
    </w:p>
    <w:p w:rsidR="001C629C" w:rsidRDefault="00632CF8" w:rsidP="00AA0C85">
      <w:pPr>
        <w:spacing w:after="160" w:line="23" w:lineRule="atLeast"/>
        <w:rPr>
          <w:rFonts w:ascii="ITC Avant Garde" w:hAnsi="ITC Avant Garde"/>
          <w:bCs/>
          <w:color w:val="000000"/>
          <w:sz w:val="24"/>
        </w:rPr>
      </w:pPr>
      <w:r w:rsidRPr="00AA0C85">
        <w:rPr>
          <w:rFonts w:ascii="ITC Avant Garde" w:hAnsi="ITC Avant Garde"/>
          <w:b/>
          <w:bCs/>
          <w:color w:val="000000"/>
          <w:sz w:val="24"/>
        </w:rPr>
        <w:t xml:space="preserve">SEGUNDO.- </w:t>
      </w:r>
      <w:r w:rsidR="00FB3EE9">
        <w:rPr>
          <w:rFonts w:ascii="ITC Avant Garde" w:hAnsi="ITC Avant Garde"/>
          <w:bCs/>
          <w:color w:val="000000"/>
          <w:sz w:val="24"/>
        </w:rPr>
        <w:t xml:space="preserve">Instruir </w:t>
      </w:r>
      <w:r w:rsidRPr="00AA0C85">
        <w:rPr>
          <w:rFonts w:ascii="ITC Avant Garde" w:hAnsi="ITC Avant Garde"/>
          <w:bCs/>
          <w:color w:val="000000"/>
          <w:sz w:val="24"/>
        </w:rPr>
        <w:t xml:space="preserve">a la Unidad de Competencia Económica </w:t>
      </w:r>
      <w:r w:rsidR="00FB3EE9">
        <w:rPr>
          <w:rFonts w:ascii="ITC Avant Garde" w:hAnsi="ITC Avant Garde"/>
          <w:bCs/>
          <w:color w:val="000000"/>
          <w:sz w:val="24"/>
        </w:rPr>
        <w:t xml:space="preserve">del Instituto Federal de Telecomunicaciones </w:t>
      </w:r>
      <w:r w:rsidRPr="00AA0C85">
        <w:rPr>
          <w:rFonts w:ascii="ITC Avant Garde" w:hAnsi="ITC Avant Garde"/>
          <w:bCs/>
          <w:color w:val="000000"/>
          <w:sz w:val="24"/>
        </w:rPr>
        <w:t xml:space="preserve">que </w:t>
      </w:r>
      <w:r w:rsidR="00824C1D">
        <w:rPr>
          <w:rFonts w:ascii="ITC Avant Garde" w:hAnsi="ITC Avant Garde"/>
          <w:bCs/>
          <w:color w:val="000000"/>
          <w:sz w:val="24"/>
        </w:rPr>
        <w:t xml:space="preserve">notifique el presente acuerdo a la </w:t>
      </w:r>
      <w:r w:rsidRPr="00AA0C85">
        <w:rPr>
          <w:rFonts w:ascii="ITC Avant Garde" w:hAnsi="ITC Avant Garde"/>
          <w:bCs/>
          <w:color w:val="000000"/>
          <w:sz w:val="24"/>
        </w:rPr>
        <w:t>Comisión F</w:t>
      </w:r>
      <w:r w:rsidR="00824C1D">
        <w:rPr>
          <w:rFonts w:ascii="ITC Avant Garde" w:hAnsi="ITC Avant Garde"/>
          <w:bCs/>
          <w:color w:val="000000"/>
          <w:sz w:val="24"/>
        </w:rPr>
        <w:t>ederal de Competencia Económica.</w:t>
      </w:r>
    </w:p>
    <w:p w:rsidR="001C629C" w:rsidRDefault="00632CF8" w:rsidP="00AA0C85">
      <w:pPr>
        <w:spacing w:after="160" w:line="23" w:lineRule="atLeast"/>
        <w:rPr>
          <w:rFonts w:ascii="ITC Avant Garde" w:hAnsi="ITC Avant Garde"/>
          <w:bCs/>
          <w:color w:val="000000"/>
          <w:sz w:val="24"/>
        </w:rPr>
      </w:pPr>
      <w:r w:rsidRPr="00AA0C85">
        <w:rPr>
          <w:rFonts w:ascii="ITC Avant Garde" w:hAnsi="ITC Avant Garde"/>
          <w:b/>
          <w:bCs/>
          <w:color w:val="000000"/>
          <w:sz w:val="24"/>
        </w:rPr>
        <w:t>TERCERO.-</w:t>
      </w:r>
      <w:r w:rsidRPr="00AA0C85">
        <w:rPr>
          <w:rFonts w:ascii="ITC Avant Garde" w:hAnsi="ITC Avant Garde"/>
          <w:bCs/>
          <w:color w:val="000000"/>
          <w:sz w:val="24"/>
        </w:rPr>
        <w:t xml:space="preserve"> </w:t>
      </w:r>
      <w:r w:rsidR="00824C1D">
        <w:rPr>
          <w:rFonts w:ascii="ITC Avant Garde" w:hAnsi="ITC Avant Garde"/>
          <w:bCs/>
          <w:color w:val="000000"/>
          <w:sz w:val="24"/>
        </w:rPr>
        <w:t xml:space="preserve">Publicar </w:t>
      </w:r>
      <w:r w:rsidRPr="00AA0C85">
        <w:rPr>
          <w:rFonts w:ascii="ITC Avant Garde" w:hAnsi="ITC Avant Garde"/>
          <w:bCs/>
          <w:color w:val="000000"/>
          <w:sz w:val="24"/>
        </w:rPr>
        <w:t>el presente acuerdo en la página de Internet del Instituto Federal de Telecomunicaciones.</w:t>
      </w:r>
    </w:p>
    <w:p w:rsidR="001C629C" w:rsidRDefault="006F08C2" w:rsidP="006F08C2">
      <w:pPr>
        <w:spacing w:after="0"/>
        <w:rPr>
          <w:rFonts w:ascii="ITC Avant Garde" w:hAnsi="ITC Avant Garde"/>
          <w:sz w:val="13"/>
          <w:szCs w:val="13"/>
          <w:lang w:val="es-ES"/>
        </w:rPr>
      </w:pPr>
      <w:r w:rsidRPr="006F08C2">
        <w:rPr>
          <w:rFonts w:ascii="ITC Avant Garde" w:hAnsi="ITC Avant Garde"/>
          <w:sz w:val="13"/>
          <w:szCs w:val="13"/>
          <w:lang w:val="es-ES"/>
        </w:rPr>
        <w:t xml:space="preserve">El presente Acuerdo fue aprobado por el Pleno del Instituto Federal de Telecomunicaciones en su XXXIX Sesión Ordinaria celebrada el 25 de septiembre de 2017, por </w:t>
      </w:r>
      <w:r w:rsidRPr="006F08C2">
        <w:rPr>
          <w:rFonts w:ascii="ITC Avant Garde" w:hAnsi="ITC Avant Garde"/>
          <w:bCs/>
          <w:sz w:val="13"/>
          <w:szCs w:val="13"/>
          <w:lang w:val="es-ES"/>
        </w:rPr>
        <w:t>unanimidad</w:t>
      </w:r>
      <w:r w:rsidRPr="006F08C2">
        <w:rPr>
          <w:rFonts w:ascii="ITC Avant Garde" w:hAnsi="ITC Avant Garde"/>
          <w:sz w:val="13"/>
          <w:szCs w:val="13"/>
          <w:lang w:val="es-ES"/>
        </w:rPr>
        <w:t xml:space="preserve"> de votos de los Comisionados Adriana Sofía Labardini Inzunza, María Elena Estavillo Flores, Gabriel Oswaldo Contreras Saldívar,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P/IFT/250917/594.</w:t>
      </w:r>
    </w:p>
    <w:p w:rsidR="00D63636" w:rsidRPr="00AA0C85" w:rsidRDefault="00D63636" w:rsidP="00D63636">
      <w:pPr>
        <w:pStyle w:val="Textonotapie"/>
        <w:rPr>
          <w:rFonts w:ascii="ITC Avant Garde" w:hAnsi="ITC Avant Garde"/>
          <w:bCs/>
          <w:color w:val="000000"/>
          <w:sz w:val="24"/>
        </w:rPr>
      </w:pPr>
      <w:r>
        <w:rPr>
          <w:rStyle w:val="Refdenotaalpie"/>
          <w:rFonts w:ascii="ITC Avant Garde" w:hAnsi="ITC Avant Garde"/>
          <w:sz w:val="16"/>
        </w:rPr>
        <w:t>[1]</w:t>
      </w:r>
      <w:r w:rsidRPr="00594733">
        <w:rPr>
          <w:rFonts w:ascii="ITC Avant Garde" w:hAnsi="ITC Avant Garde"/>
          <w:sz w:val="16"/>
        </w:rPr>
        <w:t xml:space="preserve"> En términos de lo dispuesto por </w:t>
      </w:r>
      <w:r>
        <w:rPr>
          <w:rFonts w:ascii="ITC Avant Garde" w:hAnsi="ITC Avant Garde"/>
          <w:sz w:val="16"/>
        </w:rPr>
        <w:t>los</w:t>
      </w:r>
      <w:r w:rsidRPr="00594733">
        <w:rPr>
          <w:rFonts w:ascii="ITC Avant Garde" w:hAnsi="ITC Avant Garde"/>
          <w:sz w:val="16"/>
        </w:rPr>
        <w:t xml:space="preserve"> artículo</w:t>
      </w:r>
      <w:r>
        <w:rPr>
          <w:rFonts w:ascii="ITC Avant Garde" w:hAnsi="ITC Avant Garde"/>
          <w:sz w:val="16"/>
        </w:rPr>
        <w:t>s</w:t>
      </w:r>
      <w:r w:rsidRPr="00594733">
        <w:rPr>
          <w:rFonts w:ascii="ITC Avant Garde" w:hAnsi="ITC Avant Garde"/>
          <w:sz w:val="16"/>
        </w:rPr>
        <w:t xml:space="preserve"> 19 de la Ley Federal de Telecomunicaciones y Radiodifusión</w:t>
      </w:r>
      <w:r>
        <w:rPr>
          <w:rFonts w:ascii="ITC Avant Garde" w:hAnsi="ITC Avant Garde"/>
          <w:sz w:val="16"/>
        </w:rPr>
        <w:t xml:space="preserve"> y 19 de la Ley Federal de Competencia Económica</w:t>
      </w:r>
    </w:p>
    <w:sectPr w:rsidR="00D63636" w:rsidRPr="00AA0C85" w:rsidSect="00CD1D0C">
      <w:footerReference w:type="default" r:id="rId8"/>
      <w:pgSz w:w="12240" w:h="15840"/>
      <w:pgMar w:top="2127" w:right="14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66D" w:rsidRDefault="0052366D" w:rsidP="00F62B28">
      <w:pPr>
        <w:spacing w:after="0"/>
      </w:pPr>
      <w:r>
        <w:separator/>
      </w:r>
    </w:p>
  </w:endnote>
  <w:endnote w:type="continuationSeparator" w:id="0">
    <w:p w:rsidR="0052366D" w:rsidRDefault="0052366D" w:rsidP="00F62B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27" w:rsidRDefault="00BE2727" w:rsidP="00F62B28">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sidR="001C629C" w:rsidRPr="001C629C">
      <w:rPr>
        <w:b/>
        <w:bCs/>
        <w:noProof/>
        <w:lang w:val="es-ES"/>
      </w:rPr>
      <w:t>2</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1C629C" w:rsidRPr="001C629C">
      <w:rPr>
        <w:b/>
        <w:bCs/>
        <w:noProof/>
        <w:lang w:val="es-ES"/>
      </w:rPr>
      <w:t>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66D" w:rsidRDefault="0052366D" w:rsidP="00F62B28">
      <w:pPr>
        <w:spacing w:after="0"/>
      </w:pPr>
      <w:r>
        <w:separator/>
      </w:r>
    </w:p>
  </w:footnote>
  <w:footnote w:type="continuationSeparator" w:id="0">
    <w:p w:rsidR="0052366D" w:rsidRDefault="0052366D" w:rsidP="00F62B28">
      <w:pPr>
        <w:spacing w:after="0"/>
      </w:pPr>
      <w:r>
        <w:continuationSeparator/>
      </w:r>
    </w:p>
  </w:footnote>
  <w:footnote w:id="1">
    <w:p w:rsidR="00BE2727" w:rsidRDefault="00BE2727">
      <w:pPr>
        <w:pStyle w:val="Textonotapie"/>
      </w:pPr>
      <w:r>
        <w:rPr>
          <w:rStyle w:val="Refdenotaalpie"/>
        </w:rPr>
        <w:footnoteRef/>
      </w:r>
      <w:r>
        <w:t xml:space="preserve"> El extracto del Anteproyecto fue publicado en el Diario Oficial de la Federación (DOF) el catorce de julio de dos mil diecisiete.</w:t>
      </w:r>
    </w:p>
  </w:footnote>
  <w:footnote w:id="2">
    <w:p w:rsidR="00BE2727" w:rsidRDefault="00BE2727">
      <w:pPr>
        <w:pStyle w:val="Textonotapie"/>
      </w:pPr>
      <w:r>
        <w:rPr>
          <w:rStyle w:val="Refdenotaalpie"/>
        </w:rPr>
        <w:footnoteRef/>
      </w:r>
      <w:r>
        <w:t xml:space="preserve"> Expedida mediante Decreto publicado en el DOF el veintitrés de mayo de dos mil catorce.</w:t>
      </w:r>
    </w:p>
  </w:footnote>
  <w:footnote w:id="3">
    <w:p w:rsidR="00BE2727" w:rsidRDefault="00BE2727">
      <w:pPr>
        <w:pStyle w:val="Textonotapie"/>
      </w:pPr>
      <w:r>
        <w:rPr>
          <w:rStyle w:val="Refdenotaalpie"/>
        </w:rPr>
        <w:footnoteRef/>
      </w:r>
      <w:r>
        <w:t xml:space="preserve"> Emitido mediante acuerdo publicado en el DOF </w:t>
      </w:r>
      <w:r w:rsidRPr="005251B5">
        <w:t>el cuatro de septiembre de dos mil catorce y modificado mediante acuerdo publicado en el mismo medio el veinte de julio de dos mil diecisiete</w:t>
      </w:r>
      <w:r>
        <w:t>.</w:t>
      </w:r>
    </w:p>
  </w:footnote>
  <w:footnote w:id="4">
    <w:p w:rsidR="00401216" w:rsidRDefault="00401216">
      <w:pPr>
        <w:pStyle w:val="Textonotapie"/>
      </w:pPr>
      <w:r>
        <w:rPr>
          <w:rStyle w:val="Refdenotaalpie"/>
        </w:rPr>
        <w:footnoteRef/>
      </w:r>
      <w:r>
        <w:t xml:space="preserve"> </w:t>
      </w:r>
      <w:r w:rsidR="00714843">
        <w:t xml:space="preserve">Extracto del Anteproyecto publicado en el DOF, el cual puede consultarse en el siguiente sitio de Internet: </w:t>
      </w:r>
      <w:r w:rsidR="00714843" w:rsidRPr="00714843">
        <w:t>http://www.dof.gob.mx/nota_detalle.php?codigo=5490316&amp;fecha=14/07/2017</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E606C"/>
    <w:multiLevelType w:val="hybridMultilevel"/>
    <w:tmpl w:val="94449A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EB"/>
    <w:rsid w:val="00034044"/>
    <w:rsid w:val="000470A7"/>
    <w:rsid w:val="000C0F9D"/>
    <w:rsid w:val="000C5002"/>
    <w:rsid w:val="000C6097"/>
    <w:rsid w:val="000E1E2E"/>
    <w:rsid w:val="000E3340"/>
    <w:rsid w:val="000F3974"/>
    <w:rsid w:val="001525FF"/>
    <w:rsid w:val="00194370"/>
    <w:rsid w:val="001B00AB"/>
    <w:rsid w:val="001C629C"/>
    <w:rsid w:val="002321A0"/>
    <w:rsid w:val="002C2375"/>
    <w:rsid w:val="002F219B"/>
    <w:rsid w:val="00356B0E"/>
    <w:rsid w:val="003731FA"/>
    <w:rsid w:val="003F1BFE"/>
    <w:rsid w:val="00401216"/>
    <w:rsid w:val="00430DB9"/>
    <w:rsid w:val="00446458"/>
    <w:rsid w:val="00453A1A"/>
    <w:rsid w:val="004620C2"/>
    <w:rsid w:val="00475B04"/>
    <w:rsid w:val="004B0C8C"/>
    <w:rsid w:val="004C4AE3"/>
    <w:rsid w:val="00523627"/>
    <w:rsid w:val="0052366D"/>
    <w:rsid w:val="005251B5"/>
    <w:rsid w:val="00543308"/>
    <w:rsid w:val="00545641"/>
    <w:rsid w:val="00582880"/>
    <w:rsid w:val="00592000"/>
    <w:rsid w:val="005E00D5"/>
    <w:rsid w:val="00632CF8"/>
    <w:rsid w:val="00633BEB"/>
    <w:rsid w:val="00644759"/>
    <w:rsid w:val="0066134E"/>
    <w:rsid w:val="006F08C2"/>
    <w:rsid w:val="00714843"/>
    <w:rsid w:val="007B1FF9"/>
    <w:rsid w:val="00806401"/>
    <w:rsid w:val="00824809"/>
    <w:rsid w:val="00824C1D"/>
    <w:rsid w:val="00832C1A"/>
    <w:rsid w:val="00836C13"/>
    <w:rsid w:val="0085571F"/>
    <w:rsid w:val="00865F19"/>
    <w:rsid w:val="008A57A7"/>
    <w:rsid w:val="008B5977"/>
    <w:rsid w:val="008E765B"/>
    <w:rsid w:val="009004D5"/>
    <w:rsid w:val="0090786F"/>
    <w:rsid w:val="00925612"/>
    <w:rsid w:val="00965050"/>
    <w:rsid w:val="009C2B8C"/>
    <w:rsid w:val="009D23A2"/>
    <w:rsid w:val="00A46285"/>
    <w:rsid w:val="00AA0C85"/>
    <w:rsid w:val="00AC6C10"/>
    <w:rsid w:val="00B57824"/>
    <w:rsid w:val="00BE2727"/>
    <w:rsid w:val="00C04E97"/>
    <w:rsid w:val="00CD1D0C"/>
    <w:rsid w:val="00CE0B3F"/>
    <w:rsid w:val="00D16B2A"/>
    <w:rsid w:val="00D30042"/>
    <w:rsid w:val="00D63636"/>
    <w:rsid w:val="00D72D3B"/>
    <w:rsid w:val="00D9024C"/>
    <w:rsid w:val="00DE3FAC"/>
    <w:rsid w:val="00DF39EA"/>
    <w:rsid w:val="00E01118"/>
    <w:rsid w:val="00E24CE0"/>
    <w:rsid w:val="00E70C8B"/>
    <w:rsid w:val="00E71F52"/>
    <w:rsid w:val="00EA11F5"/>
    <w:rsid w:val="00EA79AB"/>
    <w:rsid w:val="00EE72C1"/>
    <w:rsid w:val="00F15FC6"/>
    <w:rsid w:val="00F220A8"/>
    <w:rsid w:val="00F62B28"/>
    <w:rsid w:val="00F7697B"/>
    <w:rsid w:val="00FB3EE9"/>
    <w:rsid w:val="00FC26EC"/>
    <w:rsid w:val="00FD55F2"/>
    <w:rsid w:val="00FE19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C6438-C368-4FB8-8FED-F25B7C6D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458"/>
  </w:style>
  <w:style w:type="paragraph" w:styleId="Ttulo1">
    <w:name w:val="heading 1"/>
    <w:basedOn w:val="Normal"/>
    <w:link w:val="Ttulo1Car"/>
    <w:uiPriority w:val="9"/>
    <w:qFormat/>
    <w:rsid w:val="00356B0E"/>
    <w:pPr>
      <w:spacing w:before="100" w:beforeAutospacing="1" w:after="100" w:afterAutospacing="1"/>
      <w:jc w:val="left"/>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1C629C"/>
    <w:pPr>
      <w:keepNext/>
      <w:keepLines/>
      <w:spacing w:before="40" w:after="0" w:line="276" w:lineRule="auto"/>
      <w:jc w:val="left"/>
      <w:outlineLvl w:val="1"/>
    </w:pPr>
    <w:rPr>
      <w:rFonts w:asciiTheme="majorHAnsi" w:eastAsiaTheme="majorEastAsia" w:hAnsiTheme="majorHAnsi" w:cstheme="majorBidi"/>
      <w:color w:val="729928"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E72C1"/>
    <w:rPr>
      <w:sz w:val="16"/>
      <w:szCs w:val="16"/>
    </w:rPr>
  </w:style>
  <w:style w:type="paragraph" w:styleId="Textocomentario">
    <w:name w:val="annotation text"/>
    <w:basedOn w:val="Normal"/>
    <w:link w:val="TextocomentarioCar"/>
    <w:uiPriority w:val="99"/>
    <w:semiHidden/>
    <w:unhideWhenUsed/>
    <w:rsid w:val="00EE72C1"/>
    <w:rPr>
      <w:sz w:val="20"/>
      <w:szCs w:val="20"/>
    </w:rPr>
  </w:style>
  <w:style w:type="character" w:customStyle="1" w:styleId="TextocomentarioCar">
    <w:name w:val="Texto comentario Car"/>
    <w:basedOn w:val="Fuentedeprrafopredeter"/>
    <w:link w:val="Textocomentario"/>
    <w:uiPriority w:val="99"/>
    <w:semiHidden/>
    <w:rsid w:val="00EE72C1"/>
    <w:rPr>
      <w:sz w:val="20"/>
      <w:szCs w:val="20"/>
    </w:rPr>
  </w:style>
  <w:style w:type="paragraph" w:styleId="Asuntodelcomentario">
    <w:name w:val="annotation subject"/>
    <w:basedOn w:val="Textocomentario"/>
    <w:next w:val="Textocomentario"/>
    <w:link w:val="AsuntodelcomentarioCar"/>
    <w:uiPriority w:val="99"/>
    <w:semiHidden/>
    <w:unhideWhenUsed/>
    <w:rsid w:val="00EE72C1"/>
    <w:rPr>
      <w:b/>
      <w:bCs/>
    </w:rPr>
  </w:style>
  <w:style w:type="character" w:customStyle="1" w:styleId="AsuntodelcomentarioCar">
    <w:name w:val="Asunto del comentario Car"/>
    <w:basedOn w:val="TextocomentarioCar"/>
    <w:link w:val="Asuntodelcomentario"/>
    <w:uiPriority w:val="99"/>
    <w:semiHidden/>
    <w:rsid w:val="00EE72C1"/>
    <w:rPr>
      <w:b/>
      <w:bCs/>
      <w:sz w:val="20"/>
      <w:szCs w:val="20"/>
    </w:rPr>
  </w:style>
  <w:style w:type="paragraph" w:styleId="Textodeglobo">
    <w:name w:val="Balloon Text"/>
    <w:basedOn w:val="Normal"/>
    <w:link w:val="TextodegloboCar"/>
    <w:uiPriority w:val="99"/>
    <w:semiHidden/>
    <w:unhideWhenUsed/>
    <w:rsid w:val="00EE72C1"/>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72C1"/>
    <w:rPr>
      <w:rFonts w:ascii="Segoe UI" w:hAnsi="Segoe UI" w:cs="Segoe UI"/>
      <w:sz w:val="18"/>
      <w:szCs w:val="18"/>
    </w:rPr>
  </w:style>
  <w:style w:type="character" w:styleId="Hipervnculo">
    <w:name w:val="Hyperlink"/>
    <w:basedOn w:val="Fuentedeprrafopredeter"/>
    <w:uiPriority w:val="99"/>
    <w:unhideWhenUsed/>
    <w:rsid w:val="0090786F"/>
    <w:rPr>
      <w:color w:val="EE7B08" w:themeColor="hyperlink"/>
      <w:u w:val="single"/>
    </w:rPr>
  </w:style>
  <w:style w:type="paragraph" w:styleId="Prrafodelista">
    <w:name w:val="List Paragraph"/>
    <w:basedOn w:val="Normal"/>
    <w:uiPriority w:val="34"/>
    <w:qFormat/>
    <w:rsid w:val="0090786F"/>
    <w:pPr>
      <w:ind w:left="720"/>
      <w:contextualSpacing/>
    </w:pPr>
  </w:style>
  <w:style w:type="paragraph" w:styleId="Encabezado">
    <w:name w:val="header"/>
    <w:basedOn w:val="Normal"/>
    <w:link w:val="EncabezadoCar"/>
    <w:uiPriority w:val="99"/>
    <w:unhideWhenUsed/>
    <w:rsid w:val="00F62B28"/>
    <w:pPr>
      <w:tabs>
        <w:tab w:val="center" w:pos="4419"/>
        <w:tab w:val="right" w:pos="8838"/>
      </w:tabs>
      <w:spacing w:after="0"/>
    </w:pPr>
  </w:style>
  <w:style w:type="character" w:customStyle="1" w:styleId="EncabezadoCar">
    <w:name w:val="Encabezado Car"/>
    <w:basedOn w:val="Fuentedeprrafopredeter"/>
    <w:link w:val="Encabezado"/>
    <w:uiPriority w:val="99"/>
    <w:rsid w:val="00F62B28"/>
  </w:style>
  <w:style w:type="paragraph" w:styleId="Piedepgina">
    <w:name w:val="footer"/>
    <w:basedOn w:val="Normal"/>
    <w:link w:val="PiedepginaCar"/>
    <w:uiPriority w:val="99"/>
    <w:unhideWhenUsed/>
    <w:rsid w:val="00F62B28"/>
    <w:pPr>
      <w:tabs>
        <w:tab w:val="center" w:pos="4419"/>
        <w:tab w:val="right" w:pos="8838"/>
      </w:tabs>
      <w:spacing w:after="0"/>
    </w:pPr>
  </w:style>
  <w:style w:type="character" w:customStyle="1" w:styleId="PiedepginaCar">
    <w:name w:val="Pie de página Car"/>
    <w:basedOn w:val="Fuentedeprrafopredeter"/>
    <w:link w:val="Piedepgina"/>
    <w:uiPriority w:val="99"/>
    <w:rsid w:val="00F62B28"/>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unhideWhenUsed/>
    <w:qFormat/>
    <w:rsid w:val="00824809"/>
    <w:pPr>
      <w:spacing w:after="0"/>
    </w:pPr>
    <w:rPr>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824809"/>
    <w:rPr>
      <w:sz w:val="20"/>
      <w:szCs w:val="20"/>
    </w:rPr>
  </w:style>
  <w:style w:type="character" w:styleId="Refdenotaalpie">
    <w:name w:val="footnote reference"/>
    <w:aliases w:val="(NECG) Footnote Reference,o,fr,Style 3,Appel note de bas de p,Style 12,Style 124,Ref,de nota al pie,Ref. de nota al pie 2"/>
    <w:basedOn w:val="Fuentedeprrafopredeter"/>
    <w:uiPriority w:val="99"/>
    <w:unhideWhenUsed/>
    <w:qFormat/>
    <w:rsid w:val="00824809"/>
    <w:rPr>
      <w:vertAlign w:val="superscript"/>
    </w:rPr>
  </w:style>
  <w:style w:type="paragraph" w:styleId="Textonotaalfinal">
    <w:name w:val="endnote text"/>
    <w:basedOn w:val="Normal"/>
    <w:link w:val="TextonotaalfinalCar"/>
    <w:uiPriority w:val="99"/>
    <w:semiHidden/>
    <w:unhideWhenUsed/>
    <w:rsid w:val="001525FF"/>
    <w:pPr>
      <w:spacing w:after="0"/>
    </w:pPr>
    <w:rPr>
      <w:sz w:val="20"/>
      <w:szCs w:val="20"/>
    </w:rPr>
  </w:style>
  <w:style w:type="character" w:customStyle="1" w:styleId="TextonotaalfinalCar">
    <w:name w:val="Texto nota al final Car"/>
    <w:basedOn w:val="Fuentedeprrafopredeter"/>
    <w:link w:val="Textonotaalfinal"/>
    <w:uiPriority w:val="99"/>
    <w:semiHidden/>
    <w:rsid w:val="001525FF"/>
    <w:rPr>
      <w:sz w:val="20"/>
      <w:szCs w:val="20"/>
    </w:rPr>
  </w:style>
  <w:style w:type="character" w:styleId="Refdenotaalfinal">
    <w:name w:val="endnote reference"/>
    <w:basedOn w:val="Fuentedeprrafopredeter"/>
    <w:uiPriority w:val="99"/>
    <w:semiHidden/>
    <w:unhideWhenUsed/>
    <w:rsid w:val="001525FF"/>
    <w:rPr>
      <w:vertAlign w:val="superscript"/>
    </w:rPr>
  </w:style>
  <w:style w:type="character" w:customStyle="1" w:styleId="Ttulo1Car">
    <w:name w:val="Título 1 Car"/>
    <w:basedOn w:val="Fuentedeprrafopredeter"/>
    <w:link w:val="Ttulo1"/>
    <w:uiPriority w:val="9"/>
    <w:rsid w:val="00356B0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1C629C"/>
    <w:rPr>
      <w:rFonts w:asciiTheme="majorHAnsi" w:eastAsiaTheme="majorEastAsia" w:hAnsiTheme="majorHAnsi" w:cstheme="majorBidi"/>
      <w:color w:val="729928"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2559">
      <w:bodyDiv w:val="1"/>
      <w:marLeft w:val="0"/>
      <w:marRight w:val="0"/>
      <w:marTop w:val="0"/>
      <w:marBottom w:val="0"/>
      <w:divBdr>
        <w:top w:val="none" w:sz="0" w:space="0" w:color="auto"/>
        <w:left w:val="none" w:sz="0" w:space="0" w:color="auto"/>
        <w:bottom w:val="none" w:sz="0" w:space="0" w:color="auto"/>
        <w:right w:val="none" w:sz="0" w:space="0" w:color="auto"/>
      </w:divBdr>
    </w:div>
    <w:div w:id="1445614892">
      <w:bodyDiv w:val="1"/>
      <w:marLeft w:val="0"/>
      <w:marRight w:val="0"/>
      <w:marTop w:val="0"/>
      <w:marBottom w:val="0"/>
      <w:divBdr>
        <w:top w:val="none" w:sz="0" w:space="0" w:color="auto"/>
        <w:left w:val="none" w:sz="0" w:space="0" w:color="auto"/>
        <w:bottom w:val="none" w:sz="0" w:space="0" w:color="auto"/>
        <w:right w:val="none" w:sz="0" w:space="0" w:color="auto"/>
      </w:divBdr>
    </w:div>
    <w:div w:id="15061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IFT">
      <a:majorFont>
        <a:latin typeface="ITC Avant Garde"/>
        <a:ea typeface=""/>
        <a:cs typeface=""/>
      </a:majorFont>
      <a:minorFont>
        <a:latin typeface="ITC Avant Gard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BB9B2-91C7-4693-8B41-060747C2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712</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Nurivan Gonzalez Reyes</dc:creator>
  <cp:keywords/>
  <dc:description/>
  <cp:lastModifiedBy>Maria del Consuelo Gonzalez Moreno</cp:lastModifiedBy>
  <cp:revision>9</cp:revision>
  <cp:lastPrinted>2017-09-26T01:28:00Z</cp:lastPrinted>
  <dcterms:created xsi:type="dcterms:W3CDTF">2017-09-26T00:18:00Z</dcterms:created>
  <dcterms:modified xsi:type="dcterms:W3CDTF">2017-10-04T16:12:00Z</dcterms:modified>
</cp:coreProperties>
</file>